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FDEC0" w14:textId="77777777" w:rsidR="00C9513B" w:rsidRDefault="00C9513B" w:rsidP="00C9513B">
      <w:pPr>
        <w:spacing w:after="0" w:line="240" w:lineRule="auto"/>
        <w:rPr>
          <w:rFonts w:ascii="Times New Roman" w:eastAsiaTheme="majorEastAsia" w:hAnsi="Times New Roman" w:cs="Times New Roman"/>
          <w:b/>
          <w:kern w:val="0"/>
        </w:rPr>
      </w:pPr>
    </w:p>
    <w:p w14:paraId="5C5976F4" w14:textId="77777777" w:rsidR="00CF7AED" w:rsidRDefault="00CF7AED" w:rsidP="00C9513B">
      <w:pPr>
        <w:spacing w:after="0" w:line="240" w:lineRule="auto"/>
        <w:rPr>
          <w:rFonts w:ascii="Times New Roman" w:eastAsiaTheme="majorEastAsia" w:hAnsi="Times New Roman" w:cs="Times New Roman"/>
          <w:b/>
          <w:kern w:val="0"/>
        </w:rPr>
      </w:pPr>
    </w:p>
    <w:p w14:paraId="50651513" w14:textId="75230A92" w:rsidR="00496588" w:rsidRPr="00C9513B" w:rsidRDefault="00B35C57" w:rsidP="00C9513B">
      <w:pPr>
        <w:spacing w:after="0" w:line="240" w:lineRule="auto"/>
        <w:rPr>
          <w:rFonts w:ascii="Times New Roman" w:eastAsiaTheme="majorEastAsia" w:hAnsi="Times New Roman" w:cs="Times New Roman"/>
          <w:b/>
          <w:kern w:val="0"/>
        </w:rPr>
      </w:pPr>
      <w:r w:rsidRPr="00B35C57">
        <w:rPr>
          <w:rFonts w:ascii="Times New Roman" w:eastAsiaTheme="majorEastAsia" w:hAnsi="Times New Roman" w:cs="Times New Roman"/>
          <w:b/>
          <w:kern w:val="0"/>
        </w:rPr>
        <w:t>Intermediate Stop-Making During Commute Trips: An Analysis of Variations Across the Week</w:t>
      </w:r>
    </w:p>
    <w:p w14:paraId="0C1D0DCB" w14:textId="51A6E8EE" w:rsidR="00C010E4" w:rsidRPr="00C9513B" w:rsidRDefault="00C010E4" w:rsidP="00C9513B">
      <w:pPr>
        <w:spacing w:after="0" w:line="240" w:lineRule="auto"/>
        <w:rPr>
          <w:rFonts w:ascii="Times New Roman" w:hAnsi="Times New Roman" w:cs="Times New Roman"/>
          <w:b/>
          <w:kern w:val="0"/>
        </w:rPr>
      </w:pPr>
    </w:p>
    <w:p w14:paraId="0B42D78B" w14:textId="1E53A43F" w:rsidR="00C010E4" w:rsidRPr="00C9513B" w:rsidRDefault="00C010E4" w:rsidP="00C9513B">
      <w:pPr>
        <w:spacing w:after="0" w:line="240" w:lineRule="auto"/>
        <w:rPr>
          <w:rFonts w:ascii="Times New Roman" w:hAnsi="Times New Roman" w:cs="Times New Roman"/>
          <w:b/>
          <w:kern w:val="0"/>
        </w:rPr>
      </w:pPr>
    </w:p>
    <w:p w14:paraId="489A2F1F" w14:textId="6F35487A" w:rsidR="00496588" w:rsidRDefault="00496588" w:rsidP="00C9513B">
      <w:pPr>
        <w:spacing w:after="0" w:line="240" w:lineRule="auto"/>
        <w:rPr>
          <w:rFonts w:ascii="Times New Roman" w:eastAsia="Times" w:hAnsi="Times New Roman" w:cs="Times New Roman"/>
          <w:b/>
          <w:kern w:val="0"/>
        </w:rPr>
      </w:pPr>
    </w:p>
    <w:p w14:paraId="6A2A685A" w14:textId="77777777" w:rsidR="00CF7AED" w:rsidRPr="00C9513B" w:rsidRDefault="00CF7AED" w:rsidP="00C9513B">
      <w:pPr>
        <w:spacing w:after="0" w:line="240" w:lineRule="auto"/>
        <w:rPr>
          <w:rFonts w:ascii="Times New Roman" w:eastAsia="Times" w:hAnsi="Times New Roman" w:cs="Times New Roman"/>
          <w:b/>
          <w:kern w:val="0"/>
        </w:rPr>
      </w:pPr>
    </w:p>
    <w:p w14:paraId="302D05EE" w14:textId="3004F0E4" w:rsidR="00496588" w:rsidRPr="00C9513B" w:rsidRDefault="00496588" w:rsidP="00370134">
      <w:pPr>
        <w:spacing w:after="0" w:line="240" w:lineRule="auto"/>
        <w:rPr>
          <w:rFonts w:ascii="Times New Roman" w:eastAsia="Times" w:hAnsi="Times New Roman" w:cs="Times New Roman"/>
          <w:b/>
        </w:rPr>
      </w:pPr>
      <w:r w:rsidRPr="00C9513B">
        <w:rPr>
          <w:rFonts w:ascii="Times New Roman" w:eastAsia="Times" w:hAnsi="Times New Roman" w:cs="Times New Roman"/>
          <w:b/>
        </w:rPr>
        <w:t>Adeeba Naz</w:t>
      </w:r>
    </w:p>
    <w:p w14:paraId="3D92A5C4" w14:textId="77777777" w:rsidR="009454AB" w:rsidRPr="00C9513B" w:rsidRDefault="009454AB"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4A49371B" w14:textId="559E864A"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5D3D0C3" w14:textId="39E7C855"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59FCAD64" w14:textId="77777777" w:rsidR="00496588" w:rsidRPr="00C9513B" w:rsidRDefault="00496588" w:rsidP="00370134">
      <w:pPr>
        <w:spacing w:after="0" w:line="240" w:lineRule="auto"/>
        <w:rPr>
          <w:rFonts w:ascii="Times New Roman" w:hAnsi="Times New Roman" w:cs="Times New Roman"/>
        </w:rPr>
      </w:pPr>
      <w:r w:rsidRPr="00C9513B">
        <w:rPr>
          <w:rFonts w:ascii="Times New Roman" w:eastAsia="Times" w:hAnsi="Times New Roman" w:cs="Times New Roman"/>
          <w:lang w:val="fr-FR"/>
        </w:rPr>
        <w:t xml:space="preserve">Email: </w:t>
      </w:r>
      <w:hyperlink r:id="rId11" w:history="1">
        <w:r w:rsidRPr="00C9513B">
          <w:rPr>
            <w:rStyle w:val="Hyperlink"/>
            <w:rFonts w:ascii="Times New Roman" w:eastAsia="Times" w:hAnsi="Times New Roman" w:cs="Times New Roman"/>
            <w:lang w:val="fr-FR"/>
          </w:rPr>
          <w:t>an36723@my.utexas.edu</w:t>
        </w:r>
      </w:hyperlink>
    </w:p>
    <w:p w14:paraId="4D94CC8A" w14:textId="77777777" w:rsidR="00496588" w:rsidRPr="00C9513B" w:rsidRDefault="00496588" w:rsidP="00370134">
      <w:pPr>
        <w:spacing w:after="0" w:line="240" w:lineRule="auto"/>
        <w:rPr>
          <w:rFonts w:ascii="Times New Roman" w:eastAsia="Times" w:hAnsi="Times New Roman" w:cs="Times New Roman"/>
          <w:b/>
        </w:rPr>
      </w:pPr>
    </w:p>
    <w:p w14:paraId="6077A398" w14:textId="77777777" w:rsidR="00496588" w:rsidRPr="00C9513B" w:rsidRDefault="00496588" w:rsidP="00370134">
      <w:pPr>
        <w:spacing w:after="0" w:line="240" w:lineRule="auto"/>
        <w:rPr>
          <w:rFonts w:ascii="Times New Roman" w:eastAsia="Times" w:hAnsi="Times New Roman" w:cs="Times New Roman"/>
          <w:b/>
        </w:rPr>
      </w:pPr>
      <w:r w:rsidRPr="00C9513B">
        <w:rPr>
          <w:rFonts w:ascii="Times New Roman" w:eastAsia="Times" w:hAnsi="Times New Roman" w:cs="Times New Roman"/>
          <w:b/>
        </w:rPr>
        <w:t>Dale Robbennolt</w:t>
      </w:r>
    </w:p>
    <w:p w14:paraId="5D936791" w14:textId="77777777" w:rsidR="009454AB" w:rsidRPr="00C9513B" w:rsidRDefault="009454AB"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68CBF9C6" w14:textId="4A8B5046"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43A0EEC" w14:textId="7AF91338" w:rsidR="00496588" w:rsidRPr="00C9513B" w:rsidRDefault="00496588" w:rsidP="00370134">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725B6672" w14:textId="54EC7159" w:rsidR="00496588" w:rsidRPr="00C9513B" w:rsidRDefault="00496588" w:rsidP="00370134">
      <w:pPr>
        <w:spacing w:after="0" w:line="240" w:lineRule="auto"/>
        <w:rPr>
          <w:rFonts w:ascii="Times New Roman" w:eastAsia="Times" w:hAnsi="Times New Roman" w:cs="Times New Roman"/>
          <w:lang w:val="fr-FR"/>
        </w:rPr>
      </w:pPr>
      <w:r w:rsidRPr="00C9513B">
        <w:rPr>
          <w:rFonts w:ascii="Times New Roman" w:eastAsia="Times" w:hAnsi="Times New Roman" w:cs="Times New Roman"/>
          <w:lang w:val="fr-FR"/>
        </w:rPr>
        <w:t xml:space="preserve">Email: </w:t>
      </w:r>
      <w:hyperlink r:id="rId12" w:history="1">
        <w:r w:rsidRPr="00C9513B">
          <w:rPr>
            <w:rStyle w:val="Hyperlink"/>
            <w:rFonts w:ascii="Times New Roman" w:eastAsia="Times" w:hAnsi="Times New Roman" w:cs="Times New Roman"/>
            <w:lang w:val="fr-FR"/>
          </w:rPr>
          <w:t>dar4836@utexas.edu</w:t>
        </w:r>
      </w:hyperlink>
      <w:r w:rsidRPr="00C9513B">
        <w:rPr>
          <w:rFonts w:ascii="Times New Roman" w:eastAsia="Times" w:hAnsi="Times New Roman" w:cs="Times New Roman"/>
          <w:lang w:val="fr-FR"/>
        </w:rPr>
        <w:t xml:space="preserve">     </w:t>
      </w:r>
    </w:p>
    <w:p w14:paraId="64D97ADC" w14:textId="77777777" w:rsidR="007D7B52" w:rsidRPr="00C9513B" w:rsidRDefault="007D7B52" w:rsidP="00370134">
      <w:pPr>
        <w:spacing w:after="0" w:line="240" w:lineRule="auto"/>
        <w:rPr>
          <w:rFonts w:ascii="Times New Roman" w:eastAsia="Times" w:hAnsi="Times New Roman" w:cs="Times New Roman"/>
          <w:lang w:val="fr-FR"/>
        </w:rPr>
      </w:pPr>
    </w:p>
    <w:p w14:paraId="2718C412" w14:textId="77777777" w:rsidR="0089185C" w:rsidRPr="0089185C" w:rsidRDefault="0089185C" w:rsidP="0089185C">
      <w:pPr>
        <w:spacing w:after="0" w:line="240" w:lineRule="auto"/>
        <w:rPr>
          <w:rFonts w:ascii="Times New Roman" w:hAnsi="Times New Roman" w:cs="Times New Roman"/>
          <w:b/>
          <w:lang w:val="en-IN"/>
        </w:rPr>
      </w:pPr>
      <w:r w:rsidRPr="0089185C">
        <w:rPr>
          <w:rFonts w:ascii="Times New Roman" w:hAnsi="Times New Roman" w:cs="Times New Roman"/>
          <w:b/>
          <w:lang w:val="en-IN"/>
        </w:rPr>
        <w:t xml:space="preserve">Irfan Batur </w:t>
      </w:r>
    </w:p>
    <w:p w14:paraId="16E9B91F" w14:textId="77777777" w:rsid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 xml:space="preserve">Arizona State University </w:t>
      </w:r>
    </w:p>
    <w:p w14:paraId="7C26A63A" w14:textId="5FF36154" w:rsidR="0089185C"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School of Sustainable Engineering and the Built Environment</w:t>
      </w:r>
    </w:p>
    <w:p w14:paraId="71C3E80B" w14:textId="2AB2EF0E" w:rsidR="0089185C"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660 S. College Avenue, Tempe, AZ 85287-3005, USA</w:t>
      </w:r>
    </w:p>
    <w:p w14:paraId="03A9DA46" w14:textId="3CD12055" w:rsidR="0089185C"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 xml:space="preserve">Email: </w:t>
      </w:r>
      <w:hyperlink r:id="rId13" w:history="1">
        <w:r w:rsidR="00106419" w:rsidRPr="0006570F">
          <w:rPr>
            <w:rStyle w:val="Hyperlink"/>
            <w:rFonts w:ascii="Times New Roman" w:hAnsi="Times New Roman" w:cs="Times New Roman"/>
            <w:bCs/>
            <w:lang w:val="en-IN"/>
          </w:rPr>
          <w:t>ibatur@asu.edu</w:t>
        </w:r>
      </w:hyperlink>
      <w:r w:rsidR="00106419">
        <w:rPr>
          <w:rFonts w:ascii="Times New Roman" w:hAnsi="Times New Roman" w:cs="Times New Roman"/>
          <w:bCs/>
          <w:lang w:val="en-IN"/>
        </w:rPr>
        <w:t xml:space="preserve"> </w:t>
      </w:r>
      <w:r w:rsidRPr="0089185C">
        <w:rPr>
          <w:rFonts w:ascii="Times New Roman" w:hAnsi="Times New Roman" w:cs="Times New Roman"/>
          <w:bCs/>
          <w:lang w:val="en-IN"/>
        </w:rPr>
        <w:t xml:space="preserve"> </w:t>
      </w:r>
      <w:r w:rsidR="00106419">
        <w:rPr>
          <w:rFonts w:ascii="Times New Roman" w:hAnsi="Times New Roman" w:cs="Times New Roman"/>
          <w:bCs/>
          <w:lang w:val="en-IN"/>
        </w:rPr>
        <w:t xml:space="preserve"> </w:t>
      </w:r>
    </w:p>
    <w:p w14:paraId="26274EAD" w14:textId="77777777" w:rsidR="0089185C" w:rsidRPr="0089185C" w:rsidRDefault="0089185C" w:rsidP="0089185C">
      <w:pPr>
        <w:spacing w:after="0" w:line="240" w:lineRule="auto"/>
        <w:rPr>
          <w:rFonts w:ascii="Times New Roman" w:hAnsi="Times New Roman" w:cs="Times New Roman"/>
          <w:b/>
          <w:lang w:val="en-IN"/>
        </w:rPr>
      </w:pPr>
    </w:p>
    <w:p w14:paraId="4D0212DF" w14:textId="77777777" w:rsidR="0089185C" w:rsidRPr="0089185C" w:rsidRDefault="0089185C" w:rsidP="0089185C">
      <w:pPr>
        <w:spacing w:after="0" w:line="240" w:lineRule="auto"/>
        <w:rPr>
          <w:rFonts w:ascii="Times New Roman" w:hAnsi="Times New Roman" w:cs="Times New Roman"/>
          <w:b/>
          <w:lang w:val="en-IN"/>
        </w:rPr>
      </w:pPr>
      <w:r w:rsidRPr="0089185C">
        <w:rPr>
          <w:rFonts w:ascii="Times New Roman" w:hAnsi="Times New Roman" w:cs="Times New Roman"/>
          <w:b/>
          <w:lang w:val="en-IN"/>
        </w:rPr>
        <w:t>Fan Yu</w:t>
      </w:r>
    </w:p>
    <w:p w14:paraId="0F460708" w14:textId="77777777" w:rsidR="00106419" w:rsidRDefault="00106419"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 xml:space="preserve">Arizona State University </w:t>
      </w:r>
    </w:p>
    <w:p w14:paraId="639ACE8D" w14:textId="0AA8F830" w:rsidR="0089185C"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School of Sustainable Engineering and the Built Environment</w:t>
      </w:r>
    </w:p>
    <w:p w14:paraId="44F2D362" w14:textId="0C887D39" w:rsidR="0089185C"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660 S. College Avenue, Tempe, AZ 85287-3005, USA</w:t>
      </w:r>
    </w:p>
    <w:p w14:paraId="77C34CE2" w14:textId="2A451283" w:rsidR="00752DB1" w:rsidRPr="0089185C" w:rsidRDefault="0089185C" w:rsidP="0089185C">
      <w:pPr>
        <w:spacing w:after="0" w:line="240" w:lineRule="auto"/>
        <w:rPr>
          <w:rFonts w:ascii="Times New Roman" w:hAnsi="Times New Roman" w:cs="Times New Roman"/>
          <w:bCs/>
          <w:lang w:val="en-IN"/>
        </w:rPr>
      </w:pPr>
      <w:r w:rsidRPr="0089185C">
        <w:rPr>
          <w:rFonts w:ascii="Times New Roman" w:hAnsi="Times New Roman" w:cs="Times New Roman"/>
          <w:bCs/>
          <w:lang w:val="en-IN"/>
        </w:rPr>
        <w:t xml:space="preserve">Email: </w:t>
      </w:r>
      <w:hyperlink r:id="rId14" w:history="1">
        <w:r w:rsidRPr="0089185C">
          <w:rPr>
            <w:rStyle w:val="Hyperlink"/>
            <w:rFonts w:ascii="Times New Roman" w:hAnsi="Times New Roman" w:cs="Times New Roman"/>
            <w:bCs/>
            <w:lang w:val="en-IN"/>
          </w:rPr>
          <w:t>fanyu4@asu.edu</w:t>
        </w:r>
      </w:hyperlink>
    </w:p>
    <w:p w14:paraId="77DF5D30" w14:textId="77777777" w:rsidR="0089185C" w:rsidRPr="00C9513B" w:rsidRDefault="0089185C" w:rsidP="0089185C">
      <w:pPr>
        <w:spacing w:after="0" w:line="240" w:lineRule="auto"/>
        <w:rPr>
          <w:rFonts w:ascii="Times New Roman" w:eastAsia="Times" w:hAnsi="Times New Roman" w:cs="Times New Roman"/>
          <w:lang w:val="fr-FR"/>
        </w:rPr>
      </w:pPr>
    </w:p>
    <w:p w14:paraId="667E0C21" w14:textId="77777777" w:rsidR="00550971" w:rsidRPr="00C9513B" w:rsidRDefault="00550971" w:rsidP="00550971">
      <w:pPr>
        <w:spacing w:after="0" w:line="240" w:lineRule="auto"/>
        <w:rPr>
          <w:rFonts w:ascii="Times New Roman" w:eastAsia="Times" w:hAnsi="Times New Roman" w:cs="Times New Roman"/>
          <w:b/>
        </w:rPr>
      </w:pPr>
      <w:r w:rsidRPr="00C9513B">
        <w:rPr>
          <w:rFonts w:ascii="Times New Roman" w:eastAsia="Times" w:hAnsi="Times New Roman" w:cs="Times New Roman"/>
          <w:b/>
        </w:rPr>
        <w:t xml:space="preserve">Ram M. Pendyala </w:t>
      </w:r>
    </w:p>
    <w:p w14:paraId="4BF7D544" w14:textId="77777777" w:rsidR="009454AB" w:rsidRPr="00C9513B" w:rsidRDefault="009454AB"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Arizona State University </w:t>
      </w:r>
    </w:p>
    <w:p w14:paraId="7C55CD52" w14:textId="6FA299EC" w:rsidR="00550971" w:rsidRPr="00C9513B" w:rsidRDefault="00550971" w:rsidP="00550971">
      <w:pPr>
        <w:spacing w:after="0" w:line="240" w:lineRule="auto"/>
        <w:rPr>
          <w:rFonts w:ascii="Times New Roman" w:eastAsia="Times" w:hAnsi="Times New Roman" w:cs="Times New Roman"/>
          <w:b/>
        </w:rPr>
      </w:pPr>
      <w:r w:rsidRPr="00C9513B">
        <w:rPr>
          <w:rFonts w:ascii="Times New Roman" w:eastAsia="Times" w:hAnsi="Times New Roman" w:cs="Times New Roman"/>
        </w:rPr>
        <w:t>School of Sustainable Engineering and the Built Environment</w:t>
      </w:r>
    </w:p>
    <w:p w14:paraId="02B2BC67" w14:textId="34CC5C84" w:rsidR="00550971" w:rsidRPr="00C9513B" w:rsidRDefault="00550971"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660 S. College Avenue, Tempe, AZ 85287-3005, USA</w:t>
      </w:r>
    </w:p>
    <w:p w14:paraId="1DF26767" w14:textId="072D616C" w:rsidR="00550971" w:rsidRPr="00C9513B" w:rsidRDefault="00550971" w:rsidP="00550971">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Email: </w:t>
      </w:r>
      <w:hyperlink r:id="rId15" w:history="1">
        <w:r w:rsidRPr="00C9513B">
          <w:rPr>
            <w:rStyle w:val="Hyperlink"/>
            <w:rFonts w:ascii="Times New Roman" w:hAnsi="Times New Roman" w:cs="Times New Roman"/>
            <w:lang w:val="fr-FR"/>
          </w:rPr>
          <w:t>ram.pendyala@asu.edu</w:t>
        </w:r>
      </w:hyperlink>
      <w:r w:rsidRPr="00C9513B">
        <w:rPr>
          <w:rFonts w:ascii="Times New Roman" w:eastAsia="Times" w:hAnsi="Times New Roman" w:cs="Times New Roman"/>
        </w:rPr>
        <w:t xml:space="preserve">   </w:t>
      </w:r>
    </w:p>
    <w:p w14:paraId="37762737" w14:textId="77777777" w:rsidR="00496588" w:rsidRPr="00C9513B" w:rsidRDefault="00496588" w:rsidP="00370134">
      <w:pPr>
        <w:spacing w:after="0" w:line="240" w:lineRule="auto"/>
        <w:rPr>
          <w:rFonts w:ascii="Times New Roman" w:hAnsi="Times New Roman" w:cs="Times New Roman"/>
          <w:b/>
        </w:rPr>
      </w:pPr>
    </w:p>
    <w:p w14:paraId="4ACB2FF0" w14:textId="77777777" w:rsidR="00496588" w:rsidRPr="00C9513B" w:rsidRDefault="00496588" w:rsidP="00370134">
      <w:pPr>
        <w:spacing w:after="0" w:line="240" w:lineRule="auto"/>
        <w:rPr>
          <w:rFonts w:ascii="Times New Roman" w:eastAsia="Times New Roman" w:hAnsi="Times New Roman" w:cs="Times New Roman"/>
          <w:b/>
        </w:rPr>
      </w:pPr>
      <w:r w:rsidRPr="00C9513B">
        <w:rPr>
          <w:rFonts w:ascii="Times New Roman" w:hAnsi="Times New Roman" w:cs="Times New Roman"/>
          <w:b/>
        </w:rPr>
        <w:t xml:space="preserve">Chandra R. Bhat </w:t>
      </w:r>
      <w:r w:rsidRPr="00C9513B">
        <w:rPr>
          <w:rFonts w:ascii="Times New Roman" w:eastAsia="Times New Roman" w:hAnsi="Times New Roman" w:cs="Times New Roman"/>
          <w:b/>
        </w:rPr>
        <w:t>(Corresponding Author)</w:t>
      </w:r>
    </w:p>
    <w:p w14:paraId="3B950D75"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 xml:space="preserve">The University of Texas at Austin </w:t>
      </w:r>
    </w:p>
    <w:p w14:paraId="603208CC"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Department of Civil, Architectural and Environmental Engineering</w:t>
      </w:r>
    </w:p>
    <w:p w14:paraId="7A88609C" w14:textId="77777777" w:rsidR="009454AB" w:rsidRPr="00C9513B" w:rsidRDefault="009454AB" w:rsidP="009454AB">
      <w:pPr>
        <w:spacing w:after="0" w:line="240" w:lineRule="auto"/>
        <w:rPr>
          <w:rFonts w:ascii="Times New Roman" w:eastAsia="Times" w:hAnsi="Times New Roman" w:cs="Times New Roman"/>
        </w:rPr>
      </w:pPr>
      <w:r w:rsidRPr="00C9513B">
        <w:rPr>
          <w:rFonts w:ascii="Times New Roman" w:eastAsia="Times" w:hAnsi="Times New Roman" w:cs="Times New Roman"/>
        </w:rPr>
        <w:t>301 E. Dean Keeton St. Stop C1761, Austin, TX 78712, USA</w:t>
      </w:r>
    </w:p>
    <w:p w14:paraId="4450A6AE" w14:textId="77777777" w:rsidR="00496588" w:rsidRPr="00C9513B" w:rsidRDefault="00496588" w:rsidP="00370134">
      <w:pPr>
        <w:spacing w:after="0" w:line="240" w:lineRule="auto"/>
        <w:rPr>
          <w:rFonts w:ascii="Times New Roman" w:hAnsi="Times New Roman" w:cs="Times New Roman"/>
          <w:lang w:val="fr-FR"/>
        </w:rPr>
      </w:pPr>
      <w:r w:rsidRPr="00C9513B">
        <w:rPr>
          <w:rFonts w:ascii="Times New Roman" w:hAnsi="Times New Roman" w:cs="Times New Roman"/>
          <w:lang w:val="fr-FR"/>
        </w:rPr>
        <w:t xml:space="preserve">Email: </w:t>
      </w:r>
      <w:hyperlink r:id="rId16" w:history="1">
        <w:r w:rsidRPr="00C9513B">
          <w:rPr>
            <w:rStyle w:val="Hyperlink"/>
            <w:rFonts w:ascii="Times New Roman" w:hAnsi="Times New Roman" w:cs="Times New Roman"/>
            <w:lang w:val="fr-FR"/>
          </w:rPr>
          <w:t>bhat@mail.utexas.edu</w:t>
        </w:r>
      </w:hyperlink>
      <w:r w:rsidRPr="00C9513B">
        <w:rPr>
          <w:rFonts w:ascii="Times New Roman" w:hAnsi="Times New Roman" w:cs="Times New Roman"/>
          <w:lang w:val="fr-FR"/>
        </w:rPr>
        <w:t xml:space="preserve"> </w:t>
      </w:r>
    </w:p>
    <w:p w14:paraId="65173906" w14:textId="77777777" w:rsidR="00496588" w:rsidRPr="006D5CF1" w:rsidRDefault="00496588" w:rsidP="006D5CF1">
      <w:pPr>
        <w:spacing w:after="0" w:line="240" w:lineRule="auto"/>
        <w:rPr>
          <w:rFonts w:ascii="Times New Roman" w:hAnsi="Times New Roman" w:cs="Times New Roman"/>
          <w:b/>
          <w:color w:val="000000" w:themeColor="text1"/>
        </w:rPr>
        <w:sectPr w:rsidR="00496588" w:rsidRPr="006D5CF1" w:rsidSect="00496588">
          <w:footerReference w:type="default" r:id="rId17"/>
          <w:pgSz w:w="12240" w:h="15840"/>
          <w:pgMar w:top="1440" w:right="1440" w:bottom="1440" w:left="1440" w:header="720" w:footer="720" w:gutter="0"/>
          <w:cols w:space="720"/>
          <w:titlePg/>
          <w:docGrid w:linePitch="360"/>
        </w:sectPr>
      </w:pPr>
    </w:p>
    <w:p w14:paraId="646E1561" w14:textId="07E08164" w:rsidR="00496588" w:rsidRPr="00C9513B" w:rsidRDefault="00496588" w:rsidP="00CF7AED">
      <w:pPr>
        <w:spacing w:after="0" w:line="240" w:lineRule="auto"/>
        <w:rPr>
          <w:rFonts w:ascii="Times New Roman" w:hAnsi="Times New Roman" w:cs="Times New Roman"/>
        </w:rPr>
      </w:pPr>
      <w:r w:rsidRPr="00C9513B">
        <w:rPr>
          <w:rStyle w:val="Heading1Char"/>
          <w:caps/>
          <w:szCs w:val="24"/>
        </w:rPr>
        <w:lastRenderedPageBreak/>
        <w:t>ABSTRACT</w:t>
      </w:r>
      <w:r w:rsidRPr="00C9513B">
        <w:rPr>
          <w:rFonts w:ascii="Times New Roman" w:hAnsi="Times New Roman" w:cs="Times New Roman"/>
        </w:rPr>
        <w:t xml:space="preserve"> </w:t>
      </w:r>
    </w:p>
    <w:p w14:paraId="278B69E6" w14:textId="187DCC39" w:rsidR="002F001B" w:rsidRPr="002F001B" w:rsidRDefault="002F001B" w:rsidP="00CF7AED">
      <w:pPr>
        <w:pStyle w:val="NormalWeb"/>
        <w:spacing w:before="0" w:beforeAutospacing="0" w:after="0" w:afterAutospacing="0"/>
        <w:jc w:val="both"/>
      </w:pPr>
      <w:r w:rsidRPr="002F001B">
        <w:t>Commute trips often include intermediate stops for non-work activities, adding trip segments that may contribute to peak-period travel demand. As hybrid work reshapes workplace commuting, an important question is whether the commute trips that remain become more complex. To address this question, the study examines how intermediate stop-making on home-to-work (H-to-W) and work-to-home (W-to-H) commute trips varies by telecommuting frequency and day of the week. The analysis uses Wave 2 of the Transportation Heartbeat of America Survey, conducted across the United States in 2026, and includes 2,409 full-time employees contributing 11,074 workplace commute-day observations. Intermediate stop-making in the two commute directions is jointly estimated using a panel bivariate binary probit model that accounts for repeated observations from the same individual and correlated unobserved influences across commute directions. The results show that intermediate stops are more common on W-to-H trips than on H-to-W trips. More importantly, telecommuting frequency is positively associated with stop-making in both directions, with progressively larger effects at higher telecommuting frequencies. However, this relationship is not uniform across the week. For W-to-H t</w:t>
      </w:r>
      <w:r w:rsidR="000A3FD3">
        <w:t>rips</w:t>
      </w:r>
      <w:r w:rsidRPr="002F001B">
        <w:t xml:space="preserve">, the positive association is smaller on Thursday and Friday among low-frequency telecommuters and substantially smaller on Friday among medium-frequency telecommuters. Stop-making also varies by </w:t>
      </w:r>
      <w:r w:rsidR="000A3FD3">
        <w:t>sociodemographic, household, commute, built-environment, and regional characteristics, with several relationships differing across the week.</w:t>
      </w:r>
      <w:r w:rsidRPr="002F001B">
        <w:t xml:space="preserve"> By providing a commute-direction-specific and day-specific analysis using contemporary national travel survey data, the study quantifies how stop-making on workplace commute days varies across telecommuting frequencies. The findings indicate that telecommuting is associated not only with fewer workplace commute days but also with greater commute-tour complexity on the days workers travel to the physical workplace. Accordingly, travel </w:t>
      </w:r>
      <w:r w:rsidR="00902FB1">
        <w:t>demand models and telecommuting impact assessments should account for telecommuting frequency, commute direction, and day-of-week variation rather than represent hybrid work as a homogenous behavioral phenomenon.</w:t>
      </w:r>
    </w:p>
    <w:p w14:paraId="4A11005D" w14:textId="77777777" w:rsidR="002F001B" w:rsidRDefault="002F001B" w:rsidP="00CF7AED">
      <w:pPr>
        <w:pStyle w:val="NormalWeb"/>
        <w:spacing w:before="0" w:beforeAutospacing="0" w:after="0" w:afterAutospacing="0"/>
        <w:jc w:val="both"/>
      </w:pPr>
    </w:p>
    <w:p w14:paraId="42C9F96B" w14:textId="77777777" w:rsidR="00FE18F9" w:rsidRPr="00C9513B" w:rsidRDefault="00FE18F9" w:rsidP="00CF7AED">
      <w:pPr>
        <w:pStyle w:val="NormalWeb"/>
        <w:spacing w:before="0" w:beforeAutospacing="0" w:after="0" w:afterAutospacing="0"/>
        <w:jc w:val="both"/>
      </w:pPr>
    </w:p>
    <w:p w14:paraId="12790D1A" w14:textId="44B25529" w:rsidR="00496588" w:rsidRPr="00C9513B" w:rsidRDefault="00496588" w:rsidP="00CF7AED">
      <w:pPr>
        <w:spacing w:after="0" w:line="240" w:lineRule="auto"/>
        <w:jc w:val="both"/>
        <w:rPr>
          <w:rFonts w:ascii="Times New Roman" w:hAnsi="Times New Roman" w:cs="Times New Roman"/>
        </w:rPr>
      </w:pPr>
      <w:r w:rsidRPr="00C9513B">
        <w:rPr>
          <w:rFonts w:ascii="Times New Roman" w:hAnsi="Times New Roman" w:cs="Times New Roman"/>
          <w:b/>
          <w:bCs/>
        </w:rPr>
        <w:t>Keywords:</w:t>
      </w:r>
      <w:r w:rsidRPr="00C9513B">
        <w:rPr>
          <w:rFonts w:ascii="Times New Roman" w:hAnsi="Times New Roman" w:cs="Times New Roman"/>
        </w:rPr>
        <w:t xml:space="preserve"> </w:t>
      </w:r>
      <w:r w:rsidR="00846840">
        <w:rPr>
          <w:rFonts w:ascii="Times New Roman" w:hAnsi="Times New Roman" w:cs="Times New Roman"/>
        </w:rPr>
        <w:t xml:space="preserve">Intermediate </w:t>
      </w:r>
      <w:r w:rsidR="00FA508B">
        <w:rPr>
          <w:rFonts w:ascii="Times New Roman" w:hAnsi="Times New Roman" w:cs="Times New Roman"/>
        </w:rPr>
        <w:t>Stop</w:t>
      </w:r>
      <w:r w:rsidR="002653B8" w:rsidRPr="00C9513B">
        <w:rPr>
          <w:rFonts w:ascii="Times New Roman" w:hAnsi="Times New Roman" w:cs="Times New Roman"/>
        </w:rPr>
        <w:t>,</w:t>
      </w:r>
      <w:r w:rsidRPr="00C9513B">
        <w:rPr>
          <w:rFonts w:ascii="Times New Roman" w:hAnsi="Times New Roman" w:cs="Times New Roman"/>
        </w:rPr>
        <w:t xml:space="preserve"> </w:t>
      </w:r>
      <w:r w:rsidR="00FA508B">
        <w:rPr>
          <w:rFonts w:ascii="Times New Roman" w:hAnsi="Times New Roman" w:cs="Times New Roman"/>
        </w:rPr>
        <w:t>Commute Trip</w:t>
      </w:r>
      <w:r w:rsidR="002653B8" w:rsidRPr="00C9513B">
        <w:rPr>
          <w:rFonts w:ascii="Times New Roman" w:hAnsi="Times New Roman" w:cs="Times New Roman"/>
        </w:rPr>
        <w:t>,</w:t>
      </w:r>
      <w:r w:rsidR="005F3955" w:rsidRPr="00C9513B">
        <w:rPr>
          <w:rFonts w:ascii="Times New Roman" w:hAnsi="Times New Roman" w:cs="Times New Roman"/>
        </w:rPr>
        <w:t xml:space="preserve"> </w:t>
      </w:r>
      <w:r w:rsidR="00FA508B">
        <w:rPr>
          <w:rFonts w:ascii="Times New Roman" w:hAnsi="Times New Roman" w:cs="Times New Roman"/>
        </w:rPr>
        <w:t>Hybrid Work</w:t>
      </w:r>
      <w:r w:rsidR="002653B8" w:rsidRPr="00C9513B">
        <w:rPr>
          <w:rFonts w:ascii="Times New Roman" w:hAnsi="Times New Roman" w:cs="Times New Roman"/>
        </w:rPr>
        <w:t>,</w:t>
      </w:r>
      <w:r w:rsidRPr="00C9513B">
        <w:rPr>
          <w:rFonts w:ascii="Times New Roman" w:hAnsi="Times New Roman" w:cs="Times New Roman"/>
        </w:rPr>
        <w:t xml:space="preserve"> </w:t>
      </w:r>
      <w:r w:rsidR="00FA508B">
        <w:rPr>
          <w:rFonts w:ascii="Times New Roman" w:hAnsi="Times New Roman" w:cs="Times New Roman"/>
        </w:rPr>
        <w:t>Telecommuting</w:t>
      </w:r>
      <w:r w:rsidR="002653B8" w:rsidRPr="00C9513B">
        <w:rPr>
          <w:rFonts w:ascii="Times New Roman" w:hAnsi="Times New Roman" w:cs="Times New Roman"/>
        </w:rPr>
        <w:t>,</w:t>
      </w:r>
      <w:r w:rsidRPr="00C9513B">
        <w:rPr>
          <w:rFonts w:ascii="Times New Roman" w:hAnsi="Times New Roman" w:cs="Times New Roman"/>
        </w:rPr>
        <w:t xml:space="preserve"> </w:t>
      </w:r>
      <w:r w:rsidR="000C5D3C">
        <w:rPr>
          <w:rFonts w:ascii="Times New Roman" w:hAnsi="Times New Roman" w:cs="Times New Roman"/>
        </w:rPr>
        <w:t xml:space="preserve">Panel </w:t>
      </w:r>
      <w:r w:rsidR="0011122F">
        <w:rPr>
          <w:rFonts w:ascii="Times New Roman" w:hAnsi="Times New Roman" w:cs="Times New Roman"/>
        </w:rPr>
        <w:t>Data, Joint Model</w:t>
      </w:r>
      <w:r w:rsidRPr="00C9513B">
        <w:rPr>
          <w:rFonts w:ascii="Times New Roman" w:hAnsi="Times New Roman" w:cs="Times New Roman"/>
        </w:rPr>
        <w:t xml:space="preserve"> </w:t>
      </w:r>
    </w:p>
    <w:p w14:paraId="02925BF4" w14:textId="77777777" w:rsidR="00122C06" w:rsidRDefault="00122C06" w:rsidP="00CF7AED">
      <w:pPr>
        <w:spacing w:after="0" w:line="240" w:lineRule="auto"/>
      </w:pPr>
    </w:p>
    <w:p w14:paraId="4053182A" w14:textId="77777777" w:rsidR="00122C06" w:rsidRDefault="00122C06" w:rsidP="00CF7AED">
      <w:pPr>
        <w:spacing w:after="0" w:line="240" w:lineRule="auto"/>
      </w:pPr>
    </w:p>
    <w:p w14:paraId="772437A2" w14:textId="77777777" w:rsidR="00122C06" w:rsidRDefault="00122C06" w:rsidP="00122C06">
      <w:pPr>
        <w:sectPr w:rsidR="00122C06" w:rsidSect="007D4D8D">
          <w:footerReference w:type="default" r:id="rId18"/>
          <w:pgSz w:w="12240" w:h="15840"/>
          <w:pgMar w:top="1440" w:right="1440" w:bottom="1440" w:left="1440" w:header="720" w:footer="720" w:gutter="0"/>
          <w:cols w:space="720"/>
          <w:docGrid w:linePitch="360"/>
        </w:sectPr>
      </w:pPr>
    </w:p>
    <w:p w14:paraId="4C68BC6D" w14:textId="77777777" w:rsidR="00122C06" w:rsidRPr="00122C06" w:rsidRDefault="00122C06" w:rsidP="00122C06">
      <w:pPr>
        <w:sectPr w:rsidR="00122C06" w:rsidRPr="00122C06" w:rsidSect="00122C06">
          <w:type w:val="continuous"/>
          <w:pgSz w:w="12240" w:h="15840"/>
          <w:pgMar w:top="1440" w:right="1440" w:bottom="1440" w:left="1440" w:header="720" w:footer="720" w:gutter="0"/>
          <w:cols w:space="720"/>
          <w:docGrid w:linePitch="360"/>
        </w:sectPr>
      </w:pPr>
    </w:p>
    <w:p w14:paraId="00EA6D4E" w14:textId="2CE44646" w:rsidR="00451FB6" w:rsidRPr="00D518A4" w:rsidRDefault="005B4846" w:rsidP="001E6FC9">
      <w:pPr>
        <w:pStyle w:val="Heading1"/>
        <w:spacing w:before="0" w:line="240" w:lineRule="auto"/>
      </w:pPr>
      <w:r w:rsidRPr="00D518A4">
        <w:lastRenderedPageBreak/>
        <w:t>INTRODUCTION</w:t>
      </w:r>
    </w:p>
    <w:p w14:paraId="2FDDED8C" w14:textId="3210C11D" w:rsidR="006D02B9" w:rsidRPr="006D02B9" w:rsidRDefault="006D02B9" w:rsidP="006D02B9">
      <w:pPr>
        <w:spacing w:after="0" w:line="240" w:lineRule="auto"/>
        <w:jc w:val="both"/>
        <w:rPr>
          <w:rFonts w:ascii="Times New Roman" w:hAnsi="Times New Roman" w:cs="Times New Roman"/>
        </w:rPr>
      </w:pPr>
      <w:r w:rsidRPr="006D02B9">
        <w:rPr>
          <w:rFonts w:ascii="Times New Roman" w:hAnsi="Times New Roman" w:cs="Times New Roman"/>
        </w:rPr>
        <w:t>Trip chaining is a central feature of daily activity-travel behavior. Rather than undertake each activity through a separate home-based trip, individuals frequently combine shopping, escorting, personal business, meals, and other activities within a single tour. The commute is especially important because travel to and from the workplace often serves as a structural anchor around which workers organize these activities (McGuckin and Srinivasan</w:t>
      </w:r>
      <w:r w:rsidR="00CF7AED">
        <w:rPr>
          <w:rFonts w:ascii="Times New Roman" w:hAnsi="Times New Roman" w:cs="Times New Roman"/>
        </w:rPr>
        <w:t>,</w:t>
      </w:r>
      <w:r w:rsidRPr="006D02B9">
        <w:rPr>
          <w:rFonts w:ascii="Times New Roman" w:hAnsi="Times New Roman" w:cs="Times New Roman"/>
        </w:rPr>
        <w:t xml:space="preserve"> 2005). Intermediate stops embedded within commute tours add trip segments and may alter departure times, routes, destinations, and travel distances. Because many such stops occur during morning and evening commute periods, they may also contribute to congestion when transportation networks are under the greatest stress (Wang</w:t>
      </w:r>
      <w:r w:rsidR="00CF7AED">
        <w:rPr>
          <w:rFonts w:ascii="Times New Roman" w:hAnsi="Times New Roman" w:cs="Times New Roman"/>
        </w:rPr>
        <w:t>,</w:t>
      </w:r>
      <w:r w:rsidRPr="006D02B9">
        <w:rPr>
          <w:rFonts w:ascii="Times New Roman" w:hAnsi="Times New Roman" w:cs="Times New Roman"/>
        </w:rPr>
        <w:t xml:space="preserve"> 2015). Commute trip chaining must therefore be represented adequately in travel demand forecasting models that seek to reproduce weekday activity-travel patterns.</w:t>
      </w:r>
    </w:p>
    <w:p w14:paraId="6FEEF184" w14:textId="47CD47E2"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Commute trip chains reflect how workers organize activities around spatial, temporal, and household constraints. Some stops are planned, while others are added opportunistically to tours anchored by higher-priority activities (Lee and McNally</w:t>
      </w:r>
      <w:r w:rsidR="00CF7AED">
        <w:rPr>
          <w:rFonts w:ascii="Times New Roman" w:hAnsi="Times New Roman" w:cs="Times New Roman"/>
        </w:rPr>
        <w:t>,</w:t>
      </w:r>
      <w:r w:rsidRPr="006D02B9">
        <w:rPr>
          <w:rFonts w:ascii="Times New Roman" w:hAnsi="Times New Roman" w:cs="Times New Roman"/>
        </w:rPr>
        <w:t xml:space="preserve"> 2006). Stop-making may also differ by commute direction. Travel from home to work (H-to-W) is commonly constrained by workplace arrival requirements, whereas travel from work to home (W-to-H) generally offers greater flexibility for shopping, personal business, chauffeuring, and social activities.</w:t>
      </w:r>
    </w:p>
    <w:p w14:paraId="3CB4571B" w14:textId="294B747B"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The widespread adoption of remote and hybrid work arrangements has added a new dimension to this behavior. The COVID-19 pandemic accelerated a structural shift in where and how often people commute to the workplace, and many workers did not return to full-time workplace attendance after offices reopened. Salon et al. (2022) found that 40-50 percent of workers expected to telecommute at least a few times per month after the pandemic, compared with 24 percent before COVID-19. Regional evidence from Southern California similarly indicates considerable interest in continuing hybrid work arrangements over the longer term (</w:t>
      </w:r>
      <w:proofErr w:type="spellStart"/>
      <w:r w:rsidRPr="006D02B9">
        <w:rPr>
          <w:rFonts w:ascii="Times New Roman" w:hAnsi="Times New Roman" w:cs="Times New Roman"/>
        </w:rPr>
        <w:t>Iogansen</w:t>
      </w:r>
      <w:proofErr w:type="spellEnd"/>
      <w:r w:rsidRPr="006D02B9">
        <w:rPr>
          <w:rFonts w:ascii="Times New Roman" w:hAnsi="Times New Roman" w:cs="Times New Roman"/>
        </w:rPr>
        <w:t xml:space="preserve"> et al.</w:t>
      </w:r>
      <w:r w:rsidR="00CF7AED">
        <w:rPr>
          <w:rFonts w:ascii="Times New Roman" w:hAnsi="Times New Roman" w:cs="Times New Roman"/>
        </w:rPr>
        <w:t>,</w:t>
      </w:r>
      <w:r w:rsidRPr="006D02B9">
        <w:rPr>
          <w:rFonts w:ascii="Times New Roman" w:hAnsi="Times New Roman" w:cs="Times New Roman"/>
        </w:rPr>
        <w:t xml:space="preserve"> 2024). Telecommuting has therefore become an enduring feature of the transportation landscape.</w:t>
      </w:r>
    </w:p>
    <w:p w14:paraId="6D7E6DEA" w14:textId="4EC0622F"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This shift raises questions beyond the mere elimination of commute trips on remote workdays. Hybrid workers may redistribute non-work activities between remote and workplace days, either consolidating them into fewer commute tours or completing them separately on remote work days. Stop-making may also vary across the week because workplace attendance and activity needs are not distributed uniformly by day. Recent evidence from the Atlanta region indicates that telecommuting is concentrated on Monday and Friday, while physical commuting peaks midweek (Atlanta Regional Commission</w:t>
      </w:r>
      <w:r w:rsidR="00CF7AED">
        <w:rPr>
          <w:rFonts w:ascii="Times New Roman" w:hAnsi="Times New Roman" w:cs="Times New Roman"/>
        </w:rPr>
        <w:t>,</w:t>
      </w:r>
      <w:r w:rsidRPr="006D02B9">
        <w:rPr>
          <w:rFonts w:ascii="Times New Roman" w:hAnsi="Times New Roman" w:cs="Times New Roman"/>
        </w:rPr>
        <w:t xml:space="preserve"> 2026).</w:t>
      </w:r>
    </w:p>
    <w:p w14:paraId="264B924F" w14:textId="77777777"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Although a growing body of research has examined telecommuting, non-work travel, and tour complexity, limited attention has been devoted to intermediate stops made specifically during workplace commute trips. Existing studies have not fully examined how stop-making differs between H-to-W and W-to-H travel, varies across telecommuting frequencies, and changes over the days of the week. These distinctions matter for activity-based travel demand models because they affect the number and sequencing of trip segments, the timing of travel, and the distribution of demand across the transportation network.</w:t>
      </w:r>
    </w:p>
    <w:p w14:paraId="3C38B48B" w14:textId="77777777"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 xml:space="preserve">This study addresses these gaps using Wave 2 of the Transportation Heartbeat of America (THA) Survey that was conducted across the United States in early 2026. The analysis focuses on full-time employees who worked at least four days during the reported week and traveled to their primary workplace on at least one day. Workers are classified according to telecommuting frequency, ranging from no telecommuting to low-, medium-, and high-frequency telecommuting. For each workplace commute day, the survey identifies whether the respondent made at least one </w:t>
      </w:r>
      <w:r w:rsidRPr="006D02B9">
        <w:rPr>
          <w:rFonts w:ascii="Times New Roman" w:hAnsi="Times New Roman" w:cs="Times New Roman"/>
        </w:rPr>
        <w:lastRenderedPageBreak/>
        <w:t>intermediate stop while traveling from H-to-W and from W-to-H. The two outcomes are jointly analyzed using a panel bivariate binary probit model that accounts for repeated observations from the same individual (for multiple days of the week), shared unobserved influences across commute directions, and day-of-week heterogeneity.</w:t>
      </w:r>
    </w:p>
    <w:p w14:paraId="66731C26" w14:textId="77777777" w:rsidR="006D02B9" w:rsidRPr="006D02B9"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The study makes three principal contributions. It provides a direction-specific analysis of commute stop-making, examines differences across telecommuting frequencies and days of the week, and uses recent national weekly travel data directly relevant to activity-based travel forecasting in the post-COVID era. The results clarify whether telecommuting simply reduces commute frequency or also changes the complexity of the commute trips that remain.</w:t>
      </w:r>
    </w:p>
    <w:p w14:paraId="0A9D9E03" w14:textId="690BCDF8" w:rsidR="00660355" w:rsidRPr="00D518A4" w:rsidRDefault="006D02B9" w:rsidP="006D02B9">
      <w:pPr>
        <w:spacing w:after="0" w:line="240" w:lineRule="auto"/>
        <w:ind w:firstLine="720"/>
        <w:jc w:val="both"/>
        <w:rPr>
          <w:rFonts w:ascii="Times New Roman" w:hAnsi="Times New Roman" w:cs="Times New Roman"/>
        </w:rPr>
      </w:pPr>
      <w:r w:rsidRPr="006D02B9">
        <w:rPr>
          <w:rFonts w:ascii="Times New Roman" w:hAnsi="Times New Roman" w:cs="Times New Roman"/>
        </w:rPr>
        <w:t>The remainder of this paper is organized as follows. The next section reviews the literature on commute trip chaining, telecommuting and non-work travel, and day-specific variations in workplace commuting. The subsequent sections describe the survey data and endogenous outcomes, present the methodological framework, and discuss the model estimation results and treatment effects. The paper concludes with a summary of key findings and implications for travel demand modeling and transportation planning.</w:t>
      </w:r>
      <w:r w:rsidR="00045231" w:rsidRPr="00D518A4">
        <w:rPr>
          <w:rFonts w:ascii="Times New Roman" w:hAnsi="Times New Roman" w:cs="Times New Roman"/>
        </w:rPr>
        <w:t xml:space="preserve"> </w:t>
      </w:r>
    </w:p>
    <w:p w14:paraId="63652536" w14:textId="77777777" w:rsidR="007E78FC" w:rsidRPr="00D518A4" w:rsidRDefault="007E78FC" w:rsidP="00AC7E48">
      <w:pPr>
        <w:spacing w:after="0" w:line="240" w:lineRule="auto"/>
        <w:ind w:firstLine="720"/>
        <w:jc w:val="both"/>
        <w:rPr>
          <w:rFonts w:ascii="Times New Roman" w:hAnsi="Times New Roman" w:cs="Times New Roman"/>
        </w:rPr>
      </w:pPr>
    </w:p>
    <w:p w14:paraId="4C20B6AA" w14:textId="00C5FC61" w:rsidR="00C46E01" w:rsidRPr="00D518A4" w:rsidRDefault="00C05C24" w:rsidP="00DD2B1E">
      <w:pPr>
        <w:pStyle w:val="Heading1"/>
        <w:keepNext/>
        <w:spacing w:before="0" w:line="240" w:lineRule="auto"/>
      </w:pPr>
      <w:r w:rsidRPr="00C05C24">
        <w:t>COMMUTING AND STOP-MAKING IN THE NEW NORMAL</w:t>
      </w:r>
    </w:p>
    <w:p w14:paraId="56AA84E4" w14:textId="5F0D9B2C" w:rsidR="00305C2A" w:rsidRPr="00D518A4" w:rsidRDefault="00003082" w:rsidP="00045231">
      <w:pPr>
        <w:spacing w:after="0" w:line="240" w:lineRule="auto"/>
        <w:jc w:val="both"/>
        <w:rPr>
          <w:rFonts w:ascii="Times New Roman" w:hAnsi="Times New Roman" w:cs="Times New Roman"/>
        </w:rPr>
      </w:pPr>
      <w:r w:rsidRPr="00003082">
        <w:rPr>
          <w:rFonts w:ascii="Times New Roman" w:hAnsi="Times New Roman" w:cs="Times New Roman"/>
        </w:rPr>
        <w:t>Trip chaining arises because individuals organize travel around activities rather than isolated trips. The workplace commute often serves as the principal weekday anchor, allowing workers to attach shopping, escorting, personal business, meals, and other activities to a tour with relatively fixed spatial and temporal commitments (McGuckin and Srinivasan</w:t>
      </w:r>
      <w:r w:rsidR="00CF7AED">
        <w:rPr>
          <w:rFonts w:ascii="Times New Roman" w:hAnsi="Times New Roman" w:cs="Times New Roman"/>
        </w:rPr>
        <w:t>,</w:t>
      </w:r>
      <w:r w:rsidRPr="00003082">
        <w:rPr>
          <w:rFonts w:ascii="Times New Roman" w:hAnsi="Times New Roman" w:cs="Times New Roman"/>
        </w:rPr>
        <w:t xml:space="preserve"> 2005). Tour formation may involve both deliberately planned and opportunistically added lower-priority activities (Lee and McNally</w:t>
      </w:r>
      <w:r w:rsidR="00CF7AED">
        <w:rPr>
          <w:rFonts w:ascii="Times New Roman" w:hAnsi="Times New Roman" w:cs="Times New Roman"/>
        </w:rPr>
        <w:t>,</w:t>
      </w:r>
      <w:r w:rsidRPr="00003082">
        <w:rPr>
          <w:rFonts w:ascii="Times New Roman" w:hAnsi="Times New Roman" w:cs="Times New Roman"/>
        </w:rPr>
        <w:t xml:space="preserve"> 2006).</w:t>
      </w:r>
    </w:p>
    <w:p w14:paraId="711CCFC1" w14:textId="2806CE3D" w:rsidR="00D86CA1" w:rsidRPr="00D86CA1" w:rsidRDefault="00D86CA1" w:rsidP="00D86CA1">
      <w:pPr>
        <w:spacing w:after="0" w:line="240" w:lineRule="auto"/>
        <w:ind w:firstLine="720"/>
        <w:jc w:val="both"/>
        <w:rPr>
          <w:rFonts w:ascii="Times New Roman" w:hAnsi="Times New Roman" w:cs="Times New Roman"/>
        </w:rPr>
      </w:pPr>
      <w:r w:rsidRPr="00D86CA1">
        <w:rPr>
          <w:rFonts w:ascii="Times New Roman" w:hAnsi="Times New Roman" w:cs="Times New Roman"/>
        </w:rPr>
        <w:t>Intermediate stops create additional trip segments and may affect departure time, route choice, destination choice, travel distance, and mode feasibility. They are especially relevant during peak travel periods (Wang</w:t>
      </w:r>
      <w:r w:rsidR="00CF7AED">
        <w:rPr>
          <w:rFonts w:ascii="Times New Roman" w:hAnsi="Times New Roman" w:cs="Times New Roman"/>
        </w:rPr>
        <w:t>,</w:t>
      </w:r>
      <w:r w:rsidRPr="00D86CA1">
        <w:rPr>
          <w:rFonts w:ascii="Times New Roman" w:hAnsi="Times New Roman" w:cs="Times New Roman"/>
        </w:rPr>
        <w:t xml:space="preserve"> 2015). Direction also matters; H-to-W travel is generally governed by rigid workplace start times, whereas W-to-H travel may more readily accommodate shopping, errands, chauffeuring, dining, and social activities. Ignoring these directional patterns may cause travel demand models to misstate tour complexity and peak-period flows.</w:t>
      </w:r>
    </w:p>
    <w:p w14:paraId="795B0ED4" w14:textId="2822B92D" w:rsidR="00D86CA1" w:rsidRPr="00D86CA1" w:rsidRDefault="00D86CA1" w:rsidP="00D86CA1">
      <w:pPr>
        <w:spacing w:after="0" w:line="240" w:lineRule="auto"/>
        <w:ind w:firstLine="720"/>
        <w:jc w:val="both"/>
        <w:rPr>
          <w:rFonts w:ascii="Times New Roman" w:hAnsi="Times New Roman" w:cs="Times New Roman"/>
        </w:rPr>
      </w:pPr>
      <w:r w:rsidRPr="00D86CA1">
        <w:rPr>
          <w:rFonts w:ascii="Times New Roman" w:hAnsi="Times New Roman" w:cs="Times New Roman"/>
        </w:rPr>
        <w:t>Telecommuting complicates these established patterns. It is often viewed as a travel demand management strategy because it removes the workplace commute on remote workdays and may reduce vehicle miles traveled (VMT) (Handy</w:t>
      </w:r>
      <w:r w:rsidR="00CF7AED">
        <w:rPr>
          <w:rFonts w:ascii="Times New Roman" w:hAnsi="Times New Roman" w:cs="Times New Roman"/>
        </w:rPr>
        <w:t>,</w:t>
      </w:r>
      <w:r w:rsidRPr="00D86CA1">
        <w:rPr>
          <w:rFonts w:ascii="Times New Roman" w:hAnsi="Times New Roman" w:cs="Times New Roman"/>
        </w:rPr>
        <w:t xml:space="preserve"> 2025). The empirical literature, however, shows that its effects extend beyond avoided commute trips. Time saved by not commuting may be reallocated to other activities, while greater schedule flexibility may generate or redistribute non-work travel. A review by Speroni and Taylor (2023) concluded that telecommuting does not just produce a simple reduction in driving and may even be associated with greater overall travel.</w:t>
      </w:r>
    </w:p>
    <w:p w14:paraId="3554D4A0" w14:textId="77777777"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 xml:space="preserve">Several studies document increased or reorganized non-work travel among telecommuters. Zhu (2012) found that telecommuting was associated with greater non-work trip frequency, distance, and duration across shopping, family and personal business, and social and recreational purposes. Obeid et al. (2024) reported that U.S. telecommuters made approximately one additional non-commute trip on telecommuting days relative to commute days. Although telecommuting reduced total weekly distance traveled in their analysis, the authors cautioned that its travel-reduction effects could be overstated if newly generated non-work trips were ignored. Jia et al. (2025) similarly found that telecommuting reduced total trips and VMT but increased maintenance and discretionary trip-making. Balbontin et al. (2024) associated more frequent work from home with greater shopping, personal business, social, and recreational travel, while Kothawala et al. </w:t>
      </w:r>
      <w:r w:rsidRPr="00D86CA1">
        <w:rPr>
          <w:rFonts w:ascii="Times New Roman" w:hAnsi="Times New Roman" w:cs="Times New Roman"/>
        </w:rPr>
        <w:lastRenderedPageBreak/>
        <w:t>(2025) found that flexible work schedules were associated with greater social activity participation. Overall, these studies suggest that time savings and schedule flexibility may expand opportunities for non-work activities even when commute travel declines.</w:t>
      </w:r>
    </w:p>
    <w:p w14:paraId="126DD079" w14:textId="77777777"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Telecommuting also appears to alter the structure of daily activity-travel patterns. Su et al. (2021), using motif and sequence analysis of California travel data, found that telecommuters exhibited more diverse activity-travel structures than regular commuters. Hybrid workers who traveled on a workday made more trips and followed more complex schedules than workers with conventional commuting arrangements. Zubair et al. (2026) similarly found that hybrid workers had a greater likelihood of forming complex tours, although they formed fewer tours per day overall. These findings suggest that hybrid work may promote the consolidation of activities into more elaborate daily travel patterns.</w:t>
      </w:r>
    </w:p>
    <w:p w14:paraId="19E37D56" w14:textId="77777777"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These relationships may vary with telecommuting frequency. Asmussen et al. (2026) found a bidirectional association between non-work activity participation and telecommuting frequency, together with an inverted U-shaped pattern in which moderate telecommuters made more non-work stops than infrequent and high-frequency telecommuters. Caros et al. (2023) similarly found that hybrid workers made more non-work trips than fully remote and fully in-person workers. Caldarola and Sorrell (2022) reported that workers who telecommuted once or twice per week traveled farther overall than non-telecommuters. These findings indicate that telecommuters should not be treated as a homogeneous group.</w:t>
      </w:r>
    </w:p>
    <w:p w14:paraId="474C1BBE" w14:textId="77777777"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Only a small number of studies have focused directly on telecommuting and commute trip chaining. Wang (2015) found that workers with access to work-from-home flexibility made approximately 12 percent more stops during their commute. Zhu and Guo (2022), using the 2009 and 2017 National Household Travel Surveys, found that telecommuting increased trip-chaining propensity, trip-chaining frequency, and tour complexity. Importantly, these relationships remained significant on days when telecommuters traveled to the workplace. Telecommuters therefore differed from non-telecommuters not only because they avoided commuting on remote days, but also because their travel patterns differed on the workplace days they retained.</w:t>
      </w:r>
    </w:p>
    <w:p w14:paraId="4DD11726" w14:textId="5726C3F8"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Day-of-week variation has received even less attention. Hybrid workers may use remote days to complete errands near home, reducing the need for stops on subsequent commute days. Alternatively, they may consolidate non-work activities into the fewer days on which they travel to the workplace. These patterns may differ between the beginning, middle, and end of the week, especially as telecommuting tends to be concentrated on Monday and Friday (Atlanta Regional Commission</w:t>
      </w:r>
      <w:r w:rsidR="00CF7AED">
        <w:rPr>
          <w:rFonts w:ascii="Times New Roman" w:hAnsi="Times New Roman" w:cs="Times New Roman"/>
        </w:rPr>
        <w:t>,</w:t>
      </w:r>
      <w:r w:rsidRPr="00D86CA1">
        <w:rPr>
          <w:rFonts w:ascii="Times New Roman" w:hAnsi="Times New Roman" w:cs="Times New Roman"/>
        </w:rPr>
        <w:t xml:space="preserve"> 2026). Commute stop-making should therefore be examined within a weekly framework rather than through an average weekday measure.</w:t>
      </w:r>
    </w:p>
    <w:p w14:paraId="6971DF73" w14:textId="77777777" w:rsidR="00D86CA1" w:rsidRPr="00D86CA1"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Several research gaps remain. Most prior studies examine total travel, non-work activity participation, VMT, or general tour complexity rather than stops embedded specifically within commute trips. Few distinguish between H-to-W and W-to-H stop-making, even though the two directions are subject to different temporal constraints. Telecommuters are also frequently treated as a single group despite evidence that travel behavior varies with telecommuting frequency.  Much of the available evidence also relies on pre-pandemic data or observations collected during the transitional stages of the pandemic. Work arrangements have continued to evolve as employers and workers have settled into steady-state remote and hybrid practices. Contemporary national data are therefore needed to understand commute trip chaining under the work arrangements that characterize the post-COVID era.</w:t>
      </w:r>
    </w:p>
    <w:p w14:paraId="30B1801A" w14:textId="50962607" w:rsidR="00B07DF7" w:rsidRDefault="00D86CA1" w:rsidP="00CF7AED">
      <w:pPr>
        <w:spacing w:after="0" w:line="240" w:lineRule="auto"/>
        <w:ind w:firstLine="720"/>
        <w:jc w:val="both"/>
        <w:rPr>
          <w:rFonts w:ascii="Times New Roman" w:hAnsi="Times New Roman" w:cs="Times New Roman"/>
        </w:rPr>
      </w:pPr>
      <w:r w:rsidRPr="00D86CA1">
        <w:rPr>
          <w:rFonts w:ascii="Times New Roman" w:hAnsi="Times New Roman" w:cs="Times New Roman"/>
        </w:rPr>
        <w:t xml:space="preserve">The present study addresses these gaps by jointly modeling H-to-W and W-to-H stop-making across repeated commute days, differentiating workers by telecommuting frequency, and </w:t>
      </w:r>
      <w:r w:rsidRPr="00D86CA1">
        <w:rPr>
          <w:rFonts w:ascii="Times New Roman" w:hAnsi="Times New Roman" w:cs="Times New Roman"/>
        </w:rPr>
        <w:lastRenderedPageBreak/>
        <w:t>explicitly accounting for day-of-week variation. In doing so, it provides a more behaviorally complete picture of how hybrid work is associated with the complexity of workplace commute tours and offers evidence needed to improve the treatment of trip chaining and weekly work arrangements in activity-based travel demand forecasting models.</w:t>
      </w:r>
    </w:p>
    <w:p w14:paraId="41E93366" w14:textId="77777777" w:rsidR="003466A7" w:rsidRPr="00B07DF7" w:rsidRDefault="003466A7" w:rsidP="00CF7AED">
      <w:pPr>
        <w:spacing w:after="0" w:line="240" w:lineRule="auto"/>
        <w:ind w:firstLine="720"/>
        <w:jc w:val="both"/>
        <w:rPr>
          <w:rFonts w:ascii="Times New Roman" w:hAnsi="Times New Roman" w:cs="Times New Roman"/>
        </w:rPr>
      </w:pPr>
    </w:p>
    <w:p w14:paraId="3386BFF2" w14:textId="2344742A" w:rsidR="004C316C" w:rsidRDefault="005B4846" w:rsidP="00CF7AED">
      <w:pPr>
        <w:pStyle w:val="Heading1"/>
        <w:spacing w:before="0" w:line="240" w:lineRule="auto"/>
        <w:rPr>
          <w:szCs w:val="24"/>
        </w:rPr>
      </w:pPr>
      <w:r w:rsidRPr="00D518A4">
        <w:rPr>
          <w:szCs w:val="24"/>
        </w:rPr>
        <w:t xml:space="preserve">DATA </w:t>
      </w:r>
      <w:r w:rsidR="00D86CA1">
        <w:rPr>
          <w:szCs w:val="24"/>
        </w:rPr>
        <w:t>DESCRIPTION</w:t>
      </w:r>
    </w:p>
    <w:p w14:paraId="0B4E3F24" w14:textId="6877E4D2" w:rsidR="00D86CA1" w:rsidRDefault="000968F3" w:rsidP="00CF7AED">
      <w:pPr>
        <w:spacing w:after="0" w:line="240" w:lineRule="auto"/>
        <w:jc w:val="both"/>
        <w:rPr>
          <w:rFonts w:ascii="Times New Roman" w:eastAsia="Times New Roman" w:hAnsi="Times New Roman" w:cs="Times New Roman"/>
          <w:kern w:val="0"/>
          <w14:ligatures w14:val="none"/>
        </w:rPr>
      </w:pPr>
      <w:r w:rsidRPr="000968F3">
        <w:rPr>
          <w:rFonts w:ascii="Times New Roman" w:eastAsia="Times New Roman" w:hAnsi="Times New Roman" w:cs="Times New Roman"/>
          <w:kern w:val="0"/>
          <w14:ligatures w14:val="none"/>
        </w:rPr>
        <w:t>This section presents an overview of the data used in the study, including the survey design, sample construction, and key characteristics of the final analysis sample.</w:t>
      </w:r>
    </w:p>
    <w:p w14:paraId="5A9228D3" w14:textId="77777777" w:rsidR="00CF7AED" w:rsidRPr="000968F3" w:rsidRDefault="00CF7AED" w:rsidP="00CF7AED">
      <w:pPr>
        <w:spacing w:after="0" w:line="240" w:lineRule="auto"/>
        <w:jc w:val="both"/>
        <w:rPr>
          <w:rFonts w:ascii="Times New Roman" w:eastAsia="Times New Roman" w:hAnsi="Times New Roman" w:cs="Times New Roman"/>
          <w:kern w:val="0"/>
          <w14:ligatures w14:val="none"/>
        </w:rPr>
      </w:pPr>
    </w:p>
    <w:p w14:paraId="32498536" w14:textId="286DF56C" w:rsidR="006252ED" w:rsidRPr="00D518A4" w:rsidRDefault="00CC036F" w:rsidP="00CF7AED">
      <w:pPr>
        <w:pStyle w:val="Heading2"/>
      </w:pPr>
      <w:r w:rsidRPr="00DE3FCA">
        <w:rPr>
          <w:rFonts w:cstheme="minorHAnsi"/>
        </w:rPr>
        <w:t>Survey Overview and Sample Characteristics</w:t>
      </w:r>
    </w:p>
    <w:p w14:paraId="526F8101" w14:textId="50EDCC7D" w:rsidR="00BD2177" w:rsidRDefault="00E23A02" w:rsidP="00CF7AED">
      <w:pPr>
        <w:spacing w:after="0" w:line="240" w:lineRule="auto"/>
        <w:jc w:val="both"/>
        <w:rPr>
          <w:rFonts w:ascii="Times New Roman" w:eastAsia="Times New Roman" w:hAnsi="Times New Roman" w:cs="Times New Roman"/>
          <w:kern w:val="0"/>
          <w14:ligatures w14:val="none"/>
        </w:rPr>
      </w:pPr>
      <w:bookmarkStart w:id="0" w:name="_Ref228236881"/>
      <w:r w:rsidRPr="00E23A02">
        <w:rPr>
          <w:rFonts w:ascii="Times New Roman" w:eastAsia="Times New Roman" w:hAnsi="Times New Roman" w:cs="Times New Roman"/>
          <w:kern w:val="0"/>
          <w14:ligatures w14:val="none"/>
        </w:rPr>
        <w:t>The study uses data from the second wave of the Transportation Heartbeat of America (THA) Survey – a national survey administered in the United States between February and March 2026. The survey was fielded through an online panel assembled by a commercial survey firm. Quotas were imposed across a broad set of socioeconomic and demographic attributes to capture the variation observed in the general adult population and. The quota-based sampling design provided adequate representation across subgroups defined by race, age, gender, educational attainment, household income, area type of residence, and census division. Eligible participants were adults aged 18 years or older residing in the United States. Multiple attention checks and quality-control questions were embedded in the survey to ensure response reliability.</w:t>
      </w:r>
    </w:p>
    <w:p w14:paraId="281BB4AE" w14:textId="38C0098C" w:rsidR="00821A2A" w:rsidRPr="00821A2A" w:rsidRDefault="00821A2A" w:rsidP="00CF7AED">
      <w:pPr>
        <w:spacing w:after="0" w:line="240" w:lineRule="auto"/>
        <w:ind w:firstLine="720"/>
        <w:jc w:val="both"/>
        <w:rPr>
          <w:rFonts w:ascii="Times New Roman" w:eastAsia="Times New Roman" w:hAnsi="Times New Roman" w:cs="Times New Roman"/>
          <w:kern w:val="0"/>
          <w14:ligatures w14:val="none"/>
        </w:rPr>
      </w:pPr>
      <w:r w:rsidRPr="00821A2A">
        <w:rPr>
          <w:rFonts w:ascii="Times New Roman" w:eastAsia="Times New Roman" w:hAnsi="Times New Roman" w:cs="Times New Roman"/>
          <w:kern w:val="0"/>
          <w14:ligatures w14:val="none"/>
        </w:rPr>
        <w:t>The survey collected detailed information on attitudes toward transportation, mobility, and urban living; current activity-travel patterns and mode use; safety experiences across travel modes; commuting behavior and telecommuting arrangements; online shopping and delivery practices; and knowledge and opinions regarding emerging transportation technologies and infrastructure investments. Residential built-environment attributes were appended to the survey records based on respondent ZIP code using data from the U.S. Environmental Protection Agency Smart Location Database (Chapman et al.</w:t>
      </w:r>
      <w:r w:rsidR="00CF7AED">
        <w:rPr>
          <w:rFonts w:ascii="Times New Roman" w:eastAsia="Times New Roman" w:hAnsi="Times New Roman" w:cs="Times New Roman"/>
          <w:kern w:val="0"/>
          <w14:ligatures w14:val="none"/>
        </w:rPr>
        <w:t>,</w:t>
      </w:r>
      <w:r w:rsidRPr="00821A2A">
        <w:rPr>
          <w:rFonts w:ascii="Times New Roman" w:eastAsia="Times New Roman" w:hAnsi="Times New Roman" w:cs="Times New Roman"/>
          <w:kern w:val="0"/>
          <w14:ligatures w14:val="none"/>
        </w:rPr>
        <w:t xml:space="preserve"> 2021). These measures provide detailed information on the transportation and land-use context surrounding each respondent’s residence.</w:t>
      </w:r>
    </w:p>
    <w:p w14:paraId="49EF3939" w14:textId="77777777" w:rsidR="00821A2A" w:rsidRPr="00821A2A" w:rsidRDefault="00821A2A" w:rsidP="00CF7AED">
      <w:pPr>
        <w:spacing w:after="0" w:line="240" w:lineRule="auto"/>
        <w:ind w:firstLine="720"/>
        <w:jc w:val="both"/>
        <w:rPr>
          <w:rFonts w:ascii="Times New Roman" w:eastAsia="Times New Roman" w:hAnsi="Times New Roman" w:cs="Times New Roman"/>
          <w:kern w:val="0"/>
          <w14:ligatures w14:val="none"/>
        </w:rPr>
      </w:pPr>
      <w:r w:rsidRPr="00821A2A">
        <w:rPr>
          <w:rFonts w:ascii="Times New Roman" w:eastAsia="Times New Roman" w:hAnsi="Times New Roman" w:cs="Times New Roman"/>
          <w:kern w:val="0"/>
          <w14:ligatures w14:val="none"/>
        </w:rPr>
        <w:t>Standard data-cleaning procedures were applied to remove records with missing or clearly erroneous information, yielding an initial cleaned sample of 8,567 respondents. Because this study focuses on intermediate stops made during commute trips, the sample was restricted to respondents who were employed full time, worked at least four days during the reported week, and traveled to their primary workplace on at least one of those days, reducing the sample to 2,525 respondents. An additional 116 respondents were excluded because their residential location could not be matched to the EPA Smart Location Database, resulting in a final sample of 2,409 individuals.</w:t>
      </w:r>
    </w:p>
    <w:p w14:paraId="79731A84" w14:textId="77777777" w:rsidR="00821A2A" w:rsidRPr="00821A2A" w:rsidRDefault="00821A2A" w:rsidP="00821A2A">
      <w:pPr>
        <w:spacing w:after="0" w:line="240" w:lineRule="auto"/>
        <w:ind w:firstLine="720"/>
        <w:jc w:val="both"/>
        <w:rPr>
          <w:rFonts w:ascii="Times New Roman" w:eastAsia="Times New Roman" w:hAnsi="Times New Roman" w:cs="Times New Roman"/>
          <w:kern w:val="0"/>
          <w14:ligatures w14:val="none"/>
        </w:rPr>
      </w:pPr>
      <w:r w:rsidRPr="00821A2A">
        <w:rPr>
          <w:rFonts w:ascii="Times New Roman" w:eastAsia="Times New Roman" w:hAnsi="Times New Roman" w:cs="Times New Roman"/>
          <w:kern w:val="0"/>
          <w14:ligatures w14:val="none"/>
        </w:rPr>
        <w:t xml:space="preserve">These respondents contributed a total of 11,074 workplace commute-day observations. Each observed commute day yielded one H-to-W trip and one W-to-H trip, yielding 11,074 H-to-W and 11,074 W-to-H stop-making outcomes. The resulting panel dataset therefore contains repeated commute-day observations for each worker and supports analysis of both cross-sectional differences and within-person variation across the week. </w:t>
      </w:r>
    </w:p>
    <w:p w14:paraId="290C5E4C" w14:textId="4FCD3FD9" w:rsidR="00821A2A" w:rsidRDefault="00821A2A" w:rsidP="00821A2A">
      <w:pPr>
        <w:spacing w:after="0" w:line="240" w:lineRule="auto"/>
        <w:ind w:firstLine="720"/>
        <w:jc w:val="both"/>
        <w:rPr>
          <w:rFonts w:ascii="Times New Roman" w:eastAsia="Times New Roman" w:hAnsi="Times New Roman" w:cs="Times New Roman"/>
          <w:kern w:val="0"/>
          <w14:ligatures w14:val="none"/>
        </w:rPr>
      </w:pPr>
      <w:r w:rsidRPr="00821A2A">
        <w:rPr>
          <w:rFonts w:ascii="Times New Roman" w:eastAsia="Times New Roman" w:hAnsi="Times New Roman" w:cs="Times New Roman"/>
          <w:kern w:val="0"/>
          <w14:ligatures w14:val="none"/>
        </w:rPr>
        <w:t xml:space="preserve">The demographic, household, geographic, and built-environment characteristics of the final analysis sample are presented in Table 1. The sample includes a somewhat larger share of men than women, at 62.3 and 37.7 percent, respectively. Respondents are concentrated in the prime working-age categories, with 38.1 percent aged 35-44 years and 21.1 percent aged 45-54 years. Educational attainment is relatively high with 22.4 percent holding a bachelor’s degree and 34.3 percent holding a graduate degree. The sample is also economically diverse, although it is </w:t>
      </w:r>
      <w:r w:rsidRPr="00821A2A">
        <w:rPr>
          <w:rFonts w:ascii="Times New Roman" w:eastAsia="Times New Roman" w:hAnsi="Times New Roman" w:cs="Times New Roman"/>
          <w:kern w:val="0"/>
          <w14:ligatures w14:val="none"/>
        </w:rPr>
        <w:lastRenderedPageBreak/>
        <w:t>weighted toward middle- and higher-income households. About 30 percent of respondents fall into each of the $50,000-$99,999 and $100,000-$149,999 annual household income categories.</w:t>
      </w:r>
    </w:p>
    <w:p w14:paraId="20A31593" w14:textId="77777777" w:rsidR="00695BEC" w:rsidRDefault="00695BEC" w:rsidP="007C35DE">
      <w:pPr>
        <w:spacing w:after="0" w:line="240" w:lineRule="auto"/>
        <w:jc w:val="both"/>
        <w:rPr>
          <w:rFonts w:ascii="Times New Roman" w:hAnsi="Times New Roman" w:cs="Times New Roman"/>
          <w:i/>
          <w:iCs/>
          <w:color w:val="0E2841" w:themeColor="text2"/>
          <w:sz w:val="18"/>
          <w:szCs w:val="18"/>
        </w:rPr>
      </w:pPr>
    </w:p>
    <w:p w14:paraId="65D07B9D" w14:textId="33C0C2EA" w:rsidR="00B34EA9" w:rsidRDefault="00B34EA9" w:rsidP="00695BEC">
      <w:pPr>
        <w:pStyle w:val="Caption"/>
        <w:spacing w:after="0"/>
        <w:rPr>
          <w:rFonts w:ascii="Times New Roman" w:hAnsi="Times New Roman" w:cs="Times New Roman"/>
          <w:b/>
          <w:bCs/>
          <w:i w:val="0"/>
          <w:iCs w:val="0"/>
          <w:color w:val="000000" w:themeColor="text1"/>
          <w:sz w:val="22"/>
          <w:szCs w:val="22"/>
        </w:rPr>
      </w:pPr>
      <w:r w:rsidRPr="00B34EA9">
        <w:rPr>
          <w:rFonts w:ascii="Times New Roman" w:hAnsi="Times New Roman" w:cs="Times New Roman"/>
          <w:b/>
          <w:bCs/>
          <w:i w:val="0"/>
          <w:iCs w:val="0"/>
          <w:color w:val="000000" w:themeColor="text1"/>
          <w:sz w:val="22"/>
          <w:szCs w:val="22"/>
        </w:rPr>
        <w:t>T</w:t>
      </w:r>
      <w:r>
        <w:rPr>
          <w:rFonts w:ascii="Times New Roman" w:hAnsi="Times New Roman" w:cs="Times New Roman"/>
          <w:b/>
          <w:bCs/>
          <w:i w:val="0"/>
          <w:iCs w:val="0"/>
          <w:color w:val="000000" w:themeColor="text1"/>
          <w:sz w:val="22"/>
          <w:szCs w:val="22"/>
        </w:rPr>
        <w:t>able</w:t>
      </w:r>
      <w:r w:rsidRPr="00B34EA9">
        <w:rPr>
          <w:rFonts w:ascii="Times New Roman" w:hAnsi="Times New Roman" w:cs="Times New Roman"/>
          <w:b/>
          <w:bCs/>
          <w:i w:val="0"/>
          <w:iCs w:val="0"/>
          <w:color w:val="000000" w:themeColor="text1"/>
          <w:sz w:val="22"/>
          <w:szCs w:val="22"/>
        </w:rPr>
        <w:t xml:space="preserve"> </w:t>
      </w:r>
      <w:r>
        <w:rPr>
          <w:rFonts w:ascii="Times New Roman" w:hAnsi="Times New Roman" w:cs="Times New Roman"/>
          <w:b/>
          <w:bCs/>
          <w:i w:val="0"/>
          <w:iCs w:val="0"/>
          <w:color w:val="000000" w:themeColor="text1"/>
          <w:sz w:val="22"/>
          <w:szCs w:val="22"/>
        </w:rPr>
        <w:t>1:</w:t>
      </w:r>
      <w:r w:rsidRPr="00B34EA9">
        <w:rPr>
          <w:rFonts w:ascii="Times New Roman" w:hAnsi="Times New Roman" w:cs="Times New Roman"/>
          <w:b/>
          <w:bCs/>
          <w:i w:val="0"/>
          <w:iCs w:val="0"/>
          <w:color w:val="000000" w:themeColor="text1"/>
          <w:sz w:val="22"/>
          <w:szCs w:val="22"/>
        </w:rPr>
        <w:t xml:space="preserve"> Socio-Economic and Demographic Characteristics of the Sample</w:t>
      </w:r>
    </w:p>
    <w:tbl>
      <w:tblPr>
        <w:tblStyle w:val="TableGrid"/>
        <w:tblW w:w="5012"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58" w:type="dxa"/>
          <w:right w:w="58" w:type="dxa"/>
        </w:tblCellMar>
        <w:tblLook w:val="04A0" w:firstRow="1" w:lastRow="0" w:firstColumn="1" w:lastColumn="0" w:noHBand="0" w:noVBand="1"/>
      </w:tblPr>
      <w:tblGrid>
        <w:gridCol w:w="2848"/>
        <w:gridCol w:w="1180"/>
        <w:gridCol w:w="924"/>
        <w:gridCol w:w="2586"/>
        <w:gridCol w:w="898"/>
        <w:gridCol w:w="900"/>
      </w:tblGrid>
      <w:tr w:rsidR="00375212" w:rsidRPr="004711EA" w14:paraId="711190CB" w14:textId="77777777" w:rsidTr="00CF7AED">
        <w:trPr>
          <w:trHeight w:val="20"/>
        </w:trPr>
        <w:tc>
          <w:tcPr>
            <w:tcW w:w="2652" w:type="pct"/>
            <w:gridSpan w:val="3"/>
            <w:tcBorders>
              <w:top w:val="single" w:sz="18" w:space="0" w:color="auto"/>
              <w:left w:val="single" w:sz="18" w:space="0" w:color="auto"/>
              <w:bottom w:val="single" w:sz="4" w:space="0" w:color="auto"/>
              <w:right w:val="single" w:sz="18" w:space="0" w:color="auto"/>
            </w:tcBorders>
            <w:noWrap/>
            <w:vAlign w:val="center"/>
            <w:hideMark/>
          </w:tcPr>
          <w:p w14:paraId="60DE4262" w14:textId="77777777" w:rsidR="00375212" w:rsidRPr="004711EA" w:rsidRDefault="00375212" w:rsidP="001023BB">
            <w:pPr>
              <w:rPr>
                <w:rFonts w:ascii="Times New Roman" w:hAnsi="Times New Roman" w:cs="Times New Roman"/>
                <w:b/>
                <w:bCs/>
                <w:sz w:val="20"/>
                <w:szCs w:val="20"/>
              </w:rPr>
            </w:pPr>
            <w:r w:rsidRPr="004711EA">
              <w:rPr>
                <w:rFonts w:ascii="Times New Roman" w:hAnsi="Times New Roman" w:cs="Times New Roman"/>
                <w:b/>
                <w:bCs/>
                <w:i/>
                <w:iCs/>
                <w:sz w:val="20"/>
                <w:szCs w:val="20"/>
              </w:rPr>
              <w:t>Individual Attributes (N = 2,</w:t>
            </w:r>
            <w:r w:rsidRPr="004711EA">
              <w:rPr>
                <w:rFonts w:ascii="Times New Roman" w:hAnsi="Times New Roman" w:cs="Times New Roman"/>
                <w:b/>
                <w:bCs/>
                <w:i/>
                <w:iCs/>
                <w:sz w:val="20"/>
                <w:szCs w:val="20"/>
                <w:lang w:eastAsia="ko-KR"/>
              </w:rPr>
              <w:t>409</w:t>
            </w:r>
            <w:r w:rsidRPr="004711EA">
              <w:rPr>
                <w:rFonts w:ascii="Times New Roman" w:hAnsi="Times New Roman" w:cs="Times New Roman"/>
                <w:b/>
                <w:bCs/>
                <w:i/>
                <w:iCs/>
                <w:sz w:val="20"/>
                <w:szCs w:val="20"/>
              </w:rPr>
              <w:t>)</w:t>
            </w:r>
          </w:p>
        </w:tc>
        <w:tc>
          <w:tcPr>
            <w:tcW w:w="2348" w:type="pct"/>
            <w:gridSpan w:val="3"/>
            <w:tcBorders>
              <w:top w:val="single" w:sz="18" w:space="0" w:color="auto"/>
              <w:left w:val="single" w:sz="18" w:space="0" w:color="auto"/>
              <w:bottom w:val="single" w:sz="4" w:space="0" w:color="auto"/>
              <w:right w:val="single" w:sz="18" w:space="0" w:color="auto"/>
            </w:tcBorders>
            <w:noWrap/>
            <w:vAlign w:val="center"/>
            <w:hideMark/>
          </w:tcPr>
          <w:p w14:paraId="49A599FE" w14:textId="77777777" w:rsidR="00375212" w:rsidRPr="004711EA" w:rsidRDefault="00375212" w:rsidP="001023BB">
            <w:pPr>
              <w:rPr>
                <w:rFonts w:ascii="Times New Roman" w:hAnsi="Times New Roman" w:cs="Times New Roman"/>
                <w:b/>
                <w:bCs/>
                <w:sz w:val="20"/>
                <w:szCs w:val="20"/>
              </w:rPr>
            </w:pPr>
            <w:r w:rsidRPr="004711EA">
              <w:rPr>
                <w:rFonts w:ascii="Times New Roman" w:hAnsi="Times New Roman" w:cs="Times New Roman"/>
                <w:b/>
                <w:bCs/>
                <w:i/>
                <w:iCs/>
                <w:sz w:val="20"/>
                <w:szCs w:val="20"/>
              </w:rPr>
              <w:t>Household Attributes (N = 2,</w:t>
            </w:r>
            <w:r w:rsidRPr="004711EA">
              <w:rPr>
                <w:rFonts w:ascii="Times New Roman" w:hAnsi="Times New Roman" w:cs="Times New Roman"/>
                <w:b/>
                <w:bCs/>
                <w:i/>
                <w:iCs/>
                <w:sz w:val="20"/>
                <w:szCs w:val="20"/>
                <w:lang w:eastAsia="ko-KR"/>
              </w:rPr>
              <w:t>409</w:t>
            </w:r>
            <w:r w:rsidRPr="004711EA">
              <w:rPr>
                <w:rFonts w:ascii="Times New Roman" w:hAnsi="Times New Roman" w:cs="Times New Roman"/>
                <w:b/>
                <w:bCs/>
                <w:i/>
                <w:iCs/>
                <w:sz w:val="20"/>
                <w:szCs w:val="20"/>
              </w:rPr>
              <w:t>)</w:t>
            </w:r>
          </w:p>
        </w:tc>
      </w:tr>
      <w:tr w:rsidR="00375212" w:rsidRPr="004711EA" w14:paraId="6B7C3D2D" w14:textId="77777777" w:rsidTr="00CF7AED">
        <w:trPr>
          <w:trHeight w:val="20"/>
        </w:trPr>
        <w:tc>
          <w:tcPr>
            <w:tcW w:w="2157" w:type="pct"/>
            <w:gridSpan w:val="2"/>
            <w:tcBorders>
              <w:top w:val="single" w:sz="4" w:space="0" w:color="auto"/>
              <w:left w:val="single" w:sz="18" w:space="0" w:color="auto"/>
              <w:bottom w:val="single" w:sz="18" w:space="0" w:color="auto"/>
            </w:tcBorders>
            <w:noWrap/>
            <w:vAlign w:val="center"/>
          </w:tcPr>
          <w:p w14:paraId="49ECAEB0" w14:textId="77777777" w:rsidR="00375212" w:rsidRPr="004711EA" w:rsidRDefault="00375212" w:rsidP="001023BB">
            <w:pPr>
              <w:rPr>
                <w:rFonts w:ascii="Times New Roman" w:hAnsi="Times New Roman" w:cs="Times New Roman"/>
                <w:b/>
                <w:bCs/>
                <w:sz w:val="20"/>
                <w:szCs w:val="20"/>
              </w:rPr>
            </w:pPr>
            <w:r w:rsidRPr="004711EA">
              <w:rPr>
                <w:rFonts w:ascii="Times New Roman" w:hAnsi="Times New Roman" w:cs="Times New Roman"/>
                <w:b/>
                <w:bCs/>
                <w:sz w:val="20"/>
                <w:szCs w:val="20"/>
              </w:rPr>
              <w:t>Variable</w:t>
            </w:r>
          </w:p>
        </w:tc>
        <w:tc>
          <w:tcPr>
            <w:tcW w:w="495" w:type="pct"/>
            <w:tcBorders>
              <w:top w:val="single" w:sz="4" w:space="0" w:color="auto"/>
              <w:bottom w:val="single" w:sz="18" w:space="0" w:color="auto"/>
              <w:right w:val="single" w:sz="18" w:space="0" w:color="auto"/>
            </w:tcBorders>
            <w:noWrap/>
            <w:vAlign w:val="center"/>
            <w:hideMark/>
          </w:tcPr>
          <w:p w14:paraId="17F661FE"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sz w:val="20"/>
                <w:szCs w:val="20"/>
              </w:rPr>
              <w:t>%</w:t>
            </w:r>
          </w:p>
        </w:tc>
        <w:tc>
          <w:tcPr>
            <w:tcW w:w="1866" w:type="pct"/>
            <w:gridSpan w:val="2"/>
            <w:tcBorders>
              <w:top w:val="single" w:sz="4" w:space="0" w:color="auto"/>
              <w:left w:val="single" w:sz="18" w:space="0" w:color="auto"/>
              <w:bottom w:val="single" w:sz="18" w:space="0" w:color="auto"/>
            </w:tcBorders>
            <w:noWrap/>
            <w:vAlign w:val="center"/>
          </w:tcPr>
          <w:p w14:paraId="621A0EC2" w14:textId="77777777" w:rsidR="00375212" w:rsidRPr="004711EA" w:rsidRDefault="00375212" w:rsidP="001023BB">
            <w:pPr>
              <w:rPr>
                <w:rFonts w:ascii="Times New Roman" w:hAnsi="Times New Roman" w:cs="Times New Roman"/>
                <w:i/>
                <w:iCs/>
                <w:sz w:val="20"/>
                <w:szCs w:val="20"/>
              </w:rPr>
            </w:pPr>
            <w:r w:rsidRPr="004711EA">
              <w:rPr>
                <w:rFonts w:ascii="Times New Roman" w:hAnsi="Times New Roman" w:cs="Times New Roman"/>
                <w:b/>
                <w:bCs/>
                <w:sz w:val="20"/>
                <w:szCs w:val="20"/>
              </w:rPr>
              <w:t>Variable</w:t>
            </w:r>
          </w:p>
        </w:tc>
        <w:tc>
          <w:tcPr>
            <w:tcW w:w="482" w:type="pct"/>
            <w:tcBorders>
              <w:top w:val="single" w:sz="4" w:space="0" w:color="auto"/>
              <w:right w:val="single" w:sz="18" w:space="0" w:color="auto"/>
            </w:tcBorders>
            <w:noWrap/>
            <w:vAlign w:val="center"/>
            <w:hideMark/>
          </w:tcPr>
          <w:p w14:paraId="1CB51F3E"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sz w:val="20"/>
                <w:szCs w:val="20"/>
              </w:rPr>
              <w:t>%</w:t>
            </w:r>
          </w:p>
        </w:tc>
      </w:tr>
      <w:tr w:rsidR="00375212" w:rsidRPr="004711EA" w14:paraId="6D316621" w14:textId="77777777" w:rsidTr="00CF7AED">
        <w:trPr>
          <w:trHeight w:val="20"/>
        </w:trPr>
        <w:tc>
          <w:tcPr>
            <w:tcW w:w="2652" w:type="pct"/>
            <w:gridSpan w:val="3"/>
            <w:tcBorders>
              <w:top w:val="single" w:sz="18" w:space="0" w:color="auto"/>
              <w:left w:val="single" w:sz="18" w:space="0" w:color="auto"/>
              <w:right w:val="single" w:sz="18" w:space="0" w:color="auto"/>
            </w:tcBorders>
            <w:noWrap/>
            <w:vAlign w:val="center"/>
            <w:hideMark/>
          </w:tcPr>
          <w:p w14:paraId="1843D545"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Gender</w:t>
            </w:r>
          </w:p>
        </w:tc>
        <w:tc>
          <w:tcPr>
            <w:tcW w:w="2348" w:type="pct"/>
            <w:gridSpan w:val="3"/>
            <w:tcBorders>
              <w:top w:val="single" w:sz="18" w:space="0" w:color="auto"/>
              <w:left w:val="single" w:sz="18" w:space="0" w:color="auto"/>
              <w:right w:val="single" w:sz="18" w:space="0" w:color="auto"/>
            </w:tcBorders>
            <w:noWrap/>
            <w:vAlign w:val="center"/>
            <w:hideMark/>
          </w:tcPr>
          <w:p w14:paraId="7D597D86"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Household annual income</w:t>
            </w:r>
          </w:p>
        </w:tc>
      </w:tr>
      <w:tr w:rsidR="00375212" w:rsidRPr="004711EA" w14:paraId="28289CD5" w14:textId="77777777" w:rsidTr="00CF7AED">
        <w:trPr>
          <w:trHeight w:val="20"/>
        </w:trPr>
        <w:tc>
          <w:tcPr>
            <w:tcW w:w="2157" w:type="pct"/>
            <w:gridSpan w:val="2"/>
            <w:tcBorders>
              <w:left w:val="single" w:sz="18" w:space="0" w:color="auto"/>
            </w:tcBorders>
            <w:noWrap/>
            <w:vAlign w:val="center"/>
            <w:hideMark/>
          </w:tcPr>
          <w:p w14:paraId="1B27E1EC" w14:textId="77777777" w:rsidR="00375212" w:rsidRPr="004711EA" w:rsidRDefault="00375212" w:rsidP="001023BB">
            <w:pPr>
              <w:ind w:left="144"/>
              <w:rPr>
                <w:rFonts w:ascii="Times New Roman" w:hAnsi="Times New Roman" w:cs="Times New Roman"/>
                <w:sz w:val="20"/>
                <w:szCs w:val="20"/>
                <w:lang w:eastAsia="ko-KR"/>
              </w:rPr>
            </w:pPr>
            <w:r w:rsidRPr="004711EA">
              <w:rPr>
                <w:rFonts w:ascii="Times New Roman" w:hAnsi="Times New Roman" w:cs="Times New Roman"/>
                <w:sz w:val="20"/>
                <w:szCs w:val="20"/>
                <w:lang w:eastAsia="ko-KR"/>
              </w:rPr>
              <w:t>Woman</w:t>
            </w:r>
          </w:p>
        </w:tc>
        <w:tc>
          <w:tcPr>
            <w:tcW w:w="495" w:type="pct"/>
            <w:tcBorders>
              <w:right w:val="single" w:sz="18" w:space="0" w:color="auto"/>
            </w:tcBorders>
            <w:noWrap/>
            <w:vAlign w:val="bottom"/>
            <w:hideMark/>
          </w:tcPr>
          <w:p w14:paraId="6412DDCB"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37.7</w:t>
            </w:r>
          </w:p>
        </w:tc>
        <w:tc>
          <w:tcPr>
            <w:tcW w:w="1866" w:type="pct"/>
            <w:gridSpan w:val="2"/>
            <w:tcBorders>
              <w:left w:val="single" w:sz="18" w:space="0" w:color="auto"/>
            </w:tcBorders>
            <w:noWrap/>
            <w:vAlign w:val="center"/>
            <w:hideMark/>
          </w:tcPr>
          <w:p w14:paraId="42D3A46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Less than $25,000</w:t>
            </w:r>
          </w:p>
        </w:tc>
        <w:tc>
          <w:tcPr>
            <w:tcW w:w="482" w:type="pct"/>
            <w:tcBorders>
              <w:right w:val="single" w:sz="18" w:space="0" w:color="auto"/>
            </w:tcBorders>
            <w:noWrap/>
            <w:vAlign w:val="bottom"/>
            <w:hideMark/>
          </w:tcPr>
          <w:p w14:paraId="4C565C88"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 xml:space="preserve">  3.2</w:t>
            </w:r>
          </w:p>
        </w:tc>
      </w:tr>
      <w:tr w:rsidR="00375212" w:rsidRPr="004711EA" w14:paraId="421CBA55" w14:textId="77777777" w:rsidTr="00CF7AED">
        <w:trPr>
          <w:trHeight w:val="20"/>
        </w:trPr>
        <w:tc>
          <w:tcPr>
            <w:tcW w:w="2157" w:type="pct"/>
            <w:gridSpan w:val="2"/>
            <w:tcBorders>
              <w:left w:val="single" w:sz="18" w:space="0" w:color="auto"/>
            </w:tcBorders>
            <w:noWrap/>
            <w:vAlign w:val="center"/>
            <w:hideMark/>
          </w:tcPr>
          <w:p w14:paraId="39155F89"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M</w:t>
            </w:r>
            <w:r w:rsidRPr="004711EA">
              <w:rPr>
                <w:rFonts w:ascii="Times New Roman" w:hAnsi="Times New Roman" w:cs="Times New Roman"/>
                <w:sz w:val="20"/>
                <w:szCs w:val="20"/>
                <w:lang w:eastAsia="ko-KR"/>
              </w:rPr>
              <w:t>an</w:t>
            </w:r>
          </w:p>
        </w:tc>
        <w:tc>
          <w:tcPr>
            <w:tcW w:w="495" w:type="pct"/>
            <w:tcBorders>
              <w:right w:val="single" w:sz="18" w:space="0" w:color="auto"/>
            </w:tcBorders>
            <w:noWrap/>
            <w:vAlign w:val="bottom"/>
            <w:hideMark/>
          </w:tcPr>
          <w:p w14:paraId="03FEE18A"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62.3</w:t>
            </w:r>
          </w:p>
        </w:tc>
        <w:tc>
          <w:tcPr>
            <w:tcW w:w="1866" w:type="pct"/>
            <w:gridSpan w:val="2"/>
            <w:tcBorders>
              <w:left w:val="single" w:sz="18" w:space="0" w:color="auto"/>
            </w:tcBorders>
            <w:noWrap/>
            <w:vAlign w:val="center"/>
            <w:hideMark/>
          </w:tcPr>
          <w:p w14:paraId="641F2BA5"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$25,000 to $49,999</w:t>
            </w:r>
          </w:p>
        </w:tc>
        <w:tc>
          <w:tcPr>
            <w:tcW w:w="482" w:type="pct"/>
            <w:tcBorders>
              <w:right w:val="single" w:sz="18" w:space="0" w:color="auto"/>
            </w:tcBorders>
            <w:noWrap/>
            <w:vAlign w:val="bottom"/>
            <w:hideMark/>
          </w:tcPr>
          <w:p w14:paraId="1ADA41D8"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12.8</w:t>
            </w:r>
          </w:p>
        </w:tc>
      </w:tr>
      <w:tr w:rsidR="00375212" w:rsidRPr="004711EA" w14:paraId="1AE2605C" w14:textId="77777777" w:rsidTr="00CF7AED">
        <w:trPr>
          <w:trHeight w:val="20"/>
        </w:trPr>
        <w:tc>
          <w:tcPr>
            <w:tcW w:w="2652" w:type="pct"/>
            <w:gridSpan w:val="3"/>
            <w:tcBorders>
              <w:left w:val="single" w:sz="18" w:space="0" w:color="auto"/>
              <w:right w:val="single" w:sz="18" w:space="0" w:color="auto"/>
            </w:tcBorders>
            <w:noWrap/>
            <w:vAlign w:val="center"/>
            <w:hideMark/>
          </w:tcPr>
          <w:p w14:paraId="632537ED"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Age category</w:t>
            </w:r>
          </w:p>
        </w:tc>
        <w:tc>
          <w:tcPr>
            <w:tcW w:w="1866" w:type="pct"/>
            <w:gridSpan w:val="2"/>
            <w:tcBorders>
              <w:left w:val="single" w:sz="18" w:space="0" w:color="auto"/>
            </w:tcBorders>
            <w:noWrap/>
            <w:vAlign w:val="center"/>
            <w:hideMark/>
          </w:tcPr>
          <w:p w14:paraId="25DF724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$50,000 to $99,999</w:t>
            </w:r>
          </w:p>
        </w:tc>
        <w:tc>
          <w:tcPr>
            <w:tcW w:w="482" w:type="pct"/>
            <w:tcBorders>
              <w:right w:val="single" w:sz="18" w:space="0" w:color="auto"/>
            </w:tcBorders>
            <w:noWrap/>
            <w:vAlign w:val="center"/>
            <w:hideMark/>
          </w:tcPr>
          <w:p w14:paraId="082F5527"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sz w:val="20"/>
                <w:szCs w:val="20"/>
              </w:rPr>
              <w:t>29.0</w:t>
            </w:r>
          </w:p>
        </w:tc>
      </w:tr>
      <w:tr w:rsidR="00375212" w:rsidRPr="004711EA" w14:paraId="52AD42FE" w14:textId="77777777" w:rsidTr="00CF7AED">
        <w:trPr>
          <w:trHeight w:val="20"/>
        </w:trPr>
        <w:tc>
          <w:tcPr>
            <w:tcW w:w="2157" w:type="pct"/>
            <w:gridSpan w:val="2"/>
            <w:tcBorders>
              <w:left w:val="single" w:sz="18" w:space="0" w:color="auto"/>
            </w:tcBorders>
            <w:noWrap/>
            <w:vAlign w:val="center"/>
            <w:hideMark/>
          </w:tcPr>
          <w:p w14:paraId="79975CD2"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18 to 24 years</w:t>
            </w:r>
          </w:p>
        </w:tc>
        <w:tc>
          <w:tcPr>
            <w:tcW w:w="495" w:type="pct"/>
            <w:tcBorders>
              <w:right w:val="single" w:sz="18" w:space="0" w:color="auto"/>
            </w:tcBorders>
            <w:noWrap/>
            <w:vAlign w:val="bottom"/>
          </w:tcPr>
          <w:p w14:paraId="3ED0D55B"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 xml:space="preserve">  8.1</w:t>
            </w:r>
          </w:p>
        </w:tc>
        <w:tc>
          <w:tcPr>
            <w:tcW w:w="1866" w:type="pct"/>
            <w:gridSpan w:val="2"/>
            <w:tcBorders>
              <w:left w:val="single" w:sz="18" w:space="0" w:color="auto"/>
            </w:tcBorders>
            <w:noWrap/>
            <w:vAlign w:val="center"/>
            <w:hideMark/>
          </w:tcPr>
          <w:p w14:paraId="6C95E1A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$100,000 to $149,999</w:t>
            </w:r>
          </w:p>
        </w:tc>
        <w:tc>
          <w:tcPr>
            <w:tcW w:w="482" w:type="pct"/>
            <w:tcBorders>
              <w:right w:val="single" w:sz="18" w:space="0" w:color="auto"/>
            </w:tcBorders>
            <w:noWrap/>
            <w:vAlign w:val="bottom"/>
            <w:hideMark/>
          </w:tcPr>
          <w:p w14:paraId="4CFE4BC3"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30.0</w:t>
            </w:r>
          </w:p>
        </w:tc>
      </w:tr>
      <w:tr w:rsidR="00375212" w:rsidRPr="004711EA" w14:paraId="73C5216D" w14:textId="77777777" w:rsidTr="00CF7AED">
        <w:trPr>
          <w:trHeight w:val="20"/>
        </w:trPr>
        <w:tc>
          <w:tcPr>
            <w:tcW w:w="2157" w:type="pct"/>
            <w:gridSpan w:val="2"/>
            <w:tcBorders>
              <w:left w:val="single" w:sz="18" w:space="0" w:color="auto"/>
            </w:tcBorders>
            <w:noWrap/>
            <w:vAlign w:val="center"/>
            <w:hideMark/>
          </w:tcPr>
          <w:p w14:paraId="5BEFEB3B"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25 to 34 years</w:t>
            </w:r>
          </w:p>
        </w:tc>
        <w:tc>
          <w:tcPr>
            <w:tcW w:w="495" w:type="pct"/>
            <w:tcBorders>
              <w:right w:val="single" w:sz="18" w:space="0" w:color="auto"/>
            </w:tcBorders>
            <w:noWrap/>
            <w:vAlign w:val="bottom"/>
          </w:tcPr>
          <w:p w14:paraId="1E2011EC"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15.9</w:t>
            </w:r>
          </w:p>
        </w:tc>
        <w:tc>
          <w:tcPr>
            <w:tcW w:w="1866" w:type="pct"/>
            <w:gridSpan w:val="2"/>
            <w:tcBorders>
              <w:left w:val="single" w:sz="18" w:space="0" w:color="auto"/>
            </w:tcBorders>
            <w:noWrap/>
            <w:vAlign w:val="center"/>
            <w:hideMark/>
          </w:tcPr>
          <w:p w14:paraId="4F5C5C41"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$150,000 to $199,999</w:t>
            </w:r>
          </w:p>
        </w:tc>
        <w:tc>
          <w:tcPr>
            <w:tcW w:w="482" w:type="pct"/>
            <w:tcBorders>
              <w:right w:val="single" w:sz="18" w:space="0" w:color="auto"/>
            </w:tcBorders>
            <w:noWrap/>
            <w:vAlign w:val="bottom"/>
            <w:hideMark/>
          </w:tcPr>
          <w:p w14:paraId="254C1B6E"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17.5</w:t>
            </w:r>
          </w:p>
        </w:tc>
      </w:tr>
      <w:tr w:rsidR="00375212" w:rsidRPr="004711EA" w14:paraId="19D48A19" w14:textId="77777777" w:rsidTr="00CF7AED">
        <w:trPr>
          <w:trHeight w:val="20"/>
        </w:trPr>
        <w:tc>
          <w:tcPr>
            <w:tcW w:w="2157" w:type="pct"/>
            <w:gridSpan w:val="2"/>
            <w:tcBorders>
              <w:left w:val="single" w:sz="18" w:space="0" w:color="auto"/>
            </w:tcBorders>
            <w:noWrap/>
            <w:vAlign w:val="center"/>
            <w:hideMark/>
          </w:tcPr>
          <w:p w14:paraId="6CA043F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35 to 44 years</w:t>
            </w:r>
          </w:p>
        </w:tc>
        <w:tc>
          <w:tcPr>
            <w:tcW w:w="495" w:type="pct"/>
            <w:tcBorders>
              <w:right w:val="single" w:sz="18" w:space="0" w:color="auto"/>
            </w:tcBorders>
            <w:noWrap/>
            <w:vAlign w:val="bottom"/>
          </w:tcPr>
          <w:p w14:paraId="5B5C2DD3"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38.1</w:t>
            </w:r>
          </w:p>
        </w:tc>
        <w:tc>
          <w:tcPr>
            <w:tcW w:w="1866" w:type="pct"/>
            <w:gridSpan w:val="2"/>
            <w:tcBorders>
              <w:left w:val="single" w:sz="18" w:space="0" w:color="auto"/>
            </w:tcBorders>
            <w:noWrap/>
            <w:vAlign w:val="center"/>
            <w:hideMark/>
          </w:tcPr>
          <w:p w14:paraId="7A56E26C"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$200,000 or more</w:t>
            </w:r>
          </w:p>
        </w:tc>
        <w:tc>
          <w:tcPr>
            <w:tcW w:w="482" w:type="pct"/>
            <w:tcBorders>
              <w:right w:val="single" w:sz="18" w:space="0" w:color="auto"/>
            </w:tcBorders>
            <w:noWrap/>
            <w:vAlign w:val="bottom"/>
            <w:hideMark/>
          </w:tcPr>
          <w:p w14:paraId="7239433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 xml:space="preserve">  7.5</w:t>
            </w:r>
          </w:p>
        </w:tc>
      </w:tr>
      <w:tr w:rsidR="00375212" w:rsidRPr="004711EA" w14:paraId="1297D0AA" w14:textId="77777777" w:rsidTr="00CF7AED">
        <w:trPr>
          <w:trHeight w:val="20"/>
        </w:trPr>
        <w:tc>
          <w:tcPr>
            <w:tcW w:w="2157" w:type="pct"/>
            <w:gridSpan w:val="2"/>
            <w:tcBorders>
              <w:left w:val="single" w:sz="18" w:space="0" w:color="auto"/>
            </w:tcBorders>
            <w:noWrap/>
            <w:vAlign w:val="center"/>
            <w:hideMark/>
          </w:tcPr>
          <w:p w14:paraId="09C290F7"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45 to 54 years</w:t>
            </w:r>
          </w:p>
        </w:tc>
        <w:tc>
          <w:tcPr>
            <w:tcW w:w="495" w:type="pct"/>
            <w:tcBorders>
              <w:right w:val="single" w:sz="18" w:space="0" w:color="auto"/>
            </w:tcBorders>
            <w:noWrap/>
            <w:vAlign w:val="bottom"/>
          </w:tcPr>
          <w:p w14:paraId="084009D5"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21.1</w:t>
            </w:r>
          </w:p>
        </w:tc>
        <w:tc>
          <w:tcPr>
            <w:tcW w:w="2348" w:type="pct"/>
            <w:gridSpan w:val="3"/>
            <w:tcBorders>
              <w:left w:val="single" w:sz="18" w:space="0" w:color="auto"/>
              <w:right w:val="single" w:sz="18" w:space="0" w:color="auto"/>
            </w:tcBorders>
            <w:noWrap/>
            <w:vAlign w:val="center"/>
            <w:hideMark/>
          </w:tcPr>
          <w:p w14:paraId="1BC5E967"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Household size</w:t>
            </w:r>
          </w:p>
        </w:tc>
      </w:tr>
      <w:tr w:rsidR="00375212" w:rsidRPr="004711EA" w14:paraId="240ECF87" w14:textId="77777777" w:rsidTr="00CF7AED">
        <w:trPr>
          <w:trHeight w:val="20"/>
        </w:trPr>
        <w:tc>
          <w:tcPr>
            <w:tcW w:w="2157" w:type="pct"/>
            <w:gridSpan w:val="2"/>
            <w:tcBorders>
              <w:left w:val="single" w:sz="18" w:space="0" w:color="auto"/>
            </w:tcBorders>
            <w:noWrap/>
            <w:vAlign w:val="center"/>
            <w:hideMark/>
          </w:tcPr>
          <w:p w14:paraId="652CBEBB"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55 to 64 years</w:t>
            </w:r>
          </w:p>
        </w:tc>
        <w:tc>
          <w:tcPr>
            <w:tcW w:w="495" w:type="pct"/>
            <w:tcBorders>
              <w:right w:val="single" w:sz="18" w:space="0" w:color="auto"/>
            </w:tcBorders>
            <w:noWrap/>
            <w:vAlign w:val="bottom"/>
          </w:tcPr>
          <w:p w14:paraId="009DF5E3"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11.9</w:t>
            </w:r>
          </w:p>
        </w:tc>
        <w:tc>
          <w:tcPr>
            <w:tcW w:w="1866" w:type="pct"/>
            <w:gridSpan w:val="2"/>
            <w:tcBorders>
              <w:left w:val="single" w:sz="18" w:space="0" w:color="auto"/>
            </w:tcBorders>
            <w:noWrap/>
            <w:vAlign w:val="bottom"/>
            <w:hideMark/>
          </w:tcPr>
          <w:p w14:paraId="46EEB2CC"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color w:val="000000"/>
                <w:sz w:val="20"/>
                <w:szCs w:val="20"/>
              </w:rPr>
              <w:t>One person</w:t>
            </w:r>
          </w:p>
        </w:tc>
        <w:tc>
          <w:tcPr>
            <w:tcW w:w="482" w:type="pct"/>
            <w:tcBorders>
              <w:right w:val="single" w:sz="18" w:space="0" w:color="auto"/>
            </w:tcBorders>
            <w:noWrap/>
            <w:vAlign w:val="bottom"/>
            <w:hideMark/>
          </w:tcPr>
          <w:p w14:paraId="4E4E11D4"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12.8</w:t>
            </w:r>
          </w:p>
        </w:tc>
      </w:tr>
      <w:tr w:rsidR="00375212" w:rsidRPr="004711EA" w14:paraId="2230512B" w14:textId="77777777" w:rsidTr="00CF7AED">
        <w:trPr>
          <w:trHeight w:val="20"/>
        </w:trPr>
        <w:tc>
          <w:tcPr>
            <w:tcW w:w="2157" w:type="pct"/>
            <w:gridSpan w:val="2"/>
            <w:tcBorders>
              <w:left w:val="single" w:sz="18" w:space="0" w:color="auto"/>
            </w:tcBorders>
            <w:noWrap/>
            <w:vAlign w:val="center"/>
            <w:hideMark/>
          </w:tcPr>
          <w:p w14:paraId="673C3BE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65 years or older</w:t>
            </w:r>
          </w:p>
        </w:tc>
        <w:tc>
          <w:tcPr>
            <w:tcW w:w="495" w:type="pct"/>
            <w:tcBorders>
              <w:right w:val="single" w:sz="18" w:space="0" w:color="auto"/>
            </w:tcBorders>
            <w:noWrap/>
            <w:vAlign w:val="bottom"/>
            <w:hideMark/>
          </w:tcPr>
          <w:p w14:paraId="0CD28F78"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 xml:space="preserve">  4.9</w:t>
            </w:r>
          </w:p>
        </w:tc>
        <w:tc>
          <w:tcPr>
            <w:tcW w:w="1866" w:type="pct"/>
            <w:gridSpan w:val="2"/>
            <w:tcBorders>
              <w:left w:val="single" w:sz="18" w:space="0" w:color="auto"/>
            </w:tcBorders>
            <w:noWrap/>
            <w:vAlign w:val="bottom"/>
            <w:hideMark/>
          </w:tcPr>
          <w:p w14:paraId="04D6A8D1"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Two persons</w:t>
            </w:r>
          </w:p>
        </w:tc>
        <w:tc>
          <w:tcPr>
            <w:tcW w:w="482" w:type="pct"/>
            <w:tcBorders>
              <w:right w:val="single" w:sz="18" w:space="0" w:color="auto"/>
            </w:tcBorders>
            <w:noWrap/>
            <w:vAlign w:val="bottom"/>
            <w:hideMark/>
          </w:tcPr>
          <w:p w14:paraId="3A171292"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19.8</w:t>
            </w:r>
          </w:p>
        </w:tc>
      </w:tr>
      <w:tr w:rsidR="00375212" w:rsidRPr="004711EA" w14:paraId="591D09E7" w14:textId="77777777" w:rsidTr="00CF7AED">
        <w:trPr>
          <w:trHeight w:val="20"/>
        </w:trPr>
        <w:tc>
          <w:tcPr>
            <w:tcW w:w="2652" w:type="pct"/>
            <w:gridSpan w:val="3"/>
            <w:tcBorders>
              <w:left w:val="single" w:sz="18" w:space="0" w:color="auto"/>
              <w:right w:val="single" w:sz="18" w:space="0" w:color="auto"/>
            </w:tcBorders>
            <w:noWrap/>
            <w:vAlign w:val="center"/>
            <w:hideMark/>
          </w:tcPr>
          <w:p w14:paraId="32A6A834" w14:textId="77777777" w:rsidR="00375212" w:rsidRPr="004711EA" w:rsidRDefault="00375212" w:rsidP="001023BB">
            <w:pPr>
              <w:rPr>
                <w:rFonts w:ascii="Times New Roman" w:hAnsi="Times New Roman" w:cs="Times New Roman"/>
                <w:sz w:val="20"/>
                <w:szCs w:val="20"/>
                <w:highlight w:val="yellow"/>
              </w:rPr>
            </w:pPr>
            <w:r w:rsidRPr="004711EA">
              <w:rPr>
                <w:rFonts w:ascii="Times New Roman" w:hAnsi="Times New Roman" w:cs="Times New Roman"/>
                <w:b/>
                <w:bCs/>
                <w:sz w:val="20"/>
                <w:szCs w:val="20"/>
              </w:rPr>
              <w:t>Education attainment</w:t>
            </w:r>
          </w:p>
        </w:tc>
        <w:tc>
          <w:tcPr>
            <w:tcW w:w="1866" w:type="pct"/>
            <w:gridSpan w:val="2"/>
            <w:tcBorders>
              <w:left w:val="single" w:sz="18" w:space="0" w:color="auto"/>
            </w:tcBorders>
            <w:noWrap/>
            <w:vAlign w:val="center"/>
            <w:hideMark/>
          </w:tcPr>
          <w:p w14:paraId="3E8F949A"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 xml:space="preserve">Three or more persons </w:t>
            </w:r>
          </w:p>
        </w:tc>
        <w:tc>
          <w:tcPr>
            <w:tcW w:w="482" w:type="pct"/>
            <w:tcBorders>
              <w:right w:val="single" w:sz="18" w:space="0" w:color="auto"/>
            </w:tcBorders>
            <w:noWrap/>
            <w:vAlign w:val="bottom"/>
            <w:hideMark/>
          </w:tcPr>
          <w:p w14:paraId="2544BD40"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67.4</w:t>
            </w:r>
          </w:p>
        </w:tc>
      </w:tr>
      <w:tr w:rsidR="00375212" w:rsidRPr="004711EA" w14:paraId="754024C5" w14:textId="77777777" w:rsidTr="00CF7AED">
        <w:trPr>
          <w:trHeight w:val="20"/>
        </w:trPr>
        <w:tc>
          <w:tcPr>
            <w:tcW w:w="2157" w:type="pct"/>
            <w:gridSpan w:val="2"/>
            <w:tcBorders>
              <w:left w:val="single" w:sz="18" w:space="0" w:color="auto"/>
            </w:tcBorders>
            <w:noWrap/>
            <w:vAlign w:val="center"/>
            <w:hideMark/>
          </w:tcPr>
          <w:p w14:paraId="4A11D1F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High school or less</w:t>
            </w:r>
          </w:p>
        </w:tc>
        <w:tc>
          <w:tcPr>
            <w:tcW w:w="495" w:type="pct"/>
            <w:tcBorders>
              <w:right w:val="single" w:sz="18" w:space="0" w:color="auto"/>
            </w:tcBorders>
            <w:noWrap/>
            <w:vAlign w:val="bottom"/>
            <w:hideMark/>
          </w:tcPr>
          <w:p w14:paraId="28B0AB8D"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19.6</w:t>
            </w:r>
          </w:p>
        </w:tc>
        <w:tc>
          <w:tcPr>
            <w:tcW w:w="2348" w:type="pct"/>
            <w:gridSpan w:val="3"/>
            <w:tcBorders>
              <w:left w:val="single" w:sz="18" w:space="0" w:color="auto"/>
              <w:right w:val="single" w:sz="18" w:space="0" w:color="auto"/>
            </w:tcBorders>
            <w:noWrap/>
            <w:vAlign w:val="center"/>
            <w:hideMark/>
          </w:tcPr>
          <w:p w14:paraId="1CB20A41"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Housing unit type</w:t>
            </w:r>
          </w:p>
        </w:tc>
      </w:tr>
      <w:tr w:rsidR="00375212" w:rsidRPr="004711EA" w14:paraId="0D32D3A0" w14:textId="77777777" w:rsidTr="00CF7AED">
        <w:trPr>
          <w:trHeight w:val="20"/>
        </w:trPr>
        <w:tc>
          <w:tcPr>
            <w:tcW w:w="2157" w:type="pct"/>
            <w:gridSpan w:val="2"/>
            <w:tcBorders>
              <w:left w:val="single" w:sz="18" w:space="0" w:color="auto"/>
            </w:tcBorders>
            <w:noWrap/>
            <w:vAlign w:val="center"/>
            <w:hideMark/>
          </w:tcPr>
          <w:p w14:paraId="38CF8C82"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Some college or technical school</w:t>
            </w:r>
          </w:p>
        </w:tc>
        <w:tc>
          <w:tcPr>
            <w:tcW w:w="495" w:type="pct"/>
            <w:tcBorders>
              <w:right w:val="single" w:sz="18" w:space="0" w:color="auto"/>
            </w:tcBorders>
            <w:noWrap/>
            <w:vAlign w:val="bottom"/>
            <w:hideMark/>
          </w:tcPr>
          <w:p w14:paraId="0D4E2348"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23.7</w:t>
            </w:r>
          </w:p>
        </w:tc>
        <w:tc>
          <w:tcPr>
            <w:tcW w:w="1866" w:type="pct"/>
            <w:gridSpan w:val="2"/>
            <w:tcBorders>
              <w:left w:val="single" w:sz="18" w:space="0" w:color="auto"/>
            </w:tcBorders>
            <w:noWrap/>
            <w:vAlign w:val="center"/>
            <w:hideMark/>
          </w:tcPr>
          <w:p w14:paraId="09AC42A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Stand-alone home</w:t>
            </w:r>
          </w:p>
        </w:tc>
        <w:tc>
          <w:tcPr>
            <w:tcW w:w="482" w:type="pct"/>
            <w:tcBorders>
              <w:right w:val="single" w:sz="18" w:space="0" w:color="auto"/>
            </w:tcBorders>
            <w:noWrap/>
            <w:vAlign w:val="bottom"/>
            <w:hideMark/>
          </w:tcPr>
          <w:p w14:paraId="3085845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77.2</w:t>
            </w:r>
          </w:p>
        </w:tc>
      </w:tr>
      <w:tr w:rsidR="00375212" w:rsidRPr="004711EA" w14:paraId="3D4EA119" w14:textId="77777777" w:rsidTr="00CF7AED">
        <w:trPr>
          <w:trHeight w:val="20"/>
        </w:trPr>
        <w:tc>
          <w:tcPr>
            <w:tcW w:w="2157" w:type="pct"/>
            <w:gridSpan w:val="2"/>
            <w:tcBorders>
              <w:left w:val="single" w:sz="18" w:space="0" w:color="auto"/>
            </w:tcBorders>
            <w:noWrap/>
            <w:vAlign w:val="center"/>
          </w:tcPr>
          <w:p w14:paraId="71ED68AE"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Bachelor’s degree(s)</w:t>
            </w:r>
          </w:p>
        </w:tc>
        <w:tc>
          <w:tcPr>
            <w:tcW w:w="495" w:type="pct"/>
            <w:tcBorders>
              <w:right w:val="single" w:sz="18" w:space="0" w:color="auto"/>
            </w:tcBorders>
            <w:noWrap/>
            <w:vAlign w:val="bottom"/>
          </w:tcPr>
          <w:p w14:paraId="3BD5C6F5"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22.4</w:t>
            </w:r>
          </w:p>
        </w:tc>
        <w:tc>
          <w:tcPr>
            <w:tcW w:w="1866" w:type="pct"/>
            <w:gridSpan w:val="2"/>
            <w:tcBorders>
              <w:left w:val="single" w:sz="18" w:space="0" w:color="auto"/>
            </w:tcBorders>
            <w:noWrap/>
            <w:vAlign w:val="center"/>
          </w:tcPr>
          <w:p w14:paraId="133E86A3"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Attached home/apartment</w:t>
            </w:r>
          </w:p>
        </w:tc>
        <w:tc>
          <w:tcPr>
            <w:tcW w:w="482" w:type="pct"/>
            <w:tcBorders>
              <w:right w:val="single" w:sz="18" w:space="0" w:color="auto"/>
            </w:tcBorders>
            <w:noWrap/>
            <w:vAlign w:val="bottom"/>
          </w:tcPr>
          <w:p w14:paraId="60BFE8B0"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21.2</w:t>
            </w:r>
          </w:p>
        </w:tc>
      </w:tr>
      <w:tr w:rsidR="00375212" w:rsidRPr="004711EA" w14:paraId="39937D21" w14:textId="77777777" w:rsidTr="00CF7AED">
        <w:trPr>
          <w:trHeight w:val="20"/>
        </w:trPr>
        <w:tc>
          <w:tcPr>
            <w:tcW w:w="2157" w:type="pct"/>
            <w:gridSpan w:val="2"/>
            <w:tcBorders>
              <w:left w:val="single" w:sz="18" w:space="0" w:color="auto"/>
              <w:right w:val="dotted" w:sz="4" w:space="0" w:color="auto"/>
            </w:tcBorders>
            <w:noWrap/>
            <w:vAlign w:val="center"/>
          </w:tcPr>
          <w:p w14:paraId="0C870AE9"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 xml:space="preserve">Graduate degree(s) </w:t>
            </w:r>
          </w:p>
        </w:tc>
        <w:tc>
          <w:tcPr>
            <w:tcW w:w="495" w:type="pct"/>
            <w:tcBorders>
              <w:left w:val="dotted" w:sz="4" w:space="0" w:color="auto"/>
              <w:right w:val="single" w:sz="18" w:space="0" w:color="auto"/>
            </w:tcBorders>
            <w:vAlign w:val="bottom"/>
          </w:tcPr>
          <w:p w14:paraId="33BA436B"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34.3</w:t>
            </w:r>
          </w:p>
        </w:tc>
        <w:tc>
          <w:tcPr>
            <w:tcW w:w="1866" w:type="pct"/>
            <w:gridSpan w:val="2"/>
            <w:tcBorders>
              <w:left w:val="single" w:sz="18" w:space="0" w:color="auto"/>
            </w:tcBorders>
            <w:noWrap/>
            <w:vAlign w:val="center"/>
            <w:hideMark/>
          </w:tcPr>
          <w:p w14:paraId="0BB9313F"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Other</w:t>
            </w:r>
          </w:p>
        </w:tc>
        <w:tc>
          <w:tcPr>
            <w:tcW w:w="482" w:type="pct"/>
            <w:tcBorders>
              <w:right w:val="single" w:sz="18" w:space="0" w:color="auto"/>
            </w:tcBorders>
            <w:noWrap/>
            <w:vAlign w:val="center"/>
            <w:hideMark/>
          </w:tcPr>
          <w:p w14:paraId="5AA2FB67"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sz w:val="20"/>
                <w:szCs w:val="20"/>
                <w:lang w:eastAsia="ko-KR"/>
              </w:rPr>
              <w:t xml:space="preserve">  1.6</w:t>
            </w:r>
          </w:p>
        </w:tc>
      </w:tr>
      <w:tr w:rsidR="00375212" w:rsidRPr="004711EA" w14:paraId="38C88212" w14:textId="77777777" w:rsidTr="00CF7AED">
        <w:trPr>
          <w:trHeight w:val="20"/>
        </w:trPr>
        <w:tc>
          <w:tcPr>
            <w:tcW w:w="2652" w:type="pct"/>
            <w:gridSpan w:val="3"/>
            <w:tcBorders>
              <w:left w:val="single" w:sz="18" w:space="0" w:color="auto"/>
              <w:right w:val="single" w:sz="18" w:space="0" w:color="auto"/>
            </w:tcBorders>
            <w:noWrap/>
            <w:vAlign w:val="center"/>
          </w:tcPr>
          <w:p w14:paraId="6A34253D"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Race</w:t>
            </w:r>
          </w:p>
        </w:tc>
        <w:tc>
          <w:tcPr>
            <w:tcW w:w="2348" w:type="pct"/>
            <w:gridSpan w:val="3"/>
            <w:tcBorders>
              <w:left w:val="single" w:sz="18" w:space="0" w:color="auto"/>
              <w:right w:val="single" w:sz="18" w:space="0" w:color="auto"/>
            </w:tcBorders>
            <w:noWrap/>
            <w:vAlign w:val="center"/>
          </w:tcPr>
          <w:p w14:paraId="6D859596"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Home ownership</w:t>
            </w:r>
          </w:p>
        </w:tc>
      </w:tr>
      <w:tr w:rsidR="00375212" w:rsidRPr="004711EA" w14:paraId="146A462A" w14:textId="77777777" w:rsidTr="00CF7AED">
        <w:trPr>
          <w:trHeight w:val="20"/>
        </w:trPr>
        <w:tc>
          <w:tcPr>
            <w:tcW w:w="2157" w:type="pct"/>
            <w:gridSpan w:val="2"/>
            <w:tcBorders>
              <w:left w:val="single" w:sz="18" w:space="0" w:color="auto"/>
            </w:tcBorders>
            <w:noWrap/>
            <w:vAlign w:val="center"/>
          </w:tcPr>
          <w:p w14:paraId="7F32B9A3"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Asian or Pacific Islander</w:t>
            </w:r>
          </w:p>
        </w:tc>
        <w:tc>
          <w:tcPr>
            <w:tcW w:w="495" w:type="pct"/>
            <w:tcBorders>
              <w:right w:val="single" w:sz="18" w:space="0" w:color="auto"/>
            </w:tcBorders>
            <w:noWrap/>
            <w:vAlign w:val="bottom"/>
          </w:tcPr>
          <w:p w14:paraId="58089EE5"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 xml:space="preserve">  6.0</w:t>
            </w:r>
          </w:p>
        </w:tc>
        <w:tc>
          <w:tcPr>
            <w:tcW w:w="1866" w:type="pct"/>
            <w:gridSpan w:val="2"/>
            <w:tcBorders>
              <w:left w:val="single" w:sz="18" w:space="0" w:color="auto"/>
              <w:right w:val="dotted" w:sz="4" w:space="0" w:color="auto"/>
            </w:tcBorders>
            <w:noWrap/>
            <w:vAlign w:val="center"/>
          </w:tcPr>
          <w:p w14:paraId="5DC49A9F"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Own</w:t>
            </w:r>
          </w:p>
        </w:tc>
        <w:tc>
          <w:tcPr>
            <w:tcW w:w="482" w:type="pct"/>
            <w:tcBorders>
              <w:left w:val="dotted" w:sz="4" w:space="0" w:color="auto"/>
              <w:right w:val="single" w:sz="18" w:space="0" w:color="auto"/>
            </w:tcBorders>
            <w:vAlign w:val="bottom"/>
          </w:tcPr>
          <w:p w14:paraId="5A6CA106"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72.1</w:t>
            </w:r>
          </w:p>
        </w:tc>
      </w:tr>
      <w:tr w:rsidR="00375212" w:rsidRPr="004711EA" w14:paraId="07ADC0F7" w14:textId="77777777" w:rsidTr="00CF7AED">
        <w:trPr>
          <w:trHeight w:val="20"/>
        </w:trPr>
        <w:tc>
          <w:tcPr>
            <w:tcW w:w="2157" w:type="pct"/>
            <w:gridSpan w:val="2"/>
            <w:tcBorders>
              <w:left w:val="single" w:sz="18" w:space="0" w:color="auto"/>
            </w:tcBorders>
            <w:noWrap/>
            <w:vAlign w:val="center"/>
          </w:tcPr>
          <w:p w14:paraId="4C126AB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Black</w:t>
            </w:r>
          </w:p>
        </w:tc>
        <w:tc>
          <w:tcPr>
            <w:tcW w:w="495" w:type="pct"/>
            <w:tcBorders>
              <w:right w:val="single" w:sz="18" w:space="0" w:color="auto"/>
            </w:tcBorders>
            <w:noWrap/>
            <w:vAlign w:val="bottom"/>
          </w:tcPr>
          <w:p w14:paraId="79949D75"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17.2</w:t>
            </w:r>
          </w:p>
        </w:tc>
        <w:tc>
          <w:tcPr>
            <w:tcW w:w="1866" w:type="pct"/>
            <w:gridSpan w:val="2"/>
            <w:tcBorders>
              <w:left w:val="single" w:sz="18" w:space="0" w:color="auto"/>
            </w:tcBorders>
            <w:noWrap/>
            <w:vAlign w:val="center"/>
          </w:tcPr>
          <w:p w14:paraId="55698D6F"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Rent</w:t>
            </w:r>
          </w:p>
        </w:tc>
        <w:tc>
          <w:tcPr>
            <w:tcW w:w="482" w:type="pct"/>
            <w:tcBorders>
              <w:right w:val="single" w:sz="18" w:space="0" w:color="auto"/>
            </w:tcBorders>
            <w:noWrap/>
            <w:vAlign w:val="bottom"/>
          </w:tcPr>
          <w:p w14:paraId="4D63C5F2"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26.7</w:t>
            </w:r>
          </w:p>
        </w:tc>
      </w:tr>
      <w:tr w:rsidR="00375212" w:rsidRPr="004711EA" w14:paraId="06BEDBD2" w14:textId="77777777" w:rsidTr="00CF7AED">
        <w:trPr>
          <w:trHeight w:val="20"/>
        </w:trPr>
        <w:tc>
          <w:tcPr>
            <w:tcW w:w="2157" w:type="pct"/>
            <w:gridSpan w:val="2"/>
            <w:tcBorders>
              <w:left w:val="single" w:sz="18" w:space="0" w:color="auto"/>
            </w:tcBorders>
            <w:noWrap/>
            <w:vAlign w:val="center"/>
          </w:tcPr>
          <w:p w14:paraId="2FD0745C"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 xml:space="preserve">White </w:t>
            </w:r>
          </w:p>
        </w:tc>
        <w:tc>
          <w:tcPr>
            <w:tcW w:w="495" w:type="pct"/>
            <w:tcBorders>
              <w:right w:val="single" w:sz="18" w:space="0" w:color="auto"/>
            </w:tcBorders>
            <w:noWrap/>
            <w:vAlign w:val="bottom"/>
          </w:tcPr>
          <w:p w14:paraId="6B0CC2D6"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67.1</w:t>
            </w:r>
          </w:p>
        </w:tc>
        <w:tc>
          <w:tcPr>
            <w:tcW w:w="1866" w:type="pct"/>
            <w:gridSpan w:val="2"/>
            <w:tcBorders>
              <w:left w:val="single" w:sz="18" w:space="0" w:color="auto"/>
            </w:tcBorders>
            <w:noWrap/>
            <w:vAlign w:val="center"/>
          </w:tcPr>
          <w:p w14:paraId="639B8EA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Other</w:t>
            </w:r>
          </w:p>
        </w:tc>
        <w:tc>
          <w:tcPr>
            <w:tcW w:w="482" w:type="pct"/>
            <w:tcBorders>
              <w:right w:val="single" w:sz="18" w:space="0" w:color="auto"/>
            </w:tcBorders>
            <w:noWrap/>
            <w:vAlign w:val="bottom"/>
          </w:tcPr>
          <w:p w14:paraId="61BC1001"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 xml:space="preserve">  1.2</w:t>
            </w:r>
          </w:p>
        </w:tc>
      </w:tr>
      <w:tr w:rsidR="00375212" w:rsidRPr="004711EA" w14:paraId="6BC39B58" w14:textId="77777777" w:rsidTr="00CF7AED">
        <w:trPr>
          <w:trHeight w:val="20"/>
        </w:trPr>
        <w:tc>
          <w:tcPr>
            <w:tcW w:w="2157" w:type="pct"/>
            <w:gridSpan w:val="2"/>
            <w:tcBorders>
              <w:left w:val="single" w:sz="18" w:space="0" w:color="auto"/>
              <w:right w:val="dotted" w:sz="4" w:space="0" w:color="auto"/>
            </w:tcBorders>
            <w:noWrap/>
            <w:vAlign w:val="center"/>
          </w:tcPr>
          <w:p w14:paraId="6303B88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Other</w:t>
            </w:r>
          </w:p>
        </w:tc>
        <w:tc>
          <w:tcPr>
            <w:tcW w:w="495" w:type="pct"/>
            <w:tcBorders>
              <w:left w:val="dotted" w:sz="4" w:space="0" w:color="auto"/>
              <w:right w:val="single" w:sz="18" w:space="0" w:color="auto"/>
            </w:tcBorders>
            <w:vAlign w:val="bottom"/>
          </w:tcPr>
          <w:p w14:paraId="20CA86C2"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sz w:val="20"/>
                <w:szCs w:val="20"/>
              </w:rPr>
              <w:t xml:space="preserve"> 9.7</w:t>
            </w:r>
          </w:p>
        </w:tc>
        <w:tc>
          <w:tcPr>
            <w:tcW w:w="2348" w:type="pct"/>
            <w:gridSpan w:val="3"/>
            <w:tcBorders>
              <w:left w:val="single" w:sz="18" w:space="0" w:color="auto"/>
              <w:right w:val="single" w:sz="18" w:space="0" w:color="auto"/>
            </w:tcBorders>
            <w:noWrap/>
            <w:vAlign w:val="center"/>
          </w:tcPr>
          <w:p w14:paraId="14A07C0C"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Vehicle ownership</w:t>
            </w:r>
          </w:p>
        </w:tc>
      </w:tr>
      <w:tr w:rsidR="00375212" w:rsidRPr="004711EA" w14:paraId="085121AF" w14:textId="77777777" w:rsidTr="00CF7AED">
        <w:trPr>
          <w:trHeight w:val="20"/>
        </w:trPr>
        <w:tc>
          <w:tcPr>
            <w:tcW w:w="2652" w:type="pct"/>
            <w:gridSpan w:val="3"/>
            <w:tcBorders>
              <w:left w:val="single" w:sz="18" w:space="0" w:color="auto"/>
              <w:right w:val="single" w:sz="18" w:space="0" w:color="auto"/>
            </w:tcBorders>
            <w:noWrap/>
            <w:vAlign w:val="center"/>
          </w:tcPr>
          <w:p w14:paraId="4A2B67A5" w14:textId="77777777" w:rsidR="00375212" w:rsidRPr="004711EA" w:rsidRDefault="00375212" w:rsidP="001023BB">
            <w:pPr>
              <w:rPr>
                <w:rFonts w:ascii="Times New Roman" w:hAnsi="Times New Roman" w:cs="Times New Roman"/>
                <w:sz w:val="20"/>
                <w:szCs w:val="20"/>
                <w:lang w:eastAsia="ko-KR"/>
              </w:rPr>
            </w:pPr>
            <w:r w:rsidRPr="004711EA">
              <w:rPr>
                <w:rFonts w:ascii="Times New Roman" w:hAnsi="Times New Roman" w:cs="Times New Roman"/>
                <w:b/>
                <w:bCs/>
                <w:sz w:val="20"/>
                <w:szCs w:val="20"/>
              </w:rPr>
              <w:t>Ethnicity</w:t>
            </w:r>
          </w:p>
        </w:tc>
        <w:tc>
          <w:tcPr>
            <w:tcW w:w="1866" w:type="pct"/>
            <w:gridSpan w:val="2"/>
            <w:tcBorders>
              <w:left w:val="single" w:sz="18" w:space="0" w:color="auto"/>
              <w:right w:val="dotted" w:sz="4" w:space="0" w:color="auto"/>
            </w:tcBorders>
            <w:noWrap/>
            <w:vAlign w:val="center"/>
          </w:tcPr>
          <w:p w14:paraId="7E33F55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No vehicle</w:t>
            </w:r>
          </w:p>
        </w:tc>
        <w:tc>
          <w:tcPr>
            <w:tcW w:w="482" w:type="pct"/>
            <w:tcBorders>
              <w:left w:val="dotted" w:sz="4" w:space="0" w:color="auto"/>
              <w:right w:val="single" w:sz="18" w:space="0" w:color="auto"/>
            </w:tcBorders>
            <w:vAlign w:val="bottom"/>
          </w:tcPr>
          <w:p w14:paraId="2A57E0A0"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 xml:space="preserve">  2.7</w:t>
            </w:r>
          </w:p>
        </w:tc>
      </w:tr>
      <w:tr w:rsidR="00375212" w:rsidRPr="004711EA" w14:paraId="3A1CAF80" w14:textId="77777777" w:rsidTr="00CF7AED">
        <w:trPr>
          <w:trHeight w:val="20"/>
        </w:trPr>
        <w:tc>
          <w:tcPr>
            <w:tcW w:w="2157" w:type="pct"/>
            <w:gridSpan w:val="2"/>
            <w:tcBorders>
              <w:left w:val="single" w:sz="18" w:space="0" w:color="auto"/>
            </w:tcBorders>
            <w:noWrap/>
            <w:vAlign w:val="center"/>
          </w:tcPr>
          <w:p w14:paraId="2B85FBF6"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Hispanic</w:t>
            </w:r>
          </w:p>
        </w:tc>
        <w:tc>
          <w:tcPr>
            <w:tcW w:w="495" w:type="pct"/>
            <w:tcBorders>
              <w:right w:val="single" w:sz="18" w:space="0" w:color="auto"/>
            </w:tcBorders>
            <w:noWrap/>
            <w:vAlign w:val="bottom"/>
          </w:tcPr>
          <w:p w14:paraId="4E1FC77C"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25.9</w:t>
            </w:r>
          </w:p>
        </w:tc>
        <w:tc>
          <w:tcPr>
            <w:tcW w:w="1866" w:type="pct"/>
            <w:gridSpan w:val="2"/>
            <w:tcBorders>
              <w:left w:val="single" w:sz="18" w:space="0" w:color="auto"/>
            </w:tcBorders>
            <w:noWrap/>
            <w:vAlign w:val="center"/>
          </w:tcPr>
          <w:p w14:paraId="3434C5F3"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One vehicle</w:t>
            </w:r>
          </w:p>
        </w:tc>
        <w:tc>
          <w:tcPr>
            <w:tcW w:w="482" w:type="pct"/>
            <w:tcBorders>
              <w:right w:val="single" w:sz="18" w:space="0" w:color="auto"/>
            </w:tcBorders>
            <w:noWrap/>
            <w:vAlign w:val="bottom"/>
          </w:tcPr>
          <w:p w14:paraId="679AD650"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42.1</w:t>
            </w:r>
          </w:p>
        </w:tc>
      </w:tr>
      <w:tr w:rsidR="00375212" w:rsidRPr="004711EA" w14:paraId="68FC3ACB" w14:textId="77777777" w:rsidTr="00CF7AED">
        <w:trPr>
          <w:trHeight w:val="20"/>
        </w:trPr>
        <w:tc>
          <w:tcPr>
            <w:tcW w:w="2157" w:type="pct"/>
            <w:gridSpan w:val="2"/>
            <w:tcBorders>
              <w:left w:val="single" w:sz="18" w:space="0" w:color="auto"/>
            </w:tcBorders>
            <w:noWrap/>
            <w:vAlign w:val="center"/>
          </w:tcPr>
          <w:p w14:paraId="7985A5AD"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Non-Hispanic</w:t>
            </w:r>
          </w:p>
        </w:tc>
        <w:tc>
          <w:tcPr>
            <w:tcW w:w="495" w:type="pct"/>
            <w:tcBorders>
              <w:right w:val="single" w:sz="18" w:space="0" w:color="auto"/>
            </w:tcBorders>
            <w:noWrap/>
            <w:vAlign w:val="bottom"/>
          </w:tcPr>
          <w:p w14:paraId="1731D86F"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74.1</w:t>
            </w:r>
          </w:p>
        </w:tc>
        <w:tc>
          <w:tcPr>
            <w:tcW w:w="1866" w:type="pct"/>
            <w:gridSpan w:val="2"/>
            <w:tcBorders>
              <w:left w:val="single" w:sz="18" w:space="0" w:color="auto"/>
            </w:tcBorders>
            <w:noWrap/>
            <w:vAlign w:val="center"/>
          </w:tcPr>
          <w:p w14:paraId="6E48D417"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 xml:space="preserve">Two vehicles </w:t>
            </w:r>
          </w:p>
        </w:tc>
        <w:tc>
          <w:tcPr>
            <w:tcW w:w="482" w:type="pct"/>
            <w:tcBorders>
              <w:right w:val="single" w:sz="18" w:space="0" w:color="auto"/>
            </w:tcBorders>
            <w:noWrap/>
            <w:vAlign w:val="bottom"/>
          </w:tcPr>
          <w:p w14:paraId="7AFD7847"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41.7</w:t>
            </w:r>
          </w:p>
        </w:tc>
      </w:tr>
      <w:tr w:rsidR="00375212" w:rsidRPr="004711EA" w14:paraId="5303BD2E" w14:textId="77777777" w:rsidTr="00CF7AED">
        <w:trPr>
          <w:trHeight w:val="20"/>
        </w:trPr>
        <w:tc>
          <w:tcPr>
            <w:tcW w:w="2652" w:type="pct"/>
            <w:gridSpan w:val="3"/>
            <w:tcBorders>
              <w:left w:val="single" w:sz="18" w:space="0" w:color="auto"/>
              <w:right w:val="single" w:sz="18" w:space="0" w:color="auto"/>
            </w:tcBorders>
            <w:noWrap/>
            <w:vAlign w:val="center"/>
          </w:tcPr>
          <w:p w14:paraId="2F687974" w14:textId="77777777" w:rsidR="00375212" w:rsidRPr="004711EA" w:rsidRDefault="00375212" w:rsidP="001023BB">
            <w:pPr>
              <w:rPr>
                <w:rFonts w:ascii="Times New Roman" w:hAnsi="Times New Roman" w:cs="Times New Roman"/>
                <w:sz w:val="20"/>
                <w:szCs w:val="20"/>
                <w:lang w:eastAsia="ko-KR"/>
              </w:rPr>
            </w:pPr>
            <w:r w:rsidRPr="004711EA">
              <w:rPr>
                <w:rFonts w:ascii="Times New Roman" w:hAnsi="Times New Roman" w:cs="Times New Roman"/>
                <w:b/>
                <w:bCs/>
                <w:sz w:val="20"/>
                <w:szCs w:val="20"/>
              </w:rPr>
              <w:t>Number of telecommuting days in the last week</w:t>
            </w:r>
          </w:p>
        </w:tc>
        <w:tc>
          <w:tcPr>
            <w:tcW w:w="1866" w:type="pct"/>
            <w:gridSpan w:val="2"/>
            <w:tcBorders>
              <w:left w:val="single" w:sz="18" w:space="0" w:color="auto"/>
            </w:tcBorders>
            <w:noWrap/>
            <w:vAlign w:val="center"/>
          </w:tcPr>
          <w:p w14:paraId="56082CB5"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 xml:space="preserve">Three or more vehicles </w:t>
            </w:r>
          </w:p>
        </w:tc>
        <w:tc>
          <w:tcPr>
            <w:tcW w:w="482" w:type="pct"/>
            <w:tcBorders>
              <w:right w:val="single" w:sz="18" w:space="0" w:color="auto"/>
            </w:tcBorders>
            <w:noWrap/>
            <w:vAlign w:val="bottom"/>
          </w:tcPr>
          <w:p w14:paraId="12A8063B" w14:textId="77777777" w:rsidR="00375212" w:rsidRPr="004711EA" w:rsidRDefault="00375212" w:rsidP="001023BB">
            <w:pPr>
              <w:jc w:val="center"/>
              <w:rPr>
                <w:rFonts w:ascii="Times New Roman" w:hAnsi="Times New Roman" w:cs="Times New Roman"/>
                <w:sz w:val="20"/>
                <w:szCs w:val="20"/>
                <w:lang w:eastAsia="ko-KR"/>
              </w:rPr>
            </w:pPr>
            <w:r w:rsidRPr="004711EA">
              <w:rPr>
                <w:rFonts w:ascii="Times New Roman" w:hAnsi="Times New Roman" w:cs="Times New Roman"/>
                <w:color w:val="000000"/>
                <w:sz w:val="20"/>
                <w:szCs w:val="20"/>
              </w:rPr>
              <w:t>13.5</w:t>
            </w:r>
          </w:p>
        </w:tc>
      </w:tr>
      <w:tr w:rsidR="00375212" w:rsidRPr="004711EA" w14:paraId="4933F7F4" w14:textId="77777777" w:rsidTr="00CF7AED">
        <w:trPr>
          <w:trHeight w:val="20"/>
        </w:trPr>
        <w:tc>
          <w:tcPr>
            <w:tcW w:w="2157" w:type="pct"/>
            <w:gridSpan w:val="2"/>
            <w:tcBorders>
              <w:left w:val="single" w:sz="18" w:space="0" w:color="auto"/>
              <w:right w:val="dotted" w:sz="4" w:space="0" w:color="auto"/>
            </w:tcBorders>
            <w:noWrap/>
            <w:vAlign w:val="center"/>
          </w:tcPr>
          <w:p w14:paraId="517D6CF2"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0 days</w:t>
            </w:r>
          </w:p>
        </w:tc>
        <w:tc>
          <w:tcPr>
            <w:tcW w:w="495" w:type="pct"/>
            <w:tcBorders>
              <w:left w:val="dotted" w:sz="4" w:space="0" w:color="auto"/>
              <w:right w:val="single" w:sz="18" w:space="0" w:color="auto"/>
            </w:tcBorders>
          </w:tcPr>
          <w:p w14:paraId="53C95495"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65.3</w:t>
            </w:r>
          </w:p>
        </w:tc>
        <w:tc>
          <w:tcPr>
            <w:tcW w:w="2348" w:type="pct"/>
            <w:gridSpan w:val="3"/>
            <w:tcBorders>
              <w:left w:val="single" w:sz="18" w:space="0" w:color="auto"/>
              <w:right w:val="single" w:sz="18" w:space="0" w:color="auto"/>
            </w:tcBorders>
            <w:noWrap/>
            <w:vAlign w:val="center"/>
          </w:tcPr>
          <w:p w14:paraId="6DBEBBB5"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b/>
                <w:bCs/>
                <w:sz w:val="20"/>
                <w:szCs w:val="20"/>
              </w:rPr>
              <w:t>Location</w:t>
            </w:r>
          </w:p>
        </w:tc>
      </w:tr>
      <w:tr w:rsidR="00375212" w:rsidRPr="004711EA" w14:paraId="6A705D6A" w14:textId="77777777" w:rsidTr="00CF7AED">
        <w:trPr>
          <w:trHeight w:val="20"/>
        </w:trPr>
        <w:tc>
          <w:tcPr>
            <w:tcW w:w="2157" w:type="pct"/>
            <w:gridSpan w:val="2"/>
            <w:tcBorders>
              <w:left w:val="single" w:sz="18" w:space="0" w:color="auto"/>
            </w:tcBorders>
            <w:noWrap/>
            <w:vAlign w:val="center"/>
          </w:tcPr>
          <w:p w14:paraId="69BC2660"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1-2 days</w:t>
            </w:r>
          </w:p>
        </w:tc>
        <w:tc>
          <w:tcPr>
            <w:tcW w:w="495" w:type="pct"/>
            <w:tcBorders>
              <w:right w:val="single" w:sz="18" w:space="0" w:color="auto"/>
            </w:tcBorders>
            <w:noWrap/>
          </w:tcPr>
          <w:p w14:paraId="72192FCD"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21.9</w:t>
            </w:r>
          </w:p>
        </w:tc>
        <w:tc>
          <w:tcPr>
            <w:tcW w:w="1866" w:type="pct"/>
            <w:gridSpan w:val="2"/>
            <w:tcBorders>
              <w:left w:val="single" w:sz="18" w:space="0" w:color="auto"/>
              <w:right w:val="dotted" w:sz="4" w:space="0" w:color="auto"/>
            </w:tcBorders>
            <w:noWrap/>
            <w:vAlign w:val="center"/>
            <w:hideMark/>
          </w:tcPr>
          <w:p w14:paraId="4B4BC023"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Urban</w:t>
            </w:r>
          </w:p>
        </w:tc>
        <w:tc>
          <w:tcPr>
            <w:tcW w:w="482" w:type="pct"/>
            <w:tcBorders>
              <w:left w:val="dotted" w:sz="4" w:space="0" w:color="auto"/>
              <w:right w:val="single" w:sz="18" w:space="0" w:color="auto"/>
            </w:tcBorders>
          </w:tcPr>
          <w:p w14:paraId="3416D183"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51.1</w:t>
            </w:r>
          </w:p>
        </w:tc>
      </w:tr>
      <w:tr w:rsidR="00375212" w:rsidRPr="004711EA" w14:paraId="26B5D361" w14:textId="77777777" w:rsidTr="00CF7AED">
        <w:trPr>
          <w:trHeight w:val="20"/>
        </w:trPr>
        <w:tc>
          <w:tcPr>
            <w:tcW w:w="2157" w:type="pct"/>
            <w:gridSpan w:val="2"/>
            <w:tcBorders>
              <w:left w:val="single" w:sz="18" w:space="0" w:color="auto"/>
            </w:tcBorders>
            <w:noWrap/>
            <w:vAlign w:val="center"/>
          </w:tcPr>
          <w:p w14:paraId="73BC88A4"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3-4 days</w:t>
            </w:r>
          </w:p>
        </w:tc>
        <w:tc>
          <w:tcPr>
            <w:tcW w:w="495" w:type="pct"/>
            <w:tcBorders>
              <w:right w:val="single" w:sz="18" w:space="0" w:color="auto"/>
            </w:tcBorders>
            <w:noWrap/>
          </w:tcPr>
          <w:p w14:paraId="22D2F351"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10.3</w:t>
            </w:r>
          </w:p>
        </w:tc>
        <w:tc>
          <w:tcPr>
            <w:tcW w:w="1866" w:type="pct"/>
            <w:gridSpan w:val="2"/>
            <w:tcBorders>
              <w:left w:val="single" w:sz="18" w:space="0" w:color="auto"/>
              <w:right w:val="dotted" w:sz="4" w:space="0" w:color="auto"/>
            </w:tcBorders>
            <w:noWrap/>
            <w:vAlign w:val="center"/>
          </w:tcPr>
          <w:p w14:paraId="11CD2818" w14:textId="77777777" w:rsidR="00375212" w:rsidRPr="004711EA" w:rsidRDefault="00375212" w:rsidP="001023BB">
            <w:pPr>
              <w:ind w:left="144"/>
              <w:rPr>
                <w:rFonts w:ascii="Times New Roman" w:hAnsi="Times New Roman" w:cs="Times New Roman"/>
                <w:sz w:val="20"/>
                <w:szCs w:val="20"/>
                <w:highlight w:val="yellow"/>
              </w:rPr>
            </w:pPr>
            <w:r w:rsidRPr="004711EA">
              <w:rPr>
                <w:rFonts w:ascii="Times New Roman" w:hAnsi="Times New Roman" w:cs="Times New Roman"/>
                <w:sz w:val="20"/>
                <w:szCs w:val="20"/>
              </w:rPr>
              <w:t>Suburban or small town</w:t>
            </w:r>
          </w:p>
        </w:tc>
        <w:tc>
          <w:tcPr>
            <w:tcW w:w="482" w:type="pct"/>
            <w:tcBorders>
              <w:left w:val="dotted" w:sz="4" w:space="0" w:color="auto"/>
              <w:right w:val="single" w:sz="18" w:space="0" w:color="auto"/>
            </w:tcBorders>
          </w:tcPr>
          <w:p w14:paraId="0687E701"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40.3</w:t>
            </w:r>
          </w:p>
        </w:tc>
      </w:tr>
      <w:tr w:rsidR="00375212" w:rsidRPr="004711EA" w14:paraId="6ED1C7E5" w14:textId="77777777" w:rsidTr="00CF7AED">
        <w:trPr>
          <w:trHeight w:val="20"/>
        </w:trPr>
        <w:tc>
          <w:tcPr>
            <w:tcW w:w="2157" w:type="pct"/>
            <w:gridSpan w:val="2"/>
            <w:tcBorders>
              <w:left w:val="single" w:sz="18" w:space="0" w:color="auto"/>
              <w:bottom w:val="single" w:sz="18" w:space="0" w:color="auto"/>
            </w:tcBorders>
            <w:noWrap/>
            <w:vAlign w:val="center"/>
          </w:tcPr>
          <w:p w14:paraId="287AE4B1"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5-6 days</w:t>
            </w:r>
          </w:p>
        </w:tc>
        <w:tc>
          <w:tcPr>
            <w:tcW w:w="495" w:type="pct"/>
            <w:tcBorders>
              <w:bottom w:val="single" w:sz="18" w:space="0" w:color="auto"/>
              <w:right w:val="single" w:sz="18" w:space="0" w:color="auto"/>
            </w:tcBorders>
            <w:noWrap/>
          </w:tcPr>
          <w:p w14:paraId="0DA41379"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 xml:space="preserve">  2.5</w:t>
            </w:r>
          </w:p>
        </w:tc>
        <w:tc>
          <w:tcPr>
            <w:tcW w:w="1866" w:type="pct"/>
            <w:gridSpan w:val="2"/>
            <w:tcBorders>
              <w:left w:val="single" w:sz="18" w:space="0" w:color="auto"/>
              <w:bottom w:val="single" w:sz="18" w:space="0" w:color="auto"/>
            </w:tcBorders>
            <w:noWrap/>
            <w:vAlign w:val="center"/>
          </w:tcPr>
          <w:p w14:paraId="6A8BD322" w14:textId="77777777" w:rsidR="00375212" w:rsidRPr="004711EA" w:rsidRDefault="00375212" w:rsidP="001023BB">
            <w:pPr>
              <w:ind w:left="144"/>
              <w:rPr>
                <w:rFonts w:ascii="Times New Roman" w:hAnsi="Times New Roman" w:cs="Times New Roman"/>
                <w:sz w:val="20"/>
                <w:szCs w:val="20"/>
              </w:rPr>
            </w:pPr>
            <w:r w:rsidRPr="004711EA">
              <w:rPr>
                <w:rFonts w:ascii="Times New Roman" w:hAnsi="Times New Roman" w:cs="Times New Roman"/>
                <w:sz w:val="20"/>
                <w:szCs w:val="20"/>
              </w:rPr>
              <w:t>Rural</w:t>
            </w:r>
          </w:p>
        </w:tc>
        <w:tc>
          <w:tcPr>
            <w:tcW w:w="482" w:type="pct"/>
            <w:tcBorders>
              <w:bottom w:val="single" w:sz="18" w:space="0" w:color="auto"/>
              <w:right w:val="single" w:sz="18" w:space="0" w:color="auto"/>
            </w:tcBorders>
            <w:noWrap/>
          </w:tcPr>
          <w:p w14:paraId="112FB8D0"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color w:val="000000"/>
                <w:sz w:val="20"/>
                <w:szCs w:val="20"/>
              </w:rPr>
              <w:t xml:space="preserve">  8.6</w:t>
            </w:r>
          </w:p>
        </w:tc>
      </w:tr>
      <w:tr w:rsidR="00375212" w:rsidRPr="004711EA" w14:paraId="5AF8B733"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5000" w:type="pct"/>
            <w:gridSpan w:val="6"/>
            <w:tcBorders>
              <w:top w:val="single" w:sz="18" w:space="0" w:color="auto"/>
              <w:left w:val="single" w:sz="18" w:space="0" w:color="auto"/>
              <w:bottom w:val="single" w:sz="18" w:space="0" w:color="auto"/>
              <w:right w:val="single" w:sz="18" w:space="0" w:color="auto"/>
            </w:tcBorders>
          </w:tcPr>
          <w:p w14:paraId="00EE8F36" w14:textId="77777777" w:rsidR="00375212" w:rsidRPr="004711EA" w:rsidRDefault="00375212" w:rsidP="001023BB">
            <w:pPr>
              <w:jc w:val="center"/>
              <w:rPr>
                <w:rFonts w:ascii="Times New Roman" w:hAnsi="Times New Roman" w:cs="Times New Roman"/>
                <w:color w:val="000000"/>
                <w:sz w:val="20"/>
                <w:szCs w:val="20"/>
              </w:rPr>
            </w:pPr>
            <w:r w:rsidRPr="004711EA">
              <w:rPr>
                <w:rFonts w:ascii="Times New Roman" w:hAnsi="Times New Roman" w:cs="Times New Roman"/>
                <w:b/>
                <w:bCs/>
                <w:i/>
                <w:iCs/>
                <w:color w:val="000000"/>
                <w:sz w:val="20"/>
                <w:szCs w:val="20"/>
              </w:rPr>
              <w:t>Built-environment Characteristics of Respondent Zip Code</w:t>
            </w:r>
          </w:p>
        </w:tc>
      </w:tr>
      <w:tr w:rsidR="00375212" w:rsidRPr="004711EA" w14:paraId="016974DC"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single" w:sz="18" w:space="0" w:color="auto"/>
              <w:left w:val="single" w:sz="18" w:space="0" w:color="auto"/>
              <w:bottom w:val="single" w:sz="12" w:space="0" w:color="auto"/>
            </w:tcBorders>
          </w:tcPr>
          <w:p w14:paraId="1298FC4B"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b/>
                <w:bCs/>
                <w:color w:val="000000"/>
                <w:sz w:val="20"/>
                <w:szCs w:val="20"/>
              </w:rPr>
              <w:t>Variable</w:t>
            </w:r>
          </w:p>
        </w:tc>
        <w:tc>
          <w:tcPr>
            <w:tcW w:w="2512" w:type="pct"/>
            <w:gridSpan w:val="3"/>
            <w:tcBorders>
              <w:top w:val="single" w:sz="18" w:space="0" w:color="auto"/>
              <w:bottom w:val="single" w:sz="12" w:space="0" w:color="auto"/>
            </w:tcBorders>
          </w:tcPr>
          <w:p w14:paraId="1213833E" w14:textId="77777777" w:rsidR="00375212" w:rsidRPr="004711EA" w:rsidRDefault="00375212" w:rsidP="001023BB">
            <w:pPr>
              <w:rPr>
                <w:rFonts w:ascii="Times New Roman" w:hAnsi="Times New Roman" w:cs="Times New Roman"/>
                <w:b/>
                <w:bCs/>
                <w:color w:val="000000"/>
                <w:sz w:val="20"/>
                <w:szCs w:val="20"/>
              </w:rPr>
            </w:pPr>
            <w:r w:rsidRPr="004711EA">
              <w:rPr>
                <w:rFonts w:ascii="Times New Roman" w:hAnsi="Times New Roman" w:cs="Times New Roman"/>
                <w:b/>
                <w:bCs/>
                <w:color w:val="000000"/>
                <w:sz w:val="20"/>
                <w:szCs w:val="20"/>
              </w:rPr>
              <w:t>Description</w:t>
            </w:r>
          </w:p>
        </w:tc>
        <w:tc>
          <w:tcPr>
            <w:tcW w:w="481" w:type="pct"/>
            <w:tcBorders>
              <w:top w:val="single" w:sz="18" w:space="0" w:color="auto"/>
              <w:bottom w:val="single" w:sz="12" w:space="0" w:color="auto"/>
            </w:tcBorders>
          </w:tcPr>
          <w:p w14:paraId="119EABA1" w14:textId="77777777" w:rsidR="00375212" w:rsidRPr="004711EA" w:rsidRDefault="00375212" w:rsidP="001023BB">
            <w:pPr>
              <w:jc w:val="center"/>
              <w:rPr>
                <w:rFonts w:ascii="Times New Roman" w:hAnsi="Times New Roman" w:cs="Times New Roman"/>
                <w:b/>
                <w:bCs/>
                <w:color w:val="000000"/>
                <w:sz w:val="20"/>
                <w:szCs w:val="20"/>
              </w:rPr>
            </w:pPr>
            <w:r w:rsidRPr="004711EA">
              <w:rPr>
                <w:rFonts w:ascii="Times New Roman" w:hAnsi="Times New Roman" w:cs="Times New Roman"/>
                <w:b/>
                <w:bCs/>
                <w:color w:val="000000"/>
                <w:sz w:val="20"/>
                <w:szCs w:val="20"/>
              </w:rPr>
              <w:t>Mean</w:t>
            </w:r>
          </w:p>
        </w:tc>
        <w:tc>
          <w:tcPr>
            <w:tcW w:w="482" w:type="pct"/>
            <w:tcBorders>
              <w:top w:val="single" w:sz="18" w:space="0" w:color="auto"/>
              <w:bottom w:val="single" w:sz="12" w:space="0" w:color="auto"/>
              <w:right w:val="single" w:sz="18" w:space="0" w:color="auto"/>
            </w:tcBorders>
          </w:tcPr>
          <w:p w14:paraId="0F2B0B9E" w14:textId="77777777" w:rsidR="00375212" w:rsidRPr="004711EA" w:rsidRDefault="00375212" w:rsidP="001023BB">
            <w:pPr>
              <w:jc w:val="center"/>
              <w:rPr>
                <w:rFonts w:ascii="Times New Roman" w:hAnsi="Times New Roman" w:cs="Times New Roman"/>
                <w:b/>
                <w:bCs/>
                <w:color w:val="000000"/>
                <w:sz w:val="20"/>
                <w:szCs w:val="20"/>
              </w:rPr>
            </w:pPr>
            <w:r w:rsidRPr="004711EA">
              <w:rPr>
                <w:rFonts w:ascii="Times New Roman" w:hAnsi="Times New Roman" w:cs="Times New Roman"/>
                <w:b/>
                <w:bCs/>
                <w:color w:val="000000"/>
                <w:sz w:val="20"/>
                <w:szCs w:val="20"/>
              </w:rPr>
              <w:t>Std Dev</w:t>
            </w:r>
          </w:p>
        </w:tc>
      </w:tr>
      <w:tr w:rsidR="00375212" w:rsidRPr="004711EA" w14:paraId="3080AE75"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single" w:sz="12" w:space="0" w:color="auto"/>
              <w:left w:val="single" w:sz="18" w:space="0" w:color="auto"/>
              <w:bottom w:val="dotted" w:sz="4" w:space="0" w:color="auto"/>
              <w:right w:val="dotted" w:sz="4" w:space="0" w:color="auto"/>
            </w:tcBorders>
            <w:vAlign w:val="center"/>
          </w:tcPr>
          <w:p w14:paraId="45B4C1D6"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No-vehicle households</w:t>
            </w:r>
          </w:p>
        </w:tc>
        <w:tc>
          <w:tcPr>
            <w:tcW w:w="2512" w:type="pct"/>
            <w:gridSpan w:val="3"/>
            <w:tcBorders>
              <w:top w:val="single" w:sz="12" w:space="0" w:color="auto"/>
              <w:left w:val="dotted" w:sz="4" w:space="0" w:color="auto"/>
              <w:bottom w:val="dotted" w:sz="4" w:space="0" w:color="auto"/>
              <w:right w:val="dotted" w:sz="4" w:space="0" w:color="auto"/>
            </w:tcBorders>
            <w:vAlign w:val="center"/>
          </w:tcPr>
          <w:p w14:paraId="427D0523"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Share of households with no motor vehicles</w:t>
            </w:r>
          </w:p>
        </w:tc>
        <w:tc>
          <w:tcPr>
            <w:tcW w:w="481" w:type="pct"/>
            <w:tcBorders>
              <w:top w:val="single" w:sz="12" w:space="0" w:color="auto"/>
              <w:left w:val="dotted" w:sz="4" w:space="0" w:color="auto"/>
              <w:bottom w:val="dotted" w:sz="4" w:space="0" w:color="auto"/>
              <w:right w:val="dotted" w:sz="4" w:space="0" w:color="auto"/>
            </w:tcBorders>
            <w:vAlign w:val="center"/>
          </w:tcPr>
          <w:p w14:paraId="513ADF3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0.12</w:t>
            </w:r>
          </w:p>
        </w:tc>
        <w:tc>
          <w:tcPr>
            <w:tcW w:w="482" w:type="pct"/>
            <w:tcBorders>
              <w:top w:val="single" w:sz="12" w:space="0" w:color="auto"/>
              <w:left w:val="dotted" w:sz="4" w:space="0" w:color="auto"/>
              <w:bottom w:val="dotted" w:sz="4" w:space="0" w:color="auto"/>
              <w:right w:val="single" w:sz="18" w:space="0" w:color="auto"/>
            </w:tcBorders>
            <w:vAlign w:val="center"/>
          </w:tcPr>
          <w:p w14:paraId="5A92101A"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0.15</w:t>
            </w:r>
          </w:p>
        </w:tc>
      </w:tr>
      <w:tr w:rsidR="00375212" w:rsidRPr="004711EA" w14:paraId="4064F0AB"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53B17F64"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One-vehicle households</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5B7104B4"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Share of households with one motor vehicle</w:t>
            </w:r>
          </w:p>
        </w:tc>
        <w:tc>
          <w:tcPr>
            <w:tcW w:w="481" w:type="pct"/>
            <w:tcBorders>
              <w:top w:val="dotted" w:sz="4" w:space="0" w:color="auto"/>
              <w:left w:val="dotted" w:sz="4" w:space="0" w:color="auto"/>
              <w:bottom w:val="dotted" w:sz="4" w:space="0" w:color="auto"/>
              <w:right w:val="dotted" w:sz="4" w:space="0" w:color="auto"/>
            </w:tcBorders>
            <w:vAlign w:val="center"/>
          </w:tcPr>
          <w:p w14:paraId="19CE6461"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0.34</w:t>
            </w:r>
          </w:p>
        </w:tc>
        <w:tc>
          <w:tcPr>
            <w:tcW w:w="482" w:type="pct"/>
            <w:tcBorders>
              <w:top w:val="dotted" w:sz="4" w:space="0" w:color="auto"/>
              <w:left w:val="dotted" w:sz="4" w:space="0" w:color="auto"/>
              <w:bottom w:val="dotted" w:sz="4" w:space="0" w:color="auto"/>
              <w:right w:val="single" w:sz="18" w:space="0" w:color="auto"/>
            </w:tcBorders>
            <w:vAlign w:val="center"/>
          </w:tcPr>
          <w:p w14:paraId="1DEDA1CD"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0.10</w:t>
            </w:r>
          </w:p>
        </w:tc>
      </w:tr>
      <w:tr w:rsidR="00375212" w:rsidRPr="004711EA" w14:paraId="3F28FD55"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7B7196A0"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Two-or-more-vehicle households</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4FAC7568"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Share of households with two or more motor vehicles</w:t>
            </w:r>
          </w:p>
        </w:tc>
        <w:tc>
          <w:tcPr>
            <w:tcW w:w="481" w:type="pct"/>
            <w:tcBorders>
              <w:top w:val="dotted" w:sz="4" w:space="0" w:color="auto"/>
              <w:left w:val="dotted" w:sz="4" w:space="0" w:color="auto"/>
              <w:bottom w:val="dotted" w:sz="4" w:space="0" w:color="auto"/>
              <w:right w:val="dotted" w:sz="4" w:space="0" w:color="auto"/>
            </w:tcBorders>
            <w:vAlign w:val="center"/>
          </w:tcPr>
          <w:p w14:paraId="2620E53C"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0.53</w:t>
            </w:r>
          </w:p>
        </w:tc>
        <w:tc>
          <w:tcPr>
            <w:tcW w:w="482" w:type="pct"/>
            <w:tcBorders>
              <w:top w:val="dotted" w:sz="4" w:space="0" w:color="auto"/>
              <w:left w:val="dotted" w:sz="4" w:space="0" w:color="auto"/>
              <w:bottom w:val="dotted" w:sz="4" w:space="0" w:color="auto"/>
              <w:right w:val="single" w:sz="18" w:space="0" w:color="auto"/>
            </w:tcBorders>
            <w:vAlign w:val="center"/>
          </w:tcPr>
          <w:p w14:paraId="5706E91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0.19</w:t>
            </w:r>
          </w:p>
        </w:tc>
      </w:tr>
      <w:tr w:rsidR="00375212" w:rsidRPr="004711EA" w14:paraId="5A164F23"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228B87E3"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Low-wage workers</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5DE8D96B"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Share of zip-code workers earning low-tier wages</w:t>
            </w:r>
          </w:p>
        </w:tc>
        <w:tc>
          <w:tcPr>
            <w:tcW w:w="481" w:type="pct"/>
            <w:tcBorders>
              <w:top w:val="dotted" w:sz="4" w:space="0" w:color="auto"/>
              <w:left w:val="dotted" w:sz="4" w:space="0" w:color="auto"/>
              <w:bottom w:val="dotted" w:sz="4" w:space="0" w:color="auto"/>
              <w:right w:val="dotted" w:sz="4" w:space="0" w:color="auto"/>
            </w:tcBorders>
            <w:vAlign w:val="center"/>
          </w:tcPr>
          <w:p w14:paraId="48E9C26D"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0.23</w:t>
            </w:r>
          </w:p>
        </w:tc>
        <w:tc>
          <w:tcPr>
            <w:tcW w:w="482" w:type="pct"/>
            <w:tcBorders>
              <w:top w:val="dotted" w:sz="4" w:space="0" w:color="auto"/>
              <w:left w:val="dotted" w:sz="4" w:space="0" w:color="auto"/>
              <w:bottom w:val="dotted" w:sz="4" w:space="0" w:color="auto"/>
              <w:right w:val="single" w:sz="18" w:space="0" w:color="auto"/>
            </w:tcBorders>
            <w:vAlign w:val="center"/>
          </w:tcPr>
          <w:p w14:paraId="4AD4A04C"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0.05</w:t>
            </w:r>
          </w:p>
        </w:tc>
      </w:tr>
      <w:tr w:rsidR="00375212" w:rsidRPr="004711EA" w14:paraId="638F0156"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24E6CF27"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Population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45A5D20D"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Persons per acre</w:t>
            </w:r>
          </w:p>
        </w:tc>
        <w:tc>
          <w:tcPr>
            <w:tcW w:w="481" w:type="pct"/>
            <w:tcBorders>
              <w:top w:val="dotted" w:sz="4" w:space="0" w:color="auto"/>
              <w:left w:val="dotted" w:sz="4" w:space="0" w:color="auto"/>
              <w:bottom w:val="dotted" w:sz="4" w:space="0" w:color="auto"/>
              <w:right w:val="dotted" w:sz="4" w:space="0" w:color="auto"/>
            </w:tcBorders>
            <w:vAlign w:val="center"/>
          </w:tcPr>
          <w:p w14:paraId="0578101F"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15.63</w:t>
            </w:r>
          </w:p>
        </w:tc>
        <w:tc>
          <w:tcPr>
            <w:tcW w:w="482" w:type="pct"/>
            <w:tcBorders>
              <w:top w:val="dotted" w:sz="4" w:space="0" w:color="auto"/>
              <w:left w:val="dotted" w:sz="4" w:space="0" w:color="auto"/>
              <w:bottom w:val="dotted" w:sz="4" w:space="0" w:color="auto"/>
              <w:right w:val="single" w:sz="18" w:space="0" w:color="auto"/>
            </w:tcBorders>
            <w:vAlign w:val="center"/>
          </w:tcPr>
          <w:p w14:paraId="6A0F2F1B"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28.33</w:t>
            </w:r>
          </w:p>
        </w:tc>
      </w:tr>
      <w:tr w:rsidR="00375212" w:rsidRPr="004711EA" w14:paraId="7EA446FF"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00333AFB"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sz w:val="20"/>
                <w:szCs w:val="20"/>
              </w:rPr>
              <w:t>Jobs-to-household ratio</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486A5087"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 xml:space="preserve">Ratio of jobs to households </w:t>
            </w:r>
          </w:p>
        </w:tc>
        <w:tc>
          <w:tcPr>
            <w:tcW w:w="481" w:type="pct"/>
            <w:tcBorders>
              <w:top w:val="dotted" w:sz="4" w:space="0" w:color="auto"/>
              <w:left w:val="dotted" w:sz="4" w:space="0" w:color="auto"/>
              <w:bottom w:val="dotted" w:sz="4" w:space="0" w:color="auto"/>
              <w:right w:val="dotted" w:sz="4" w:space="0" w:color="auto"/>
            </w:tcBorders>
            <w:vAlign w:val="center"/>
          </w:tcPr>
          <w:p w14:paraId="31A01E5E"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2.87</w:t>
            </w:r>
          </w:p>
        </w:tc>
        <w:tc>
          <w:tcPr>
            <w:tcW w:w="482" w:type="pct"/>
            <w:tcBorders>
              <w:top w:val="dotted" w:sz="4" w:space="0" w:color="auto"/>
              <w:left w:val="dotted" w:sz="4" w:space="0" w:color="auto"/>
              <w:bottom w:val="dotted" w:sz="4" w:space="0" w:color="auto"/>
              <w:right w:val="single" w:sz="18" w:space="0" w:color="auto"/>
            </w:tcBorders>
            <w:vAlign w:val="center"/>
          </w:tcPr>
          <w:p w14:paraId="66B9BD69"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13.43</w:t>
            </w:r>
          </w:p>
        </w:tc>
      </w:tr>
      <w:tr w:rsidR="00375212" w:rsidRPr="004711EA" w14:paraId="39440563"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7F44AD61"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sz w:val="20"/>
                <w:szCs w:val="20"/>
              </w:rPr>
              <w:t>Auto network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08BC4F1D"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Auto-oriented links facility-miles per square mile</w:t>
            </w:r>
          </w:p>
        </w:tc>
        <w:tc>
          <w:tcPr>
            <w:tcW w:w="481" w:type="pct"/>
            <w:tcBorders>
              <w:top w:val="dotted" w:sz="4" w:space="0" w:color="auto"/>
              <w:left w:val="dotted" w:sz="4" w:space="0" w:color="auto"/>
              <w:bottom w:val="dotted" w:sz="4" w:space="0" w:color="auto"/>
              <w:right w:val="dotted" w:sz="4" w:space="0" w:color="auto"/>
            </w:tcBorders>
            <w:vAlign w:val="center"/>
          </w:tcPr>
          <w:p w14:paraId="3B33BC2A"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1.45</w:t>
            </w:r>
          </w:p>
        </w:tc>
        <w:tc>
          <w:tcPr>
            <w:tcW w:w="482" w:type="pct"/>
            <w:tcBorders>
              <w:top w:val="dotted" w:sz="4" w:space="0" w:color="auto"/>
              <w:left w:val="dotted" w:sz="4" w:space="0" w:color="auto"/>
              <w:bottom w:val="dotted" w:sz="4" w:space="0" w:color="auto"/>
              <w:right w:val="single" w:sz="18" w:space="0" w:color="auto"/>
            </w:tcBorders>
            <w:vAlign w:val="center"/>
          </w:tcPr>
          <w:p w14:paraId="4AC66CAD"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2.18</w:t>
            </w:r>
          </w:p>
        </w:tc>
      </w:tr>
      <w:tr w:rsidR="00375212" w:rsidRPr="004711EA" w14:paraId="0707C6A9"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018F66F5" w14:textId="77777777" w:rsidR="00375212" w:rsidRPr="004711EA" w:rsidRDefault="00375212" w:rsidP="001023BB">
            <w:pPr>
              <w:rPr>
                <w:rFonts w:ascii="Times New Roman" w:hAnsi="Times New Roman" w:cs="Times New Roman"/>
                <w:sz w:val="20"/>
                <w:szCs w:val="20"/>
              </w:rPr>
            </w:pPr>
            <w:r w:rsidRPr="004711EA">
              <w:rPr>
                <w:rFonts w:ascii="Times New Roman" w:hAnsi="Times New Roman" w:cs="Times New Roman"/>
                <w:sz w:val="20"/>
                <w:szCs w:val="20"/>
              </w:rPr>
              <w:t>Multimodal network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756D7D1F"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Multimodal links facility-miles per square mile</w:t>
            </w:r>
          </w:p>
        </w:tc>
        <w:tc>
          <w:tcPr>
            <w:tcW w:w="481" w:type="pct"/>
            <w:tcBorders>
              <w:top w:val="dotted" w:sz="4" w:space="0" w:color="auto"/>
              <w:left w:val="dotted" w:sz="4" w:space="0" w:color="auto"/>
              <w:bottom w:val="dotted" w:sz="4" w:space="0" w:color="auto"/>
              <w:right w:val="dotted" w:sz="4" w:space="0" w:color="auto"/>
            </w:tcBorders>
            <w:vAlign w:val="center"/>
          </w:tcPr>
          <w:p w14:paraId="04661058"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4.09</w:t>
            </w:r>
          </w:p>
        </w:tc>
        <w:tc>
          <w:tcPr>
            <w:tcW w:w="482" w:type="pct"/>
            <w:tcBorders>
              <w:top w:val="dotted" w:sz="4" w:space="0" w:color="auto"/>
              <w:left w:val="dotted" w:sz="4" w:space="0" w:color="auto"/>
              <w:bottom w:val="dotted" w:sz="4" w:space="0" w:color="auto"/>
              <w:right w:val="single" w:sz="18" w:space="0" w:color="auto"/>
            </w:tcBorders>
            <w:vAlign w:val="center"/>
          </w:tcPr>
          <w:p w14:paraId="5A8DA535"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4.97</w:t>
            </w:r>
          </w:p>
        </w:tc>
      </w:tr>
      <w:tr w:rsidR="00375212" w:rsidRPr="004711EA" w14:paraId="5E499108"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505D0428"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Pedestrian network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1B75464E"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Pedestrian-oriented links facility-miles per square mile</w:t>
            </w:r>
          </w:p>
        </w:tc>
        <w:tc>
          <w:tcPr>
            <w:tcW w:w="481" w:type="pct"/>
            <w:tcBorders>
              <w:top w:val="dotted" w:sz="4" w:space="0" w:color="auto"/>
              <w:left w:val="dotted" w:sz="4" w:space="0" w:color="auto"/>
              <w:bottom w:val="dotted" w:sz="4" w:space="0" w:color="auto"/>
              <w:right w:val="dotted" w:sz="4" w:space="0" w:color="auto"/>
            </w:tcBorders>
            <w:vAlign w:val="center"/>
          </w:tcPr>
          <w:p w14:paraId="7D16D4A8"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13.35</w:t>
            </w:r>
          </w:p>
        </w:tc>
        <w:tc>
          <w:tcPr>
            <w:tcW w:w="482" w:type="pct"/>
            <w:tcBorders>
              <w:top w:val="dotted" w:sz="4" w:space="0" w:color="auto"/>
              <w:left w:val="dotted" w:sz="4" w:space="0" w:color="auto"/>
              <w:bottom w:val="dotted" w:sz="4" w:space="0" w:color="auto"/>
              <w:right w:val="single" w:sz="18" w:space="0" w:color="auto"/>
            </w:tcBorders>
            <w:vAlign w:val="center"/>
          </w:tcPr>
          <w:p w14:paraId="6FE92551"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7.04</w:t>
            </w:r>
          </w:p>
        </w:tc>
      </w:tr>
      <w:tr w:rsidR="00375212" w:rsidRPr="004711EA" w14:paraId="0A8315EB"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474DBC71"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Intersection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0C432168"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Street intersections per square mile</w:t>
            </w:r>
          </w:p>
        </w:tc>
        <w:tc>
          <w:tcPr>
            <w:tcW w:w="481" w:type="pct"/>
            <w:tcBorders>
              <w:top w:val="dotted" w:sz="4" w:space="0" w:color="auto"/>
              <w:left w:val="dotted" w:sz="4" w:space="0" w:color="auto"/>
              <w:bottom w:val="dotted" w:sz="4" w:space="0" w:color="auto"/>
              <w:right w:val="dotted" w:sz="4" w:space="0" w:color="auto"/>
            </w:tcBorders>
            <w:vAlign w:val="center"/>
          </w:tcPr>
          <w:p w14:paraId="06654AE8"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95.76</w:t>
            </w:r>
          </w:p>
        </w:tc>
        <w:tc>
          <w:tcPr>
            <w:tcW w:w="482" w:type="pct"/>
            <w:tcBorders>
              <w:top w:val="dotted" w:sz="4" w:space="0" w:color="auto"/>
              <w:left w:val="dotted" w:sz="4" w:space="0" w:color="auto"/>
              <w:bottom w:val="dotted" w:sz="4" w:space="0" w:color="auto"/>
              <w:right w:val="single" w:sz="18" w:space="0" w:color="auto"/>
            </w:tcBorders>
            <w:vAlign w:val="center"/>
          </w:tcPr>
          <w:p w14:paraId="76F75BA1"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70.58</w:t>
            </w:r>
          </w:p>
        </w:tc>
      </w:tr>
      <w:tr w:rsidR="00375212" w:rsidRPr="004711EA" w14:paraId="085A076D"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61EC9789"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Auto intersection density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4C7E4154"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Auto-oriented intersections per square mile</w:t>
            </w:r>
          </w:p>
        </w:tc>
        <w:tc>
          <w:tcPr>
            <w:tcW w:w="481" w:type="pct"/>
            <w:tcBorders>
              <w:top w:val="dotted" w:sz="4" w:space="0" w:color="auto"/>
              <w:left w:val="dotted" w:sz="4" w:space="0" w:color="auto"/>
              <w:bottom w:val="dotted" w:sz="4" w:space="0" w:color="auto"/>
              <w:right w:val="dotted" w:sz="4" w:space="0" w:color="auto"/>
            </w:tcBorders>
            <w:vAlign w:val="center"/>
          </w:tcPr>
          <w:p w14:paraId="229D1633"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4.39</w:t>
            </w:r>
          </w:p>
        </w:tc>
        <w:tc>
          <w:tcPr>
            <w:tcW w:w="482" w:type="pct"/>
            <w:tcBorders>
              <w:top w:val="dotted" w:sz="4" w:space="0" w:color="auto"/>
              <w:left w:val="dotted" w:sz="4" w:space="0" w:color="auto"/>
              <w:bottom w:val="dotted" w:sz="4" w:space="0" w:color="auto"/>
              <w:right w:val="single" w:sz="18" w:space="0" w:color="auto"/>
            </w:tcBorders>
            <w:vAlign w:val="center"/>
          </w:tcPr>
          <w:p w14:paraId="7F695E7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11.38</w:t>
            </w:r>
          </w:p>
        </w:tc>
      </w:tr>
      <w:tr w:rsidR="00375212" w:rsidRPr="004711EA" w14:paraId="0A050C5A"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00DB8E62"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Job accessibility</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01F1F868"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Jobs reachable within 45 minutes by automobile</w:t>
            </w:r>
          </w:p>
        </w:tc>
        <w:tc>
          <w:tcPr>
            <w:tcW w:w="481" w:type="pct"/>
            <w:tcBorders>
              <w:top w:val="dotted" w:sz="4" w:space="0" w:color="auto"/>
              <w:left w:val="dotted" w:sz="4" w:space="0" w:color="auto"/>
              <w:bottom w:val="dotted" w:sz="4" w:space="0" w:color="auto"/>
              <w:right w:val="dotted" w:sz="4" w:space="0" w:color="auto"/>
            </w:tcBorders>
          </w:tcPr>
          <w:p w14:paraId="3AD3671A" w14:textId="77777777" w:rsidR="00375212" w:rsidRPr="004711EA" w:rsidRDefault="00375212" w:rsidP="001023BB">
            <w:pPr>
              <w:jc w:val="center"/>
              <w:rPr>
                <w:rFonts w:ascii="Times New Roman" w:hAnsi="Times New Roman" w:cs="Times New Roman"/>
                <w:color w:val="000000" w:themeColor="text1"/>
                <w:sz w:val="20"/>
                <w:szCs w:val="20"/>
              </w:rPr>
            </w:pPr>
            <w:r w:rsidRPr="004711EA">
              <w:rPr>
                <w:rFonts w:ascii="Times New Roman" w:hAnsi="Times New Roman" w:cs="Times New Roman"/>
                <w:color w:val="000000" w:themeColor="text1"/>
                <w:sz w:val="20"/>
                <w:szCs w:val="20"/>
              </w:rPr>
              <w:t>153,058</w:t>
            </w:r>
          </w:p>
        </w:tc>
        <w:tc>
          <w:tcPr>
            <w:tcW w:w="482" w:type="pct"/>
            <w:tcBorders>
              <w:top w:val="dotted" w:sz="4" w:space="0" w:color="auto"/>
              <w:left w:val="dotted" w:sz="4" w:space="0" w:color="auto"/>
              <w:bottom w:val="dotted" w:sz="4" w:space="0" w:color="auto"/>
              <w:right w:val="single" w:sz="18" w:space="0" w:color="auto"/>
            </w:tcBorders>
          </w:tcPr>
          <w:p w14:paraId="5B27340F" w14:textId="77777777" w:rsidR="00375212" w:rsidRPr="004711EA" w:rsidRDefault="00375212" w:rsidP="001023BB">
            <w:pPr>
              <w:jc w:val="center"/>
              <w:rPr>
                <w:rFonts w:ascii="Times New Roman" w:hAnsi="Times New Roman" w:cs="Times New Roman"/>
                <w:color w:val="000000" w:themeColor="text1"/>
                <w:sz w:val="20"/>
                <w:szCs w:val="20"/>
              </w:rPr>
            </w:pPr>
            <w:r w:rsidRPr="004711EA">
              <w:rPr>
                <w:rFonts w:ascii="Times New Roman" w:hAnsi="Times New Roman" w:cs="Times New Roman"/>
                <w:color w:val="000000" w:themeColor="text1"/>
                <w:sz w:val="20"/>
                <w:szCs w:val="20"/>
              </w:rPr>
              <w:t>185,999</w:t>
            </w:r>
          </w:p>
        </w:tc>
      </w:tr>
      <w:tr w:rsidR="00375212" w:rsidRPr="004711EA" w14:paraId="7520267C"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dotted" w:sz="4" w:space="0" w:color="auto"/>
              <w:right w:val="dotted" w:sz="4" w:space="0" w:color="auto"/>
            </w:tcBorders>
            <w:vAlign w:val="center"/>
          </w:tcPr>
          <w:p w14:paraId="7EB7978F"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Working-age population</w:t>
            </w:r>
          </w:p>
        </w:tc>
        <w:tc>
          <w:tcPr>
            <w:tcW w:w="2512" w:type="pct"/>
            <w:gridSpan w:val="3"/>
            <w:tcBorders>
              <w:top w:val="dotted" w:sz="4" w:space="0" w:color="auto"/>
              <w:left w:val="dotted" w:sz="4" w:space="0" w:color="auto"/>
              <w:bottom w:val="dotted" w:sz="4" w:space="0" w:color="auto"/>
              <w:right w:val="dotted" w:sz="4" w:space="0" w:color="auto"/>
            </w:tcBorders>
            <w:vAlign w:val="center"/>
          </w:tcPr>
          <w:p w14:paraId="643E31FF"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 xml:space="preserve">Share of population aged 18 to 64 years </w:t>
            </w:r>
          </w:p>
        </w:tc>
        <w:tc>
          <w:tcPr>
            <w:tcW w:w="481" w:type="pct"/>
            <w:tcBorders>
              <w:top w:val="dotted" w:sz="4" w:space="0" w:color="auto"/>
              <w:left w:val="dotted" w:sz="4" w:space="0" w:color="auto"/>
              <w:bottom w:val="dotted" w:sz="4" w:space="0" w:color="auto"/>
              <w:right w:val="dotted" w:sz="4" w:space="0" w:color="auto"/>
            </w:tcBorders>
            <w:vAlign w:val="center"/>
          </w:tcPr>
          <w:p w14:paraId="4110F6F4"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0.61</w:t>
            </w:r>
          </w:p>
        </w:tc>
        <w:tc>
          <w:tcPr>
            <w:tcW w:w="482" w:type="pct"/>
            <w:tcBorders>
              <w:top w:val="dotted" w:sz="4" w:space="0" w:color="auto"/>
              <w:left w:val="dotted" w:sz="4" w:space="0" w:color="auto"/>
              <w:bottom w:val="dotted" w:sz="4" w:space="0" w:color="auto"/>
              <w:right w:val="single" w:sz="18" w:space="0" w:color="auto"/>
            </w:tcBorders>
            <w:vAlign w:val="center"/>
          </w:tcPr>
          <w:p w14:paraId="42DEB706"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0.06</w:t>
            </w:r>
          </w:p>
        </w:tc>
      </w:tr>
      <w:tr w:rsidR="00375212" w:rsidRPr="004711EA" w14:paraId="4AC31229" w14:textId="77777777" w:rsidTr="00CF7AED">
        <w:tblPrEx>
          <w:tblBorders>
            <w:top w:val="single" w:sz="12" w:space="0" w:color="auto"/>
            <w:left w:val="single" w:sz="12" w:space="0" w:color="auto"/>
            <w:bottom w:val="single" w:sz="12" w:space="0" w:color="auto"/>
            <w:right w:val="single" w:sz="12" w:space="0" w:color="auto"/>
          </w:tblBorders>
        </w:tblPrEx>
        <w:trPr>
          <w:trHeight w:val="20"/>
        </w:trPr>
        <w:tc>
          <w:tcPr>
            <w:tcW w:w="1525" w:type="pct"/>
            <w:tcBorders>
              <w:top w:val="dotted" w:sz="4" w:space="0" w:color="auto"/>
              <w:left w:val="single" w:sz="18" w:space="0" w:color="auto"/>
              <w:bottom w:val="single" w:sz="18" w:space="0" w:color="auto"/>
              <w:right w:val="dotted" w:sz="4" w:space="0" w:color="auto"/>
            </w:tcBorders>
            <w:vAlign w:val="center"/>
          </w:tcPr>
          <w:p w14:paraId="6D7163EC"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Road density</w:t>
            </w:r>
          </w:p>
        </w:tc>
        <w:tc>
          <w:tcPr>
            <w:tcW w:w="2512" w:type="pct"/>
            <w:gridSpan w:val="3"/>
            <w:tcBorders>
              <w:top w:val="dotted" w:sz="4" w:space="0" w:color="auto"/>
              <w:left w:val="dotted" w:sz="4" w:space="0" w:color="auto"/>
              <w:bottom w:val="single" w:sz="18" w:space="0" w:color="auto"/>
              <w:right w:val="dotted" w:sz="4" w:space="0" w:color="auto"/>
            </w:tcBorders>
            <w:vAlign w:val="center"/>
          </w:tcPr>
          <w:p w14:paraId="32133EC2" w14:textId="77777777" w:rsidR="00375212" w:rsidRPr="004711EA" w:rsidRDefault="00375212" w:rsidP="001023BB">
            <w:pPr>
              <w:rPr>
                <w:rFonts w:ascii="Times New Roman" w:hAnsi="Times New Roman" w:cs="Times New Roman"/>
                <w:color w:val="000000"/>
                <w:sz w:val="20"/>
                <w:szCs w:val="20"/>
              </w:rPr>
            </w:pPr>
            <w:r w:rsidRPr="004711EA">
              <w:rPr>
                <w:rFonts w:ascii="Times New Roman" w:hAnsi="Times New Roman" w:cs="Times New Roman"/>
                <w:color w:val="000000"/>
                <w:sz w:val="20"/>
                <w:szCs w:val="20"/>
              </w:rPr>
              <w:t>Total facility miles of road-network links per square mile</w:t>
            </w:r>
          </w:p>
        </w:tc>
        <w:tc>
          <w:tcPr>
            <w:tcW w:w="481" w:type="pct"/>
            <w:tcBorders>
              <w:top w:val="dotted" w:sz="4" w:space="0" w:color="auto"/>
              <w:left w:val="dotted" w:sz="4" w:space="0" w:color="auto"/>
              <w:bottom w:val="single" w:sz="18" w:space="0" w:color="auto"/>
              <w:right w:val="dotted" w:sz="4" w:space="0" w:color="auto"/>
            </w:tcBorders>
            <w:vAlign w:val="center"/>
          </w:tcPr>
          <w:p w14:paraId="275B7337"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18.88</w:t>
            </w:r>
          </w:p>
        </w:tc>
        <w:tc>
          <w:tcPr>
            <w:tcW w:w="482" w:type="pct"/>
            <w:tcBorders>
              <w:top w:val="dotted" w:sz="4" w:space="0" w:color="auto"/>
              <w:left w:val="dotted" w:sz="4" w:space="0" w:color="auto"/>
              <w:bottom w:val="single" w:sz="18" w:space="0" w:color="auto"/>
              <w:right w:val="single" w:sz="18" w:space="0" w:color="auto"/>
            </w:tcBorders>
            <w:vAlign w:val="center"/>
          </w:tcPr>
          <w:p w14:paraId="7A5FDD8B" w14:textId="77777777" w:rsidR="00375212" w:rsidRPr="004711EA" w:rsidRDefault="00375212" w:rsidP="001023BB">
            <w:pPr>
              <w:jc w:val="center"/>
              <w:rPr>
                <w:rFonts w:ascii="Times New Roman" w:hAnsi="Times New Roman" w:cs="Times New Roman"/>
                <w:sz w:val="20"/>
                <w:szCs w:val="20"/>
              </w:rPr>
            </w:pPr>
            <w:r w:rsidRPr="004711EA">
              <w:rPr>
                <w:rFonts w:ascii="Times New Roman" w:hAnsi="Times New Roman" w:cs="Times New Roman"/>
                <w:color w:val="000000" w:themeColor="text1"/>
                <w:sz w:val="20"/>
                <w:szCs w:val="20"/>
              </w:rPr>
              <w:t xml:space="preserve"> 10.12</w:t>
            </w:r>
          </w:p>
        </w:tc>
      </w:tr>
    </w:tbl>
    <w:p w14:paraId="74F37CEB" w14:textId="77777777" w:rsidR="00B34EA9" w:rsidRPr="00B34EA9" w:rsidRDefault="00B34EA9" w:rsidP="00B34EA9"/>
    <w:bookmarkEnd w:id="0"/>
    <w:p w14:paraId="1663098B" w14:textId="77777777" w:rsidR="006B11E6" w:rsidRPr="006B11E6" w:rsidRDefault="006B11E6" w:rsidP="006B11E6">
      <w:pPr>
        <w:spacing w:after="0" w:line="240" w:lineRule="auto"/>
        <w:ind w:firstLine="720"/>
        <w:jc w:val="both"/>
        <w:rPr>
          <w:rFonts w:ascii="Times New Roman" w:eastAsia="Times New Roman" w:hAnsi="Times New Roman" w:cs="Times New Roman"/>
          <w:kern w:val="0"/>
          <w14:ligatures w14:val="none"/>
        </w:rPr>
      </w:pPr>
      <w:r w:rsidRPr="006B11E6">
        <w:rPr>
          <w:rFonts w:ascii="Times New Roman" w:eastAsia="Times New Roman" w:hAnsi="Times New Roman" w:cs="Times New Roman"/>
          <w:kern w:val="0"/>
          <w14:ligatures w14:val="none"/>
        </w:rPr>
        <w:lastRenderedPageBreak/>
        <w:t>Household characteristics also exhibit considerable variation. About two-thirds of respondents reside in households with three or more persons, while 12.8 percent live alone. Most respondents live in stand-alone homes and own their residence, at 77.2 and 72.1 percent, respectively. Vehicle availability is generally high, although not universal with 42.1 percent of respondents living in one-vehicle households, 41.7 percent in two-vehicle households, and 2.7 percent in households without a vehicle. The sample spans a range of residential contexts, with 51.1 percent of respondents living in urban areas, 40.3 percent in suburban areas or small towns, and 8.6 percent in rural areas. Telecommuting frequency also varies meaningfully. While 65.3 percent did not telecommute during the reported week, 21.9 percent telecommuted one or two days, 10.3 percent telecommuted three or four days, and 2.5 percent telecommuted five or six days.</w:t>
      </w:r>
    </w:p>
    <w:p w14:paraId="6FE727AA" w14:textId="7071E6BF" w:rsidR="009E0061" w:rsidRDefault="006B11E6" w:rsidP="006B11E6">
      <w:pPr>
        <w:spacing w:after="0" w:line="240" w:lineRule="auto"/>
        <w:ind w:firstLine="720"/>
        <w:jc w:val="both"/>
        <w:rPr>
          <w:rFonts w:ascii="Times New Roman" w:hAnsi="Times New Roman" w:cs="Times New Roman"/>
        </w:rPr>
      </w:pPr>
      <w:r w:rsidRPr="006B11E6">
        <w:rPr>
          <w:rFonts w:ascii="Times New Roman" w:eastAsia="Times New Roman" w:hAnsi="Times New Roman" w:cs="Times New Roman"/>
          <w:kern w:val="0"/>
          <w14:ligatures w14:val="none"/>
        </w:rPr>
        <w:t>The appended built-environment measures further demonstrate substantial variation in the residential contexts represented in the sample. For example, the mean population density is 15.63 persons per acre, with a standard deviation of 28.33, indicating considerable dispersion across respondents’ residential ZIP codes. Similar heterogeneity is evident in the jobs-to-household ratio, network density measures, intersection density, and automobile job accessibility. Mean job accessibility is approximately 153,000 jobs reachable within 45 minutes by automobile, but the large standard deviation of about 186,000 reflects wide variation in regional accessibility. Overall, the sample spans a broad range of individual, household, telecommuting, geographic, and built-environment conditions. This variation renders the dataset well suited to the bivariate panel modeling exercise undertaken in this study.</w:t>
      </w:r>
    </w:p>
    <w:p w14:paraId="453B23F4" w14:textId="77777777" w:rsidR="009E0061" w:rsidRPr="00D518A4" w:rsidRDefault="009E0061" w:rsidP="00EB5F06">
      <w:pPr>
        <w:spacing w:after="0" w:line="240" w:lineRule="auto"/>
        <w:ind w:firstLine="720"/>
        <w:jc w:val="both"/>
        <w:rPr>
          <w:rFonts w:ascii="Times New Roman" w:eastAsia="Times New Roman" w:hAnsi="Times New Roman" w:cs="Times New Roman"/>
          <w:kern w:val="0"/>
          <w14:ligatures w14:val="none"/>
        </w:rPr>
      </w:pPr>
    </w:p>
    <w:p w14:paraId="42F5223C" w14:textId="1E7B3789" w:rsidR="004C316C" w:rsidRPr="00D518A4" w:rsidRDefault="00A0217F" w:rsidP="00D04302">
      <w:pPr>
        <w:pStyle w:val="Heading2"/>
      </w:pPr>
      <w:r w:rsidRPr="00A0217F">
        <w:t>Endogenous Outcomes</w:t>
      </w:r>
    </w:p>
    <w:p w14:paraId="269610A2" w14:textId="0FCD5B4B" w:rsidR="006252ED" w:rsidRPr="00D518A4" w:rsidRDefault="004C7690" w:rsidP="00EB5F06">
      <w:pPr>
        <w:spacing w:after="0" w:line="240" w:lineRule="auto"/>
        <w:jc w:val="both"/>
        <w:rPr>
          <w:rFonts w:ascii="Times New Roman" w:hAnsi="Times New Roman" w:cs="Times New Roman"/>
        </w:rPr>
      </w:pPr>
      <w:r w:rsidRPr="004C7690">
        <w:rPr>
          <w:rFonts w:ascii="Times New Roman" w:hAnsi="Times New Roman" w:cs="Times New Roman"/>
        </w:rPr>
        <w:t>Commute trip chaining characteristics are captured in the survey by asking respondents, for each day on which they traveled to their primary workplace, whether they made at least one intermediate stop while traveling H-to-W and whether they made at least one intermediate stop while returning W-to-H. The survey did not collect information on the number or purpose of stops. Accordingly, two binary endogenous outcomes are defined. The H-to-W stop-making outcome equals one if at least one intermediate stop was made between home and the workplace and zero otherwise. The W-to-H outcome is defined analogously. Because these outcomes are observed for each reported workplace commute day, the data provide repeated daily observations for each respondent, permitting analysis of both differences across workers and within-worker variation over the week.</w:t>
      </w:r>
    </w:p>
    <w:p w14:paraId="1721ED97" w14:textId="77777777" w:rsidR="007B3F76" w:rsidRPr="007B3F76" w:rsidRDefault="007B3F76" w:rsidP="007B3F76">
      <w:pPr>
        <w:spacing w:after="0" w:line="240" w:lineRule="auto"/>
        <w:ind w:firstLine="720"/>
        <w:jc w:val="both"/>
        <w:rPr>
          <w:rFonts w:ascii="Times New Roman" w:hAnsi="Times New Roman" w:cs="Times New Roman"/>
        </w:rPr>
      </w:pPr>
      <w:r w:rsidRPr="007B3F76">
        <w:rPr>
          <w:rFonts w:ascii="Times New Roman" w:hAnsi="Times New Roman" w:cs="Times New Roman"/>
        </w:rPr>
        <w:t>Table 2 presents the percentage of commute trips that included an intermediate stop by commute direction, telecommuting frequency, and day of the week. Several clear patterns emerge. First, stop-making is more common on the return journey from work than on the trip to work. Across all 11,074 commute-day observations, 18.1 percent of H-to-W trips included an intermediate stop, compared with 24.1 percent of W-to-H trips. This directional difference is evident on every day of the week in the full sample. For example, the corresponding rates are 18.7 and 24.7 percent on Monday, 18.0 and 28.5 percent on Friday, and 25.0 and 32.6 percent on Saturday. The pattern is behaviorally intuitive because the trip to work is generally constrained by workplace arrival requirements, whereas the return journey offers greater flexibility to accommodate shopping, errands, chauffeuring, and other non-work activities.</w:t>
      </w:r>
    </w:p>
    <w:p w14:paraId="0BA4799F" w14:textId="77777777" w:rsidR="007B3F76" w:rsidRPr="007B3F76" w:rsidRDefault="007B3F76" w:rsidP="007B3F76">
      <w:pPr>
        <w:spacing w:after="0" w:line="240" w:lineRule="auto"/>
        <w:ind w:firstLine="720"/>
        <w:jc w:val="both"/>
        <w:rPr>
          <w:rFonts w:ascii="Times New Roman" w:hAnsi="Times New Roman" w:cs="Times New Roman"/>
        </w:rPr>
      </w:pPr>
      <w:r w:rsidRPr="007B3F76">
        <w:rPr>
          <w:rFonts w:ascii="Times New Roman" w:hAnsi="Times New Roman" w:cs="Times New Roman"/>
        </w:rPr>
        <w:t xml:space="preserve">Second, stop-making increases markedly with telecommuting frequency. Among workers who did not telecommute, 14.0 percent of H-to-W trips and 20.2 percent of W-to-H trips included a stop. These rates rise to 26.5 and 32.0 percent among workers who telecommuted one or two days during the week and to 33.8 and 39.4 percent among those who telecommuted three or four days. The highest-frequency telecommuting group exhibits stop-making rates of 77.2 percent in </w:t>
      </w:r>
      <w:r w:rsidRPr="007B3F76">
        <w:rPr>
          <w:rFonts w:ascii="Times New Roman" w:hAnsi="Times New Roman" w:cs="Times New Roman"/>
        </w:rPr>
        <w:lastRenderedPageBreak/>
        <w:t>both directions. Although this final segment is based on only 101 commute-day observations and should therefore be interpreted cautiously, the broader progression across telecommuting categories is striking. The descriptive evidence suggests that workers who telecommute more frequently are more likely to incorporate non-work activities into the workplace commute trips they make. This may reflect greater schedule flexibility, a tendency to consolidate activities into fewer workplace days, or other differences between telecommuters and workers who commute every workday. The descriptive statistics alone cannot distinguish among these explanations.</w:t>
      </w:r>
    </w:p>
    <w:p w14:paraId="3EF4ECA4" w14:textId="77777777" w:rsidR="007B3F76" w:rsidRDefault="007B3F76" w:rsidP="007B3F76">
      <w:pPr>
        <w:spacing w:after="0" w:line="240" w:lineRule="auto"/>
        <w:ind w:firstLine="720"/>
        <w:jc w:val="both"/>
        <w:rPr>
          <w:rFonts w:ascii="Times New Roman" w:hAnsi="Times New Roman" w:cs="Times New Roman"/>
        </w:rPr>
      </w:pPr>
      <w:r w:rsidRPr="007B3F76">
        <w:rPr>
          <w:rFonts w:ascii="Times New Roman" w:hAnsi="Times New Roman" w:cs="Times New Roman"/>
        </w:rPr>
        <w:t>Third, the table reveals meaningful day-of-week variation. In the full sample, stop-making is generally lowest during the middle of the workweek and higher on Friday and Saturday. H-to-W stop-making declines to 16.4 percent on Thursday before rising to 18.0 percent on Friday and 25.0 percent on Saturday. W-to-H stop-making follows a similar pattern, declining to 20.8 percent on Thursday and then increasing to 28.5 percent on Friday and 32.6 percent on Saturday. Among workers who did not telecommute, the W-to-H stop-making rate rises from 18.1 percent on Thursday to 25.9 percent on Friday and 27.4 percent on Saturday. Similar end-of-week increases appear among workers telecommuting one or two days, for whom W-to-H stop-making reaches 36.2 percent on Friday and 45.3 percent on Saturday.</w:t>
      </w:r>
    </w:p>
    <w:p w14:paraId="5AC2FBA9" w14:textId="77777777" w:rsidR="007B3F76" w:rsidRDefault="007B3F76" w:rsidP="007B3F76">
      <w:pPr>
        <w:spacing w:after="0" w:line="240" w:lineRule="auto"/>
        <w:jc w:val="both"/>
        <w:rPr>
          <w:rFonts w:ascii="Times New Roman" w:hAnsi="Times New Roman" w:cs="Times New Roman"/>
        </w:rPr>
      </w:pPr>
    </w:p>
    <w:p w14:paraId="226F08C6" w14:textId="7535FD2A" w:rsidR="007B3F76" w:rsidRDefault="00F52E8D" w:rsidP="003F5ECA">
      <w:pPr>
        <w:spacing w:after="0" w:line="240" w:lineRule="auto"/>
        <w:jc w:val="both"/>
        <w:rPr>
          <w:rFonts w:ascii="Times New Roman" w:hAnsi="Times New Roman" w:cs="Times New Roman"/>
        </w:rPr>
      </w:pPr>
      <w:r w:rsidRPr="00F52E8D">
        <w:rPr>
          <w:rFonts w:ascii="Times New Roman" w:hAnsi="Times New Roman" w:cs="Times New Roman"/>
          <w:b/>
          <w:bCs/>
          <w:color w:val="000000" w:themeColor="text1"/>
          <w:sz w:val="22"/>
          <w:szCs w:val="22"/>
        </w:rPr>
        <w:t>T</w:t>
      </w:r>
      <w:r>
        <w:rPr>
          <w:rFonts w:ascii="Times New Roman" w:hAnsi="Times New Roman" w:cs="Times New Roman"/>
          <w:b/>
          <w:bCs/>
          <w:color w:val="000000" w:themeColor="text1"/>
          <w:sz w:val="22"/>
          <w:szCs w:val="22"/>
        </w:rPr>
        <w:t>able 2:</w:t>
      </w:r>
      <w:r w:rsidRPr="00F52E8D">
        <w:rPr>
          <w:rFonts w:ascii="Times New Roman" w:hAnsi="Times New Roman" w:cs="Times New Roman"/>
          <w:b/>
          <w:bCs/>
          <w:color w:val="000000" w:themeColor="text1"/>
          <w:sz w:val="22"/>
          <w:szCs w:val="22"/>
        </w:rPr>
        <w:t xml:space="preserve"> Percent of Commute Trips with Intermediate Stops by Telecommuting Frequency and Day of the Week</w:t>
      </w:r>
    </w:p>
    <w:tbl>
      <w:tblPr>
        <w:tblW w:w="5000" w:type="pct"/>
        <w:tblCellMar>
          <w:left w:w="29" w:type="dxa"/>
          <w:right w:w="0" w:type="dxa"/>
        </w:tblCellMar>
        <w:tblLook w:val="04A0" w:firstRow="1" w:lastRow="0" w:firstColumn="1" w:lastColumn="0" w:noHBand="0" w:noVBand="1"/>
      </w:tblPr>
      <w:tblGrid>
        <w:gridCol w:w="1238"/>
        <w:gridCol w:w="1259"/>
        <w:gridCol w:w="810"/>
        <w:gridCol w:w="810"/>
        <w:gridCol w:w="1079"/>
        <w:gridCol w:w="900"/>
        <w:gridCol w:w="721"/>
        <w:gridCol w:w="900"/>
        <w:gridCol w:w="818"/>
        <w:gridCol w:w="779"/>
      </w:tblGrid>
      <w:tr w:rsidR="003F5ECA" w:rsidRPr="003F5ECA" w14:paraId="4708DF04" w14:textId="77777777" w:rsidTr="003F5ECA">
        <w:trPr>
          <w:trHeight w:val="144"/>
        </w:trPr>
        <w:tc>
          <w:tcPr>
            <w:tcW w:w="665" w:type="pct"/>
            <w:tcBorders>
              <w:top w:val="single" w:sz="18" w:space="0" w:color="auto"/>
              <w:left w:val="single" w:sz="18" w:space="0" w:color="auto"/>
              <w:bottom w:val="single" w:sz="18" w:space="0" w:color="auto"/>
              <w:right w:val="single" w:sz="18" w:space="0" w:color="auto"/>
            </w:tcBorders>
            <w:vAlign w:val="center"/>
            <w:hideMark/>
          </w:tcPr>
          <w:p w14:paraId="3BF370C6" w14:textId="77777777" w:rsidR="003F5ECA" w:rsidRPr="003F5ECA" w:rsidRDefault="003F5ECA" w:rsidP="003F5ECA">
            <w:pPr>
              <w:spacing w:after="0" w:line="240" w:lineRule="auto"/>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Segment</w:t>
            </w:r>
          </w:p>
        </w:tc>
        <w:tc>
          <w:tcPr>
            <w:tcW w:w="676" w:type="pct"/>
            <w:tcBorders>
              <w:top w:val="single" w:sz="18" w:space="0" w:color="auto"/>
              <w:left w:val="single" w:sz="18" w:space="0" w:color="auto"/>
              <w:bottom w:val="single" w:sz="18" w:space="0" w:color="auto"/>
              <w:right w:val="single" w:sz="18" w:space="0" w:color="auto"/>
            </w:tcBorders>
            <w:vAlign w:val="center"/>
            <w:hideMark/>
          </w:tcPr>
          <w:p w14:paraId="053A230A" w14:textId="77777777" w:rsidR="003F5ECA" w:rsidRPr="003F5ECA" w:rsidRDefault="003F5ECA" w:rsidP="003F5ECA">
            <w:pPr>
              <w:spacing w:after="0" w:line="240" w:lineRule="auto"/>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Trip purpose</w:t>
            </w:r>
          </w:p>
        </w:tc>
        <w:tc>
          <w:tcPr>
            <w:tcW w:w="435" w:type="pct"/>
            <w:tcBorders>
              <w:top w:val="single" w:sz="18" w:space="0" w:color="auto"/>
              <w:left w:val="single" w:sz="18" w:space="0" w:color="auto"/>
              <w:bottom w:val="single" w:sz="18" w:space="0" w:color="auto"/>
              <w:right w:val="single" w:sz="4" w:space="0" w:color="D9D9D9"/>
            </w:tcBorders>
            <w:vAlign w:val="center"/>
            <w:hideMark/>
          </w:tcPr>
          <w:p w14:paraId="225EF892"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Monday</w:t>
            </w:r>
          </w:p>
        </w:tc>
        <w:tc>
          <w:tcPr>
            <w:tcW w:w="435" w:type="pct"/>
            <w:tcBorders>
              <w:top w:val="single" w:sz="18" w:space="0" w:color="auto"/>
              <w:left w:val="single" w:sz="4" w:space="0" w:color="D9D9D9"/>
              <w:bottom w:val="single" w:sz="18" w:space="0" w:color="auto"/>
              <w:right w:val="single" w:sz="4" w:space="0" w:color="D9D9D9"/>
            </w:tcBorders>
            <w:vAlign w:val="center"/>
            <w:hideMark/>
          </w:tcPr>
          <w:p w14:paraId="3072CCE3"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Tuesday</w:t>
            </w:r>
          </w:p>
        </w:tc>
        <w:tc>
          <w:tcPr>
            <w:tcW w:w="579" w:type="pct"/>
            <w:tcBorders>
              <w:top w:val="single" w:sz="18" w:space="0" w:color="auto"/>
              <w:left w:val="single" w:sz="4" w:space="0" w:color="D9D9D9"/>
              <w:bottom w:val="single" w:sz="18" w:space="0" w:color="auto"/>
              <w:right w:val="single" w:sz="4" w:space="0" w:color="D9D9D9"/>
            </w:tcBorders>
            <w:vAlign w:val="center"/>
            <w:hideMark/>
          </w:tcPr>
          <w:p w14:paraId="3F2ADDC2"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Wednesday</w:t>
            </w:r>
          </w:p>
        </w:tc>
        <w:tc>
          <w:tcPr>
            <w:tcW w:w="483" w:type="pct"/>
            <w:tcBorders>
              <w:top w:val="single" w:sz="18" w:space="0" w:color="auto"/>
              <w:left w:val="single" w:sz="4" w:space="0" w:color="D9D9D9"/>
              <w:bottom w:val="single" w:sz="18" w:space="0" w:color="auto"/>
              <w:right w:val="single" w:sz="4" w:space="0" w:color="D9D9D9"/>
            </w:tcBorders>
            <w:vAlign w:val="center"/>
            <w:hideMark/>
          </w:tcPr>
          <w:p w14:paraId="6A8A2547"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Thursday</w:t>
            </w:r>
          </w:p>
        </w:tc>
        <w:tc>
          <w:tcPr>
            <w:tcW w:w="387" w:type="pct"/>
            <w:tcBorders>
              <w:top w:val="single" w:sz="18" w:space="0" w:color="auto"/>
              <w:left w:val="single" w:sz="4" w:space="0" w:color="D9D9D9"/>
              <w:bottom w:val="single" w:sz="18" w:space="0" w:color="auto"/>
              <w:right w:val="single" w:sz="4" w:space="0" w:color="D9D9D9"/>
            </w:tcBorders>
            <w:vAlign w:val="center"/>
            <w:hideMark/>
          </w:tcPr>
          <w:p w14:paraId="50C511C6"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Friday</w:t>
            </w:r>
          </w:p>
        </w:tc>
        <w:tc>
          <w:tcPr>
            <w:tcW w:w="483" w:type="pct"/>
            <w:tcBorders>
              <w:top w:val="single" w:sz="18" w:space="0" w:color="auto"/>
              <w:left w:val="single" w:sz="4" w:space="0" w:color="D9D9D9"/>
              <w:bottom w:val="single" w:sz="18" w:space="0" w:color="auto"/>
              <w:right w:val="single" w:sz="4" w:space="0" w:color="D9D9D9"/>
            </w:tcBorders>
            <w:vAlign w:val="center"/>
            <w:hideMark/>
          </w:tcPr>
          <w:p w14:paraId="3347B1DF"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Saturday</w:t>
            </w:r>
          </w:p>
        </w:tc>
        <w:tc>
          <w:tcPr>
            <w:tcW w:w="439" w:type="pct"/>
            <w:tcBorders>
              <w:top w:val="single" w:sz="18" w:space="0" w:color="auto"/>
              <w:left w:val="single" w:sz="4" w:space="0" w:color="D9D9D9"/>
              <w:bottom w:val="single" w:sz="18" w:space="0" w:color="auto"/>
              <w:right w:val="single" w:sz="18" w:space="0" w:color="auto"/>
            </w:tcBorders>
            <w:vAlign w:val="center"/>
            <w:hideMark/>
          </w:tcPr>
          <w:p w14:paraId="607F82CA"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Sunday</w:t>
            </w:r>
          </w:p>
        </w:tc>
        <w:tc>
          <w:tcPr>
            <w:tcW w:w="418" w:type="pct"/>
            <w:tcBorders>
              <w:top w:val="single" w:sz="18" w:space="0" w:color="auto"/>
              <w:left w:val="single" w:sz="4" w:space="0" w:color="D9D9D9"/>
              <w:bottom w:val="single" w:sz="18" w:space="0" w:color="auto"/>
              <w:right w:val="single" w:sz="18" w:space="0" w:color="auto"/>
            </w:tcBorders>
            <w:vAlign w:val="center"/>
          </w:tcPr>
          <w:p w14:paraId="16C963DD" w14:textId="77777777" w:rsidR="003F5ECA" w:rsidRPr="003F5ECA" w:rsidRDefault="003F5ECA" w:rsidP="003F5ECA">
            <w:pPr>
              <w:spacing w:after="0" w:line="240" w:lineRule="auto"/>
              <w:jc w:val="center"/>
              <w:rPr>
                <w:rFonts w:ascii="Times New Roman" w:eastAsia="Times New Roman" w:hAnsi="Times New Roman" w:cs="Times New Roman"/>
                <w:b/>
                <w:bCs/>
                <w:color w:val="000000"/>
                <w:kern w:val="0"/>
                <w:sz w:val="20"/>
                <w:szCs w:val="20"/>
                <w14:ligatures w14:val="none"/>
              </w:rPr>
            </w:pPr>
            <w:r w:rsidRPr="003F5ECA">
              <w:rPr>
                <w:rFonts w:ascii="Times New Roman" w:eastAsia="Times New Roman" w:hAnsi="Times New Roman" w:cs="Times New Roman"/>
                <w:b/>
                <w:bCs/>
                <w:color w:val="000000"/>
                <w:kern w:val="0"/>
                <w:sz w:val="20"/>
                <w:szCs w:val="20"/>
                <w14:ligatures w14:val="none"/>
              </w:rPr>
              <w:t>Weekly</w:t>
            </w:r>
          </w:p>
        </w:tc>
      </w:tr>
      <w:tr w:rsidR="003F5ECA" w:rsidRPr="003F5ECA" w14:paraId="64BDB7C3" w14:textId="77777777" w:rsidTr="003F5ECA">
        <w:trPr>
          <w:trHeight w:val="144"/>
        </w:trPr>
        <w:tc>
          <w:tcPr>
            <w:tcW w:w="665" w:type="pct"/>
            <w:vMerge w:val="restart"/>
            <w:tcBorders>
              <w:top w:val="single" w:sz="18" w:space="0" w:color="auto"/>
              <w:left w:val="single" w:sz="18" w:space="0" w:color="auto"/>
              <w:right w:val="single" w:sz="18" w:space="0" w:color="auto"/>
            </w:tcBorders>
            <w:vAlign w:val="center"/>
            <w:hideMark/>
          </w:tcPr>
          <w:p w14:paraId="3A606C1A"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0 days telecommute</w:t>
            </w:r>
          </w:p>
        </w:tc>
        <w:tc>
          <w:tcPr>
            <w:tcW w:w="676" w:type="pct"/>
            <w:tcBorders>
              <w:top w:val="single" w:sz="18" w:space="0" w:color="auto"/>
              <w:left w:val="single" w:sz="18" w:space="0" w:color="auto"/>
              <w:bottom w:val="single" w:sz="4" w:space="0" w:color="D9D9D9"/>
              <w:right w:val="single" w:sz="18" w:space="0" w:color="auto"/>
            </w:tcBorders>
            <w:vAlign w:val="center"/>
            <w:hideMark/>
          </w:tcPr>
          <w:p w14:paraId="201FFE82"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H-to-W</w:t>
            </w:r>
          </w:p>
        </w:tc>
        <w:tc>
          <w:tcPr>
            <w:tcW w:w="435" w:type="pct"/>
            <w:tcBorders>
              <w:top w:val="nil"/>
              <w:left w:val="nil"/>
              <w:bottom w:val="single" w:sz="8" w:space="0" w:color="D9D9D9"/>
              <w:right w:val="single" w:sz="8" w:space="0" w:color="D9D9D9"/>
            </w:tcBorders>
            <w:shd w:val="clear" w:color="000000" w:fill="F8696B"/>
            <w:vAlign w:val="center"/>
          </w:tcPr>
          <w:p w14:paraId="06738BA2"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13.0</w:t>
            </w:r>
          </w:p>
        </w:tc>
        <w:tc>
          <w:tcPr>
            <w:tcW w:w="435" w:type="pct"/>
            <w:tcBorders>
              <w:top w:val="nil"/>
              <w:left w:val="nil"/>
              <w:bottom w:val="single" w:sz="8" w:space="0" w:color="D9D9D9"/>
              <w:right w:val="single" w:sz="8" w:space="0" w:color="D9D9D9"/>
            </w:tcBorders>
            <w:shd w:val="clear" w:color="000000" w:fill="F86D6B"/>
            <w:vAlign w:val="center"/>
          </w:tcPr>
          <w:p w14:paraId="19C0877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13.6</w:t>
            </w:r>
          </w:p>
        </w:tc>
        <w:tc>
          <w:tcPr>
            <w:tcW w:w="579" w:type="pct"/>
            <w:tcBorders>
              <w:top w:val="nil"/>
              <w:left w:val="nil"/>
              <w:bottom w:val="single" w:sz="8" w:space="0" w:color="D9D9D9"/>
              <w:right w:val="single" w:sz="8" w:space="0" w:color="D9D9D9"/>
            </w:tcBorders>
            <w:shd w:val="clear" w:color="000000" w:fill="F8746D"/>
            <w:vAlign w:val="center"/>
          </w:tcPr>
          <w:p w14:paraId="0A1AA4C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14.4</w:t>
            </w:r>
          </w:p>
        </w:tc>
        <w:tc>
          <w:tcPr>
            <w:tcW w:w="483" w:type="pct"/>
            <w:tcBorders>
              <w:top w:val="nil"/>
              <w:left w:val="nil"/>
              <w:bottom w:val="single" w:sz="8" w:space="0" w:color="D9D9D9"/>
              <w:right w:val="single" w:sz="8" w:space="0" w:color="D9D9D9"/>
            </w:tcBorders>
            <w:shd w:val="clear" w:color="000000" w:fill="F86C6B"/>
            <w:vAlign w:val="center"/>
          </w:tcPr>
          <w:p w14:paraId="3B2F012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13.4</w:t>
            </w:r>
          </w:p>
        </w:tc>
        <w:tc>
          <w:tcPr>
            <w:tcW w:w="387" w:type="pct"/>
            <w:tcBorders>
              <w:top w:val="nil"/>
              <w:left w:val="nil"/>
              <w:bottom w:val="single" w:sz="8" w:space="0" w:color="D9D9D9"/>
              <w:right w:val="single" w:sz="8" w:space="0" w:color="D9D9D9"/>
            </w:tcBorders>
            <w:shd w:val="clear" w:color="000000" w:fill="F8726C"/>
            <w:vAlign w:val="center"/>
          </w:tcPr>
          <w:p w14:paraId="154C7091"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14.2</w:t>
            </w:r>
          </w:p>
        </w:tc>
        <w:tc>
          <w:tcPr>
            <w:tcW w:w="483" w:type="pct"/>
            <w:tcBorders>
              <w:top w:val="nil"/>
              <w:left w:val="nil"/>
              <w:bottom w:val="single" w:sz="8" w:space="0" w:color="D9D9D9"/>
              <w:right w:val="single" w:sz="8" w:space="0" w:color="D9D9D9"/>
            </w:tcBorders>
            <w:shd w:val="clear" w:color="000000" w:fill="FA9A74"/>
            <w:vAlign w:val="center"/>
          </w:tcPr>
          <w:p w14:paraId="3087290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19.3</w:t>
            </w:r>
          </w:p>
        </w:tc>
        <w:tc>
          <w:tcPr>
            <w:tcW w:w="439" w:type="pct"/>
            <w:tcBorders>
              <w:top w:val="nil"/>
              <w:left w:val="nil"/>
              <w:bottom w:val="single" w:sz="8" w:space="0" w:color="D9D9D9"/>
              <w:right w:val="single" w:sz="18" w:space="0" w:color="auto"/>
            </w:tcBorders>
            <w:shd w:val="clear" w:color="000000" w:fill="F8726C"/>
            <w:vAlign w:val="center"/>
          </w:tcPr>
          <w:p w14:paraId="4C3D5D1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14.2</w:t>
            </w:r>
          </w:p>
        </w:tc>
        <w:tc>
          <w:tcPr>
            <w:tcW w:w="418" w:type="pct"/>
            <w:tcBorders>
              <w:top w:val="nil"/>
              <w:left w:val="single" w:sz="18" w:space="0" w:color="auto"/>
              <w:bottom w:val="single" w:sz="8" w:space="0" w:color="D9D9D9"/>
              <w:right w:val="single" w:sz="18" w:space="0" w:color="auto"/>
            </w:tcBorders>
            <w:shd w:val="clear" w:color="000000" w:fill="F8706C"/>
            <w:vAlign w:val="center"/>
          </w:tcPr>
          <w:p w14:paraId="6928FEA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14.0</w:t>
            </w:r>
          </w:p>
        </w:tc>
      </w:tr>
      <w:tr w:rsidR="003F5ECA" w:rsidRPr="003F5ECA" w14:paraId="5159206E" w14:textId="77777777" w:rsidTr="003F5ECA">
        <w:trPr>
          <w:trHeight w:val="144"/>
        </w:trPr>
        <w:tc>
          <w:tcPr>
            <w:tcW w:w="665" w:type="pct"/>
            <w:vMerge/>
            <w:tcBorders>
              <w:left w:val="single" w:sz="18" w:space="0" w:color="auto"/>
              <w:right w:val="single" w:sz="18" w:space="0" w:color="auto"/>
            </w:tcBorders>
            <w:vAlign w:val="center"/>
            <w:hideMark/>
          </w:tcPr>
          <w:p w14:paraId="5D3F9A0A"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D9D9D9"/>
              <w:right w:val="single" w:sz="18" w:space="0" w:color="auto"/>
            </w:tcBorders>
            <w:vAlign w:val="center"/>
            <w:hideMark/>
          </w:tcPr>
          <w:p w14:paraId="6C05688B"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W-to-H</w:t>
            </w:r>
          </w:p>
        </w:tc>
        <w:tc>
          <w:tcPr>
            <w:tcW w:w="435" w:type="pct"/>
            <w:tcBorders>
              <w:top w:val="nil"/>
              <w:left w:val="nil"/>
              <w:bottom w:val="single" w:sz="8" w:space="0" w:color="D9D9D9"/>
              <w:right w:val="single" w:sz="8" w:space="0" w:color="D9D9D9"/>
            </w:tcBorders>
            <w:shd w:val="clear" w:color="000000" w:fill="FA9373"/>
            <w:vAlign w:val="center"/>
          </w:tcPr>
          <w:p w14:paraId="2688807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18.4</w:t>
            </w:r>
          </w:p>
        </w:tc>
        <w:tc>
          <w:tcPr>
            <w:tcW w:w="435" w:type="pct"/>
            <w:tcBorders>
              <w:top w:val="nil"/>
              <w:left w:val="nil"/>
              <w:bottom w:val="single" w:sz="8" w:space="0" w:color="D9D9D9"/>
              <w:right w:val="single" w:sz="8" w:space="0" w:color="D9D9D9"/>
            </w:tcBorders>
            <w:shd w:val="clear" w:color="000000" w:fill="F98A71"/>
            <w:vAlign w:val="center"/>
          </w:tcPr>
          <w:p w14:paraId="5DB4A19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17.3</w:t>
            </w:r>
          </w:p>
        </w:tc>
        <w:tc>
          <w:tcPr>
            <w:tcW w:w="579" w:type="pct"/>
            <w:tcBorders>
              <w:top w:val="nil"/>
              <w:left w:val="nil"/>
              <w:bottom w:val="single" w:sz="8" w:space="0" w:color="D9D9D9"/>
              <w:right w:val="single" w:sz="8" w:space="0" w:color="D9D9D9"/>
            </w:tcBorders>
            <w:shd w:val="clear" w:color="000000" w:fill="FA9B74"/>
            <w:vAlign w:val="center"/>
          </w:tcPr>
          <w:p w14:paraId="75A88B6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19.4</w:t>
            </w:r>
          </w:p>
        </w:tc>
        <w:tc>
          <w:tcPr>
            <w:tcW w:w="483" w:type="pct"/>
            <w:tcBorders>
              <w:top w:val="nil"/>
              <w:left w:val="nil"/>
              <w:bottom w:val="single" w:sz="8" w:space="0" w:color="D9D9D9"/>
              <w:right w:val="single" w:sz="8" w:space="0" w:color="D9D9D9"/>
            </w:tcBorders>
            <w:shd w:val="clear" w:color="000000" w:fill="FA9172"/>
            <w:vAlign w:val="center"/>
          </w:tcPr>
          <w:p w14:paraId="5DF7DA6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18.1</w:t>
            </w:r>
          </w:p>
        </w:tc>
        <w:tc>
          <w:tcPr>
            <w:tcW w:w="387" w:type="pct"/>
            <w:tcBorders>
              <w:top w:val="nil"/>
              <w:left w:val="nil"/>
              <w:bottom w:val="single" w:sz="8" w:space="0" w:color="D9D9D9"/>
              <w:right w:val="single" w:sz="8" w:space="0" w:color="D9D9D9"/>
            </w:tcBorders>
            <w:shd w:val="clear" w:color="000000" w:fill="FDCE7E"/>
            <w:vAlign w:val="center"/>
          </w:tcPr>
          <w:p w14:paraId="0883B83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25.9</w:t>
            </w:r>
          </w:p>
        </w:tc>
        <w:tc>
          <w:tcPr>
            <w:tcW w:w="483" w:type="pct"/>
            <w:tcBorders>
              <w:top w:val="nil"/>
              <w:left w:val="nil"/>
              <w:bottom w:val="single" w:sz="8" w:space="0" w:color="D9D9D9"/>
              <w:right w:val="single" w:sz="8" w:space="0" w:color="D9D9D9"/>
            </w:tcBorders>
            <w:shd w:val="clear" w:color="000000" w:fill="FEDA80"/>
            <w:vAlign w:val="center"/>
          </w:tcPr>
          <w:p w14:paraId="403E819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27.4</w:t>
            </w:r>
          </w:p>
        </w:tc>
        <w:tc>
          <w:tcPr>
            <w:tcW w:w="439" w:type="pct"/>
            <w:tcBorders>
              <w:top w:val="nil"/>
              <w:left w:val="nil"/>
              <w:bottom w:val="single" w:sz="8" w:space="0" w:color="D9D9D9"/>
              <w:right w:val="single" w:sz="18" w:space="0" w:color="auto"/>
            </w:tcBorders>
            <w:shd w:val="clear" w:color="000000" w:fill="FBAD78"/>
            <w:vAlign w:val="center"/>
          </w:tcPr>
          <w:p w14:paraId="38FEBB3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21.7</w:t>
            </w:r>
          </w:p>
        </w:tc>
        <w:tc>
          <w:tcPr>
            <w:tcW w:w="418" w:type="pct"/>
            <w:tcBorders>
              <w:top w:val="nil"/>
              <w:left w:val="single" w:sz="18" w:space="0" w:color="auto"/>
              <w:bottom w:val="single" w:sz="8" w:space="0" w:color="D9D9D9"/>
              <w:right w:val="single" w:sz="18" w:space="0" w:color="auto"/>
            </w:tcBorders>
            <w:shd w:val="clear" w:color="000000" w:fill="FBA175"/>
            <w:vAlign w:val="center"/>
          </w:tcPr>
          <w:p w14:paraId="1F606D98"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20.2</w:t>
            </w:r>
          </w:p>
        </w:tc>
      </w:tr>
      <w:tr w:rsidR="003F5ECA" w:rsidRPr="003F5ECA" w14:paraId="157C4204" w14:textId="77777777" w:rsidTr="003F5ECA">
        <w:trPr>
          <w:trHeight w:val="144"/>
        </w:trPr>
        <w:tc>
          <w:tcPr>
            <w:tcW w:w="665" w:type="pct"/>
            <w:vMerge/>
            <w:tcBorders>
              <w:left w:val="single" w:sz="18" w:space="0" w:color="auto"/>
              <w:bottom w:val="single" w:sz="4" w:space="0" w:color="auto"/>
              <w:right w:val="single" w:sz="18" w:space="0" w:color="auto"/>
            </w:tcBorders>
            <w:vAlign w:val="center"/>
          </w:tcPr>
          <w:p w14:paraId="633E0F59"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auto"/>
              <w:right w:val="single" w:sz="18" w:space="0" w:color="auto"/>
            </w:tcBorders>
            <w:vAlign w:val="center"/>
          </w:tcPr>
          <w:p w14:paraId="5EDFBF0B" w14:textId="77777777" w:rsidR="003F5ECA" w:rsidRPr="003F5ECA" w:rsidRDefault="003F5ECA" w:rsidP="003F5ECA">
            <w:pPr>
              <w:spacing w:after="0" w:line="240" w:lineRule="auto"/>
              <w:rPr>
                <w:rFonts w:ascii="Times New Roman" w:eastAsia="Times New Roman" w:hAnsi="Times New Roman" w:cs="Times New Roman"/>
                <w:i/>
                <w:iCs/>
                <w:color w:val="000000"/>
                <w:kern w:val="0"/>
                <w:sz w:val="20"/>
                <w:szCs w:val="20"/>
                <w14:ligatures w14:val="none"/>
              </w:rPr>
            </w:pPr>
            <w:r w:rsidRPr="003F5ECA">
              <w:rPr>
                <w:rFonts w:ascii="Times New Roman" w:eastAsia="Times New Roman" w:hAnsi="Times New Roman" w:cs="Times New Roman"/>
                <w:i/>
                <w:iCs/>
                <w:color w:val="000000"/>
                <w:kern w:val="0"/>
                <w:sz w:val="20"/>
                <w:szCs w:val="20"/>
                <w14:ligatures w14:val="none"/>
              </w:rPr>
              <w:t>Sample size</w:t>
            </w:r>
          </w:p>
        </w:tc>
        <w:tc>
          <w:tcPr>
            <w:tcW w:w="435" w:type="pct"/>
            <w:tcBorders>
              <w:top w:val="nil"/>
              <w:left w:val="nil"/>
              <w:bottom w:val="single" w:sz="8" w:space="0" w:color="auto"/>
              <w:right w:val="single" w:sz="8" w:space="0" w:color="D9D9D9"/>
            </w:tcBorders>
            <w:vAlign w:val="center"/>
          </w:tcPr>
          <w:p w14:paraId="48B0F08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1,506</w:t>
            </w:r>
          </w:p>
        </w:tc>
        <w:tc>
          <w:tcPr>
            <w:tcW w:w="435" w:type="pct"/>
            <w:tcBorders>
              <w:top w:val="nil"/>
              <w:left w:val="nil"/>
              <w:bottom w:val="single" w:sz="8" w:space="0" w:color="auto"/>
              <w:right w:val="single" w:sz="8" w:space="0" w:color="D9D9D9"/>
            </w:tcBorders>
            <w:vAlign w:val="center"/>
          </w:tcPr>
          <w:p w14:paraId="470905B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1,538</w:t>
            </w:r>
          </w:p>
        </w:tc>
        <w:tc>
          <w:tcPr>
            <w:tcW w:w="579" w:type="pct"/>
            <w:tcBorders>
              <w:top w:val="nil"/>
              <w:left w:val="nil"/>
              <w:bottom w:val="single" w:sz="8" w:space="0" w:color="auto"/>
              <w:right w:val="single" w:sz="8" w:space="0" w:color="D9D9D9"/>
            </w:tcBorders>
            <w:vAlign w:val="center"/>
          </w:tcPr>
          <w:p w14:paraId="402E56E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1,524</w:t>
            </w:r>
          </w:p>
        </w:tc>
        <w:tc>
          <w:tcPr>
            <w:tcW w:w="483" w:type="pct"/>
            <w:tcBorders>
              <w:top w:val="nil"/>
              <w:left w:val="nil"/>
              <w:bottom w:val="single" w:sz="8" w:space="0" w:color="auto"/>
              <w:right w:val="single" w:sz="8" w:space="0" w:color="D9D9D9"/>
            </w:tcBorders>
            <w:vAlign w:val="center"/>
          </w:tcPr>
          <w:p w14:paraId="4CC82EE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1,507</w:t>
            </w:r>
          </w:p>
        </w:tc>
        <w:tc>
          <w:tcPr>
            <w:tcW w:w="387" w:type="pct"/>
            <w:tcBorders>
              <w:top w:val="nil"/>
              <w:left w:val="nil"/>
              <w:bottom w:val="single" w:sz="8" w:space="0" w:color="auto"/>
              <w:right w:val="single" w:sz="8" w:space="0" w:color="D9D9D9"/>
            </w:tcBorders>
            <w:vAlign w:val="center"/>
          </w:tcPr>
          <w:p w14:paraId="36BB8DF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1,470</w:t>
            </w:r>
          </w:p>
        </w:tc>
        <w:tc>
          <w:tcPr>
            <w:tcW w:w="483" w:type="pct"/>
            <w:tcBorders>
              <w:top w:val="nil"/>
              <w:left w:val="nil"/>
              <w:bottom w:val="single" w:sz="8" w:space="0" w:color="auto"/>
              <w:right w:val="single" w:sz="8" w:space="0" w:color="D9D9D9"/>
            </w:tcBorders>
            <w:vAlign w:val="center"/>
          </w:tcPr>
          <w:p w14:paraId="5440F10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424</w:t>
            </w:r>
          </w:p>
        </w:tc>
        <w:tc>
          <w:tcPr>
            <w:tcW w:w="439" w:type="pct"/>
            <w:tcBorders>
              <w:top w:val="nil"/>
              <w:left w:val="nil"/>
              <w:bottom w:val="single" w:sz="8" w:space="0" w:color="auto"/>
              <w:right w:val="single" w:sz="18" w:space="0" w:color="auto"/>
            </w:tcBorders>
            <w:vAlign w:val="center"/>
          </w:tcPr>
          <w:p w14:paraId="5A6A6B6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254</w:t>
            </w:r>
          </w:p>
        </w:tc>
        <w:tc>
          <w:tcPr>
            <w:tcW w:w="418" w:type="pct"/>
            <w:tcBorders>
              <w:top w:val="nil"/>
              <w:left w:val="single" w:sz="18" w:space="0" w:color="auto"/>
              <w:bottom w:val="single" w:sz="8" w:space="0" w:color="auto"/>
              <w:right w:val="single" w:sz="18" w:space="0" w:color="auto"/>
            </w:tcBorders>
            <w:vAlign w:val="center"/>
          </w:tcPr>
          <w:p w14:paraId="3FA76FE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8,223</w:t>
            </w:r>
          </w:p>
        </w:tc>
      </w:tr>
      <w:tr w:rsidR="003F5ECA" w:rsidRPr="003F5ECA" w14:paraId="43595D30" w14:textId="77777777" w:rsidTr="003F5ECA">
        <w:trPr>
          <w:trHeight w:val="144"/>
        </w:trPr>
        <w:tc>
          <w:tcPr>
            <w:tcW w:w="665" w:type="pct"/>
            <w:vMerge w:val="restart"/>
            <w:tcBorders>
              <w:top w:val="single" w:sz="4" w:space="0" w:color="auto"/>
              <w:left w:val="single" w:sz="18" w:space="0" w:color="auto"/>
              <w:right w:val="single" w:sz="18" w:space="0" w:color="auto"/>
            </w:tcBorders>
            <w:vAlign w:val="center"/>
            <w:hideMark/>
          </w:tcPr>
          <w:p w14:paraId="5AFD522B"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1-2 days telecommute</w:t>
            </w:r>
          </w:p>
          <w:p w14:paraId="434616BC"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auto"/>
              <w:left w:val="single" w:sz="18" w:space="0" w:color="auto"/>
              <w:bottom w:val="single" w:sz="4" w:space="0" w:color="D9D9D9"/>
              <w:right w:val="single" w:sz="18" w:space="0" w:color="auto"/>
            </w:tcBorders>
            <w:vAlign w:val="center"/>
            <w:hideMark/>
          </w:tcPr>
          <w:p w14:paraId="72E2FF56"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H-to-W</w:t>
            </w:r>
          </w:p>
        </w:tc>
        <w:tc>
          <w:tcPr>
            <w:tcW w:w="435" w:type="pct"/>
            <w:tcBorders>
              <w:top w:val="nil"/>
              <w:left w:val="nil"/>
              <w:bottom w:val="single" w:sz="8" w:space="0" w:color="D9D9D9"/>
              <w:right w:val="single" w:sz="8" w:space="0" w:color="D9D9D9"/>
            </w:tcBorders>
            <w:shd w:val="clear" w:color="000000" w:fill="FDCB7D"/>
            <w:vAlign w:val="center"/>
          </w:tcPr>
          <w:p w14:paraId="096A8CAB"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25.5</w:t>
            </w:r>
          </w:p>
        </w:tc>
        <w:tc>
          <w:tcPr>
            <w:tcW w:w="435" w:type="pct"/>
            <w:tcBorders>
              <w:top w:val="nil"/>
              <w:left w:val="nil"/>
              <w:bottom w:val="single" w:sz="8" w:space="0" w:color="D9D9D9"/>
              <w:right w:val="single" w:sz="8" w:space="0" w:color="D9D9D9"/>
            </w:tcBorders>
            <w:shd w:val="clear" w:color="000000" w:fill="FCC57C"/>
            <w:vAlign w:val="center"/>
          </w:tcPr>
          <w:p w14:paraId="57A32A8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24.7</w:t>
            </w:r>
          </w:p>
        </w:tc>
        <w:tc>
          <w:tcPr>
            <w:tcW w:w="579" w:type="pct"/>
            <w:tcBorders>
              <w:top w:val="nil"/>
              <w:left w:val="nil"/>
              <w:bottom w:val="single" w:sz="8" w:space="0" w:color="D9D9D9"/>
              <w:right w:val="single" w:sz="8" w:space="0" w:color="D9D9D9"/>
            </w:tcBorders>
            <w:shd w:val="clear" w:color="000000" w:fill="FEDB80"/>
            <w:vAlign w:val="center"/>
          </w:tcPr>
          <w:p w14:paraId="29A25B0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27.5</w:t>
            </w:r>
          </w:p>
        </w:tc>
        <w:tc>
          <w:tcPr>
            <w:tcW w:w="483" w:type="pct"/>
            <w:tcBorders>
              <w:top w:val="nil"/>
              <w:left w:val="nil"/>
              <w:bottom w:val="single" w:sz="8" w:space="0" w:color="D9D9D9"/>
              <w:right w:val="single" w:sz="8" w:space="0" w:color="D9D9D9"/>
            </w:tcBorders>
            <w:shd w:val="clear" w:color="000000" w:fill="FCBE7B"/>
            <w:vAlign w:val="center"/>
          </w:tcPr>
          <w:p w14:paraId="548BC07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23.9</w:t>
            </w:r>
          </w:p>
        </w:tc>
        <w:tc>
          <w:tcPr>
            <w:tcW w:w="387" w:type="pct"/>
            <w:tcBorders>
              <w:top w:val="nil"/>
              <w:left w:val="nil"/>
              <w:bottom w:val="single" w:sz="8" w:space="0" w:color="D9D9D9"/>
              <w:right w:val="single" w:sz="8" w:space="0" w:color="D9D9D9"/>
            </w:tcBorders>
            <w:shd w:val="clear" w:color="000000" w:fill="FEE382"/>
            <w:vAlign w:val="center"/>
          </w:tcPr>
          <w:p w14:paraId="106263C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28.6</w:t>
            </w:r>
          </w:p>
        </w:tc>
        <w:tc>
          <w:tcPr>
            <w:tcW w:w="483" w:type="pct"/>
            <w:tcBorders>
              <w:top w:val="nil"/>
              <w:left w:val="nil"/>
              <w:bottom w:val="single" w:sz="8" w:space="0" w:color="D9D9D9"/>
              <w:right w:val="single" w:sz="8" w:space="0" w:color="D9D9D9"/>
            </w:tcBorders>
            <w:shd w:val="clear" w:color="000000" w:fill="E2E383"/>
            <w:vAlign w:val="center"/>
          </w:tcPr>
          <w:p w14:paraId="299B848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41.3</w:t>
            </w:r>
          </w:p>
        </w:tc>
        <w:tc>
          <w:tcPr>
            <w:tcW w:w="439" w:type="pct"/>
            <w:tcBorders>
              <w:top w:val="nil"/>
              <w:left w:val="nil"/>
              <w:bottom w:val="single" w:sz="8" w:space="0" w:color="D9D9D9"/>
              <w:right w:val="single" w:sz="18" w:space="0" w:color="auto"/>
            </w:tcBorders>
            <w:shd w:val="clear" w:color="000000" w:fill="F9EA84"/>
            <w:vAlign w:val="center"/>
          </w:tcPr>
          <w:p w14:paraId="4E379C0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32.0</w:t>
            </w:r>
          </w:p>
        </w:tc>
        <w:tc>
          <w:tcPr>
            <w:tcW w:w="418" w:type="pct"/>
            <w:tcBorders>
              <w:top w:val="nil"/>
              <w:left w:val="single" w:sz="18" w:space="0" w:color="auto"/>
              <w:bottom w:val="single" w:sz="8" w:space="0" w:color="D9D9D9"/>
              <w:right w:val="single" w:sz="18" w:space="0" w:color="auto"/>
            </w:tcBorders>
            <w:shd w:val="clear" w:color="000000" w:fill="FDD37F"/>
            <w:vAlign w:val="center"/>
          </w:tcPr>
          <w:p w14:paraId="4668F3A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26.5</w:t>
            </w:r>
          </w:p>
        </w:tc>
      </w:tr>
      <w:tr w:rsidR="003F5ECA" w:rsidRPr="003F5ECA" w14:paraId="03DAD036" w14:textId="77777777" w:rsidTr="003F5ECA">
        <w:trPr>
          <w:trHeight w:val="144"/>
        </w:trPr>
        <w:tc>
          <w:tcPr>
            <w:tcW w:w="665" w:type="pct"/>
            <w:vMerge/>
            <w:tcBorders>
              <w:left w:val="single" w:sz="18" w:space="0" w:color="auto"/>
              <w:right w:val="single" w:sz="18" w:space="0" w:color="auto"/>
            </w:tcBorders>
            <w:vAlign w:val="center"/>
            <w:hideMark/>
          </w:tcPr>
          <w:p w14:paraId="5658C165"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D9D9D9"/>
              <w:right w:val="single" w:sz="18" w:space="0" w:color="auto"/>
            </w:tcBorders>
            <w:vAlign w:val="center"/>
            <w:hideMark/>
          </w:tcPr>
          <w:p w14:paraId="26001A0F"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W-to-H</w:t>
            </w:r>
          </w:p>
        </w:tc>
        <w:tc>
          <w:tcPr>
            <w:tcW w:w="435" w:type="pct"/>
            <w:tcBorders>
              <w:top w:val="nil"/>
              <w:left w:val="nil"/>
              <w:bottom w:val="single" w:sz="8" w:space="0" w:color="D9D9D9"/>
              <w:right w:val="single" w:sz="8" w:space="0" w:color="D9D9D9"/>
            </w:tcBorders>
            <w:shd w:val="clear" w:color="000000" w:fill="F3E884"/>
            <w:vAlign w:val="center"/>
          </w:tcPr>
          <w:p w14:paraId="6CF4672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34.3</w:t>
            </w:r>
          </w:p>
        </w:tc>
        <w:tc>
          <w:tcPr>
            <w:tcW w:w="435" w:type="pct"/>
            <w:tcBorders>
              <w:top w:val="nil"/>
              <w:left w:val="nil"/>
              <w:bottom w:val="single" w:sz="8" w:space="0" w:color="D9D9D9"/>
              <w:right w:val="single" w:sz="8" w:space="0" w:color="D9D9D9"/>
            </w:tcBorders>
            <w:shd w:val="clear" w:color="000000" w:fill="FDEB84"/>
            <w:vAlign w:val="center"/>
          </w:tcPr>
          <w:p w14:paraId="7726E5E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30.4</w:t>
            </w:r>
          </w:p>
        </w:tc>
        <w:tc>
          <w:tcPr>
            <w:tcW w:w="579" w:type="pct"/>
            <w:tcBorders>
              <w:top w:val="nil"/>
              <w:left w:val="nil"/>
              <w:bottom w:val="single" w:sz="8" w:space="0" w:color="D9D9D9"/>
              <w:right w:val="single" w:sz="8" w:space="0" w:color="D9D9D9"/>
            </w:tcBorders>
            <w:shd w:val="clear" w:color="000000" w:fill="F9EA84"/>
            <w:vAlign w:val="center"/>
          </w:tcPr>
          <w:p w14:paraId="2A4E2CA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32.0</w:t>
            </w:r>
          </w:p>
        </w:tc>
        <w:tc>
          <w:tcPr>
            <w:tcW w:w="483" w:type="pct"/>
            <w:tcBorders>
              <w:top w:val="nil"/>
              <w:left w:val="nil"/>
              <w:bottom w:val="single" w:sz="8" w:space="0" w:color="D9D9D9"/>
              <w:right w:val="single" w:sz="8" w:space="0" w:color="D9D9D9"/>
            </w:tcBorders>
            <w:shd w:val="clear" w:color="000000" w:fill="FDCA7D"/>
            <w:vAlign w:val="center"/>
          </w:tcPr>
          <w:p w14:paraId="1414C26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25.4</w:t>
            </w:r>
          </w:p>
        </w:tc>
        <w:tc>
          <w:tcPr>
            <w:tcW w:w="387" w:type="pct"/>
            <w:tcBorders>
              <w:top w:val="nil"/>
              <w:left w:val="nil"/>
              <w:bottom w:val="single" w:sz="8" w:space="0" w:color="D9D9D9"/>
              <w:right w:val="single" w:sz="8" w:space="0" w:color="D9D9D9"/>
            </w:tcBorders>
            <w:shd w:val="clear" w:color="000000" w:fill="EFE784"/>
            <w:vAlign w:val="center"/>
          </w:tcPr>
          <w:p w14:paraId="7B722C2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36.2</w:t>
            </w:r>
          </w:p>
        </w:tc>
        <w:tc>
          <w:tcPr>
            <w:tcW w:w="483" w:type="pct"/>
            <w:tcBorders>
              <w:top w:val="nil"/>
              <w:left w:val="nil"/>
              <w:bottom w:val="single" w:sz="8" w:space="0" w:color="D9D9D9"/>
              <w:right w:val="single" w:sz="8" w:space="0" w:color="D9D9D9"/>
            </w:tcBorders>
            <w:shd w:val="clear" w:color="000000" w:fill="D8E082"/>
            <w:vAlign w:val="center"/>
          </w:tcPr>
          <w:p w14:paraId="6613B17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45.3</w:t>
            </w:r>
          </w:p>
        </w:tc>
        <w:tc>
          <w:tcPr>
            <w:tcW w:w="439" w:type="pct"/>
            <w:tcBorders>
              <w:top w:val="nil"/>
              <w:left w:val="nil"/>
              <w:bottom w:val="single" w:sz="8" w:space="0" w:color="D9D9D9"/>
              <w:right w:val="single" w:sz="18" w:space="0" w:color="auto"/>
            </w:tcBorders>
            <w:shd w:val="clear" w:color="000000" w:fill="F9EA84"/>
            <w:vAlign w:val="center"/>
          </w:tcPr>
          <w:p w14:paraId="1C8D484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32.0</w:t>
            </w:r>
          </w:p>
        </w:tc>
        <w:tc>
          <w:tcPr>
            <w:tcW w:w="418" w:type="pct"/>
            <w:tcBorders>
              <w:top w:val="nil"/>
              <w:left w:val="single" w:sz="18" w:space="0" w:color="auto"/>
              <w:bottom w:val="single" w:sz="8" w:space="0" w:color="D9D9D9"/>
              <w:right w:val="single" w:sz="18" w:space="0" w:color="auto"/>
            </w:tcBorders>
            <w:shd w:val="clear" w:color="000000" w:fill="F9EA84"/>
            <w:vAlign w:val="center"/>
          </w:tcPr>
          <w:p w14:paraId="731B92C7"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32.0</w:t>
            </w:r>
          </w:p>
        </w:tc>
      </w:tr>
      <w:tr w:rsidR="003F5ECA" w:rsidRPr="003F5ECA" w14:paraId="62FC3B46" w14:textId="77777777" w:rsidTr="003F5ECA">
        <w:trPr>
          <w:trHeight w:val="144"/>
        </w:trPr>
        <w:tc>
          <w:tcPr>
            <w:tcW w:w="665" w:type="pct"/>
            <w:vMerge/>
            <w:tcBorders>
              <w:left w:val="single" w:sz="18" w:space="0" w:color="auto"/>
              <w:bottom w:val="single" w:sz="4" w:space="0" w:color="auto"/>
              <w:right w:val="single" w:sz="18" w:space="0" w:color="auto"/>
            </w:tcBorders>
            <w:vAlign w:val="center"/>
          </w:tcPr>
          <w:p w14:paraId="7C725B17"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auto"/>
              <w:right w:val="single" w:sz="18" w:space="0" w:color="auto"/>
            </w:tcBorders>
            <w:vAlign w:val="center"/>
          </w:tcPr>
          <w:p w14:paraId="4A1D7964" w14:textId="77777777" w:rsidR="003F5ECA" w:rsidRPr="003F5ECA" w:rsidRDefault="003F5ECA" w:rsidP="003F5ECA">
            <w:pPr>
              <w:spacing w:after="0" w:line="240" w:lineRule="auto"/>
              <w:rPr>
                <w:rFonts w:ascii="Times New Roman" w:eastAsia="Times New Roman" w:hAnsi="Times New Roman" w:cs="Times New Roman"/>
                <w:i/>
                <w:iCs/>
                <w:color w:val="000000"/>
                <w:kern w:val="0"/>
                <w:sz w:val="20"/>
                <w:szCs w:val="20"/>
                <w14:ligatures w14:val="none"/>
              </w:rPr>
            </w:pPr>
            <w:r w:rsidRPr="003F5ECA">
              <w:rPr>
                <w:rFonts w:ascii="Times New Roman" w:eastAsia="Times New Roman" w:hAnsi="Times New Roman" w:cs="Times New Roman"/>
                <w:i/>
                <w:iCs/>
                <w:color w:val="000000"/>
                <w:kern w:val="0"/>
                <w:sz w:val="20"/>
                <w:szCs w:val="20"/>
                <w14:ligatures w14:val="none"/>
              </w:rPr>
              <w:t>Sample size</w:t>
            </w:r>
          </w:p>
        </w:tc>
        <w:tc>
          <w:tcPr>
            <w:tcW w:w="435" w:type="pct"/>
            <w:tcBorders>
              <w:top w:val="nil"/>
              <w:left w:val="nil"/>
              <w:bottom w:val="single" w:sz="8" w:space="0" w:color="auto"/>
              <w:right w:val="single" w:sz="8" w:space="0" w:color="D9D9D9"/>
            </w:tcBorders>
            <w:vAlign w:val="center"/>
          </w:tcPr>
          <w:p w14:paraId="67C6CAD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466</w:t>
            </w:r>
          </w:p>
        </w:tc>
        <w:tc>
          <w:tcPr>
            <w:tcW w:w="435" w:type="pct"/>
            <w:tcBorders>
              <w:top w:val="nil"/>
              <w:left w:val="nil"/>
              <w:bottom w:val="single" w:sz="8" w:space="0" w:color="auto"/>
              <w:right w:val="single" w:sz="8" w:space="0" w:color="D9D9D9"/>
            </w:tcBorders>
            <w:vAlign w:val="center"/>
          </w:tcPr>
          <w:p w14:paraId="506182C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441</w:t>
            </w:r>
          </w:p>
        </w:tc>
        <w:tc>
          <w:tcPr>
            <w:tcW w:w="579" w:type="pct"/>
            <w:tcBorders>
              <w:top w:val="nil"/>
              <w:left w:val="nil"/>
              <w:bottom w:val="single" w:sz="8" w:space="0" w:color="auto"/>
              <w:right w:val="single" w:sz="8" w:space="0" w:color="D9D9D9"/>
            </w:tcBorders>
            <w:vAlign w:val="center"/>
          </w:tcPr>
          <w:p w14:paraId="47E4291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425</w:t>
            </w:r>
          </w:p>
        </w:tc>
        <w:tc>
          <w:tcPr>
            <w:tcW w:w="483" w:type="pct"/>
            <w:tcBorders>
              <w:top w:val="nil"/>
              <w:left w:val="nil"/>
              <w:bottom w:val="single" w:sz="8" w:space="0" w:color="auto"/>
              <w:right w:val="single" w:sz="8" w:space="0" w:color="D9D9D9"/>
            </w:tcBorders>
            <w:vAlign w:val="center"/>
          </w:tcPr>
          <w:p w14:paraId="17088AA2"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402</w:t>
            </w:r>
          </w:p>
        </w:tc>
        <w:tc>
          <w:tcPr>
            <w:tcW w:w="387" w:type="pct"/>
            <w:tcBorders>
              <w:top w:val="nil"/>
              <w:left w:val="nil"/>
              <w:bottom w:val="single" w:sz="8" w:space="0" w:color="auto"/>
              <w:right w:val="single" w:sz="8" w:space="0" w:color="D9D9D9"/>
            </w:tcBorders>
            <w:vAlign w:val="center"/>
          </w:tcPr>
          <w:p w14:paraId="3DBB1C5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304</w:t>
            </w:r>
          </w:p>
        </w:tc>
        <w:tc>
          <w:tcPr>
            <w:tcW w:w="483" w:type="pct"/>
            <w:tcBorders>
              <w:top w:val="nil"/>
              <w:left w:val="nil"/>
              <w:bottom w:val="single" w:sz="8" w:space="0" w:color="auto"/>
              <w:right w:val="single" w:sz="8" w:space="0" w:color="D9D9D9"/>
            </w:tcBorders>
            <w:vAlign w:val="center"/>
          </w:tcPr>
          <w:p w14:paraId="4E3A943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75</w:t>
            </w:r>
          </w:p>
        </w:tc>
        <w:tc>
          <w:tcPr>
            <w:tcW w:w="439" w:type="pct"/>
            <w:tcBorders>
              <w:top w:val="nil"/>
              <w:left w:val="nil"/>
              <w:bottom w:val="single" w:sz="8" w:space="0" w:color="auto"/>
              <w:right w:val="single" w:sz="18" w:space="0" w:color="auto"/>
            </w:tcBorders>
            <w:vAlign w:val="center"/>
          </w:tcPr>
          <w:p w14:paraId="3853CED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w:t>
            </w:r>
          </w:p>
        </w:tc>
        <w:tc>
          <w:tcPr>
            <w:tcW w:w="418" w:type="pct"/>
            <w:tcBorders>
              <w:top w:val="nil"/>
              <w:left w:val="single" w:sz="18" w:space="0" w:color="auto"/>
              <w:bottom w:val="single" w:sz="8" w:space="0" w:color="auto"/>
              <w:right w:val="single" w:sz="18" w:space="0" w:color="auto"/>
            </w:tcBorders>
            <w:vAlign w:val="center"/>
          </w:tcPr>
          <w:p w14:paraId="0232693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2,138</w:t>
            </w:r>
          </w:p>
        </w:tc>
      </w:tr>
      <w:tr w:rsidR="003F5ECA" w:rsidRPr="003F5ECA" w14:paraId="146E952B" w14:textId="77777777" w:rsidTr="003F5ECA">
        <w:trPr>
          <w:trHeight w:val="144"/>
        </w:trPr>
        <w:tc>
          <w:tcPr>
            <w:tcW w:w="665" w:type="pct"/>
            <w:vMerge w:val="restart"/>
            <w:tcBorders>
              <w:top w:val="single" w:sz="4" w:space="0" w:color="auto"/>
              <w:left w:val="single" w:sz="18" w:space="0" w:color="auto"/>
              <w:right w:val="single" w:sz="18" w:space="0" w:color="auto"/>
            </w:tcBorders>
            <w:vAlign w:val="center"/>
            <w:hideMark/>
          </w:tcPr>
          <w:p w14:paraId="017ADEC7"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3-4 days telecommute</w:t>
            </w:r>
          </w:p>
          <w:p w14:paraId="61C12373"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auto"/>
              <w:left w:val="single" w:sz="18" w:space="0" w:color="auto"/>
              <w:bottom w:val="single" w:sz="4" w:space="0" w:color="D9D9D9"/>
              <w:right w:val="single" w:sz="18" w:space="0" w:color="auto"/>
            </w:tcBorders>
            <w:vAlign w:val="center"/>
            <w:hideMark/>
          </w:tcPr>
          <w:p w14:paraId="4979E498"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H-to-W</w:t>
            </w:r>
          </w:p>
        </w:tc>
        <w:tc>
          <w:tcPr>
            <w:tcW w:w="435" w:type="pct"/>
            <w:tcBorders>
              <w:top w:val="nil"/>
              <w:left w:val="nil"/>
              <w:bottom w:val="single" w:sz="8" w:space="0" w:color="D9D9D9"/>
              <w:right w:val="single" w:sz="8" w:space="0" w:color="D9D9D9"/>
            </w:tcBorders>
            <w:shd w:val="clear" w:color="000000" w:fill="EAE583"/>
            <w:vAlign w:val="center"/>
          </w:tcPr>
          <w:p w14:paraId="64437D2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38.0</w:t>
            </w:r>
          </w:p>
        </w:tc>
        <w:tc>
          <w:tcPr>
            <w:tcW w:w="435" w:type="pct"/>
            <w:tcBorders>
              <w:top w:val="nil"/>
              <w:left w:val="nil"/>
              <w:bottom w:val="single" w:sz="8" w:space="0" w:color="D9D9D9"/>
              <w:right w:val="single" w:sz="8" w:space="0" w:color="D9D9D9"/>
            </w:tcBorders>
            <w:shd w:val="clear" w:color="000000" w:fill="FEE382"/>
            <w:vAlign w:val="center"/>
          </w:tcPr>
          <w:p w14:paraId="0C250428"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28.6</w:t>
            </w:r>
          </w:p>
        </w:tc>
        <w:tc>
          <w:tcPr>
            <w:tcW w:w="579" w:type="pct"/>
            <w:tcBorders>
              <w:top w:val="nil"/>
              <w:left w:val="nil"/>
              <w:bottom w:val="single" w:sz="8" w:space="0" w:color="D9D9D9"/>
              <w:right w:val="single" w:sz="8" w:space="0" w:color="D9D9D9"/>
            </w:tcBorders>
            <w:shd w:val="clear" w:color="000000" w:fill="FAEA84"/>
            <w:vAlign w:val="center"/>
          </w:tcPr>
          <w:p w14:paraId="031D34D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31.7</w:t>
            </w:r>
          </w:p>
        </w:tc>
        <w:tc>
          <w:tcPr>
            <w:tcW w:w="483" w:type="pct"/>
            <w:tcBorders>
              <w:top w:val="nil"/>
              <w:left w:val="nil"/>
              <w:bottom w:val="single" w:sz="8" w:space="0" w:color="D9D9D9"/>
              <w:right w:val="single" w:sz="8" w:space="0" w:color="D9D9D9"/>
            </w:tcBorders>
            <w:shd w:val="clear" w:color="000000" w:fill="FDC77D"/>
            <w:vAlign w:val="center"/>
          </w:tcPr>
          <w:p w14:paraId="128112C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25.0</w:t>
            </w:r>
          </w:p>
        </w:tc>
        <w:tc>
          <w:tcPr>
            <w:tcW w:w="387" w:type="pct"/>
            <w:tcBorders>
              <w:top w:val="nil"/>
              <w:left w:val="nil"/>
              <w:bottom w:val="single" w:sz="8" w:space="0" w:color="D9D9D9"/>
              <w:right w:val="single" w:sz="8" w:space="0" w:color="D9D9D9"/>
            </w:tcBorders>
            <w:shd w:val="clear" w:color="000000" w:fill="F2E884"/>
            <w:vAlign w:val="center"/>
          </w:tcPr>
          <w:p w14:paraId="7CBAC4CB"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35.0</w:t>
            </w:r>
          </w:p>
        </w:tc>
        <w:tc>
          <w:tcPr>
            <w:tcW w:w="483" w:type="pct"/>
            <w:tcBorders>
              <w:top w:val="nil"/>
              <w:left w:val="nil"/>
              <w:bottom w:val="single" w:sz="8" w:space="0" w:color="D9D9D9"/>
              <w:right w:val="single" w:sz="8" w:space="0" w:color="D9D9D9"/>
            </w:tcBorders>
            <w:shd w:val="clear" w:color="000000" w:fill="AFD480"/>
            <w:vAlign w:val="center"/>
          </w:tcPr>
          <w:p w14:paraId="241CA8CB"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61.5</w:t>
            </w:r>
          </w:p>
        </w:tc>
        <w:tc>
          <w:tcPr>
            <w:tcW w:w="439" w:type="pct"/>
            <w:tcBorders>
              <w:top w:val="nil"/>
              <w:left w:val="nil"/>
              <w:bottom w:val="single" w:sz="8" w:space="0" w:color="D9D9D9"/>
              <w:right w:val="single" w:sz="18" w:space="0" w:color="auto"/>
            </w:tcBorders>
            <w:shd w:val="clear" w:color="000000" w:fill="D1DE82"/>
            <w:vAlign w:val="center"/>
          </w:tcPr>
          <w:p w14:paraId="7A842FC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48.0</w:t>
            </w:r>
          </w:p>
        </w:tc>
        <w:tc>
          <w:tcPr>
            <w:tcW w:w="418" w:type="pct"/>
            <w:tcBorders>
              <w:top w:val="nil"/>
              <w:left w:val="single" w:sz="18" w:space="0" w:color="auto"/>
              <w:bottom w:val="single" w:sz="8" w:space="0" w:color="D9D9D9"/>
              <w:right w:val="single" w:sz="18" w:space="0" w:color="auto"/>
            </w:tcBorders>
            <w:shd w:val="clear" w:color="000000" w:fill="F5E884"/>
            <w:vAlign w:val="center"/>
          </w:tcPr>
          <w:p w14:paraId="3C2938A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33.8</w:t>
            </w:r>
          </w:p>
        </w:tc>
      </w:tr>
      <w:tr w:rsidR="003F5ECA" w:rsidRPr="003F5ECA" w14:paraId="212EF24B" w14:textId="77777777" w:rsidTr="003F5ECA">
        <w:trPr>
          <w:trHeight w:val="144"/>
        </w:trPr>
        <w:tc>
          <w:tcPr>
            <w:tcW w:w="665" w:type="pct"/>
            <w:vMerge/>
            <w:tcBorders>
              <w:left w:val="single" w:sz="18" w:space="0" w:color="auto"/>
              <w:right w:val="single" w:sz="18" w:space="0" w:color="auto"/>
            </w:tcBorders>
            <w:vAlign w:val="center"/>
            <w:hideMark/>
          </w:tcPr>
          <w:p w14:paraId="715D3ED3"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D9D9D9"/>
              <w:right w:val="single" w:sz="18" w:space="0" w:color="auto"/>
            </w:tcBorders>
            <w:vAlign w:val="center"/>
            <w:hideMark/>
          </w:tcPr>
          <w:p w14:paraId="21402B4D"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W-to-H</w:t>
            </w:r>
          </w:p>
        </w:tc>
        <w:tc>
          <w:tcPr>
            <w:tcW w:w="435" w:type="pct"/>
            <w:tcBorders>
              <w:top w:val="nil"/>
              <w:left w:val="nil"/>
              <w:bottom w:val="single" w:sz="8" w:space="0" w:color="D9D9D9"/>
              <w:right w:val="single" w:sz="8" w:space="0" w:color="D9D9D9"/>
            </w:tcBorders>
            <w:shd w:val="clear" w:color="000000" w:fill="D9E082"/>
            <w:vAlign w:val="center"/>
          </w:tcPr>
          <w:p w14:paraId="35C9EC2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44.7</w:t>
            </w:r>
          </w:p>
        </w:tc>
        <w:tc>
          <w:tcPr>
            <w:tcW w:w="435" w:type="pct"/>
            <w:tcBorders>
              <w:top w:val="nil"/>
              <w:left w:val="nil"/>
              <w:bottom w:val="single" w:sz="8" w:space="0" w:color="D9D9D9"/>
              <w:right w:val="single" w:sz="8" w:space="0" w:color="D9D9D9"/>
            </w:tcBorders>
            <w:shd w:val="clear" w:color="000000" w:fill="EBE583"/>
            <w:vAlign w:val="center"/>
          </w:tcPr>
          <w:p w14:paraId="1E769E4B"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37.8</w:t>
            </w:r>
          </w:p>
        </w:tc>
        <w:tc>
          <w:tcPr>
            <w:tcW w:w="579" w:type="pct"/>
            <w:tcBorders>
              <w:top w:val="nil"/>
              <w:left w:val="nil"/>
              <w:bottom w:val="single" w:sz="8" w:space="0" w:color="D9D9D9"/>
              <w:right w:val="single" w:sz="8" w:space="0" w:color="D9D9D9"/>
            </w:tcBorders>
            <w:shd w:val="clear" w:color="000000" w:fill="F7E984"/>
            <w:vAlign w:val="center"/>
          </w:tcPr>
          <w:p w14:paraId="47A3673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32.7</w:t>
            </w:r>
          </w:p>
        </w:tc>
        <w:tc>
          <w:tcPr>
            <w:tcW w:w="483" w:type="pct"/>
            <w:tcBorders>
              <w:top w:val="nil"/>
              <w:left w:val="nil"/>
              <w:bottom w:val="single" w:sz="8" w:space="0" w:color="D9D9D9"/>
              <w:right w:val="single" w:sz="8" w:space="0" w:color="D9D9D9"/>
            </w:tcBorders>
            <w:shd w:val="clear" w:color="000000" w:fill="EDE683"/>
            <w:vAlign w:val="center"/>
          </w:tcPr>
          <w:p w14:paraId="62BB2C6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37.0</w:t>
            </w:r>
          </w:p>
        </w:tc>
        <w:tc>
          <w:tcPr>
            <w:tcW w:w="387" w:type="pct"/>
            <w:tcBorders>
              <w:top w:val="nil"/>
              <w:left w:val="nil"/>
              <w:bottom w:val="single" w:sz="8" w:space="0" w:color="D9D9D9"/>
              <w:right w:val="single" w:sz="8" w:space="0" w:color="D9D9D9"/>
            </w:tcBorders>
            <w:shd w:val="clear" w:color="000000" w:fill="F2E884"/>
            <w:vAlign w:val="center"/>
          </w:tcPr>
          <w:p w14:paraId="41A4391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35.0</w:t>
            </w:r>
          </w:p>
        </w:tc>
        <w:tc>
          <w:tcPr>
            <w:tcW w:w="483" w:type="pct"/>
            <w:tcBorders>
              <w:top w:val="nil"/>
              <w:left w:val="nil"/>
              <w:bottom w:val="single" w:sz="8" w:space="0" w:color="D9D9D9"/>
              <w:right w:val="single" w:sz="8" w:space="0" w:color="D9D9D9"/>
            </w:tcBorders>
            <w:shd w:val="clear" w:color="000000" w:fill="9BCF7F"/>
            <w:vAlign w:val="center"/>
          </w:tcPr>
          <w:p w14:paraId="542E61D2"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69.2</w:t>
            </w:r>
          </w:p>
        </w:tc>
        <w:tc>
          <w:tcPr>
            <w:tcW w:w="439" w:type="pct"/>
            <w:tcBorders>
              <w:top w:val="nil"/>
              <w:left w:val="nil"/>
              <w:bottom w:val="single" w:sz="8" w:space="0" w:color="D9D9D9"/>
              <w:right w:val="single" w:sz="18" w:space="0" w:color="auto"/>
            </w:tcBorders>
            <w:shd w:val="clear" w:color="000000" w:fill="EFE784"/>
            <w:vAlign w:val="center"/>
          </w:tcPr>
          <w:p w14:paraId="126B9FE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36.0</w:t>
            </w:r>
          </w:p>
        </w:tc>
        <w:tc>
          <w:tcPr>
            <w:tcW w:w="418" w:type="pct"/>
            <w:tcBorders>
              <w:top w:val="nil"/>
              <w:left w:val="single" w:sz="18" w:space="0" w:color="auto"/>
              <w:bottom w:val="single" w:sz="8" w:space="0" w:color="D9D9D9"/>
              <w:right w:val="single" w:sz="18" w:space="0" w:color="auto"/>
            </w:tcBorders>
            <w:shd w:val="clear" w:color="000000" w:fill="E7E483"/>
            <w:vAlign w:val="center"/>
          </w:tcPr>
          <w:p w14:paraId="45E299B1"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39.4</w:t>
            </w:r>
          </w:p>
        </w:tc>
      </w:tr>
      <w:tr w:rsidR="003F5ECA" w:rsidRPr="003F5ECA" w14:paraId="555CDBA7" w14:textId="77777777" w:rsidTr="003F5ECA">
        <w:trPr>
          <w:trHeight w:val="144"/>
        </w:trPr>
        <w:tc>
          <w:tcPr>
            <w:tcW w:w="665" w:type="pct"/>
            <w:vMerge/>
            <w:tcBorders>
              <w:left w:val="single" w:sz="18" w:space="0" w:color="auto"/>
              <w:bottom w:val="single" w:sz="4" w:space="0" w:color="auto"/>
              <w:right w:val="single" w:sz="18" w:space="0" w:color="auto"/>
            </w:tcBorders>
            <w:vAlign w:val="center"/>
          </w:tcPr>
          <w:p w14:paraId="2111FCAB"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auto"/>
              <w:right w:val="single" w:sz="18" w:space="0" w:color="auto"/>
            </w:tcBorders>
            <w:vAlign w:val="center"/>
          </w:tcPr>
          <w:p w14:paraId="4A16E24B" w14:textId="77777777" w:rsidR="003F5ECA" w:rsidRPr="003F5ECA" w:rsidRDefault="003F5ECA" w:rsidP="003F5ECA">
            <w:pPr>
              <w:spacing w:after="0" w:line="240" w:lineRule="auto"/>
              <w:rPr>
                <w:rFonts w:ascii="Times New Roman" w:eastAsia="Times New Roman" w:hAnsi="Times New Roman" w:cs="Times New Roman"/>
                <w:i/>
                <w:iCs/>
                <w:color w:val="000000"/>
                <w:kern w:val="0"/>
                <w:sz w:val="20"/>
                <w:szCs w:val="20"/>
                <w14:ligatures w14:val="none"/>
              </w:rPr>
            </w:pPr>
            <w:r w:rsidRPr="003F5ECA">
              <w:rPr>
                <w:rFonts w:ascii="Times New Roman" w:eastAsia="Times New Roman" w:hAnsi="Times New Roman" w:cs="Times New Roman"/>
                <w:i/>
                <w:iCs/>
                <w:color w:val="000000"/>
                <w:kern w:val="0"/>
                <w:sz w:val="20"/>
                <w:szCs w:val="20"/>
                <w14:ligatures w14:val="none"/>
              </w:rPr>
              <w:t>Sample size</w:t>
            </w:r>
          </w:p>
        </w:tc>
        <w:tc>
          <w:tcPr>
            <w:tcW w:w="435" w:type="pct"/>
            <w:tcBorders>
              <w:top w:val="nil"/>
              <w:left w:val="nil"/>
              <w:bottom w:val="single" w:sz="8" w:space="0" w:color="auto"/>
              <w:right w:val="single" w:sz="8" w:space="0" w:color="D9D9D9"/>
            </w:tcBorders>
            <w:vAlign w:val="center"/>
          </w:tcPr>
          <w:p w14:paraId="6AF43D9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150</w:t>
            </w:r>
          </w:p>
        </w:tc>
        <w:tc>
          <w:tcPr>
            <w:tcW w:w="435" w:type="pct"/>
            <w:tcBorders>
              <w:top w:val="nil"/>
              <w:left w:val="nil"/>
              <w:bottom w:val="single" w:sz="8" w:space="0" w:color="auto"/>
              <w:right w:val="single" w:sz="8" w:space="0" w:color="D9D9D9"/>
            </w:tcBorders>
            <w:vAlign w:val="center"/>
          </w:tcPr>
          <w:p w14:paraId="36EBF511"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119</w:t>
            </w:r>
          </w:p>
        </w:tc>
        <w:tc>
          <w:tcPr>
            <w:tcW w:w="579" w:type="pct"/>
            <w:tcBorders>
              <w:top w:val="nil"/>
              <w:left w:val="nil"/>
              <w:bottom w:val="single" w:sz="8" w:space="0" w:color="auto"/>
              <w:right w:val="single" w:sz="8" w:space="0" w:color="D9D9D9"/>
            </w:tcBorders>
            <w:vAlign w:val="center"/>
          </w:tcPr>
          <w:p w14:paraId="152568F7"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104</w:t>
            </w:r>
          </w:p>
        </w:tc>
        <w:tc>
          <w:tcPr>
            <w:tcW w:w="483" w:type="pct"/>
            <w:tcBorders>
              <w:top w:val="nil"/>
              <w:left w:val="nil"/>
              <w:bottom w:val="single" w:sz="8" w:space="0" w:color="auto"/>
              <w:right w:val="single" w:sz="8" w:space="0" w:color="D9D9D9"/>
            </w:tcBorders>
            <w:vAlign w:val="center"/>
          </w:tcPr>
          <w:p w14:paraId="573892C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108</w:t>
            </w:r>
          </w:p>
        </w:tc>
        <w:tc>
          <w:tcPr>
            <w:tcW w:w="387" w:type="pct"/>
            <w:tcBorders>
              <w:top w:val="nil"/>
              <w:left w:val="nil"/>
              <w:bottom w:val="single" w:sz="8" w:space="0" w:color="auto"/>
              <w:right w:val="single" w:sz="8" w:space="0" w:color="D9D9D9"/>
            </w:tcBorders>
            <w:vAlign w:val="center"/>
          </w:tcPr>
          <w:p w14:paraId="3063242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80</w:t>
            </w:r>
          </w:p>
        </w:tc>
        <w:tc>
          <w:tcPr>
            <w:tcW w:w="483" w:type="pct"/>
            <w:tcBorders>
              <w:top w:val="nil"/>
              <w:left w:val="nil"/>
              <w:bottom w:val="single" w:sz="8" w:space="0" w:color="auto"/>
              <w:right w:val="single" w:sz="8" w:space="0" w:color="D9D9D9"/>
            </w:tcBorders>
            <w:vAlign w:val="center"/>
          </w:tcPr>
          <w:p w14:paraId="666F83F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26</w:t>
            </w:r>
          </w:p>
        </w:tc>
        <w:tc>
          <w:tcPr>
            <w:tcW w:w="439" w:type="pct"/>
            <w:tcBorders>
              <w:top w:val="nil"/>
              <w:left w:val="nil"/>
              <w:bottom w:val="single" w:sz="8" w:space="0" w:color="auto"/>
              <w:right w:val="single" w:sz="18" w:space="0" w:color="auto"/>
            </w:tcBorders>
            <w:vAlign w:val="center"/>
          </w:tcPr>
          <w:p w14:paraId="5F25E48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w:t>
            </w:r>
          </w:p>
        </w:tc>
        <w:tc>
          <w:tcPr>
            <w:tcW w:w="418" w:type="pct"/>
            <w:tcBorders>
              <w:top w:val="nil"/>
              <w:left w:val="single" w:sz="18" w:space="0" w:color="auto"/>
              <w:bottom w:val="single" w:sz="8" w:space="0" w:color="auto"/>
              <w:right w:val="single" w:sz="18" w:space="0" w:color="auto"/>
            </w:tcBorders>
            <w:vAlign w:val="center"/>
          </w:tcPr>
          <w:p w14:paraId="4BBE0F4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612</w:t>
            </w:r>
          </w:p>
        </w:tc>
      </w:tr>
      <w:tr w:rsidR="003F5ECA" w:rsidRPr="003F5ECA" w14:paraId="1E1A5193" w14:textId="77777777" w:rsidTr="003F5ECA">
        <w:trPr>
          <w:trHeight w:val="144"/>
        </w:trPr>
        <w:tc>
          <w:tcPr>
            <w:tcW w:w="665" w:type="pct"/>
            <w:vMerge w:val="restart"/>
            <w:tcBorders>
              <w:top w:val="single" w:sz="4" w:space="0" w:color="auto"/>
              <w:left w:val="single" w:sz="18" w:space="0" w:color="auto"/>
              <w:right w:val="single" w:sz="18" w:space="0" w:color="auto"/>
            </w:tcBorders>
            <w:vAlign w:val="center"/>
            <w:hideMark/>
          </w:tcPr>
          <w:p w14:paraId="66636CBC"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5-6 days telecommute</w:t>
            </w:r>
          </w:p>
          <w:p w14:paraId="0F4F44B0"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auto"/>
              <w:left w:val="single" w:sz="18" w:space="0" w:color="auto"/>
              <w:bottom w:val="single" w:sz="4" w:space="0" w:color="D9D9D9"/>
              <w:right w:val="single" w:sz="18" w:space="0" w:color="auto"/>
            </w:tcBorders>
            <w:vAlign w:val="center"/>
            <w:hideMark/>
          </w:tcPr>
          <w:p w14:paraId="6F0AC5FD"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H-to-W</w:t>
            </w:r>
          </w:p>
        </w:tc>
        <w:tc>
          <w:tcPr>
            <w:tcW w:w="435" w:type="pct"/>
            <w:tcBorders>
              <w:top w:val="nil"/>
              <w:left w:val="nil"/>
              <w:bottom w:val="single" w:sz="8" w:space="0" w:color="D9D9D9"/>
              <w:right w:val="single" w:sz="8" w:space="0" w:color="D9D9D9"/>
            </w:tcBorders>
            <w:shd w:val="clear" w:color="000000" w:fill="63BE7B"/>
            <w:vAlign w:val="center"/>
          </w:tcPr>
          <w:p w14:paraId="0B5A61A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91.4</w:t>
            </w:r>
          </w:p>
        </w:tc>
        <w:tc>
          <w:tcPr>
            <w:tcW w:w="435" w:type="pct"/>
            <w:tcBorders>
              <w:top w:val="nil"/>
              <w:left w:val="nil"/>
              <w:bottom w:val="single" w:sz="8" w:space="0" w:color="D9D9D9"/>
              <w:right w:val="single" w:sz="8" w:space="0" w:color="D9D9D9"/>
            </w:tcBorders>
            <w:shd w:val="clear" w:color="000000" w:fill="6DC17C"/>
            <w:vAlign w:val="center"/>
          </w:tcPr>
          <w:p w14:paraId="25608541"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87.5</w:t>
            </w:r>
          </w:p>
        </w:tc>
        <w:tc>
          <w:tcPr>
            <w:tcW w:w="579" w:type="pct"/>
            <w:tcBorders>
              <w:top w:val="nil"/>
              <w:left w:val="nil"/>
              <w:bottom w:val="single" w:sz="8" w:space="0" w:color="D9D9D9"/>
              <w:right w:val="single" w:sz="8" w:space="0" w:color="D9D9D9"/>
            </w:tcBorders>
            <w:shd w:val="clear" w:color="000000" w:fill="C2DA81"/>
            <w:vAlign w:val="center"/>
          </w:tcPr>
          <w:p w14:paraId="02E4DCB1"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53.8</w:t>
            </w:r>
          </w:p>
        </w:tc>
        <w:tc>
          <w:tcPr>
            <w:tcW w:w="483" w:type="pct"/>
            <w:tcBorders>
              <w:top w:val="nil"/>
              <w:left w:val="nil"/>
              <w:bottom w:val="single" w:sz="8" w:space="0" w:color="D9D9D9"/>
              <w:right w:val="single" w:sz="8" w:space="0" w:color="D9D9D9"/>
            </w:tcBorders>
            <w:shd w:val="clear" w:color="000000" w:fill="6AC07C"/>
            <w:vAlign w:val="center"/>
          </w:tcPr>
          <w:p w14:paraId="20F3301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88.9</w:t>
            </w:r>
          </w:p>
        </w:tc>
        <w:tc>
          <w:tcPr>
            <w:tcW w:w="387" w:type="pct"/>
            <w:tcBorders>
              <w:top w:val="nil"/>
              <w:left w:val="nil"/>
              <w:bottom w:val="single" w:sz="8" w:space="0" w:color="D9D9D9"/>
              <w:right w:val="single" w:sz="8" w:space="0" w:color="D9D9D9"/>
            </w:tcBorders>
            <w:shd w:val="clear" w:color="000000" w:fill="9DCF7F"/>
            <w:vAlign w:val="center"/>
          </w:tcPr>
          <w:p w14:paraId="2C89C31F"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68.4</w:t>
            </w:r>
          </w:p>
        </w:tc>
        <w:tc>
          <w:tcPr>
            <w:tcW w:w="483" w:type="pct"/>
            <w:tcBorders>
              <w:top w:val="nil"/>
              <w:left w:val="nil"/>
              <w:bottom w:val="single" w:sz="8" w:space="0" w:color="D9D9D9"/>
              <w:right w:val="single" w:sz="8" w:space="0" w:color="D9D9D9"/>
            </w:tcBorders>
            <w:shd w:val="clear" w:color="000000" w:fill="CCDD82"/>
            <w:vAlign w:val="center"/>
          </w:tcPr>
          <w:p w14:paraId="3C0F4D0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50.0</w:t>
            </w:r>
          </w:p>
        </w:tc>
        <w:tc>
          <w:tcPr>
            <w:tcW w:w="439" w:type="pct"/>
            <w:tcBorders>
              <w:top w:val="nil"/>
              <w:left w:val="nil"/>
              <w:bottom w:val="single" w:sz="8" w:space="0" w:color="D9D9D9"/>
              <w:right w:val="single" w:sz="18" w:space="0" w:color="auto"/>
            </w:tcBorders>
            <w:shd w:val="clear" w:color="000000" w:fill="86C87D"/>
            <w:vAlign w:val="center"/>
          </w:tcPr>
          <w:p w14:paraId="320B24C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77.8</w:t>
            </w:r>
          </w:p>
        </w:tc>
        <w:tc>
          <w:tcPr>
            <w:tcW w:w="418" w:type="pct"/>
            <w:tcBorders>
              <w:top w:val="nil"/>
              <w:left w:val="single" w:sz="18" w:space="0" w:color="auto"/>
              <w:bottom w:val="single" w:sz="8" w:space="0" w:color="D9D9D9"/>
              <w:right w:val="single" w:sz="18" w:space="0" w:color="auto"/>
            </w:tcBorders>
            <w:shd w:val="clear" w:color="000000" w:fill="87C97E"/>
            <w:vAlign w:val="center"/>
          </w:tcPr>
          <w:p w14:paraId="708E4C8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77.2</w:t>
            </w:r>
          </w:p>
        </w:tc>
      </w:tr>
      <w:tr w:rsidR="003F5ECA" w:rsidRPr="003F5ECA" w14:paraId="1D90230E" w14:textId="77777777" w:rsidTr="003F5ECA">
        <w:trPr>
          <w:trHeight w:val="144"/>
        </w:trPr>
        <w:tc>
          <w:tcPr>
            <w:tcW w:w="665" w:type="pct"/>
            <w:vMerge/>
            <w:tcBorders>
              <w:left w:val="single" w:sz="18" w:space="0" w:color="auto"/>
              <w:right w:val="single" w:sz="18" w:space="0" w:color="auto"/>
            </w:tcBorders>
            <w:vAlign w:val="center"/>
            <w:hideMark/>
          </w:tcPr>
          <w:p w14:paraId="72B84459"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D9D9D9"/>
              <w:right w:val="single" w:sz="18" w:space="0" w:color="auto"/>
            </w:tcBorders>
            <w:vAlign w:val="center"/>
            <w:hideMark/>
          </w:tcPr>
          <w:p w14:paraId="22230345"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W-to-H</w:t>
            </w:r>
          </w:p>
        </w:tc>
        <w:tc>
          <w:tcPr>
            <w:tcW w:w="435" w:type="pct"/>
            <w:tcBorders>
              <w:top w:val="nil"/>
              <w:left w:val="nil"/>
              <w:bottom w:val="single" w:sz="8" w:space="0" w:color="D9D9D9"/>
              <w:right w:val="single" w:sz="8" w:space="0" w:color="D9D9D9"/>
            </w:tcBorders>
            <w:shd w:val="clear" w:color="000000" w:fill="79C57D"/>
            <w:vAlign w:val="center"/>
          </w:tcPr>
          <w:p w14:paraId="3441282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82.9</w:t>
            </w:r>
          </w:p>
        </w:tc>
        <w:tc>
          <w:tcPr>
            <w:tcW w:w="435" w:type="pct"/>
            <w:tcBorders>
              <w:top w:val="nil"/>
              <w:left w:val="nil"/>
              <w:bottom w:val="single" w:sz="8" w:space="0" w:color="D9D9D9"/>
              <w:right w:val="single" w:sz="8" w:space="0" w:color="D9D9D9"/>
            </w:tcBorders>
            <w:shd w:val="clear" w:color="000000" w:fill="ACD480"/>
            <w:vAlign w:val="center"/>
          </w:tcPr>
          <w:p w14:paraId="42AD97C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62.5</w:t>
            </w:r>
          </w:p>
        </w:tc>
        <w:tc>
          <w:tcPr>
            <w:tcW w:w="579" w:type="pct"/>
            <w:tcBorders>
              <w:top w:val="nil"/>
              <w:left w:val="nil"/>
              <w:bottom w:val="single" w:sz="8" w:space="0" w:color="D9D9D9"/>
              <w:right w:val="single" w:sz="8" w:space="0" w:color="D9D9D9"/>
            </w:tcBorders>
            <w:shd w:val="clear" w:color="000000" w:fill="88C97E"/>
            <w:vAlign w:val="center"/>
          </w:tcPr>
          <w:p w14:paraId="18A4E86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76.9</w:t>
            </w:r>
          </w:p>
        </w:tc>
        <w:tc>
          <w:tcPr>
            <w:tcW w:w="483" w:type="pct"/>
            <w:tcBorders>
              <w:top w:val="nil"/>
              <w:left w:val="nil"/>
              <w:bottom w:val="single" w:sz="8" w:space="0" w:color="D9D9D9"/>
              <w:right w:val="single" w:sz="8" w:space="0" w:color="D9D9D9"/>
            </w:tcBorders>
            <w:shd w:val="clear" w:color="000000" w:fill="86C87D"/>
            <w:vAlign w:val="center"/>
          </w:tcPr>
          <w:p w14:paraId="09740D2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77.8</w:t>
            </w:r>
          </w:p>
        </w:tc>
        <w:tc>
          <w:tcPr>
            <w:tcW w:w="387" w:type="pct"/>
            <w:tcBorders>
              <w:top w:val="nil"/>
              <w:left w:val="nil"/>
              <w:bottom w:val="single" w:sz="8" w:space="0" w:color="D9D9D9"/>
              <w:right w:val="single" w:sz="8" w:space="0" w:color="D9D9D9"/>
            </w:tcBorders>
            <w:shd w:val="clear" w:color="000000" w:fill="83C87D"/>
            <w:vAlign w:val="center"/>
          </w:tcPr>
          <w:p w14:paraId="4429A6A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78.9</w:t>
            </w:r>
          </w:p>
        </w:tc>
        <w:tc>
          <w:tcPr>
            <w:tcW w:w="483" w:type="pct"/>
            <w:tcBorders>
              <w:top w:val="nil"/>
              <w:left w:val="nil"/>
              <w:bottom w:val="single" w:sz="8" w:space="0" w:color="D9D9D9"/>
              <w:right w:val="single" w:sz="8" w:space="0" w:color="D9D9D9"/>
            </w:tcBorders>
            <w:shd w:val="clear" w:color="000000" w:fill="8DCA7E"/>
            <w:vAlign w:val="center"/>
          </w:tcPr>
          <w:p w14:paraId="0CEB167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75.0</w:t>
            </w:r>
          </w:p>
        </w:tc>
        <w:tc>
          <w:tcPr>
            <w:tcW w:w="439" w:type="pct"/>
            <w:tcBorders>
              <w:top w:val="nil"/>
              <w:left w:val="nil"/>
              <w:bottom w:val="single" w:sz="8" w:space="0" w:color="D9D9D9"/>
              <w:right w:val="single" w:sz="18" w:space="0" w:color="auto"/>
            </w:tcBorders>
            <w:shd w:val="clear" w:color="000000" w:fill="A2D07F"/>
            <w:vAlign w:val="center"/>
          </w:tcPr>
          <w:p w14:paraId="31C94C6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66.7</w:t>
            </w:r>
          </w:p>
        </w:tc>
        <w:tc>
          <w:tcPr>
            <w:tcW w:w="418" w:type="pct"/>
            <w:tcBorders>
              <w:top w:val="nil"/>
              <w:left w:val="single" w:sz="18" w:space="0" w:color="auto"/>
              <w:bottom w:val="single" w:sz="8" w:space="0" w:color="D9D9D9"/>
              <w:right w:val="single" w:sz="18" w:space="0" w:color="auto"/>
            </w:tcBorders>
            <w:shd w:val="clear" w:color="000000" w:fill="87C97E"/>
            <w:vAlign w:val="center"/>
          </w:tcPr>
          <w:p w14:paraId="1285440B"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77.2</w:t>
            </w:r>
          </w:p>
        </w:tc>
      </w:tr>
      <w:tr w:rsidR="003F5ECA" w:rsidRPr="003F5ECA" w14:paraId="4CEE4FAE" w14:textId="77777777" w:rsidTr="003F5ECA">
        <w:trPr>
          <w:trHeight w:val="144"/>
        </w:trPr>
        <w:tc>
          <w:tcPr>
            <w:tcW w:w="665" w:type="pct"/>
            <w:vMerge/>
            <w:tcBorders>
              <w:left w:val="single" w:sz="18" w:space="0" w:color="auto"/>
              <w:bottom w:val="single" w:sz="18" w:space="0" w:color="auto"/>
              <w:right w:val="single" w:sz="18" w:space="0" w:color="auto"/>
            </w:tcBorders>
            <w:vAlign w:val="center"/>
          </w:tcPr>
          <w:p w14:paraId="3D9D8762"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18" w:space="0" w:color="auto"/>
              <w:right w:val="single" w:sz="18" w:space="0" w:color="auto"/>
            </w:tcBorders>
            <w:vAlign w:val="center"/>
          </w:tcPr>
          <w:p w14:paraId="5F5F9663" w14:textId="77777777" w:rsidR="003F5ECA" w:rsidRPr="003F5ECA" w:rsidRDefault="003F5ECA" w:rsidP="003F5ECA">
            <w:pPr>
              <w:spacing w:after="0" w:line="240" w:lineRule="auto"/>
              <w:rPr>
                <w:rFonts w:ascii="Times New Roman" w:eastAsia="Times New Roman" w:hAnsi="Times New Roman" w:cs="Times New Roman"/>
                <w:i/>
                <w:iCs/>
                <w:color w:val="000000"/>
                <w:kern w:val="0"/>
                <w:sz w:val="20"/>
                <w:szCs w:val="20"/>
                <w14:ligatures w14:val="none"/>
              </w:rPr>
            </w:pPr>
            <w:r w:rsidRPr="003F5ECA">
              <w:rPr>
                <w:rFonts w:ascii="Times New Roman" w:eastAsia="Times New Roman" w:hAnsi="Times New Roman" w:cs="Times New Roman"/>
                <w:i/>
                <w:iCs/>
                <w:color w:val="000000"/>
                <w:kern w:val="0"/>
                <w:sz w:val="20"/>
                <w:szCs w:val="20"/>
                <w14:ligatures w14:val="none"/>
              </w:rPr>
              <w:t>Sample size</w:t>
            </w:r>
          </w:p>
        </w:tc>
        <w:tc>
          <w:tcPr>
            <w:tcW w:w="435" w:type="pct"/>
            <w:tcBorders>
              <w:top w:val="nil"/>
              <w:left w:val="nil"/>
              <w:bottom w:val="single" w:sz="18" w:space="0" w:color="auto"/>
              <w:right w:val="single" w:sz="8" w:space="0" w:color="D9D9D9"/>
            </w:tcBorders>
            <w:vAlign w:val="center"/>
          </w:tcPr>
          <w:p w14:paraId="7119415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35</w:t>
            </w:r>
          </w:p>
        </w:tc>
        <w:tc>
          <w:tcPr>
            <w:tcW w:w="435" w:type="pct"/>
            <w:tcBorders>
              <w:top w:val="nil"/>
              <w:left w:val="nil"/>
              <w:bottom w:val="single" w:sz="18" w:space="0" w:color="auto"/>
              <w:right w:val="single" w:sz="8" w:space="0" w:color="D9D9D9"/>
            </w:tcBorders>
            <w:vAlign w:val="center"/>
          </w:tcPr>
          <w:p w14:paraId="70ED47C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w:t>
            </w:r>
          </w:p>
        </w:tc>
        <w:tc>
          <w:tcPr>
            <w:tcW w:w="579" w:type="pct"/>
            <w:tcBorders>
              <w:top w:val="nil"/>
              <w:left w:val="nil"/>
              <w:bottom w:val="single" w:sz="18" w:space="0" w:color="auto"/>
              <w:right w:val="single" w:sz="8" w:space="0" w:color="D9D9D9"/>
            </w:tcBorders>
            <w:vAlign w:val="center"/>
          </w:tcPr>
          <w:p w14:paraId="59E68F27"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13</w:t>
            </w:r>
          </w:p>
        </w:tc>
        <w:tc>
          <w:tcPr>
            <w:tcW w:w="483" w:type="pct"/>
            <w:tcBorders>
              <w:top w:val="nil"/>
              <w:left w:val="nil"/>
              <w:bottom w:val="single" w:sz="18" w:space="0" w:color="auto"/>
              <w:right w:val="single" w:sz="8" w:space="0" w:color="D9D9D9"/>
            </w:tcBorders>
            <w:vAlign w:val="center"/>
          </w:tcPr>
          <w:p w14:paraId="7D0EB57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9</w:t>
            </w:r>
          </w:p>
        </w:tc>
        <w:tc>
          <w:tcPr>
            <w:tcW w:w="387" w:type="pct"/>
            <w:tcBorders>
              <w:top w:val="nil"/>
              <w:left w:val="nil"/>
              <w:bottom w:val="single" w:sz="18" w:space="0" w:color="auto"/>
              <w:right w:val="single" w:sz="8" w:space="0" w:color="D9D9D9"/>
            </w:tcBorders>
            <w:vAlign w:val="center"/>
          </w:tcPr>
          <w:p w14:paraId="385572F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19</w:t>
            </w:r>
          </w:p>
        </w:tc>
        <w:tc>
          <w:tcPr>
            <w:tcW w:w="483" w:type="pct"/>
            <w:tcBorders>
              <w:top w:val="nil"/>
              <w:left w:val="nil"/>
              <w:bottom w:val="single" w:sz="18" w:space="0" w:color="auto"/>
              <w:right w:val="single" w:sz="8" w:space="0" w:color="D9D9D9"/>
            </w:tcBorders>
            <w:vAlign w:val="center"/>
          </w:tcPr>
          <w:p w14:paraId="4127958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8</w:t>
            </w:r>
          </w:p>
        </w:tc>
        <w:tc>
          <w:tcPr>
            <w:tcW w:w="439" w:type="pct"/>
            <w:tcBorders>
              <w:top w:val="nil"/>
              <w:left w:val="nil"/>
              <w:bottom w:val="single" w:sz="18" w:space="0" w:color="auto"/>
              <w:right w:val="single" w:sz="18" w:space="0" w:color="auto"/>
            </w:tcBorders>
            <w:vAlign w:val="center"/>
          </w:tcPr>
          <w:p w14:paraId="26A0B0F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9</w:t>
            </w:r>
          </w:p>
        </w:tc>
        <w:tc>
          <w:tcPr>
            <w:tcW w:w="418" w:type="pct"/>
            <w:tcBorders>
              <w:top w:val="nil"/>
              <w:left w:val="single" w:sz="18" w:space="0" w:color="auto"/>
              <w:bottom w:val="single" w:sz="18" w:space="0" w:color="auto"/>
              <w:right w:val="single" w:sz="18" w:space="0" w:color="auto"/>
            </w:tcBorders>
            <w:vAlign w:val="center"/>
          </w:tcPr>
          <w:p w14:paraId="7DB2BC4A"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101</w:t>
            </w:r>
          </w:p>
        </w:tc>
      </w:tr>
      <w:tr w:rsidR="003F5ECA" w:rsidRPr="003F5ECA" w14:paraId="451DB9CD" w14:textId="77777777" w:rsidTr="003F5ECA">
        <w:trPr>
          <w:trHeight w:val="144"/>
        </w:trPr>
        <w:tc>
          <w:tcPr>
            <w:tcW w:w="665" w:type="pct"/>
            <w:vMerge w:val="restart"/>
            <w:tcBorders>
              <w:top w:val="single" w:sz="18" w:space="0" w:color="auto"/>
              <w:left w:val="single" w:sz="18" w:space="0" w:color="auto"/>
              <w:right w:val="single" w:sz="18" w:space="0" w:color="auto"/>
            </w:tcBorders>
            <w:vAlign w:val="center"/>
            <w:hideMark/>
          </w:tcPr>
          <w:p w14:paraId="6D739628"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ALL</w:t>
            </w:r>
          </w:p>
        </w:tc>
        <w:tc>
          <w:tcPr>
            <w:tcW w:w="676" w:type="pct"/>
            <w:tcBorders>
              <w:top w:val="single" w:sz="18" w:space="0" w:color="auto"/>
              <w:left w:val="single" w:sz="18" w:space="0" w:color="auto"/>
              <w:bottom w:val="single" w:sz="4" w:space="0" w:color="D9D9D9"/>
              <w:right w:val="single" w:sz="18" w:space="0" w:color="auto"/>
            </w:tcBorders>
            <w:vAlign w:val="center"/>
            <w:hideMark/>
          </w:tcPr>
          <w:p w14:paraId="06547578"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H-to-W</w:t>
            </w:r>
          </w:p>
        </w:tc>
        <w:tc>
          <w:tcPr>
            <w:tcW w:w="435" w:type="pct"/>
            <w:tcBorders>
              <w:top w:val="single" w:sz="18" w:space="0" w:color="auto"/>
              <w:left w:val="nil"/>
              <w:bottom w:val="single" w:sz="8" w:space="0" w:color="D9D9D9"/>
              <w:right w:val="single" w:sz="8" w:space="0" w:color="D9D9D9"/>
            </w:tcBorders>
            <w:shd w:val="clear" w:color="000000" w:fill="FA9573"/>
            <w:vAlign w:val="center"/>
          </w:tcPr>
          <w:p w14:paraId="712B36A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18.7</w:t>
            </w:r>
          </w:p>
        </w:tc>
        <w:tc>
          <w:tcPr>
            <w:tcW w:w="435" w:type="pct"/>
            <w:tcBorders>
              <w:top w:val="single" w:sz="18" w:space="0" w:color="auto"/>
              <w:left w:val="nil"/>
              <w:bottom w:val="single" w:sz="8" w:space="0" w:color="D9D9D9"/>
              <w:right w:val="single" w:sz="8" w:space="0" w:color="D9D9D9"/>
            </w:tcBorders>
            <w:shd w:val="clear" w:color="000000" w:fill="F98871"/>
            <w:vAlign w:val="center"/>
          </w:tcPr>
          <w:p w14:paraId="21DCE8D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17.0</w:t>
            </w:r>
          </w:p>
        </w:tc>
        <w:tc>
          <w:tcPr>
            <w:tcW w:w="579" w:type="pct"/>
            <w:tcBorders>
              <w:top w:val="single" w:sz="18" w:space="0" w:color="auto"/>
              <w:left w:val="nil"/>
              <w:bottom w:val="single" w:sz="8" w:space="0" w:color="D9D9D9"/>
              <w:right w:val="single" w:sz="8" w:space="0" w:color="D9D9D9"/>
            </w:tcBorders>
            <w:shd w:val="clear" w:color="000000" w:fill="FA9172"/>
            <w:vAlign w:val="center"/>
          </w:tcPr>
          <w:p w14:paraId="32DCFB8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18.2</w:t>
            </w:r>
          </w:p>
        </w:tc>
        <w:tc>
          <w:tcPr>
            <w:tcW w:w="483" w:type="pct"/>
            <w:tcBorders>
              <w:top w:val="single" w:sz="18" w:space="0" w:color="auto"/>
              <w:left w:val="nil"/>
              <w:bottom w:val="single" w:sz="8" w:space="0" w:color="D9D9D9"/>
              <w:right w:val="single" w:sz="8" w:space="0" w:color="D9D9D9"/>
            </w:tcBorders>
            <w:shd w:val="clear" w:color="000000" w:fill="F98370"/>
            <w:vAlign w:val="center"/>
          </w:tcPr>
          <w:p w14:paraId="62AA8D8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16.4</w:t>
            </w:r>
          </w:p>
        </w:tc>
        <w:tc>
          <w:tcPr>
            <w:tcW w:w="387" w:type="pct"/>
            <w:tcBorders>
              <w:top w:val="single" w:sz="18" w:space="0" w:color="auto"/>
              <w:left w:val="nil"/>
              <w:bottom w:val="single" w:sz="8" w:space="0" w:color="D9D9D9"/>
              <w:right w:val="single" w:sz="8" w:space="0" w:color="D9D9D9"/>
            </w:tcBorders>
            <w:shd w:val="clear" w:color="000000" w:fill="FA9072"/>
            <w:vAlign w:val="center"/>
          </w:tcPr>
          <w:p w14:paraId="4404A7A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18.0</w:t>
            </w:r>
          </w:p>
        </w:tc>
        <w:tc>
          <w:tcPr>
            <w:tcW w:w="483" w:type="pct"/>
            <w:tcBorders>
              <w:top w:val="single" w:sz="18" w:space="0" w:color="auto"/>
              <w:left w:val="nil"/>
              <w:bottom w:val="single" w:sz="8" w:space="0" w:color="D9D9D9"/>
              <w:right w:val="single" w:sz="8" w:space="0" w:color="D9D9D9"/>
            </w:tcBorders>
            <w:shd w:val="clear" w:color="000000" w:fill="FDC77D"/>
            <w:vAlign w:val="center"/>
          </w:tcPr>
          <w:p w14:paraId="01A04DD8"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25.0</w:t>
            </w:r>
          </w:p>
        </w:tc>
        <w:tc>
          <w:tcPr>
            <w:tcW w:w="439" w:type="pct"/>
            <w:tcBorders>
              <w:top w:val="single" w:sz="18" w:space="0" w:color="auto"/>
              <w:left w:val="nil"/>
              <w:bottom w:val="single" w:sz="8" w:space="0" w:color="D9D9D9"/>
              <w:right w:val="single" w:sz="18" w:space="0" w:color="auto"/>
            </w:tcBorders>
            <w:shd w:val="clear" w:color="000000" w:fill="FBA075"/>
            <w:vAlign w:val="center"/>
          </w:tcPr>
          <w:p w14:paraId="7DD71655"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20.1</w:t>
            </w:r>
          </w:p>
        </w:tc>
        <w:tc>
          <w:tcPr>
            <w:tcW w:w="418" w:type="pct"/>
            <w:tcBorders>
              <w:top w:val="single" w:sz="18" w:space="0" w:color="auto"/>
              <w:left w:val="single" w:sz="18" w:space="0" w:color="auto"/>
              <w:bottom w:val="single" w:sz="8" w:space="0" w:color="D9D9D9"/>
              <w:right w:val="single" w:sz="18" w:space="0" w:color="auto"/>
            </w:tcBorders>
            <w:shd w:val="clear" w:color="000000" w:fill="FA9172"/>
            <w:vAlign w:val="center"/>
          </w:tcPr>
          <w:p w14:paraId="3F80A3E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18.1</w:t>
            </w:r>
          </w:p>
        </w:tc>
      </w:tr>
      <w:tr w:rsidR="003F5ECA" w:rsidRPr="003F5ECA" w14:paraId="7E337235" w14:textId="77777777" w:rsidTr="003F5ECA">
        <w:trPr>
          <w:trHeight w:val="144"/>
        </w:trPr>
        <w:tc>
          <w:tcPr>
            <w:tcW w:w="665" w:type="pct"/>
            <w:vMerge/>
            <w:tcBorders>
              <w:left w:val="single" w:sz="18" w:space="0" w:color="auto"/>
              <w:right w:val="single" w:sz="18" w:space="0" w:color="auto"/>
            </w:tcBorders>
            <w:vAlign w:val="center"/>
            <w:hideMark/>
          </w:tcPr>
          <w:p w14:paraId="206DCD3C"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4" w:space="0" w:color="D9D9D9"/>
              <w:right w:val="single" w:sz="18" w:space="0" w:color="auto"/>
            </w:tcBorders>
            <w:vAlign w:val="center"/>
            <w:hideMark/>
          </w:tcPr>
          <w:p w14:paraId="2F672F85"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r w:rsidRPr="003F5ECA">
              <w:rPr>
                <w:rFonts w:ascii="Times New Roman" w:eastAsia="Times New Roman" w:hAnsi="Times New Roman" w:cs="Times New Roman"/>
                <w:color w:val="000000"/>
                <w:kern w:val="0"/>
                <w:sz w:val="20"/>
                <w:szCs w:val="20"/>
                <w14:ligatures w14:val="none"/>
              </w:rPr>
              <w:t>W-to-H</w:t>
            </w:r>
          </w:p>
        </w:tc>
        <w:tc>
          <w:tcPr>
            <w:tcW w:w="435" w:type="pct"/>
            <w:tcBorders>
              <w:top w:val="nil"/>
              <w:left w:val="nil"/>
              <w:bottom w:val="single" w:sz="8" w:space="0" w:color="D9D9D9"/>
              <w:right w:val="single" w:sz="8" w:space="0" w:color="D9D9D9"/>
            </w:tcBorders>
            <w:shd w:val="clear" w:color="000000" w:fill="FCC57C"/>
            <w:vAlign w:val="center"/>
          </w:tcPr>
          <w:p w14:paraId="2496C80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24.7</w:t>
            </w:r>
          </w:p>
        </w:tc>
        <w:tc>
          <w:tcPr>
            <w:tcW w:w="435" w:type="pct"/>
            <w:tcBorders>
              <w:top w:val="nil"/>
              <w:left w:val="nil"/>
              <w:bottom w:val="single" w:sz="8" w:space="0" w:color="D9D9D9"/>
              <w:right w:val="single" w:sz="8" w:space="0" w:color="D9D9D9"/>
            </w:tcBorders>
            <w:shd w:val="clear" w:color="000000" w:fill="FBAB77"/>
            <w:vAlign w:val="center"/>
          </w:tcPr>
          <w:p w14:paraId="4785602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21.4</w:t>
            </w:r>
          </w:p>
        </w:tc>
        <w:tc>
          <w:tcPr>
            <w:tcW w:w="579" w:type="pct"/>
            <w:tcBorders>
              <w:top w:val="nil"/>
              <w:left w:val="nil"/>
              <w:bottom w:val="single" w:sz="8" w:space="0" w:color="D9D9D9"/>
              <w:right w:val="single" w:sz="8" w:space="0" w:color="D9D9D9"/>
            </w:tcBorders>
            <w:shd w:val="clear" w:color="000000" w:fill="FCB77A"/>
            <w:vAlign w:val="center"/>
          </w:tcPr>
          <w:p w14:paraId="62C7AD29"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23.0</w:t>
            </w:r>
          </w:p>
        </w:tc>
        <w:tc>
          <w:tcPr>
            <w:tcW w:w="483" w:type="pct"/>
            <w:tcBorders>
              <w:top w:val="nil"/>
              <w:left w:val="nil"/>
              <w:bottom w:val="single" w:sz="8" w:space="0" w:color="D9D9D9"/>
              <w:right w:val="single" w:sz="8" w:space="0" w:color="D9D9D9"/>
            </w:tcBorders>
            <w:shd w:val="clear" w:color="000000" w:fill="FBA676"/>
            <w:vAlign w:val="center"/>
          </w:tcPr>
          <w:p w14:paraId="214ADFA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20.8</w:t>
            </w:r>
          </w:p>
        </w:tc>
        <w:tc>
          <w:tcPr>
            <w:tcW w:w="387" w:type="pct"/>
            <w:tcBorders>
              <w:top w:val="nil"/>
              <w:left w:val="nil"/>
              <w:bottom w:val="single" w:sz="8" w:space="0" w:color="D9D9D9"/>
              <w:right w:val="single" w:sz="8" w:space="0" w:color="D9D9D9"/>
            </w:tcBorders>
            <w:shd w:val="clear" w:color="000000" w:fill="FEE382"/>
            <w:vAlign w:val="center"/>
          </w:tcPr>
          <w:p w14:paraId="5073CB42"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28.5</w:t>
            </w:r>
          </w:p>
        </w:tc>
        <w:tc>
          <w:tcPr>
            <w:tcW w:w="483" w:type="pct"/>
            <w:tcBorders>
              <w:top w:val="nil"/>
              <w:left w:val="nil"/>
              <w:bottom w:val="single" w:sz="8" w:space="0" w:color="D9D9D9"/>
              <w:right w:val="single" w:sz="8" w:space="0" w:color="D9D9D9"/>
            </w:tcBorders>
            <w:shd w:val="clear" w:color="000000" w:fill="F8E984"/>
            <w:vAlign w:val="center"/>
          </w:tcPr>
          <w:p w14:paraId="054993E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32.6</w:t>
            </w:r>
          </w:p>
        </w:tc>
        <w:tc>
          <w:tcPr>
            <w:tcW w:w="439" w:type="pct"/>
            <w:tcBorders>
              <w:top w:val="nil"/>
              <w:left w:val="nil"/>
              <w:bottom w:val="single" w:sz="8" w:space="0" w:color="D9D9D9"/>
              <w:right w:val="single" w:sz="18" w:space="0" w:color="auto"/>
            </w:tcBorders>
            <w:shd w:val="clear" w:color="000000" w:fill="FDC67D"/>
            <w:vAlign w:val="center"/>
          </w:tcPr>
          <w:p w14:paraId="72BB87C3"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24.9</w:t>
            </w:r>
          </w:p>
        </w:tc>
        <w:tc>
          <w:tcPr>
            <w:tcW w:w="418" w:type="pct"/>
            <w:tcBorders>
              <w:top w:val="nil"/>
              <w:left w:val="single" w:sz="18" w:space="0" w:color="auto"/>
              <w:bottom w:val="single" w:sz="8" w:space="0" w:color="D9D9D9"/>
              <w:right w:val="single" w:sz="18" w:space="0" w:color="auto"/>
            </w:tcBorders>
            <w:shd w:val="clear" w:color="000000" w:fill="FCC07B"/>
            <w:vAlign w:val="center"/>
          </w:tcPr>
          <w:p w14:paraId="1F54404C"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24.1</w:t>
            </w:r>
          </w:p>
        </w:tc>
      </w:tr>
      <w:tr w:rsidR="003F5ECA" w:rsidRPr="003F5ECA" w14:paraId="79873F62" w14:textId="77777777" w:rsidTr="003F5ECA">
        <w:trPr>
          <w:trHeight w:val="144"/>
        </w:trPr>
        <w:tc>
          <w:tcPr>
            <w:tcW w:w="665" w:type="pct"/>
            <w:vMerge/>
            <w:tcBorders>
              <w:left w:val="single" w:sz="18" w:space="0" w:color="auto"/>
              <w:bottom w:val="single" w:sz="18" w:space="0" w:color="auto"/>
              <w:right w:val="single" w:sz="18" w:space="0" w:color="auto"/>
            </w:tcBorders>
            <w:vAlign w:val="center"/>
          </w:tcPr>
          <w:p w14:paraId="16B149DA" w14:textId="77777777" w:rsidR="003F5ECA" w:rsidRPr="003F5ECA" w:rsidRDefault="003F5ECA" w:rsidP="003F5ECA">
            <w:pPr>
              <w:spacing w:after="0" w:line="240" w:lineRule="auto"/>
              <w:rPr>
                <w:rFonts w:ascii="Times New Roman" w:eastAsia="Times New Roman" w:hAnsi="Times New Roman" w:cs="Times New Roman"/>
                <w:color w:val="000000"/>
                <w:kern w:val="0"/>
                <w:sz w:val="20"/>
                <w:szCs w:val="20"/>
                <w14:ligatures w14:val="none"/>
              </w:rPr>
            </w:pPr>
          </w:p>
        </w:tc>
        <w:tc>
          <w:tcPr>
            <w:tcW w:w="676" w:type="pct"/>
            <w:tcBorders>
              <w:top w:val="single" w:sz="4" w:space="0" w:color="D9D9D9"/>
              <w:left w:val="single" w:sz="18" w:space="0" w:color="auto"/>
              <w:bottom w:val="single" w:sz="18" w:space="0" w:color="auto"/>
              <w:right w:val="single" w:sz="18" w:space="0" w:color="auto"/>
            </w:tcBorders>
            <w:vAlign w:val="center"/>
          </w:tcPr>
          <w:p w14:paraId="2A6AE792" w14:textId="77777777" w:rsidR="003F5ECA" w:rsidRPr="003F5ECA" w:rsidRDefault="003F5ECA" w:rsidP="003F5ECA">
            <w:pPr>
              <w:spacing w:after="0" w:line="240" w:lineRule="auto"/>
              <w:rPr>
                <w:rFonts w:ascii="Times New Roman" w:eastAsia="Times New Roman" w:hAnsi="Times New Roman" w:cs="Times New Roman"/>
                <w:i/>
                <w:iCs/>
                <w:color w:val="000000"/>
                <w:kern w:val="0"/>
                <w:sz w:val="20"/>
                <w:szCs w:val="20"/>
                <w14:ligatures w14:val="none"/>
              </w:rPr>
            </w:pPr>
            <w:r w:rsidRPr="003F5ECA">
              <w:rPr>
                <w:rFonts w:ascii="Times New Roman" w:eastAsia="Times New Roman" w:hAnsi="Times New Roman" w:cs="Times New Roman"/>
                <w:i/>
                <w:iCs/>
                <w:color w:val="000000"/>
                <w:kern w:val="0"/>
                <w:sz w:val="20"/>
                <w:szCs w:val="20"/>
                <w14:ligatures w14:val="none"/>
              </w:rPr>
              <w:t>Sample size</w:t>
            </w:r>
          </w:p>
        </w:tc>
        <w:tc>
          <w:tcPr>
            <w:tcW w:w="435" w:type="pct"/>
            <w:tcBorders>
              <w:top w:val="nil"/>
              <w:left w:val="nil"/>
              <w:bottom w:val="single" w:sz="18" w:space="0" w:color="auto"/>
              <w:right w:val="single" w:sz="8" w:space="0" w:color="D9D9D9"/>
            </w:tcBorders>
            <w:vAlign w:val="center"/>
          </w:tcPr>
          <w:p w14:paraId="6242886E"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2,157</w:t>
            </w:r>
          </w:p>
        </w:tc>
        <w:tc>
          <w:tcPr>
            <w:tcW w:w="435" w:type="pct"/>
            <w:tcBorders>
              <w:top w:val="nil"/>
              <w:left w:val="nil"/>
              <w:bottom w:val="single" w:sz="18" w:space="0" w:color="auto"/>
              <w:right w:val="single" w:sz="8" w:space="0" w:color="D9D9D9"/>
            </w:tcBorders>
            <w:vAlign w:val="center"/>
          </w:tcPr>
          <w:p w14:paraId="2D78CD3D"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2,106</w:t>
            </w:r>
          </w:p>
        </w:tc>
        <w:tc>
          <w:tcPr>
            <w:tcW w:w="579" w:type="pct"/>
            <w:tcBorders>
              <w:top w:val="nil"/>
              <w:left w:val="nil"/>
              <w:bottom w:val="single" w:sz="18" w:space="0" w:color="auto"/>
              <w:right w:val="single" w:sz="8" w:space="0" w:color="D9D9D9"/>
            </w:tcBorders>
            <w:vAlign w:val="center"/>
          </w:tcPr>
          <w:p w14:paraId="0E665882"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2,066</w:t>
            </w:r>
          </w:p>
        </w:tc>
        <w:tc>
          <w:tcPr>
            <w:tcW w:w="483" w:type="pct"/>
            <w:tcBorders>
              <w:top w:val="nil"/>
              <w:left w:val="nil"/>
              <w:bottom w:val="single" w:sz="18" w:space="0" w:color="auto"/>
              <w:right w:val="single" w:sz="8" w:space="0" w:color="D9D9D9"/>
            </w:tcBorders>
            <w:vAlign w:val="center"/>
          </w:tcPr>
          <w:p w14:paraId="075E215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2,026</w:t>
            </w:r>
          </w:p>
        </w:tc>
        <w:tc>
          <w:tcPr>
            <w:tcW w:w="387" w:type="pct"/>
            <w:tcBorders>
              <w:top w:val="nil"/>
              <w:left w:val="nil"/>
              <w:bottom w:val="single" w:sz="18" w:space="0" w:color="auto"/>
              <w:right w:val="single" w:sz="8" w:space="0" w:color="D9D9D9"/>
            </w:tcBorders>
            <w:vAlign w:val="center"/>
          </w:tcPr>
          <w:p w14:paraId="4130A260"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1,873</w:t>
            </w:r>
          </w:p>
        </w:tc>
        <w:tc>
          <w:tcPr>
            <w:tcW w:w="483" w:type="pct"/>
            <w:tcBorders>
              <w:top w:val="nil"/>
              <w:left w:val="nil"/>
              <w:bottom w:val="single" w:sz="18" w:space="0" w:color="auto"/>
              <w:right w:val="single" w:sz="8" w:space="0" w:color="D9D9D9"/>
            </w:tcBorders>
            <w:vAlign w:val="center"/>
          </w:tcPr>
          <w:p w14:paraId="01D20C1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533</w:t>
            </w:r>
          </w:p>
        </w:tc>
        <w:tc>
          <w:tcPr>
            <w:tcW w:w="439" w:type="pct"/>
            <w:tcBorders>
              <w:top w:val="nil"/>
              <w:left w:val="nil"/>
              <w:bottom w:val="single" w:sz="18" w:space="0" w:color="auto"/>
              <w:right w:val="single" w:sz="18" w:space="0" w:color="auto"/>
            </w:tcBorders>
            <w:vAlign w:val="center"/>
          </w:tcPr>
          <w:p w14:paraId="72260E84"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313</w:t>
            </w:r>
          </w:p>
        </w:tc>
        <w:tc>
          <w:tcPr>
            <w:tcW w:w="418" w:type="pct"/>
            <w:tcBorders>
              <w:top w:val="nil"/>
              <w:left w:val="single" w:sz="18" w:space="0" w:color="auto"/>
              <w:bottom w:val="single" w:sz="18" w:space="0" w:color="auto"/>
              <w:right w:val="single" w:sz="18" w:space="0" w:color="auto"/>
            </w:tcBorders>
            <w:vAlign w:val="center"/>
          </w:tcPr>
          <w:p w14:paraId="3907C116" w14:textId="77777777" w:rsidR="003F5ECA" w:rsidRPr="003F5ECA" w:rsidRDefault="003F5ECA" w:rsidP="003F5ECA">
            <w:pPr>
              <w:spacing w:after="0" w:line="240" w:lineRule="auto"/>
              <w:jc w:val="center"/>
              <w:rPr>
                <w:rFonts w:ascii="Times New Roman" w:eastAsia="Times New Roman" w:hAnsi="Times New Roman" w:cs="Times New Roman"/>
                <w:kern w:val="0"/>
                <w:sz w:val="20"/>
                <w:szCs w:val="20"/>
                <w14:ligatures w14:val="none"/>
              </w:rPr>
            </w:pPr>
            <w:r w:rsidRPr="003F5ECA">
              <w:rPr>
                <w:rFonts w:ascii="Times New Roman" w:eastAsia="Times New Roman" w:hAnsi="Times New Roman" w:cs="Times New Roman"/>
                <w:color w:val="000000"/>
                <w:kern w:val="0"/>
                <w:sz w:val="20"/>
                <w:szCs w:val="20"/>
                <w14:ligatures w14:val="none"/>
              </w:rPr>
              <w:t>11,074</w:t>
            </w:r>
          </w:p>
        </w:tc>
      </w:tr>
    </w:tbl>
    <w:p w14:paraId="42BDB842" w14:textId="65E9155B" w:rsidR="007B3F76" w:rsidRPr="007E0545" w:rsidRDefault="00625595" w:rsidP="003F5ECA">
      <w:pPr>
        <w:spacing w:after="0" w:line="240" w:lineRule="auto"/>
        <w:jc w:val="both"/>
        <w:rPr>
          <w:rFonts w:ascii="Times New Roman" w:hAnsi="Times New Roman" w:cs="Times New Roman"/>
          <w:sz w:val="20"/>
          <w:szCs w:val="20"/>
        </w:rPr>
      </w:pPr>
      <w:r w:rsidRPr="007E0545">
        <w:rPr>
          <w:rFonts w:ascii="Times New Roman" w:hAnsi="Times New Roman" w:cs="Times New Roman"/>
          <w:sz w:val="20"/>
          <w:szCs w:val="20"/>
        </w:rPr>
        <w:t>Note: The table is color-coded according to percentage values, with a gradient ranging from red (lowest percentages) through orange and yellow (intermediate percentages) to green (highest percentages).</w:t>
      </w:r>
    </w:p>
    <w:p w14:paraId="1044DBE1" w14:textId="77777777" w:rsidR="007B3F76" w:rsidRDefault="007B3F76" w:rsidP="007B3F76">
      <w:pPr>
        <w:spacing w:after="0" w:line="240" w:lineRule="auto"/>
        <w:ind w:firstLine="720"/>
        <w:jc w:val="both"/>
        <w:rPr>
          <w:rFonts w:ascii="Times New Roman" w:hAnsi="Times New Roman" w:cs="Times New Roman"/>
        </w:rPr>
      </w:pPr>
    </w:p>
    <w:p w14:paraId="4DCD8B29" w14:textId="10AABCFD" w:rsidR="00BB3191" w:rsidRPr="00BB3191" w:rsidRDefault="00BB3191" w:rsidP="00BB3191">
      <w:pPr>
        <w:spacing w:after="0" w:line="240" w:lineRule="auto"/>
        <w:ind w:firstLine="720"/>
        <w:jc w:val="both"/>
        <w:rPr>
          <w:rFonts w:ascii="Times New Roman" w:hAnsi="Times New Roman" w:cs="Times New Roman"/>
        </w:rPr>
      </w:pPr>
      <w:r w:rsidRPr="00BB3191">
        <w:rPr>
          <w:rFonts w:ascii="Times New Roman" w:hAnsi="Times New Roman" w:cs="Times New Roman"/>
        </w:rPr>
        <w:t>The day-specific patterns are not entirely uniform across telecommuting segments. Workers telecommuting three or four days exhibit relatively high stop-making rates on Monday as well as on the weekend, while the highest-frequency group displays considerable variation from one day to another. However, the sample sizes become progressively smaller as telecommuting frequency increases, particularly for weekend commute days. For example, the three-to-four-day telecommuting segment contributes only 26 Saturday and 25 Sunday observations, while the five-to-six-day segment contributes fewer than 20 observations on every day except Monday. Estimates for these cells should therefore be viewed as descriptive signals with appropriate caution (rather than statistically precise estimates).</w:t>
      </w:r>
    </w:p>
    <w:p w14:paraId="3D38C7DF" w14:textId="616094F6" w:rsidR="002978B9" w:rsidRPr="00D518A4" w:rsidRDefault="00BB3191" w:rsidP="00BB3191">
      <w:pPr>
        <w:spacing w:after="0" w:line="240" w:lineRule="auto"/>
        <w:ind w:firstLine="720"/>
        <w:jc w:val="both"/>
        <w:rPr>
          <w:rFonts w:ascii="Times New Roman" w:hAnsi="Times New Roman" w:cs="Times New Roman"/>
        </w:rPr>
      </w:pPr>
      <w:r w:rsidRPr="00BB3191">
        <w:rPr>
          <w:rFonts w:ascii="Times New Roman" w:hAnsi="Times New Roman" w:cs="Times New Roman"/>
        </w:rPr>
        <w:lastRenderedPageBreak/>
        <w:t>Overall, Table 2 indicates that commute stop-making varies systematically by direction, telecommuting frequency, and day of the week. W-to-H trips are generally more likely to include a stop, stop-making rises with telecommuting frequency, and end-of-week commute days tend to exhibit greater tour complexity. At the same time, the differences across days are not uniform across worker groups. These patterns motivate the use of a panel bivariate modeling framework that can jointly analyze the two commute directions, account for repeated observations from the same worker, and identify whether telecommuting and day-of-week differences persist after controlling for individual, household, commute, geographic, and built environment characteristics.</w:t>
      </w:r>
    </w:p>
    <w:p w14:paraId="40AEF715" w14:textId="77777777" w:rsidR="00A22BCE" w:rsidRPr="00D518A4" w:rsidRDefault="00A22BCE" w:rsidP="00EB5F06">
      <w:pPr>
        <w:spacing w:after="0" w:line="240" w:lineRule="auto"/>
        <w:ind w:firstLine="720"/>
        <w:jc w:val="both"/>
        <w:rPr>
          <w:rFonts w:ascii="Times New Roman" w:hAnsi="Times New Roman" w:cs="Times New Roman"/>
        </w:rPr>
      </w:pPr>
    </w:p>
    <w:p w14:paraId="5ED363AD" w14:textId="00356A03" w:rsidR="00AE2262" w:rsidRPr="00D518A4" w:rsidRDefault="00E53C27" w:rsidP="00EB5F06">
      <w:pPr>
        <w:pStyle w:val="Heading1"/>
        <w:spacing w:before="0" w:line="240" w:lineRule="auto"/>
        <w:rPr>
          <w:szCs w:val="24"/>
        </w:rPr>
      </w:pPr>
      <w:r w:rsidRPr="00E53C27">
        <w:rPr>
          <w:szCs w:val="24"/>
        </w:rPr>
        <w:t>MODEL STRUCTURE</w:t>
      </w:r>
    </w:p>
    <w:p w14:paraId="69A68169" w14:textId="77777777" w:rsidR="00137CBD" w:rsidRDefault="00D138FE" w:rsidP="004F73CE">
      <w:pPr>
        <w:spacing w:after="0" w:line="240" w:lineRule="auto"/>
        <w:jc w:val="both"/>
        <w:rPr>
          <w:rFonts w:ascii="Times New Roman" w:hAnsi="Times New Roman" w:cs="Times New Roman"/>
        </w:rPr>
      </w:pPr>
      <w:r w:rsidRPr="00D138FE">
        <w:rPr>
          <w:rFonts w:ascii="Times New Roman" w:hAnsi="Times New Roman" w:cs="Times New Roman"/>
        </w:rPr>
        <w:t>This section presents an overview of the analytical framework adopted to examine intermediate stop-making during commute trips. Figure 1 provides a simplified representation of the model structure. The two binary endogenous outcomes, indicating whether a respondent made at least one intermediate stop on the H-to-W and W-to-H commute trips, are modeled jointly using a bivariate binary probit model for panel data.</w:t>
      </w:r>
    </w:p>
    <w:p w14:paraId="02E39505" w14:textId="15628797" w:rsidR="00AE2262" w:rsidRPr="00D518A4" w:rsidRDefault="00137CBD" w:rsidP="00CF7AED">
      <w:pPr>
        <w:spacing w:before="120" w:after="0" w:line="240" w:lineRule="auto"/>
        <w:jc w:val="center"/>
        <w:rPr>
          <w:rFonts w:ascii="Times New Roman" w:hAnsi="Times New Roman" w:cs="Times New Roman"/>
        </w:rPr>
      </w:pPr>
      <w:r>
        <w:rPr>
          <w:rFonts w:cstheme="minorHAnsi"/>
          <w:noProof/>
        </w:rPr>
        <w:drawing>
          <wp:inline distT="0" distB="0" distL="0" distR="0" wp14:anchorId="5673B3A3" wp14:editId="0D599112">
            <wp:extent cx="4773168" cy="2423160"/>
            <wp:effectExtent l="0" t="0" r="8890" b="0"/>
            <wp:docPr id="600719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19553" name="Picture 2"/>
                    <pic:cNvPicPr>
                      <a:picLocks noChangeAspect="1" noChangeArrowheads="1"/>
                    </pic:cNvPicPr>
                  </pic:nvPicPr>
                  <pic:blipFill>
                    <a:blip r:embed="rId19">
                      <a:extLst>
                        <a:ext uri="{96DAC541-7B7A-43D3-8B79-37D633B846F1}">
                          <asvg:svgBlip xmlns:asvg="http://schemas.microsoft.com/office/drawing/2016/SVG/main" r:embed="rId20"/>
                        </a:ext>
                      </a:extLst>
                    </a:blip>
                    <a:stretch>
                      <a:fillRect/>
                    </a:stretch>
                  </pic:blipFill>
                  <pic:spPr bwMode="auto">
                    <a:xfrm>
                      <a:off x="0" y="0"/>
                      <a:ext cx="4773168" cy="2423160"/>
                    </a:xfrm>
                    <a:prstGeom prst="rect">
                      <a:avLst/>
                    </a:prstGeom>
                  </pic:spPr>
                </pic:pic>
              </a:graphicData>
            </a:graphic>
          </wp:inline>
        </w:drawing>
      </w:r>
    </w:p>
    <w:p w14:paraId="628E2424" w14:textId="75463A0E" w:rsidR="00CF7AED" w:rsidRPr="00CF7AED" w:rsidRDefault="00E16C7B" w:rsidP="00CF7AED">
      <w:pPr>
        <w:spacing w:after="120" w:line="240" w:lineRule="auto"/>
        <w:jc w:val="center"/>
        <w:rPr>
          <w:rFonts w:ascii="Times New Roman" w:hAnsi="Times New Roman" w:cs="Times New Roman"/>
          <w:b/>
          <w:bCs/>
          <w:color w:val="000000" w:themeColor="text1"/>
          <w:sz w:val="22"/>
          <w:szCs w:val="22"/>
        </w:rPr>
      </w:pPr>
      <w:r w:rsidRPr="00E16C7B">
        <w:rPr>
          <w:rFonts w:ascii="Times New Roman" w:hAnsi="Times New Roman" w:cs="Times New Roman"/>
          <w:b/>
          <w:bCs/>
          <w:color w:val="000000" w:themeColor="text1"/>
          <w:sz w:val="22"/>
          <w:szCs w:val="22"/>
        </w:rPr>
        <w:t>Figure 1</w:t>
      </w:r>
      <w:r>
        <w:rPr>
          <w:rFonts w:ascii="Times New Roman" w:hAnsi="Times New Roman" w:cs="Times New Roman"/>
          <w:b/>
          <w:bCs/>
          <w:color w:val="000000" w:themeColor="text1"/>
          <w:sz w:val="22"/>
          <w:szCs w:val="22"/>
        </w:rPr>
        <w:t>:</w:t>
      </w:r>
      <w:r w:rsidRPr="00E16C7B">
        <w:rPr>
          <w:rFonts w:ascii="Times New Roman" w:hAnsi="Times New Roman" w:cs="Times New Roman"/>
          <w:b/>
          <w:bCs/>
          <w:color w:val="000000" w:themeColor="text1"/>
          <w:sz w:val="22"/>
          <w:szCs w:val="22"/>
        </w:rPr>
        <w:t xml:space="preserve"> Model Framework</w:t>
      </w:r>
    </w:p>
    <w:p w14:paraId="7F72294A" w14:textId="77777777" w:rsidR="00967A76" w:rsidRPr="00967A76" w:rsidRDefault="00967A76" w:rsidP="00967A76">
      <w:pPr>
        <w:spacing w:after="0" w:line="240" w:lineRule="auto"/>
        <w:ind w:firstLine="720"/>
        <w:jc w:val="both"/>
        <w:rPr>
          <w:rFonts w:ascii="Times New Roman" w:hAnsi="Times New Roman" w:cs="Times New Roman"/>
        </w:rPr>
      </w:pPr>
      <w:r w:rsidRPr="00967A76">
        <w:rPr>
          <w:rFonts w:ascii="Times New Roman" w:hAnsi="Times New Roman" w:cs="Times New Roman"/>
        </w:rPr>
        <w:t>The explanatory variables shown on the left-hand side of Figure 1 include individual socioeconomic and demographic attributes, household characteristics, commute characteristics, telecommuting frequency, and built-environment measures. Telecommuting frequency is included explicitly among these individual-level exogenous attributes and constitutes a central explanatory variable in the analysis. It captures differences between workers who did not telecommute and those who telecommuted at low, medium, or high frequencies during the reported week. The direct arrows from the explanatory variables to the two stop-making outcomes represent their potential effects on the propensity to make an intermediate stop in each commute direction.</w:t>
      </w:r>
    </w:p>
    <w:p w14:paraId="59A6F497" w14:textId="77777777" w:rsidR="00967A76" w:rsidRPr="00967A76" w:rsidRDefault="00967A76" w:rsidP="00967A76">
      <w:pPr>
        <w:spacing w:after="0" w:line="240" w:lineRule="auto"/>
        <w:ind w:firstLine="720"/>
        <w:jc w:val="both"/>
        <w:rPr>
          <w:rFonts w:ascii="Times New Roman" w:hAnsi="Times New Roman" w:cs="Times New Roman"/>
        </w:rPr>
      </w:pPr>
      <w:r w:rsidRPr="00967A76">
        <w:rPr>
          <w:rFonts w:ascii="Times New Roman" w:hAnsi="Times New Roman" w:cs="Times New Roman"/>
        </w:rPr>
        <w:t>Day of the week enters the framework as an additional source of variation in stop-making behavior. In addition to its direct effect, day of the week is interacted with selected socioeconomic, commute, and work-arrangement attributes, including telecommuting frequency. These interaction effects allow the influence of worker and commute characteristics to vary across days of the week. This formulation is particularly important for hybrid workers, who may not organize non-work activities consistently across all workplace commute days. For example, the association between telecommuting frequency and stop-making may be different on Monday or Friday than during the middle of the week.</w:t>
      </w:r>
    </w:p>
    <w:p w14:paraId="750236AB" w14:textId="77777777" w:rsidR="00967A76" w:rsidRPr="00967A76" w:rsidRDefault="00967A76" w:rsidP="00CF7AED">
      <w:pPr>
        <w:spacing w:after="0" w:line="240" w:lineRule="auto"/>
        <w:ind w:firstLine="720"/>
        <w:jc w:val="both"/>
        <w:rPr>
          <w:rFonts w:ascii="Times New Roman" w:hAnsi="Times New Roman" w:cs="Times New Roman"/>
        </w:rPr>
      </w:pPr>
      <w:r w:rsidRPr="00967A76">
        <w:rPr>
          <w:rFonts w:ascii="Times New Roman" w:hAnsi="Times New Roman" w:cs="Times New Roman"/>
        </w:rPr>
        <w:lastRenderedPageBreak/>
        <w:t xml:space="preserve">The panel structure is also central to the model specification. Each respondent may contribute multiple commute-day observations and stop-making reported by the same individual across days is unlikely to be statistically independent. Time-invariant unobserved characteristics, such as a general inclination to combine activities within commute tours, may influence stop-making across all observed commute days for the same worker. The panel formulation accounts for this repeated-observation structure through respondent-specific unobserved effects through a common error term with a scale that generates a covariance across the H-to-W direction of stop-making across all workdays of an individual, and another common error term with a scale that generates a covariance across the W-to-H direction of stop-making across all workdays of an individual. </w:t>
      </w:r>
    </w:p>
    <w:p w14:paraId="70F83AF3" w14:textId="77777777" w:rsidR="00967A76" w:rsidRPr="00967A76" w:rsidRDefault="00967A76" w:rsidP="00CF7AED">
      <w:pPr>
        <w:spacing w:after="0" w:line="240" w:lineRule="auto"/>
        <w:ind w:firstLine="720"/>
        <w:jc w:val="both"/>
        <w:rPr>
          <w:rFonts w:ascii="Times New Roman" w:hAnsi="Times New Roman" w:cs="Times New Roman"/>
        </w:rPr>
      </w:pPr>
      <w:r w:rsidRPr="00967A76">
        <w:rPr>
          <w:rFonts w:ascii="Times New Roman" w:hAnsi="Times New Roman" w:cs="Times New Roman"/>
        </w:rPr>
        <w:t>Finally, the bivariate structure permits the unobserved factors affecting H-to-W and W-to-H stop-making to be correlated for each day of the week. Workers who exhibit an unobserved tendency to make stops on the way to work may also be more inclined to make stops while returning home. Jointly estimating the two outcomes therefore provides a more behaviorally realistic representation than estimating separate independent binary models. Overall, the framework captures differences across workers, variation within workers over the week, heterogeneity by day of week, and dependence between the two commute directions for each day.</w:t>
      </w:r>
    </w:p>
    <w:p w14:paraId="21367DCF" w14:textId="124B3592" w:rsidR="00857C2A" w:rsidRDefault="00967A76" w:rsidP="00CF7AED">
      <w:pPr>
        <w:spacing w:after="0" w:line="240" w:lineRule="auto"/>
        <w:ind w:firstLine="720"/>
        <w:jc w:val="both"/>
        <w:rPr>
          <w:rFonts w:ascii="Times New Roman" w:hAnsi="Times New Roman" w:cs="Times New Roman"/>
        </w:rPr>
      </w:pPr>
      <w:r w:rsidRPr="00967A76">
        <w:rPr>
          <w:rFonts w:ascii="Times New Roman" w:hAnsi="Times New Roman" w:cs="Times New Roman"/>
        </w:rPr>
        <w:t>In the interest of brevity, the detailed mathematical formulation and estimation procedure are not presented here. But the structure corresponds to a panel bivariate probit model, which is a straightforward extension of a traditional bivariate probit model (see, for example, Greene</w:t>
      </w:r>
      <w:r w:rsidR="00CF7AED">
        <w:rPr>
          <w:rFonts w:ascii="Times New Roman" w:hAnsi="Times New Roman" w:cs="Times New Roman"/>
        </w:rPr>
        <w:t>,</w:t>
      </w:r>
      <w:r w:rsidRPr="00967A76">
        <w:rPr>
          <w:rFonts w:ascii="Times New Roman" w:hAnsi="Times New Roman" w:cs="Times New Roman"/>
        </w:rPr>
        <w:t xml:space="preserve"> 2003)  with two additional layers of mixing (integration over the real line) over the common error terms for the H-to-W direction and the W-to-H direction.</w:t>
      </w:r>
    </w:p>
    <w:p w14:paraId="5F6079FC" w14:textId="77777777" w:rsidR="00122C06" w:rsidRPr="00D518A4" w:rsidRDefault="00122C06" w:rsidP="00CF7AED">
      <w:pPr>
        <w:spacing w:after="0" w:line="240" w:lineRule="auto"/>
        <w:ind w:firstLine="720"/>
        <w:jc w:val="both"/>
        <w:rPr>
          <w:rFonts w:ascii="Times New Roman" w:hAnsi="Times New Roman" w:cs="Times New Roman"/>
        </w:rPr>
      </w:pPr>
    </w:p>
    <w:p w14:paraId="1C656EC5" w14:textId="77777777" w:rsidR="009C6B39" w:rsidRDefault="009C6B39" w:rsidP="00CF7AED">
      <w:pPr>
        <w:pStyle w:val="Heading1"/>
        <w:spacing w:before="0" w:line="240" w:lineRule="auto"/>
      </w:pPr>
      <w:r w:rsidRPr="009C6B39">
        <w:t>MODEL ESTIMATION RESULTS</w:t>
      </w:r>
    </w:p>
    <w:p w14:paraId="62AA1418" w14:textId="3A828F17" w:rsidR="00122C06" w:rsidRDefault="004D6A69" w:rsidP="00CF7AED">
      <w:pPr>
        <w:spacing w:after="0" w:line="240" w:lineRule="auto"/>
        <w:jc w:val="both"/>
        <w:rPr>
          <w:rFonts w:ascii="Times New Roman" w:hAnsi="Times New Roman" w:cs="Times New Roman"/>
        </w:rPr>
      </w:pPr>
      <w:r w:rsidRPr="004D6A69">
        <w:rPr>
          <w:rFonts w:ascii="Times New Roman" w:hAnsi="Times New Roman" w:cs="Times New Roman"/>
        </w:rPr>
        <w:t>This section presents a detailed description of the model estimation results.</w:t>
      </w:r>
    </w:p>
    <w:p w14:paraId="3DB84171" w14:textId="77777777" w:rsidR="00CF7AED" w:rsidRPr="004D6A69" w:rsidRDefault="00CF7AED" w:rsidP="00CF7AED">
      <w:pPr>
        <w:spacing w:after="0" w:line="240" w:lineRule="auto"/>
        <w:jc w:val="both"/>
        <w:rPr>
          <w:rFonts w:ascii="Times New Roman" w:hAnsi="Times New Roman" w:cs="Times New Roman"/>
        </w:rPr>
      </w:pPr>
    </w:p>
    <w:p w14:paraId="5F8B42FB" w14:textId="4242B102" w:rsidR="004C316C" w:rsidRPr="00D518A4" w:rsidRDefault="002B4724" w:rsidP="00CF7AED">
      <w:pPr>
        <w:pStyle w:val="Heading2"/>
      </w:pPr>
      <w:r w:rsidRPr="002B4724">
        <w:t>Main Estimation Results</w:t>
      </w:r>
      <w:r w:rsidR="004C316C" w:rsidRPr="00D518A4">
        <w:t xml:space="preserve"> </w:t>
      </w:r>
    </w:p>
    <w:p w14:paraId="293E3737" w14:textId="6322134C" w:rsidR="00DB3D01" w:rsidRDefault="00EA573C" w:rsidP="00CF7AED">
      <w:pPr>
        <w:spacing w:after="0" w:line="240" w:lineRule="auto"/>
        <w:jc w:val="both"/>
        <w:rPr>
          <w:rFonts w:ascii="Times New Roman" w:hAnsi="Times New Roman" w:cs="Times New Roman"/>
        </w:rPr>
      </w:pPr>
      <w:r w:rsidRPr="00EA573C">
        <w:rPr>
          <w:rFonts w:ascii="Times New Roman" w:hAnsi="Times New Roman" w:cs="Times New Roman"/>
        </w:rPr>
        <w:t>Table 3 presents the estimation results for the H-to-W and W-to-H stop-making outcomes. Positive coefficients indicate a greater latent propensity to make at least one intermediate stop, while negative coefficients indicate a lower propensity, relative to the applicable reference category. Because the estimates are probit coefficients, they should be interpreted in terms of direction and statistical significance rather than as direct changes in stop-making probability. The magnitudes of key relationships are examined subsequently through the treatment-effect estimates.</w:t>
      </w:r>
    </w:p>
    <w:p w14:paraId="4D3F9A26" w14:textId="77777777" w:rsidR="00DA7F83" w:rsidRPr="00DA7F83" w:rsidRDefault="00DA7F83" w:rsidP="00CF7AED">
      <w:pPr>
        <w:spacing w:after="0" w:line="240" w:lineRule="auto"/>
        <w:ind w:firstLine="720"/>
        <w:jc w:val="both"/>
        <w:rPr>
          <w:rFonts w:ascii="Times New Roman" w:hAnsi="Times New Roman" w:cs="Times New Roman"/>
        </w:rPr>
      </w:pPr>
      <w:r w:rsidRPr="00DA7F83">
        <w:rPr>
          <w:rFonts w:ascii="Times New Roman" w:hAnsi="Times New Roman" w:cs="Times New Roman"/>
        </w:rPr>
        <w:t>The standalone day-of-week indicators were not statistically significant in either equation and were therefore omitted from the final specification. With Monday serving as the reference day, this finding indicates that there are no uniform differences in stop-making propensity between Monday and the other days of the week for respondents in the relevant reference categories. This does not imply that stop-making is invariant across the week. Several statistically significant interactions between day of week and individual, commute, and telecommuting characteristics indicate that weekday differences are heterogeneous across population segments and travel circumstances.</w:t>
      </w:r>
    </w:p>
    <w:p w14:paraId="3FE29165" w14:textId="3FCC0E3E" w:rsidR="00DB3D01" w:rsidRDefault="00DA7F83" w:rsidP="00DA7F83">
      <w:pPr>
        <w:spacing w:after="0" w:line="240" w:lineRule="auto"/>
        <w:ind w:firstLine="720"/>
        <w:jc w:val="both"/>
        <w:rPr>
          <w:rFonts w:ascii="Times New Roman" w:hAnsi="Times New Roman" w:cs="Times New Roman"/>
        </w:rPr>
      </w:pPr>
      <w:r w:rsidRPr="00DA7F83">
        <w:rPr>
          <w:rFonts w:ascii="Times New Roman" w:hAnsi="Times New Roman" w:cs="Times New Roman"/>
        </w:rPr>
        <w:t xml:space="preserve">A number of individual characteristics are associated with stop-making. Women exhibit a lower propensity than men to make intermediate stops on the W-to-H journey, while no statistically significant gender difference is evident for H-to-W travel. Age differences are confined to the H-to-W direction. Relative to workers aged 18-54 years, those aged 55-64 years are less likely to make an intermediate stop, and the negative association is even larger among workers aged 65 </w:t>
      </w:r>
      <w:r w:rsidRPr="00DA7F83">
        <w:rPr>
          <w:rFonts w:ascii="Times New Roman" w:hAnsi="Times New Roman" w:cs="Times New Roman"/>
        </w:rPr>
        <w:lastRenderedPageBreak/>
        <w:t>years or older. This finding is broadly consistent with evidence that older adults form less complex work-related tours than middle-aged workers (Yang et al.</w:t>
      </w:r>
      <w:r w:rsidR="00CF7AED">
        <w:rPr>
          <w:rFonts w:ascii="Times New Roman" w:hAnsi="Times New Roman" w:cs="Times New Roman"/>
        </w:rPr>
        <w:t>,</w:t>
      </w:r>
      <w:r w:rsidRPr="00DA7F83">
        <w:rPr>
          <w:rFonts w:ascii="Times New Roman" w:hAnsi="Times New Roman" w:cs="Times New Roman"/>
        </w:rPr>
        <w:t xml:space="preserve"> 2019).</w:t>
      </w:r>
      <w:r w:rsidR="00F13323">
        <w:rPr>
          <w:rFonts w:ascii="Times New Roman" w:hAnsi="Times New Roman" w:cs="Times New Roman"/>
        </w:rPr>
        <w:t xml:space="preserve"> </w:t>
      </w:r>
    </w:p>
    <w:p w14:paraId="5D206B95" w14:textId="77777777" w:rsidR="00CF7AED" w:rsidRDefault="00CF7AED" w:rsidP="00DA7F83">
      <w:pPr>
        <w:spacing w:after="0" w:line="240" w:lineRule="auto"/>
        <w:ind w:firstLine="720"/>
        <w:jc w:val="both"/>
        <w:rPr>
          <w:rFonts w:ascii="Times New Roman" w:hAnsi="Times New Roman" w:cs="Times New Roman"/>
        </w:rPr>
      </w:pPr>
    </w:p>
    <w:p w14:paraId="6FB401EB" w14:textId="4186318F" w:rsidR="004C316C" w:rsidRPr="00437CAF" w:rsidRDefault="004D2600" w:rsidP="00E94AFC">
      <w:pPr>
        <w:pStyle w:val="Caption"/>
        <w:spacing w:after="0"/>
        <w:rPr>
          <w:rFonts w:ascii="Times New Roman" w:hAnsi="Times New Roman" w:cs="Times New Roman"/>
          <w:b/>
          <w:bCs/>
          <w:i w:val="0"/>
          <w:iCs w:val="0"/>
          <w:color w:val="000000" w:themeColor="text1"/>
          <w:sz w:val="22"/>
          <w:szCs w:val="22"/>
        </w:rPr>
      </w:pPr>
      <w:bookmarkStart w:id="1" w:name="_Ref228237052"/>
      <w:r w:rsidRPr="00437CAF">
        <w:rPr>
          <w:rFonts w:ascii="Times New Roman" w:hAnsi="Times New Roman" w:cs="Times New Roman"/>
          <w:b/>
          <w:bCs/>
          <w:i w:val="0"/>
          <w:iCs w:val="0"/>
          <w:color w:val="000000" w:themeColor="text1"/>
          <w:sz w:val="22"/>
          <w:szCs w:val="22"/>
        </w:rPr>
        <w:t xml:space="preserve">Table </w:t>
      </w:r>
      <w:r w:rsidR="00D60325" w:rsidRPr="00437CAF">
        <w:rPr>
          <w:rFonts w:ascii="Times New Roman" w:hAnsi="Times New Roman" w:cs="Times New Roman"/>
          <w:b/>
          <w:bCs/>
          <w:i w:val="0"/>
          <w:iCs w:val="0"/>
          <w:color w:val="000000" w:themeColor="text1"/>
          <w:sz w:val="22"/>
          <w:szCs w:val="22"/>
        </w:rPr>
        <w:fldChar w:fldCharType="begin"/>
      </w:r>
      <w:r w:rsidR="00D60325" w:rsidRPr="00437CAF">
        <w:rPr>
          <w:rFonts w:ascii="Times New Roman" w:hAnsi="Times New Roman" w:cs="Times New Roman"/>
          <w:b/>
          <w:bCs/>
          <w:i w:val="0"/>
          <w:iCs w:val="0"/>
          <w:color w:val="000000" w:themeColor="text1"/>
          <w:sz w:val="22"/>
          <w:szCs w:val="22"/>
        </w:rPr>
        <w:instrText xml:space="preserve"> SEQ Table \* ARABIC </w:instrText>
      </w:r>
      <w:r w:rsidR="00D60325"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3</w:t>
      </w:r>
      <w:r w:rsidR="00D60325" w:rsidRPr="00437CAF">
        <w:rPr>
          <w:rFonts w:ascii="Times New Roman" w:hAnsi="Times New Roman" w:cs="Times New Roman"/>
          <w:b/>
          <w:bCs/>
          <w:i w:val="0"/>
          <w:iCs w:val="0"/>
          <w:color w:val="000000" w:themeColor="text1"/>
          <w:sz w:val="22"/>
          <w:szCs w:val="22"/>
        </w:rPr>
        <w:fldChar w:fldCharType="end"/>
      </w:r>
      <w:bookmarkEnd w:id="1"/>
      <w:r w:rsidRPr="00437CAF">
        <w:rPr>
          <w:rFonts w:ascii="Times New Roman" w:hAnsi="Times New Roman" w:cs="Times New Roman"/>
          <w:b/>
          <w:bCs/>
          <w:i w:val="0"/>
          <w:iCs w:val="0"/>
          <w:color w:val="000000" w:themeColor="text1"/>
          <w:sz w:val="22"/>
          <w:szCs w:val="22"/>
        </w:rPr>
        <w:t xml:space="preserve">: </w:t>
      </w:r>
      <w:r w:rsidR="003D229F" w:rsidRPr="003D229F">
        <w:rPr>
          <w:rFonts w:ascii="Times New Roman" w:hAnsi="Times New Roman" w:cs="Times New Roman"/>
          <w:b/>
          <w:bCs/>
          <w:i w:val="0"/>
          <w:iCs w:val="0"/>
          <w:color w:val="000000" w:themeColor="text1"/>
          <w:sz w:val="22"/>
          <w:szCs w:val="22"/>
        </w:rPr>
        <w:t>Estimation Results of the Main Outcome Model Components (N = 11,074)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3306"/>
        <w:gridCol w:w="3241"/>
        <w:gridCol w:w="721"/>
        <w:gridCol w:w="721"/>
        <w:gridCol w:w="721"/>
        <w:gridCol w:w="604"/>
      </w:tblGrid>
      <w:tr w:rsidR="001D1F28" w:rsidRPr="001D1F28" w14:paraId="79A9F09A" w14:textId="77777777" w:rsidTr="001023BB">
        <w:trPr>
          <w:cantSplit/>
          <w:trHeight w:val="20"/>
          <w:tblHeader/>
        </w:trPr>
        <w:tc>
          <w:tcPr>
            <w:tcW w:w="3515" w:type="pct"/>
            <w:gridSpan w:val="2"/>
            <w:vMerge w:val="restart"/>
            <w:tcBorders>
              <w:top w:val="single" w:sz="18" w:space="0" w:color="auto"/>
              <w:left w:val="single" w:sz="18" w:space="0" w:color="auto"/>
              <w:right w:val="single" w:sz="18" w:space="0" w:color="auto"/>
            </w:tcBorders>
            <w:noWrap/>
            <w:vAlign w:val="center"/>
            <w:hideMark/>
          </w:tcPr>
          <w:p w14:paraId="4221D4FD" w14:textId="77777777" w:rsidR="001D1F28" w:rsidRPr="001D1F28" w:rsidRDefault="001D1F28" w:rsidP="001023BB">
            <w:pPr>
              <w:rPr>
                <w:rFonts w:ascii="Times New Roman" w:hAnsi="Times New Roman" w:cs="Times New Roman"/>
                <w:b/>
                <w:bCs/>
                <w:sz w:val="20"/>
                <w:szCs w:val="20"/>
              </w:rPr>
            </w:pPr>
            <w:r w:rsidRPr="001D1F28">
              <w:rPr>
                <w:rFonts w:ascii="Times New Roman" w:hAnsi="Times New Roman" w:cs="Times New Roman"/>
                <w:b/>
                <w:bCs/>
                <w:sz w:val="20"/>
                <w:szCs w:val="20"/>
              </w:rPr>
              <w:t>Explanatory variables (base category)</w:t>
            </w:r>
          </w:p>
        </w:tc>
        <w:tc>
          <w:tcPr>
            <w:tcW w:w="774" w:type="pct"/>
            <w:gridSpan w:val="2"/>
            <w:tcBorders>
              <w:top w:val="single" w:sz="18" w:space="0" w:color="auto"/>
              <w:left w:val="single" w:sz="18" w:space="0" w:color="auto"/>
              <w:bottom w:val="single" w:sz="4" w:space="0" w:color="auto"/>
              <w:right w:val="single" w:sz="18" w:space="0" w:color="auto"/>
            </w:tcBorders>
          </w:tcPr>
          <w:p w14:paraId="26F4C248" w14:textId="77777777" w:rsidR="001D1F28" w:rsidRPr="001D1F28" w:rsidRDefault="001D1F28" w:rsidP="001023BB">
            <w:pPr>
              <w:jc w:val="center"/>
              <w:rPr>
                <w:rFonts w:ascii="Times New Roman" w:hAnsi="Times New Roman" w:cs="Times New Roman"/>
                <w:b/>
                <w:bCs/>
                <w:sz w:val="20"/>
                <w:szCs w:val="20"/>
              </w:rPr>
            </w:pPr>
            <w:r w:rsidRPr="001D1F28">
              <w:rPr>
                <w:rFonts w:ascii="Times New Roman" w:hAnsi="Times New Roman" w:cs="Times New Roman"/>
                <w:b/>
                <w:bCs/>
                <w:sz w:val="20"/>
                <w:szCs w:val="20"/>
              </w:rPr>
              <w:t>Home-to-work commute stop</w:t>
            </w:r>
          </w:p>
        </w:tc>
        <w:tc>
          <w:tcPr>
            <w:tcW w:w="711" w:type="pct"/>
            <w:gridSpan w:val="2"/>
            <w:tcBorders>
              <w:top w:val="single" w:sz="18" w:space="0" w:color="auto"/>
              <w:left w:val="single" w:sz="18" w:space="0" w:color="auto"/>
              <w:right w:val="single" w:sz="18" w:space="0" w:color="auto"/>
            </w:tcBorders>
            <w:vAlign w:val="center"/>
          </w:tcPr>
          <w:p w14:paraId="16CE0BDE" w14:textId="77777777" w:rsidR="001D1F28" w:rsidRPr="001D1F28" w:rsidRDefault="001D1F28" w:rsidP="001023BB">
            <w:pPr>
              <w:jc w:val="center"/>
              <w:rPr>
                <w:rFonts w:ascii="Times New Roman" w:hAnsi="Times New Roman" w:cs="Times New Roman"/>
                <w:b/>
                <w:bCs/>
                <w:sz w:val="20"/>
                <w:szCs w:val="20"/>
              </w:rPr>
            </w:pPr>
            <w:r w:rsidRPr="001D1F28">
              <w:rPr>
                <w:rFonts w:ascii="Times New Roman" w:hAnsi="Times New Roman" w:cs="Times New Roman"/>
                <w:b/>
                <w:bCs/>
                <w:sz w:val="20"/>
                <w:szCs w:val="20"/>
              </w:rPr>
              <w:t>Work-to-home commute stop</w:t>
            </w:r>
          </w:p>
        </w:tc>
      </w:tr>
      <w:tr w:rsidR="001D1F28" w:rsidRPr="001D1F28" w14:paraId="1003AD75" w14:textId="77777777" w:rsidTr="001023BB">
        <w:trPr>
          <w:trHeight w:val="20"/>
        </w:trPr>
        <w:tc>
          <w:tcPr>
            <w:tcW w:w="3515" w:type="pct"/>
            <w:gridSpan w:val="2"/>
            <w:vMerge/>
            <w:tcBorders>
              <w:left w:val="single" w:sz="18" w:space="0" w:color="auto"/>
              <w:bottom w:val="single" w:sz="18" w:space="0" w:color="auto"/>
              <w:right w:val="single" w:sz="18" w:space="0" w:color="auto"/>
            </w:tcBorders>
            <w:vAlign w:val="center"/>
          </w:tcPr>
          <w:p w14:paraId="0780438D" w14:textId="77777777" w:rsidR="001D1F28" w:rsidRPr="001D1F28" w:rsidRDefault="001D1F28" w:rsidP="001023BB">
            <w:pPr>
              <w:rPr>
                <w:rFonts w:ascii="Times New Roman" w:hAnsi="Times New Roman" w:cs="Times New Roman"/>
                <w:sz w:val="20"/>
                <w:szCs w:val="20"/>
              </w:rPr>
            </w:pPr>
          </w:p>
        </w:tc>
        <w:tc>
          <w:tcPr>
            <w:tcW w:w="1485" w:type="pct"/>
            <w:gridSpan w:val="4"/>
            <w:tcBorders>
              <w:top w:val="single" w:sz="4" w:space="0" w:color="auto"/>
              <w:left w:val="single" w:sz="4" w:space="0" w:color="auto"/>
              <w:bottom w:val="single" w:sz="18" w:space="0" w:color="auto"/>
              <w:right w:val="single" w:sz="18" w:space="0" w:color="auto"/>
            </w:tcBorders>
          </w:tcPr>
          <w:p w14:paraId="5EAC3896" w14:textId="77777777" w:rsidR="001D1F28" w:rsidRPr="001D1F28" w:rsidRDefault="001D1F28" w:rsidP="001023BB">
            <w:pPr>
              <w:jc w:val="center"/>
              <w:rPr>
                <w:rFonts w:ascii="Times New Roman" w:hAnsi="Times New Roman" w:cs="Times New Roman"/>
                <w:i/>
                <w:iCs/>
                <w:sz w:val="20"/>
                <w:szCs w:val="20"/>
              </w:rPr>
            </w:pPr>
            <w:r w:rsidRPr="001D1F28">
              <w:rPr>
                <w:rFonts w:ascii="Times New Roman" w:hAnsi="Times New Roman" w:cs="Times New Roman"/>
                <w:i/>
                <w:iCs/>
                <w:sz w:val="20"/>
                <w:szCs w:val="20"/>
              </w:rPr>
              <w:t>Binary: Yes, No (base)</w:t>
            </w:r>
          </w:p>
        </w:tc>
      </w:tr>
      <w:tr w:rsidR="001D1F28" w:rsidRPr="001D1F28" w14:paraId="32942EDD" w14:textId="77777777" w:rsidTr="001023BB">
        <w:trPr>
          <w:trHeight w:val="20"/>
        </w:trPr>
        <w:tc>
          <w:tcPr>
            <w:tcW w:w="3515" w:type="pct"/>
            <w:gridSpan w:val="2"/>
            <w:vMerge/>
            <w:tcBorders>
              <w:left w:val="single" w:sz="18" w:space="0" w:color="auto"/>
              <w:bottom w:val="single" w:sz="18" w:space="0" w:color="auto"/>
              <w:right w:val="single" w:sz="18" w:space="0" w:color="auto"/>
            </w:tcBorders>
            <w:vAlign w:val="center"/>
            <w:hideMark/>
          </w:tcPr>
          <w:p w14:paraId="7822289C" w14:textId="77777777" w:rsidR="001D1F28" w:rsidRPr="001D1F28" w:rsidRDefault="001D1F28" w:rsidP="001023BB">
            <w:pPr>
              <w:rPr>
                <w:rFonts w:ascii="Times New Roman" w:hAnsi="Times New Roman" w:cs="Times New Roman"/>
                <w:sz w:val="20"/>
                <w:szCs w:val="20"/>
              </w:rPr>
            </w:pPr>
          </w:p>
        </w:tc>
        <w:tc>
          <w:tcPr>
            <w:tcW w:w="387" w:type="pct"/>
            <w:tcBorders>
              <w:top w:val="single" w:sz="18" w:space="0" w:color="auto"/>
              <w:left w:val="single" w:sz="18" w:space="0" w:color="auto"/>
              <w:bottom w:val="single" w:sz="18" w:space="0" w:color="auto"/>
              <w:right w:val="dotted" w:sz="4" w:space="0" w:color="auto"/>
            </w:tcBorders>
            <w:vAlign w:val="center"/>
          </w:tcPr>
          <w:p w14:paraId="517CD0F9"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Coef.</w:t>
            </w:r>
          </w:p>
        </w:tc>
        <w:tc>
          <w:tcPr>
            <w:tcW w:w="387" w:type="pct"/>
            <w:tcBorders>
              <w:top w:val="single" w:sz="18" w:space="0" w:color="auto"/>
              <w:left w:val="dotted" w:sz="4" w:space="0" w:color="auto"/>
              <w:bottom w:val="single" w:sz="18" w:space="0" w:color="auto"/>
              <w:right w:val="single" w:sz="18" w:space="0" w:color="auto"/>
            </w:tcBorders>
            <w:vAlign w:val="center"/>
          </w:tcPr>
          <w:p w14:paraId="3C69B44D"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t-stat</w:t>
            </w:r>
          </w:p>
        </w:tc>
        <w:tc>
          <w:tcPr>
            <w:tcW w:w="387" w:type="pct"/>
            <w:tcBorders>
              <w:top w:val="single" w:sz="4" w:space="0" w:color="auto"/>
              <w:left w:val="single" w:sz="18" w:space="0" w:color="auto"/>
              <w:bottom w:val="single" w:sz="18" w:space="0" w:color="auto"/>
              <w:right w:val="dotted" w:sz="4" w:space="0" w:color="808080" w:themeColor="background1" w:themeShade="80"/>
            </w:tcBorders>
            <w:noWrap/>
            <w:vAlign w:val="center"/>
            <w:hideMark/>
          </w:tcPr>
          <w:p w14:paraId="3E36D1A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Coef.</w:t>
            </w:r>
          </w:p>
        </w:tc>
        <w:tc>
          <w:tcPr>
            <w:tcW w:w="324" w:type="pct"/>
            <w:tcBorders>
              <w:top w:val="single" w:sz="4" w:space="0" w:color="auto"/>
              <w:left w:val="dotted" w:sz="4" w:space="0" w:color="808080" w:themeColor="background1" w:themeShade="80"/>
              <w:bottom w:val="single" w:sz="18" w:space="0" w:color="auto"/>
              <w:right w:val="single" w:sz="18" w:space="0" w:color="auto"/>
            </w:tcBorders>
            <w:vAlign w:val="center"/>
          </w:tcPr>
          <w:p w14:paraId="5814D74B"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t-stat</w:t>
            </w:r>
          </w:p>
        </w:tc>
      </w:tr>
      <w:tr w:rsidR="001D1F28" w:rsidRPr="001D1F28" w14:paraId="6C882628" w14:textId="77777777" w:rsidTr="001023BB">
        <w:trPr>
          <w:trHeight w:val="20"/>
        </w:trPr>
        <w:tc>
          <w:tcPr>
            <w:tcW w:w="3515" w:type="pct"/>
            <w:gridSpan w:val="2"/>
            <w:tcBorders>
              <w:top w:val="double" w:sz="4" w:space="0" w:color="auto"/>
              <w:left w:val="single" w:sz="18" w:space="0" w:color="auto"/>
              <w:bottom w:val="double" w:sz="4" w:space="0" w:color="auto"/>
              <w:right w:val="single" w:sz="18" w:space="0" w:color="auto"/>
            </w:tcBorders>
            <w:noWrap/>
            <w:vAlign w:val="center"/>
          </w:tcPr>
          <w:p w14:paraId="79D6AD39" w14:textId="77777777" w:rsidR="001D1F28" w:rsidRPr="001D1F28" w:rsidRDefault="001D1F28" w:rsidP="001023BB">
            <w:pPr>
              <w:rPr>
                <w:rFonts w:ascii="Times New Roman" w:hAnsi="Times New Roman" w:cs="Times New Roman"/>
                <w:bCs/>
                <w:i/>
                <w:sz w:val="20"/>
                <w:szCs w:val="20"/>
              </w:rPr>
            </w:pPr>
            <w:r w:rsidRPr="001D1F28">
              <w:rPr>
                <w:rFonts w:ascii="Times New Roman" w:hAnsi="Times New Roman" w:cs="Times New Roman"/>
                <w:bCs/>
                <w:i/>
                <w:sz w:val="20"/>
                <w:szCs w:val="20"/>
              </w:rPr>
              <w:t>Constant</w:t>
            </w:r>
          </w:p>
        </w:tc>
        <w:tc>
          <w:tcPr>
            <w:tcW w:w="387" w:type="pct"/>
            <w:tcBorders>
              <w:top w:val="single" w:sz="18" w:space="0" w:color="auto"/>
              <w:left w:val="single" w:sz="4" w:space="0" w:color="auto"/>
              <w:bottom w:val="double" w:sz="4" w:space="0" w:color="auto"/>
              <w:right w:val="dotted" w:sz="4" w:space="0" w:color="auto"/>
            </w:tcBorders>
            <w:vAlign w:val="bottom"/>
          </w:tcPr>
          <w:p w14:paraId="3BC054D9"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2.685</w:t>
            </w:r>
          </w:p>
        </w:tc>
        <w:tc>
          <w:tcPr>
            <w:tcW w:w="387" w:type="pct"/>
            <w:tcBorders>
              <w:top w:val="single" w:sz="18" w:space="0" w:color="auto"/>
              <w:left w:val="dotted" w:sz="4" w:space="0" w:color="auto"/>
              <w:bottom w:val="double" w:sz="4" w:space="0" w:color="auto"/>
              <w:right w:val="single" w:sz="18" w:space="0" w:color="auto"/>
            </w:tcBorders>
            <w:vAlign w:val="bottom"/>
          </w:tcPr>
          <w:p w14:paraId="5C83ED76"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16.58</w:t>
            </w:r>
          </w:p>
        </w:tc>
        <w:tc>
          <w:tcPr>
            <w:tcW w:w="387" w:type="pct"/>
            <w:tcBorders>
              <w:top w:val="double" w:sz="4" w:space="0" w:color="auto"/>
              <w:left w:val="single" w:sz="18" w:space="0" w:color="auto"/>
              <w:bottom w:val="double" w:sz="4" w:space="0" w:color="auto"/>
              <w:right w:val="dotted" w:sz="4" w:space="0" w:color="808080" w:themeColor="background1" w:themeShade="80"/>
            </w:tcBorders>
            <w:noWrap/>
            <w:vAlign w:val="bottom"/>
          </w:tcPr>
          <w:p w14:paraId="4C399F88"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2.091</w:t>
            </w:r>
          </w:p>
        </w:tc>
        <w:tc>
          <w:tcPr>
            <w:tcW w:w="324" w:type="pct"/>
            <w:tcBorders>
              <w:top w:val="double" w:sz="4" w:space="0" w:color="auto"/>
              <w:left w:val="dotted" w:sz="4" w:space="0" w:color="808080" w:themeColor="background1" w:themeShade="80"/>
              <w:bottom w:val="single" w:sz="4" w:space="0" w:color="auto"/>
              <w:right w:val="single" w:sz="18" w:space="0" w:color="auto"/>
            </w:tcBorders>
            <w:vAlign w:val="bottom"/>
          </w:tcPr>
          <w:p w14:paraId="59AA122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16.04</w:t>
            </w:r>
          </w:p>
        </w:tc>
      </w:tr>
      <w:tr w:rsidR="001D1F28" w:rsidRPr="001D1F28" w14:paraId="65C4DE5B" w14:textId="77777777" w:rsidTr="001023BB">
        <w:trPr>
          <w:trHeight w:val="20"/>
        </w:trPr>
        <w:tc>
          <w:tcPr>
            <w:tcW w:w="3515" w:type="pct"/>
            <w:gridSpan w:val="2"/>
            <w:tcBorders>
              <w:top w:val="double" w:sz="4" w:space="0" w:color="auto"/>
              <w:left w:val="single" w:sz="18" w:space="0" w:color="auto"/>
              <w:bottom w:val="single" w:sz="4" w:space="0" w:color="auto"/>
              <w:right w:val="single" w:sz="18" w:space="0" w:color="auto"/>
            </w:tcBorders>
            <w:noWrap/>
            <w:vAlign w:val="center"/>
          </w:tcPr>
          <w:p w14:paraId="3E2CB641"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b/>
                <w:i/>
                <w:sz w:val="20"/>
                <w:szCs w:val="20"/>
              </w:rPr>
              <w:t>Individual Characteristics</w:t>
            </w:r>
          </w:p>
        </w:tc>
        <w:tc>
          <w:tcPr>
            <w:tcW w:w="387" w:type="pct"/>
            <w:tcBorders>
              <w:top w:val="double" w:sz="4" w:space="0" w:color="auto"/>
              <w:left w:val="single" w:sz="4" w:space="0" w:color="auto"/>
              <w:bottom w:val="single" w:sz="4" w:space="0" w:color="auto"/>
              <w:right w:val="dotted" w:sz="4" w:space="0" w:color="auto"/>
            </w:tcBorders>
            <w:vAlign w:val="center"/>
          </w:tcPr>
          <w:p w14:paraId="5458C0D7"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double" w:sz="4" w:space="0" w:color="auto"/>
              <w:left w:val="dotted" w:sz="4" w:space="0" w:color="auto"/>
              <w:bottom w:val="single" w:sz="4" w:space="0" w:color="auto"/>
              <w:right w:val="single" w:sz="18" w:space="0" w:color="auto"/>
            </w:tcBorders>
            <w:vAlign w:val="center"/>
          </w:tcPr>
          <w:p w14:paraId="6BEAE127"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double" w:sz="4" w:space="0" w:color="auto"/>
              <w:left w:val="single" w:sz="18" w:space="0" w:color="auto"/>
              <w:bottom w:val="single" w:sz="4" w:space="0" w:color="auto"/>
              <w:right w:val="dotted" w:sz="4" w:space="0" w:color="808080" w:themeColor="background1" w:themeShade="80"/>
            </w:tcBorders>
            <w:noWrap/>
            <w:vAlign w:val="center"/>
          </w:tcPr>
          <w:p w14:paraId="2CCC8856"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24" w:type="pct"/>
            <w:tcBorders>
              <w:top w:val="double" w:sz="4" w:space="0" w:color="auto"/>
              <w:left w:val="dotted" w:sz="4" w:space="0" w:color="808080" w:themeColor="background1" w:themeShade="80"/>
              <w:bottom w:val="single" w:sz="4" w:space="0" w:color="auto"/>
              <w:right w:val="single" w:sz="18" w:space="0" w:color="auto"/>
            </w:tcBorders>
            <w:vAlign w:val="center"/>
          </w:tcPr>
          <w:p w14:paraId="3D9705C3" w14:textId="77777777" w:rsidR="001D1F28" w:rsidRPr="001D1F28" w:rsidRDefault="001D1F28" w:rsidP="001023BB">
            <w:pPr>
              <w:tabs>
                <w:tab w:val="decimal" w:pos="360"/>
              </w:tabs>
              <w:jc w:val="center"/>
              <w:rPr>
                <w:rFonts w:ascii="Times New Roman" w:hAnsi="Times New Roman" w:cs="Times New Roman"/>
                <w:sz w:val="20"/>
                <w:szCs w:val="20"/>
              </w:rPr>
            </w:pPr>
          </w:p>
        </w:tc>
      </w:tr>
      <w:tr w:rsidR="001D1F28" w:rsidRPr="001D1F28" w14:paraId="59009723" w14:textId="77777777" w:rsidTr="001023BB">
        <w:trPr>
          <w:trHeight w:val="20"/>
        </w:trPr>
        <w:tc>
          <w:tcPr>
            <w:tcW w:w="1775" w:type="pct"/>
            <w:tcBorders>
              <w:top w:val="single" w:sz="4" w:space="0" w:color="auto"/>
              <w:left w:val="single" w:sz="18" w:space="0" w:color="auto"/>
              <w:bottom w:val="single" w:sz="4" w:space="0" w:color="auto"/>
              <w:right w:val="single" w:sz="4" w:space="0" w:color="auto"/>
            </w:tcBorders>
            <w:noWrap/>
            <w:vAlign w:val="center"/>
          </w:tcPr>
          <w:p w14:paraId="4C934511"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Gender (male)</w:t>
            </w:r>
          </w:p>
        </w:tc>
        <w:tc>
          <w:tcPr>
            <w:tcW w:w="1740" w:type="pct"/>
            <w:tcBorders>
              <w:top w:val="single" w:sz="4" w:space="0" w:color="auto"/>
              <w:left w:val="single" w:sz="4" w:space="0" w:color="auto"/>
              <w:bottom w:val="single" w:sz="4" w:space="0" w:color="auto"/>
              <w:right w:val="single" w:sz="18" w:space="0" w:color="auto"/>
            </w:tcBorders>
            <w:vAlign w:val="center"/>
          </w:tcPr>
          <w:p w14:paraId="48CD6841"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Female</w:t>
            </w:r>
          </w:p>
        </w:tc>
        <w:tc>
          <w:tcPr>
            <w:tcW w:w="387" w:type="pct"/>
            <w:tcBorders>
              <w:top w:val="single" w:sz="4" w:space="0" w:color="auto"/>
              <w:left w:val="single" w:sz="4" w:space="0" w:color="auto"/>
              <w:bottom w:val="single" w:sz="4" w:space="0" w:color="auto"/>
              <w:right w:val="dotted" w:sz="4" w:space="0" w:color="auto"/>
            </w:tcBorders>
            <w:vAlign w:val="center"/>
          </w:tcPr>
          <w:p w14:paraId="0B255F9B"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33D1768E"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05BDF6B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-0.173</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63AF5945"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-1.98</w:t>
            </w:r>
          </w:p>
        </w:tc>
      </w:tr>
      <w:tr w:rsidR="001D1F28" w:rsidRPr="001D1F28" w14:paraId="5C631DC0" w14:textId="77777777" w:rsidTr="001023BB">
        <w:trPr>
          <w:trHeight w:val="20"/>
        </w:trPr>
        <w:tc>
          <w:tcPr>
            <w:tcW w:w="1775" w:type="pct"/>
            <w:vMerge w:val="restart"/>
            <w:tcBorders>
              <w:left w:val="single" w:sz="18" w:space="0" w:color="auto"/>
              <w:right w:val="single" w:sz="4" w:space="0" w:color="auto"/>
            </w:tcBorders>
            <w:noWrap/>
            <w:vAlign w:val="center"/>
          </w:tcPr>
          <w:p w14:paraId="06B30936" w14:textId="77777777" w:rsidR="001D1F28" w:rsidRPr="001D1F28" w:rsidRDefault="001D1F28" w:rsidP="001023BB">
            <w:pPr>
              <w:rPr>
                <w:rFonts w:ascii="Times New Roman" w:hAnsi="Times New Roman" w:cs="Times New Roman"/>
                <w:i/>
                <w:iCs/>
                <w:sz w:val="20"/>
                <w:szCs w:val="20"/>
              </w:rPr>
            </w:pPr>
            <w:r w:rsidRPr="001D1F28">
              <w:rPr>
                <w:rFonts w:ascii="Times New Roman" w:hAnsi="Times New Roman" w:cs="Times New Roman"/>
                <w:sz w:val="20"/>
                <w:szCs w:val="20"/>
              </w:rPr>
              <w:t>Age (18 to 54 years)</w:t>
            </w:r>
          </w:p>
        </w:tc>
        <w:tc>
          <w:tcPr>
            <w:tcW w:w="1740" w:type="pct"/>
            <w:tcBorders>
              <w:top w:val="dotted" w:sz="4" w:space="0" w:color="808080" w:themeColor="background1" w:themeShade="80"/>
              <w:left w:val="single" w:sz="4" w:space="0" w:color="auto"/>
              <w:bottom w:val="dotted" w:sz="4" w:space="0" w:color="808080" w:themeColor="background1" w:themeShade="80"/>
              <w:right w:val="single" w:sz="18" w:space="0" w:color="auto"/>
            </w:tcBorders>
            <w:vAlign w:val="center"/>
          </w:tcPr>
          <w:p w14:paraId="1D751AE3"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sz w:val="20"/>
                <w:szCs w:val="20"/>
              </w:rPr>
              <w:t>55 to 64 years</w:t>
            </w:r>
          </w:p>
        </w:tc>
        <w:tc>
          <w:tcPr>
            <w:tcW w:w="387" w:type="pct"/>
            <w:tcBorders>
              <w:top w:val="dotted" w:sz="4" w:space="0" w:color="auto"/>
              <w:left w:val="single" w:sz="4" w:space="0" w:color="auto"/>
              <w:bottom w:val="dotted" w:sz="4" w:space="0" w:color="auto"/>
              <w:right w:val="dotted" w:sz="4" w:space="0" w:color="auto"/>
            </w:tcBorders>
            <w:vAlign w:val="bottom"/>
          </w:tcPr>
          <w:p w14:paraId="309527C5"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-0.729</w:t>
            </w:r>
          </w:p>
        </w:tc>
        <w:tc>
          <w:tcPr>
            <w:tcW w:w="387" w:type="pct"/>
            <w:tcBorders>
              <w:top w:val="dotted" w:sz="4" w:space="0" w:color="auto"/>
              <w:left w:val="dotted" w:sz="4" w:space="0" w:color="auto"/>
              <w:bottom w:val="dotted" w:sz="4" w:space="0" w:color="auto"/>
              <w:right w:val="single" w:sz="18" w:space="0" w:color="auto"/>
            </w:tcBorders>
            <w:vAlign w:val="bottom"/>
          </w:tcPr>
          <w:p w14:paraId="652377F9"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-3.81</w:t>
            </w:r>
          </w:p>
        </w:tc>
        <w:tc>
          <w:tcPr>
            <w:tcW w:w="387" w:type="pct"/>
            <w:tcBorders>
              <w:top w:val="dotted" w:sz="4" w:space="0" w:color="808080" w:themeColor="background1" w:themeShade="80"/>
              <w:left w:val="single" w:sz="18" w:space="0" w:color="auto"/>
              <w:bottom w:val="dotted" w:sz="4" w:space="0" w:color="808080" w:themeColor="background1" w:themeShade="80"/>
              <w:right w:val="dotted" w:sz="4" w:space="0" w:color="808080" w:themeColor="background1" w:themeShade="80"/>
            </w:tcBorders>
            <w:noWrap/>
            <w:vAlign w:val="center"/>
          </w:tcPr>
          <w:p w14:paraId="1CBE6945"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dotted" w:sz="4" w:space="0" w:color="808080" w:themeColor="background1" w:themeShade="80"/>
              <w:left w:val="dotted" w:sz="4" w:space="0" w:color="808080" w:themeColor="background1" w:themeShade="80"/>
              <w:bottom w:val="dotted" w:sz="4" w:space="0" w:color="808080" w:themeColor="background1" w:themeShade="80"/>
              <w:right w:val="single" w:sz="18" w:space="0" w:color="auto"/>
            </w:tcBorders>
            <w:vAlign w:val="center"/>
          </w:tcPr>
          <w:p w14:paraId="4FD93F6D"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455BF325" w14:textId="77777777" w:rsidTr="001023BB">
        <w:trPr>
          <w:trHeight w:val="20"/>
        </w:trPr>
        <w:tc>
          <w:tcPr>
            <w:tcW w:w="1775" w:type="pct"/>
            <w:vMerge/>
            <w:tcBorders>
              <w:left w:val="single" w:sz="18" w:space="0" w:color="auto"/>
              <w:bottom w:val="single" w:sz="4" w:space="0" w:color="auto"/>
              <w:right w:val="single" w:sz="4" w:space="0" w:color="auto"/>
            </w:tcBorders>
            <w:noWrap/>
            <w:vAlign w:val="center"/>
          </w:tcPr>
          <w:p w14:paraId="617930D4" w14:textId="77777777" w:rsidR="001D1F28" w:rsidRPr="001D1F28" w:rsidRDefault="001D1F28" w:rsidP="001023BB">
            <w:pPr>
              <w:rPr>
                <w:rFonts w:ascii="Times New Roman" w:hAnsi="Times New Roman" w:cs="Times New Roman"/>
                <w:i/>
                <w:iCs/>
                <w:sz w:val="20"/>
                <w:szCs w:val="20"/>
              </w:rPr>
            </w:pPr>
          </w:p>
        </w:tc>
        <w:tc>
          <w:tcPr>
            <w:tcW w:w="1740" w:type="pct"/>
            <w:tcBorders>
              <w:top w:val="dotted" w:sz="4" w:space="0" w:color="808080" w:themeColor="background1" w:themeShade="80"/>
              <w:left w:val="single" w:sz="4" w:space="0" w:color="auto"/>
              <w:bottom w:val="single" w:sz="4" w:space="0" w:color="auto"/>
              <w:right w:val="single" w:sz="18" w:space="0" w:color="auto"/>
            </w:tcBorders>
            <w:vAlign w:val="center"/>
          </w:tcPr>
          <w:p w14:paraId="01532C4E"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sz w:val="20"/>
                <w:szCs w:val="20"/>
              </w:rPr>
              <w:t>65 years or older</w:t>
            </w:r>
          </w:p>
        </w:tc>
        <w:tc>
          <w:tcPr>
            <w:tcW w:w="387" w:type="pct"/>
            <w:tcBorders>
              <w:top w:val="dotted" w:sz="4" w:space="0" w:color="auto"/>
              <w:left w:val="single" w:sz="4" w:space="0" w:color="auto"/>
              <w:bottom w:val="single" w:sz="4" w:space="0" w:color="auto"/>
              <w:right w:val="dotted" w:sz="4" w:space="0" w:color="auto"/>
            </w:tcBorders>
            <w:vAlign w:val="bottom"/>
          </w:tcPr>
          <w:p w14:paraId="6ED76667"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-1.466</w:t>
            </w:r>
          </w:p>
        </w:tc>
        <w:tc>
          <w:tcPr>
            <w:tcW w:w="387" w:type="pct"/>
            <w:tcBorders>
              <w:top w:val="dotted" w:sz="4" w:space="0" w:color="auto"/>
              <w:left w:val="dotted" w:sz="4" w:space="0" w:color="auto"/>
              <w:bottom w:val="single" w:sz="4" w:space="0" w:color="auto"/>
              <w:right w:val="single" w:sz="18" w:space="0" w:color="auto"/>
            </w:tcBorders>
            <w:vAlign w:val="bottom"/>
          </w:tcPr>
          <w:p w14:paraId="588074DB"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-4.63</w:t>
            </w:r>
          </w:p>
        </w:tc>
        <w:tc>
          <w:tcPr>
            <w:tcW w:w="387"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vAlign w:val="center"/>
          </w:tcPr>
          <w:p w14:paraId="530FC91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dotted" w:sz="4" w:space="0" w:color="808080" w:themeColor="background1" w:themeShade="80"/>
              <w:left w:val="dotted" w:sz="4" w:space="0" w:color="808080" w:themeColor="background1" w:themeShade="80"/>
              <w:bottom w:val="single" w:sz="4" w:space="0" w:color="auto"/>
              <w:right w:val="single" w:sz="18" w:space="0" w:color="auto"/>
            </w:tcBorders>
            <w:vAlign w:val="center"/>
          </w:tcPr>
          <w:p w14:paraId="1FA2D898"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6AEBBCB2" w14:textId="77777777" w:rsidTr="001023BB">
        <w:trPr>
          <w:trHeight w:val="20"/>
        </w:trPr>
        <w:tc>
          <w:tcPr>
            <w:tcW w:w="1775" w:type="pct"/>
            <w:tcBorders>
              <w:top w:val="single" w:sz="4" w:space="0" w:color="auto"/>
              <w:left w:val="single" w:sz="18" w:space="0" w:color="auto"/>
              <w:right w:val="single" w:sz="4" w:space="0" w:color="auto"/>
            </w:tcBorders>
            <w:noWrap/>
            <w:vAlign w:val="center"/>
          </w:tcPr>
          <w:p w14:paraId="738BA78F"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Education (&lt; bachelor’s degree)</w:t>
            </w:r>
          </w:p>
        </w:tc>
        <w:tc>
          <w:tcPr>
            <w:tcW w:w="1740" w:type="pct"/>
            <w:tcBorders>
              <w:top w:val="single" w:sz="4" w:space="0" w:color="auto"/>
              <w:left w:val="single" w:sz="4" w:space="0" w:color="auto"/>
              <w:bottom w:val="dotted" w:sz="4" w:space="0" w:color="808080" w:themeColor="background1" w:themeShade="80"/>
              <w:right w:val="single" w:sz="18" w:space="0" w:color="auto"/>
            </w:tcBorders>
            <w:vAlign w:val="center"/>
          </w:tcPr>
          <w:p w14:paraId="4FA7FFFA" w14:textId="77777777" w:rsidR="001D1F28" w:rsidRPr="001D1F28" w:rsidRDefault="001D1F28" w:rsidP="001023BB">
            <w:pPr>
              <w:rPr>
                <w:rFonts w:ascii="Times New Roman" w:hAnsi="Times New Roman" w:cs="Times New Roman"/>
                <w:sz w:val="20"/>
                <w:szCs w:val="20"/>
                <w:highlight w:val="yellow"/>
              </w:rPr>
            </w:pPr>
            <w:r w:rsidRPr="001D1F28">
              <w:rPr>
                <w:rFonts w:ascii="Times New Roman" w:hAnsi="Times New Roman" w:cs="Times New Roman"/>
                <w:sz w:val="20"/>
                <w:szCs w:val="20"/>
              </w:rPr>
              <w:t>Bachelor’s degree(s) or higher</w:t>
            </w:r>
          </w:p>
        </w:tc>
        <w:tc>
          <w:tcPr>
            <w:tcW w:w="387" w:type="pct"/>
            <w:tcBorders>
              <w:top w:val="single" w:sz="4" w:space="0" w:color="auto"/>
              <w:left w:val="single" w:sz="4" w:space="0" w:color="auto"/>
              <w:bottom w:val="dotted" w:sz="4" w:space="0" w:color="auto"/>
              <w:right w:val="dotted" w:sz="4" w:space="0" w:color="auto"/>
            </w:tcBorders>
            <w:vAlign w:val="center"/>
          </w:tcPr>
          <w:p w14:paraId="7B13EA5D"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dotted" w:sz="4" w:space="0" w:color="auto"/>
              <w:right w:val="single" w:sz="18" w:space="0" w:color="auto"/>
            </w:tcBorders>
            <w:vAlign w:val="center"/>
          </w:tcPr>
          <w:p w14:paraId="4612FC1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vAlign w:val="bottom"/>
          </w:tcPr>
          <w:p w14:paraId="615E5745"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0.337</w:t>
            </w:r>
          </w:p>
        </w:tc>
        <w:tc>
          <w:tcPr>
            <w:tcW w:w="324" w:type="pct"/>
            <w:tcBorders>
              <w:top w:val="sing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7B46EC7F"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3.35</w:t>
            </w:r>
          </w:p>
        </w:tc>
      </w:tr>
      <w:tr w:rsidR="001D1F28" w:rsidRPr="001D1F28" w14:paraId="5D3DF5AF" w14:textId="77777777" w:rsidTr="001023BB">
        <w:trPr>
          <w:trHeight w:val="144"/>
        </w:trPr>
        <w:tc>
          <w:tcPr>
            <w:tcW w:w="1775" w:type="pct"/>
            <w:tcBorders>
              <w:top w:val="single" w:sz="4" w:space="0" w:color="auto"/>
              <w:left w:val="single" w:sz="18" w:space="0" w:color="auto"/>
              <w:bottom w:val="single" w:sz="4" w:space="0" w:color="auto"/>
              <w:right w:val="single" w:sz="4" w:space="0" w:color="auto"/>
            </w:tcBorders>
            <w:noWrap/>
            <w:vAlign w:val="center"/>
          </w:tcPr>
          <w:p w14:paraId="70B2DC8A"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Race (not Black)</w:t>
            </w:r>
          </w:p>
        </w:tc>
        <w:tc>
          <w:tcPr>
            <w:tcW w:w="1740" w:type="pct"/>
            <w:tcBorders>
              <w:top w:val="single" w:sz="4" w:space="0" w:color="auto"/>
              <w:left w:val="single" w:sz="4" w:space="0" w:color="auto"/>
              <w:bottom w:val="single" w:sz="4" w:space="0" w:color="auto"/>
              <w:right w:val="single" w:sz="18" w:space="0" w:color="auto"/>
            </w:tcBorders>
            <w:vAlign w:val="center"/>
          </w:tcPr>
          <w:p w14:paraId="18C39F4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Black</w:t>
            </w:r>
          </w:p>
        </w:tc>
        <w:tc>
          <w:tcPr>
            <w:tcW w:w="387" w:type="pct"/>
            <w:tcBorders>
              <w:top w:val="single" w:sz="4" w:space="0" w:color="auto"/>
              <w:left w:val="single" w:sz="4" w:space="0" w:color="auto"/>
              <w:bottom w:val="single" w:sz="4" w:space="0" w:color="auto"/>
              <w:right w:val="dotted" w:sz="4" w:space="0" w:color="auto"/>
            </w:tcBorders>
            <w:vAlign w:val="bottom"/>
          </w:tcPr>
          <w:p w14:paraId="23C25E75"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0.311</w:t>
            </w:r>
          </w:p>
        </w:tc>
        <w:tc>
          <w:tcPr>
            <w:tcW w:w="387" w:type="pct"/>
            <w:tcBorders>
              <w:top w:val="single" w:sz="4" w:space="0" w:color="auto"/>
              <w:left w:val="dotted" w:sz="4" w:space="0" w:color="auto"/>
              <w:bottom w:val="single" w:sz="4" w:space="0" w:color="auto"/>
              <w:right w:val="single" w:sz="18" w:space="0" w:color="auto"/>
            </w:tcBorders>
            <w:vAlign w:val="bottom"/>
          </w:tcPr>
          <w:p w14:paraId="72AE650D"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4.13</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2767868E"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0.311</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49A1BF8A"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4.13</w:t>
            </w:r>
          </w:p>
        </w:tc>
      </w:tr>
      <w:tr w:rsidR="001D1F28" w:rsidRPr="001D1F28" w14:paraId="66C8E2D5" w14:textId="77777777" w:rsidTr="001023BB">
        <w:trPr>
          <w:trHeight w:val="20"/>
        </w:trPr>
        <w:tc>
          <w:tcPr>
            <w:tcW w:w="1775" w:type="pct"/>
            <w:vMerge w:val="restart"/>
            <w:tcBorders>
              <w:top w:val="single" w:sz="4" w:space="0" w:color="auto"/>
              <w:left w:val="single" w:sz="18" w:space="0" w:color="auto"/>
              <w:right w:val="single" w:sz="4" w:space="0" w:color="auto"/>
            </w:tcBorders>
            <w:noWrap/>
            <w:vAlign w:val="center"/>
          </w:tcPr>
          <w:p w14:paraId="2D0731A3"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Interaction terms (*)</w:t>
            </w:r>
          </w:p>
        </w:tc>
        <w:tc>
          <w:tcPr>
            <w:tcW w:w="1740" w:type="pct"/>
            <w:tcBorders>
              <w:top w:val="single" w:sz="4" w:space="0" w:color="auto"/>
              <w:left w:val="single" w:sz="4" w:space="0" w:color="auto"/>
              <w:bottom w:val="single" w:sz="4" w:space="0" w:color="auto"/>
              <w:right w:val="single" w:sz="18" w:space="0" w:color="auto"/>
            </w:tcBorders>
            <w:vAlign w:val="center"/>
          </w:tcPr>
          <w:p w14:paraId="080805BF"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Hispanic × Saturday</w:t>
            </w:r>
          </w:p>
        </w:tc>
        <w:tc>
          <w:tcPr>
            <w:tcW w:w="387" w:type="pct"/>
            <w:tcBorders>
              <w:top w:val="single" w:sz="4" w:space="0" w:color="auto"/>
              <w:left w:val="single" w:sz="4" w:space="0" w:color="auto"/>
              <w:bottom w:val="single" w:sz="4" w:space="0" w:color="auto"/>
              <w:right w:val="dotted" w:sz="4" w:space="0" w:color="auto"/>
            </w:tcBorders>
            <w:vAlign w:val="bottom"/>
          </w:tcPr>
          <w:p w14:paraId="36D12776"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0.346</w:t>
            </w:r>
          </w:p>
        </w:tc>
        <w:tc>
          <w:tcPr>
            <w:tcW w:w="387" w:type="pct"/>
            <w:tcBorders>
              <w:top w:val="single" w:sz="4" w:space="0" w:color="auto"/>
              <w:left w:val="dotted" w:sz="4" w:space="0" w:color="auto"/>
              <w:bottom w:val="single" w:sz="4" w:space="0" w:color="auto"/>
              <w:right w:val="single" w:sz="18" w:space="0" w:color="auto"/>
            </w:tcBorders>
            <w:vAlign w:val="bottom"/>
          </w:tcPr>
          <w:p w14:paraId="10E3A0C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2.02</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079AB926"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55BDA0A6"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sz w:val="20"/>
                <w:szCs w:val="20"/>
              </w:rPr>
              <w:t>—</w:t>
            </w:r>
          </w:p>
        </w:tc>
      </w:tr>
      <w:tr w:rsidR="001D1F28" w:rsidRPr="001D1F28" w14:paraId="4655D899" w14:textId="77777777" w:rsidTr="001023BB">
        <w:trPr>
          <w:trHeight w:val="20"/>
        </w:trPr>
        <w:tc>
          <w:tcPr>
            <w:tcW w:w="1775" w:type="pct"/>
            <w:vMerge/>
            <w:tcBorders>
              <w:left w:val="single" w:sz="18" w:space="0" w:color="auto"/>
              <w:right w:val="single" w:sz="4" w:space="0" w:color="auto"/>
            </w:tcBorders>
            <w:noWrap/>
            <w:vAlign w:val="center"/>
          </w:tcPr>
          <w:p w14:paraId="43B3001D" w14:textId="77777777" w:rsidR="001D1F28" w:rsidRPr="001D1F28" w:rsidRDefault="001D1F28" w:rsidP="001023BB">
            <w:pPr>
              <w:rPr>
                <w:rFonts w:ascii="Times New Roman" w:hAnsi="Times New Roman" w:cs="Times New Roman"/>
                <w:b/>
                <w:bCs/>
                <w:i/>
                <w:sz w:val="20"/>
                <w:szCs w:val="20"/>
              </w:rPr>
            </w:pPr>
          </w:p>
        </w:tc>
        <w:tc>
          <w:tcPr>
            <w:tcW w:w="1740" w:type="pct"/>
            <w:tcBorders>
              <w:top w:val="dotted" w:sz="4" w:space="0" w:color="808080" w:themeColor="background1" w:themeShade="80"/>
              <w:left w:val="single" w:sz="4" w:space="0" w:color="auto"/>
              <w:bottom w:val="single" w:sz="4" w:space="0" w:color="auto"/>
              <w:right w:val="single" w:sz="18" w:space="0" w:color="auto"/>
            </w:tcBorders>
            <w:vAlign w:val="center"/>
          </w:tcPr>
          <w:p w14:paraId="4518203E"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Some college/technical school × Friday</w:t>
            </w:r>
          </w:p>
        </w:tc>
        <w:tc>
          <w:tcPr>
            <w:tcW w:w="387" w:type="pct"/>
            <w:tcBorders>
              <w:top w:val="dotted" w:sz="4" w:space="0" w:color="auto"/>
              <w:left w:val="single" w:sz="4" w:space="0" w:color="auto"/>
              <w:bottom w:val="single" w:sz="4" w:space="0" w:color="auto"/>
              <w:right w:val="dotted" w:sz="4" w:space="0" w:color="auto"/>
            </w:tcBorders>
            <w:vAlign w:val="bottom"/>
          </w:tcPr>
          <w:p w14:paraId="4999BDD8"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0.413</w:t>
            </w:r>
          </w:p>
        </w:tc>
        <w:tc>
          <w:tcPr>
            <w:tcW w:w="387" w:type="pct"/>
            <w:tcBorders>
              <w:top w:val="dotted" w:sz="4" w:space="0" w:color="auto"/>
              <w:left w:val="dotted" w:sz="4" w:space="0" w:color="auto"/>
              <w:bottom w:val="single" w:sz="4" w:space="0" w:color="auto"/>
              <w:right w:val="single" w:sz="18" w:space="0" w:color="auto"/>
            </w:tcBorders>
            <w:vAlign w:val="bottom"/>
          </w:tcPr>
          <w:p w14:paraId="2A14E0B6"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color w:val="000000"/>
                <w:sz w:val="20"/>
                <w:szCs w:val="20"/>
              </w:rPr>
              <w:t>3.28</w:t>
            </w:r>
          </w:p>
        </w:tc>
        <w:tc>
          <w:tcPr>
            <w:tcW w:w="387"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vAlign w:val="bottom"/>
          </w:tcPr>
          <w:p w14:paraId="7DFD6667"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0.599</w:t>
            </w:r>
          </w:p>
        </w:tc>
        <w:tc>
          <w:tcPr>
            <w:tcW w:w="324" w:type="pct"/>
            <w:tcBorders>
              <w:top w:val="dotted" w:sz="4" w:space="0" w:color="808080" w:themeColor="background1" w:themeShade="80"/>
              <w:left w:val="dotted" w:sz="4" w:space="0" w:color="808080" w:themeColor="background1" w:themeShade="80"/>
              <w:bottom w:val="single" w:sz="4" w:space="0" w:color="auto"/>
              <w:right w:val="single" w:sz="18" w:space="0" w:color="auto"/>
            </w:tcBorders>
            <w:vAlign w:val="bottom"/>
          </w:tcPr>
          <w:p w14:paraId="7D4E77C6"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6.44</w:t>
            </w:r>
          </w:p>
        </w:tc>
      </w:tr>
      <w:tr w:rsidR="001D1F28" w:rsidRPr="001D1F28" w14:paraId="3D835645" w14:textId="77777777" w:rsidTr="001023BB">
        <w:trPr>
          <w:trHeight w:val="20"/>
        </w:trPr>
        <w:tc>
          <w:tcPr>
            <w:tcW w:w="1775" w:type="pct"/>
            <w:vMerge/>
            <w:tcBorders>
              <w:left w:val="single" w:sz="18" w:space="0" w:color="auto"/>
              <w:right w:val="single" w:sz="4" w:space="0" w:color="auto"/>
            </w:tcBorders>
            <w:noWrap/>
            <w:vAlign w:val="center"/>
          </w:tcPr>
          <w:p w14:paraId="66632E2F" w14:textId="77777777" w:rsidR="001D1F28" w:rsidRPr="001D1F28" w:rsidRDefault="001D1F28" w:rsidP="001023BB">
            <w:pPr>
              <w:rPr>
                <w:rFonts w:ascii="Times New Roman" w:hAnsi="Times New Roman" w:cs="Times New Roman"/>
                <w:b/>
                <w:bCs/>
                <w:i/>
                <w:sz w:val="20"/>
                <w:szCs w:val="20"/>
              </w:rPr>
            </w:pPr>
          </w:p>
        </w:tc>
        <w:tc>
          <w:tcPr>
            <w:tcW w:w="1740" w:type="pct"/>
            <w:tcBorders>
              <w:top w:val="dotted" w:sz="4" w:space="0" w:color="808080" w:themeColor="background1" w:themeShade="80"/>
              <w:left w:val="single" w:sz="4" w:space="0" w:color="auto"/>
              <w:bottom w:val="single" w:sz="4" w:space="0" w:color="auto"/>
              <w:right w:val="single" w:sz="18" w:space="0" w:color="auto"/>
            </w:tcBorders>
            <w:vAlign w:val="center"/>
          </w:tcPr>
          <w:p w14:paraId="05EFC1A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Bachelor’s degree(s) or higher × Friday</w:t>
            </w:r>
          </w:p>
        </w:tc>
        <w:tc>
          <w:tcPr>
            <w:tcW w:w="387" w:type="pct"/>
            <w:tcBorders>
              <w:top w:val="dotted" w:sz="4" w:space="0" w:color="auto"/>
              <w:left w:val="single" w:sz="4" w:space="0" w:color="auto"/>
              <w:bottom w:val="single" w:sz="4" w:space="0" w:color="auto"/>
              <w:right w:val="dotted" w:sz="4" w:space="0" w:color="auto"/>
            </w:tcBorders>
            <w:vAlign w:val="center"/>
          </w:tcPr>
          <w:p w14:paraId="59E4F1D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dotted" w:sz="4" w:space="0" w:color="auto"/>
              <w:left w:val="dotted" w:sz="4" w:space="0" w:color="auto"/>
              <w:bottom w:val="single" w:sz="4" w:space="0" w:color="auto"/>
              <w:right w:val="single" w:sz="18" w:space="0" w:color="auto"/>
            </w:tcBorders>
            <w:vAlign w:val="center"/>
          </w:tcPr>
          <w:p w14:paraId="3F1DCA13"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vAlign w:val="bottom"/>
          </w:tcPr>
          <w:p w14:paraId="74DE0AFF"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0.539</w:t>
            </w:r>
          </w:p>
        </w:tc>
        <w:tc>
          <w:tcPr>
            <w:tcW w:w="324" w:type="pct"/>
            <w:tcBorders>
              <w:top w:val="dotted" w:sz="4" w:space="0" w:color="808080" w:themeColor="background1" w:themeShade="80"/>
              <w:left w:val="dotted" w:sz="4" w:space="0" w:color="808080" w:themeColor="background1" w:themeShade="80"/>
              <w:bottom w:val="single" w:sz="4" w:space="0" w:color="auto"/>
              <w:right w:val="single" w:sz="18" w:space="0" w:color="auto"/>
            </w:tcBorders>
            <w:vAlign w:val="bottom"/>
          </w:tcPr>
          <w:p w14:paraId="0558DF83"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7.08</w:t>
            </w:r>
          </w:p>
        </w:tc>
      </w:tr>
      <w:tr w:rsidR="001D1F28" w:rsidRPr="001D1F28" w14:paraId="2C8C4704" w14:textId="77777777" w:rsidTr="001023BB">
        <w:trPr>
          <w:trHeight w:val="20"/>
        </w:trPr>
        <w:tc>
          <w:tcPr>
            <w:tcW w:w="1775" w:type="pct"/>
            <w:vMerge/>
            <w:tcBorders>
              <w:left w:val="single" w:sz="18" w:space="0" w:color="auto"/>
              <w:bottom w:val="single" w:sz="4" w:space="0" w:color="auto"/>
              <w:right w:val="single" w:sz="4" w:space="0" w:color="auto"/>
            </w:tcBorders>
            <w:noWrap/>
            <w:vAlign w:val="center"/>
          </w:tcPr>
          <w:p w14:paraId="729158F3" w14:textId="77777777" w:rsidR="001D1F28" w:rsidRPr="001D1F28" w:rsidRDefault="001D1F28" w:rsidP="001023BB">
            <w:pPr>
              <w:rPr>
                <w:rFonts w:ascii="Times New Roman" w:hAnsi="Times New Roman" w:cs="Times New Roman"/>
                <w:b/>
                <w:bCs/>
                <w:iCs/>
                <w:sz w:val="20"/>
                <w:szCs w:val="20"/>
              </w:rPr>
            </w:pPr>
          </w:p>
        </w:tc>
        <w:tc>
          <w:tcPr>
            <w:tcW w:w="1740" w:type="pct"/>
            <w:tcBorders>
              <w:top w:val="dotted" w:sz="4" w:space="0" w:color="808080" w:themeColor="background1" w:themeShade="80"/>
              <w:left w:val="single" w:sz="4" w:space="0" w:color="auto"/>
              <w:bottom w:val="single" w:sz="4" w:space="0" w:color="auto"/>
              <w:right w:val="single" w:sz="18" w:space="0" w:color="auto"/>
            </w:tcBorders>
            <w:vAlign w:val="center"/>
          </w:tcPr>
          <w:p w14:paraId="4D0E51D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Black × Thursday</w:t>
            </w:r>
          </w:p>
        </w:tc>
        <w:tc>
          <w:tcPr>
            <w:tcW w:w="387" w:type="pct"/>
            <w:tcBorders>
              <w:top w:val="dotted" w:sz="4" w:space="0" w:color="auto"/>
              <w:left w:val="single" w:sz="4" w:space="0" w:color="auto"/>
              <w:bottom w:val="single" w:sz="4" w:space="0" w:color="auto"/>
              <w:right w:val="dotted" w:sz="4" w:space="0" w:color="auto"/>
            </w:tcBorders>
            <w:vAlign w:val="center"/>
          </w:tcPr>
          <w:p w14:paraId="3966B724"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dotted" w:sz="4" w:space="0" w:color="auto"/>
              <w:left w:val="dotted" w:sz="4" w:space="0" w:color="auto"/>
              <w:bottom w:val="single" w:sz="4" w:space="0" w:color="auto"/>
              <w:right w:val="single" w:sz="18" w:space="0" w:color="auto"/>
            </w:tcBorders>
            <w:vAlign w:val="center"/>
          </w:tcPr>
          <w:p w14:paraId="348CBA98"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vAlign w:val="bottom"/>
          </w:tcPr>
          <w:p w14:paraId="15DF1CE2"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-0.305</w:t>
            </w:r>
          </w:p>
        </w:tc>
        <w:tc>
          <w:tcPr>
            <w:tcW w:w="324" w:type="pct"/>
            <w:tcBorders>
              <w:top w:val="dotted" w:sz="4" w:space="0" w:color="808080" w:themeColor="background1" w:themeShade="80"/>
              <w:left w:val="dotted" w:sz="4" w:space="0" w:color="808080" w:themeColor="background1" w:themeShade="80"/>
              <w:bottom w:val="single" w:sz="4" w:space="0" w:color="auto"/>
              <w:right w:val="single" w:sz="18" w:space="0" w:color="auto"/>
            </w:tcBorders>
            <w:vAlign w:val="bottom"/>
          </w:tcPr>
          <w:p w14:paraId="2B63BE67"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-2.44</w:t>
            </w:r>
          </w:p>
        </w:tc>
      </w:tr>
      <w:tr w:rsidR="001D1F28" w:rsidRPr="001D1F28" w14:paraId="44D8A87B" w14:textId="77777777" w:rsidTr="001023BB">
        <w:trPr>
          <w:trHeight w:val="20"/>
        </w:trPr>
        <w:tc>
          <w:tcPr>
            <w:tcW w:w="3515" w:type="pct"/>
            <w:gridSpan w:val="2"/>
            <w:tcBorders>
              <w:top w:val="single" w:sz="4" w:space="0" w:color="auto"/>
              <w:left w:val="single" w:sz="18" w:space="0" w:color="auto"/>
              <w:bottom w:val="single" w:sz="4" w:space="0" w:color="auto"/>
              <w:right w:val="single" w:sz="18" w:space="0" w:color="auto"/>
            </w:tcBorders>
            <w:noWrap/>
            <w:vAlign w:val="center"/>
            <w:hideMark/>
          </w:tcPr>
          <w:p w14:paraId="1C8D36E0"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b/>
                <w:i/>
                <w:sz w:val="20"/>
                <w:szCs w:val="20"/>
              </w:rPr>
              <w:t>Household Characteristics</w:t>
            </w:r>
          </w:p>
        </w:tc>
        <w:tc>
          <w:tcPr>
            <w:tcW w:w="387" w:type="pct"/>
            <w:tcBorders>
              <w:top w:val="single" w:sz="4" w:space="0" w:color="auto"/>
              <w:left w:val="single" w:sz="4" w:space="0" w:color="auto"/>
              <w:bottom w:val="single" w:sz="4" w:space="0" w:color="auto"/>
              <w:right w:val="dotted" w:sz="4" w:space="0" w:color="auto"/>
            </w:tcBorders>
            <w:vAlign w:val="center"/>
          </w:tcPr>
          <w:p w14:paraId="707F01B8"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dotted" w:sz="4" w:space="0" w:color="auto"/>
              <w:bottom w:val="single" w:sz="4" w:space="0" w:color="auto"/>
              <w:right w:val="single" w:sz="18" w:space="0" w:color="auto"/>
            </w:tcBorders>
            <w:vAlign w:val="center"/>
          </w:tcPr>
          <w:p w14:paraId="5371E196"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52E80724"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2A66CD24" w14:textId="77777777" w:rsidR="001D1F28" w:rsidRPr="001D1F28" w:rsidRDefault="001D1F28" w:rsidP="001023BB">
            <w:pPr>
              <w:tabs>
                <w:tab w:val="decimal" w:pos="360"/>
              </w:tabs>
              <w:jc w:val="center"/>
              <w:rPr>
                <w:rFonts w:ascii="Times New Roman" w:hAnsi="Times New Roman" w:cs="Times New Roman"/>
                <w:sz w:val="20"/>
                <w:szCs w:val="20"/>
              </w:rPr>
            </w:pPr>
          </w:p>
        </w:tc>
      </w:tr>
      <w:tr w:rsidR="001D1F28" w:rsidRPr="001D1F28" w14:paraId="073AACD3" w14:textId="77777777" w:rsidTr="001023BB">
        <w:trPr>
          <w:trHeight w:val="20"/>
        </w:trPr>
        <w:tc>
          <w:tcPr>
            <w:tcW w:w="1775" w:type="pct"/>
            <w:tcBorders>
              <w:top w:val="single" w:sz="4" w:space="0" w:color="auto"/>
              <w:left w:val="single" w:sz="18" w:space="0" w:color="auto"/>
              <w:bottom w:val="single" w:sz="4" w:space="0" w:color="auto"/>
              <w:right w:val="single" w:sz="4" w:space="0" w:color="auto"/>
            </w:tcBorders>
            <w:noWrap/>
            <w:vAlign w:val="center"/>
          </w:tcPr>
          <w:p w14:paraId="46C45EAF"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Presence of children (none)</w:t>
            </w:r>
          </w:p>
        </w:tc>
        <w:tc>
          <w:tcPr>
            <w:tcW w:w="1740" w:type="pct"/>
            <w:tcBorders>
              <w:top w:val="single" w:sz="4" w:space="0" w:color="auto"/>
              <w:left w:val="single" w:sz="4" w:space="0" w:color="auto"/>
              <w:bottom w:val="single" w:sz="4" w:space="0" w:color="auto"/>
              <w:right w:val="single" w:sz="18" w:space="0" w:color="auto"/>
            </w:tcBorders>
            <w:vAlign w:val="center"/>
          </w:tcPr>
          <w:p w14:paraId="76713DE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One or more</w:t>
            </w:r>
          </w:p>
        </w:tc>
        <w:tc>
          <w:tcPr>
            <w:tcW w:w="387" w:type="pct"/>
            <w:tcBorders>
              <w:top w:val="single" w:sz="4" w:space="0" w:color="auto"/>
              <w:left w:val="single" w:sz="4" w:space="0" w:color="auto"/>
              <w:bottom w:val="single" w:sz="4" w:space="0" w:color="auto"/>
              <w:right w:val="dotted" w:sz="4" w:space="0" w:color="auto"/>
            </w:tcBorders>
            <w:vAlign w:val="bottom"/>
          </w:tcPr>
          <w:p w14:paraId="7160E16B"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0.652</w:t>
            </w:r>
          </w:p>
        </w:tc>
        <w:tc>
          <w:tcPr>
            <w:tcW w:w="387" w:type="pct"/>
            <w:tcBorders>
              <w:top w:val="single" w:sz="4" w:space="0" w:color="auto"/>
              <w:left w:val="dotted" w:sz="4" w:space="0" w:color="auto"/>
              <w:bottom w:val="single" w:sz="4" w:space="0" w:color="auto"/>
              <w:right w:val="single" w:sz="18" w:space="0" w:color="auto"/>
            </w:tcBorders>
            <w:vAlign w:val="bottom"/>
          </w:tcPr>
          <w:p w14:paraId="2CB4B4B1"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4.83</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2B84B6A7"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0.407</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1D600208"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3.82</w:t>
            </w:r>
          </w:p>
        </w:tc>
      </w:tr>
      <w:tr w:rsidR="001D1F28" w:rsidRPr="001D1F28" w14:paraId="1F088C0D" w14:textId="77777777" w:rsidTr="001023BB">
        <w:trPr>
          <w:trHeight w:val="20"/>
        </w:trPr>
        <w:tc>
          <w:tcPr>
            <w:tcW w:w="1775" w:type="pct"/>
            <w:tcBorders>
              <w:top w:val="single" w:sz="4" w:space="0" w:color="auto"/>
              <w:left w:val="single" w:sz="18" w:space="0" w:color="auto"/>
              <w:right w:val="single" w:sz="4" w:space="0" w:color="auto"/>
            </w:tcBorders>
            <w:noWrap/>
            <w:vAlign w:val="center"/>
          </w:tcPr>
          <w:p w14:paraId="7104CBCD" w14:textId="77777777" w:rsidR="001D1F28" w:rsidRPr="001D1F28" w:rsidRDefault="001D1F28" w:rsidP="001023BB">
            <w:pPr>
              <w:rPr>
                <w:rFonts w:ascii="Times New Roman" w:hAnsi="Times New Roman" w:cs="Times New Roman"/>
                <w:i/>
                <w:sz w:val="20"/>
                <w:szCs w:val="20"/>
              </w:rPr>
            </w:pPr>
            <w:r w:rsidRPr="001D1F28">
              <w:rPr>
                <w:rFonts w:ascii="Times New Roman" w:hAnsi="Times New Roman" w:cs="Times New Roman"/>
                <w:iCs/>
                <w:sz w:val="20"/>
                <w:szCs w:val="20"/>
              </w:rPr>
              <w:t>Number of household workers (1 or 3+)</w:t>
            </w:r>
          </w:p>
        </w:tc>
        <w:tc>
          <w:tcPr>
            <w:tcW w:w="1740" w:type="pct"/>
            <w:tcBorders>
              <w:top w:val="single" w:sz="4" w:space="0" w:color="auto"/>
              <w:left w:val="single" w:sz="4" w:space="0" w:color="auto"/>
              <w:bottom w:val="dotted" w:sz="4" w:space="0" w:color="808080" w:themeColor="background1" w:themeShade="80"/>
              <w:right w:val="single" w:sz="18" w:space="0" w:color="auto"/>
            </w:tcBorders>
            <w:vAlign w:val="center"/>
          </w:tcPr>
          <w:p w14:paraId="600B7DAB"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Two</w:t>
            </w:r>
          </w:p>
        </w:tc>
        <w:tc>
          <w:tcPr>
            <w:tcW w:w="387" w:type="pct"/>
            <w:tcBorders>
              <w:top w:val="single" w:sz="4" w:space="0" w:color="auto"/>
              <w:left w:val="single" w:sz="4" w:space="0" w:color="auto"/>
              <w:bottom w:val="dotted" w:sz="4" w:space="0" w:color="auto"/>
              <w:right w:val="dotted" w:sz="4" w:space="0" w:color="auto"/>
            </w:tcBorders>
            <w:vAlign w:val="bottom"/>
          </w:tcPr>
          <w:p w14:paraId="33E0EF40"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-0.369</w:t>
            </w:r>
          </w:p>
        </w:tc>
        <w:tc>
          <w:tcPr>
            <w:tcW w:w="387" w:type="pct"/>
            <w:tcBorders>
              <w:top w:val="single" w:sz="4" w:space="0" w:color="auto"/>
              <w:left w:val="dotted" w:sz="4" w:space="0" w:color="auto"/>
              <w:bottom w:val="dotted" w:sz="4" w:space="0" w:color="auto"/>
              <w:right w:val="single" w:sz="18" w:space="0" w:color="auto"/>
            </w:tcBorders>
            <w:vAlign w:val="bottom"/>
          </w:tcPr>
          <w:p w14:paraId="574733D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-3.30</w:t>
            </w:r>
          </w:p>
        </w:tc>
        <w:tc>
          <w:tcPr>
            <w:tcW w:w="387"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vAlign w:val="center"/>
          </w:tcPr>
          <w:p w14:paraId="619C3417"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dotted" w:sz="4" w:space="0" w:color="808080" w:themeColor="background1" w:themeShade="80"/>
              <w:right w:val="single" w:sz="18" w:space="0" w:color="auto"/>
            </w:tcBorders>
            <w:vAlign w:val="center"/>
          </w:tcPr>
          <w:p w14:paraId="40873BA9"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60E804D4" w14:textId="77777777" w:rsidTr="001023BB">
        <w:trPr>
          <w:trHeight w:val="20"/>
        </w:trPr>
        <w:tc>
          <w:tcPr>
            <w:tcW w:w="1775" w:type="pct"/>
            <w:tcBorders>
              <w:top w:val="single" w:sz="4" w:space="0" w:color="auto"/>
              <w:left w:val="single" w:sz="18" w:space="0" w:color="auto"/>
              <w:bottom w:val="single" w:sz="4" w:space="0" w:color="auto"/>
              <w:right w:val="single" w:sz="4" w:space="0" w:color="auto"/>
            </w:tcBorders>
            <w:noWrap/>
            <w:vAlign w:val="center"/>
          </w:tcPr>
          <w:p w14:paraId="25F19768"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Housing tenure type (not owned)</w:t>
            </w:r>
          </w:p>
        </w:tc>
        <w:tc>
          <w:tcPr>
            <w:tcW w:w="1740" w:type="pct"/>
            <w:tcBorders>
              <w:top w:val="single" w:sz="4" w:space="0" w:color="auto"/>
              <w:left w:val="single" w:sz="4" w:space="0" w:color="auto"/>
              <w:bottom w:val="single" w:sz="4" w:space="0" w:color="auto"/>
              <w:right w:val="single" w:sz="18" w:space="0" w:color="auto"/>
            </w:tcBorders>
            <w:vAlign w:val="center"/>
          </w:tcPr>
          <w:p w14:paraId="404A2B9A"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Own</w:t>
            </w:r>
          </w:p>
        </w:tc>
        <w:tc>
          <w:tcPr>
            <w:tcW w:w="387" w:type="pct"/>
            <w:tcBorders>
              <w:top w:val="single" w:sz="4" w:space="0" w:color="auto"/>
              <w:left w:val="single" w:sz="4" w:space="0" w:color="auto"/>
              <w:bottom w:val="single" w:sz="4" w:space="0" w:color="auto"/>
              <w:right w:val="dotted" w:sz="4" w:space="0" w:color="auto"/>
            </w:tcBorders>
            <w:vAlign w:val="center"/>
          </w:tcPr>
          <w:p w14:paraId="78777CF9"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1B0247FB"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419034D6"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-0.243</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5447C89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-2.29</w:t>
            </w:r>
          </w:p>
        </w:tc>
      </w:tr>
      <w:tr w:rsidR="001D1F28" w:rsidRPr="001D1F28" w14:paraId="2C3E3190" w14:textId="77777777" w:rsidTr="001023BB">
        <w:trPr>
          <w:trHeight w:val="20"/>
        </w:trPr>
        <w:tc>
          <w:tcPr>
            <w:tcW w:w="3515" w:type="pct"/>
            <w:gridSpan w:val="2"/>
            <w:tcBorders>
              <w:top w:val="single" w:sz="4" w:space="0" w:color="auto"/>
              <w:left w:val="single" w:sz="18" w:space="0" w:color="auto"/>
              <w:bottom w:val="single" w:sz="4" w:space="0" w:color="auto"/>
              <w:right w:val="single" w:sz="18" w:space="0" w:color="auto"/>
            </w:tcBorders>
            <w:noWrap/>
            <w:vAlign w:val="center"/>
          </w:tcPr>
          <w:p w14:paraId="400E120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b/>
                <w:i/>
                <w:sz w:val="20"/>
                <w:szCs w:val="20"/>
              </w:rPr>
              <w:t>Commute Characteristics</w:t>
            </w:r>
          </w:p>
        </w:tc>
        <w:tc>
          <w:tcPr>
            <w:tcW w:w="387" w:type="pct"/>
            <w:tcBorders>
              <w:top w:val="single" w:sz="4" w:space="0" w:color="auto"/>
              <w:left w:val="single" w:sz="4" w:space="0" w:color="auto"/>
              <w:bottom w:val="single" w:sz="4" w:space="0" w:color="auto"/>
              <w:right w:val="dotted" w:sz="4" w:space="0" w:color="auto"/>
            </w:tcBorders>
            <w:vAlign w:val="center"/>
          </w:tcPr>
          <w:p w14:paraId="76D68EA6"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dotted" w:sz="4" w:space="0" w:color="auto"/>
              <w:bottom w:val="single" w:sz="4" w:space="0" w:color="auto"/>
              <w:right w:val="single" w:sz="18" w:space="0" w:color="auto"/>
            </w:tcBorders>
            <w:vAlign w:val="center"/>
          </w:tcPr>
          <w:p w14:paraId="202B7D07"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3F683FCC"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1D644F2D" w14:textId="77777777" w:rsidR="001D1F28" w:rsidRPr="001D1F28" w:rsidRDefault="001D1F28" w:rsidP="001023BB">
            <w:pPr>
              <w:tabs>
                <w:tab w:val="decimal" w:pos="360"/>
              </w:tabs>
              <w:jc w:val="center"/>
              <w:rPr>
                <w:rFonts w:ascii="Times New Roman" w:hAnsi="Times New Roman" w:cs="Times New Roman"/>
                <w:sz w:val="20"/>
                <w:szCs w:val="20"/>
              </w:rPr>
            </w:pPr>
          </w:p>
        </w:tc>
      </w:tr>
      <w:tr w:rsidR="001D1F28" w:rsidRPr="001D1F28" w14:paraId="7D36AB1B" w14:textId="77777777" w:rsidTr="001023BB">
        <w:trPr>
          <w:trHeight w:val="20"/>
        </w:trPr>
        <w:tc>
          <w:tcPr>
            <w:tcW w:w="3515" w:type="pct"/>
            <w:gridSpan w:val="2"/>
            <w:tcBorders>
              <w:top w:val="single" w:sz="4" w:space="0" w:color="auto"/>
              <w:left w:val="single" w:sz="18" w:space="0" w:color="auto"/>
              <w:bottom w:val="single" w:sz="4" w:space="0" w:color="auto"/>
              <w:right w:val="single" w:sz="18" w:space="0" w:color="auto"/>
            </w:tcBorders>
            <w:noWrap/>
            <w:vAlign w:val="center"/>
          </w:tcPr>
          <w:p w14:paraId="69002E56"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iCs/>
                <w:sz w:val="20"/>
                <w:szCs w:val="20"/>
              </w:rPr>
              <w:t>Commute distance in 100-mile units</w:t>
            </w:r>
          </w:p>
        </w:tc>
        <w:tc>
          <w:tcPr>
            <w:tcW w:w="387" w:type="pct"/>
            <w:tcBorders>
              <w:top w:val="single" w:sz="4" w:space="0" w:color="auto"/>
              <w:left w:val="single" w:sz="4" w:space="0" w:color="auto"/>
              <w:bottom w:val="single" w:sz="4" w:space="0" w:color="auto"/>
              <w:right w:val="dotted" w:sz="4" w:space="0" w:color="auto"/>
            </w:tcBorders>
            <w:vAlign w:val="bottom"/>
          </w:tcPr>
          <w:p w14:paraId="46FE8EF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0.790</w:t>
            </w:r>
          </w:p>
        </w:tc>
        <w:tc>
          <w:tcPr>
            <w:tcW w:w="387" w:type="pct"/>
            <w:tcBorders>
              <w:top w:val="single" w:sz="4" w:space="0" w:color="auto"/>
              <w:left w:val="dotted" w:sz="4" w:space="0" w:color="auto"/>
              <w:bottom w:val="single" w:sz="4" w:space="0" w:color="auto"/>
              <w:right w:val="single" w:sz="18" w:space="0" w:color="auto"/>
            </w:tcBorders>
            <w:vAlign w:val="bottom"/>
          </w:tcPr>
          <w:p w14:paraId="2EBF0E31"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1.90</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729048B0"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24416E7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22F8644D" w14:textId="77777777" w:rsidTr="001023BB">
        <w:trPr>
          <w:trHeight w:val="20"/>
        </w:trPr>
        <w:tc>
          <w:tcPr>
            <w:tcW w:w="1775" w:type="pct"/>
            <w:tcBorders>
              <w:top w:val="single" w:sz="4" w:space="0" w:color="auto"/>
              <w:left w:val="single" w:sz="18" w:space="0" w:color="auto"/>
              <w:right w:val="single" w:sz="4" w:space="0" w:color="auto"/>
            </w:tcBorders>
            <w:noWrap/>
            <w:vAlign w:val="center"/>
          </w:tcPr>
          <w:p w14:paraId="354F24A5"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Commute travel mode (all others)</w:t>
            </w:r>
          </w:p>
        </w:tc>
        <w:tc>
          <w:tcPr>
            <w:tcW w:w="1740" w:type="pct"/>
            <w:tcBorders>
              <w:top w:val="single" w:sz="4" w:space="0" w:color="auto"/>
              <w:left w:val="single" w:sz="4" w:space="0" w:color="auto"/>
              <w:bottom w:val="dotted" w:sz="4" w:space="0" w:color="808080" w:themeColor="background1" w:themeShade="80"/>
              <w:right w:val="single" w:sz="18" w:space="0" w:color="auto"/>
            </w:tcBorders>
            <w:vAlign w:val="center"/>
          </w:tcPr>
          <w:p w14:paraId="383D8EE8"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Public transit</w:t>
            </w:r>
          </w:p>
        </w:tc>
        <w:tc>
          <w:tcPr>
            <w:tcW w:w="387" w:type="pct"/>
            <w:tcBorders>
              <w:top w:val="single" w:sz="4" w:space="0" w:color="auto"/>
              <w:left w:val="single" w:sz="4" w:space="0" w:color="auto"/>
              <w:bottom w:val="dotted" w:sz="4" w:space="0" w:color="auto"/>
              <w:right w:val="dotted" w:sz="4" w:space="0" w:color="auto"/>
            </w:tcBorders>
            <w:vAlign w:val="bottom"/>
          </w:tcPr>
          <w:p w14:paraId="2CA0204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-0.233</w:t>
            </w:r>
          </w:p>
        </w:tc>
        <w:tc>
          <w:tcPr>
            <w:tcW w:w="387" w:type="pct"/>
            <w:tcBorders>
              <w:top w:val="single" w:sz="4" w:space="0" w:color="auto"/>
              <w:left w:val="dotted" w:sz="4" w:space="0" w:color="auto"/>
              <w:bottom w:val="dotted" w:sz="4" w:space="0" w:color="auto"/>
              <w:right w:val="single" w:sz="18" w:space="0" w:color="auto"/>
            </w:tcBorders>
            <w:vAlign w:val="bottom"/>
          </w:tcPr>
          <w:p w14:paraId="16029D35"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-3.05</w:t>
            </w:r>
          </w:p>
        </w:tc>
        <w:tc>
          <w:tcPr>
            <w:tcW w:w="387"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vAlign w:val="bottom"/>
          </w:tcPr>
          <w:p w14:paraId="7D55BF2F"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-0.233</w:t>
            </w:r>
          </w:p>
        </w:tc>
        <w:tc>
          <w:tcPr>
            <w:tcW w:w="324" w:type="pct"/>
            <w:tcBorders>
              <w:top w:val="sing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5D947279"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-3.05</w:t>
            </w:r>
          </w:p>
        </w:tc>
      </w:tr>
      <w:tr w:rsidR="001D1F28" w:rsidRPr="001D1F28" w14:paraId="32D3D5A3" w14:textId="77777777" w:rsidTr="001023BB">
        <w:trPr>
          <w:trHeight w:val="20"/>
        </w:trPr>
        <w:tc>
          <w:tcPr>
            <w:tcW w:w="1775" w:type="pct"/>
            <w:vMerge w:val="restart"/>
            <w:tcBorders>
              <w:top w:val="single" w:sz="4" w:space="0" w:color="auto"/>
              <w:left w:val="single" w:sz="18" w:space="0" w:color="auto"/>
              <w:right w:val="single" w:sz="4" w:space="0" w:color="auto"/>
            </w:tcBorders>
            <w:noWrap/>
            <w:vAlign w:val="center"/>
          </w:tcPr>
          <w:p w14:paraId="2E2C975F"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Telecommuting frequency</w:t>
            </w:r>
          </w:p>
          <w:p w14:paraId="7FB7D03B" w14:textId="77777777" w:rsidR="001D1F28" w:rsidRPr="001D1F28" w:rsidRDefault="001D1F28" w:rsidP="001023BB">
            <w:pPr>
              <w:rPr>
                <w:rFonts w:ascii="Times New Roman" w:hAnsi="Times New Roman" w:cs="Times New Roman"/>
                <w:b/>
                <w:bCs/>
                <w:iCs/>
                <w:sz w:val="20"/>
                <w:szCs w:val="20"/>
              </w:rPr>
            </w:pPr>
            <w:r w:rsidRPr="001D1F28">
              <w:rPr>
                <w:rFonts w:ascii="Times New Roman" w:hAnsi="Times New Roman" w:cs="Times New Roman"/>
                <w:iCs/>
                <w:sz w:val="20"/>
                <w:szCs w:val="20"/>
              </w:rPr>
              <w:t>(No, zero days)</w:t>
            </w:r>
          </w:p>
        </w:tc>
        <w:tc>
          <w:tcPr>
            <w:tcW w:w="1740" w:type="pct"/>
            <w:tcBorders>
              <w:top w:val="single" w:sz="4" w:space="0" w:color="auto"/>
              <w:left w:val="single" w:sz="4" w:space="0" w:color="auto"/>
              <w:bottom w:val="dotted" w:sz="4" w:space="0" w:color="auto"/>
              <w:right w:val="single" w:sz="18" w:space="0" w:color="auto"/>
            </w:tcBorders>
            <w:vAlign w:val="center"/>
          </w:tcPr>
          <w:p w14:paraId="49BC5487"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Low (1-2 days)</w:t>
            </w:r>
          </w:p>
        </w:tc>
        <w:tc>
          <w:tcPr>
            <w:tcW w:w="387" w:type="pct"/>
            <w:tcBorders>
              <w:top w:val="single" w:sz="4" w:space="0" w:color="auto"/>
              <w:left w:val="single" w:sz="4" w:space="0" w:color="auto"/>
              <w:bottom w:val="dotted" w:sz="4" w:space="0" w:color="auto"/>
              <w:right w:val="dotted" w:sz="4" w:space="0" w:color="auto"/>
            </w:tcBorders>
            <w:vAlign w:val="bottom"/>
          </w:tcPr>
          <w:p w14:paraId="5903AAD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0.763</w:t>
            </w:r>
          </w:p>
        </w:tc>
        <w:tc>
          <w:tcPr>
            <w:tcW w:w="387" w:type="pct"/>
            <w:tcBorders>
              <w:top w:val="single" w:sz="4" w:space="0" w:color="auto"/>
              <w:left w:val="dotted" w:sz="4" w:space="0" w:color="auto"/>
              <w:bottom w:val="dotted" w:sz="4" w:space="0" w:color="auto"/>
              <w:right w:val="single" w:sz="18" w:space="0" w:color="auto"/>
            </w:tcBorders>
            <w:vAlign w:val="bottom"/>
          </w:tcPr>
          <w:p w14:paraId="7CBEC8BB"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4.27</w:t>
            </w:r>
          </w:p>
        </w:tc>
        <w:tc>
          <w:tcPr>
            <w:tcW w:w="387" w:type="pct"/>
            <w:tcBorders>
              <w:top w:val="single" w:sz="4" w:space="0" w:color="auto"/>
              <w:left w:val="single" w:sz="18" w:space="0" w:color="auto"/>
              <w:bottom w:val="dotted" w:sz="4" w:space="0" w:color="auto"/>
              <w:right w:val="dotted" w:sz="4" w:space="0" w:color="808080" w:themeColor="background1" w:themeShade="80"/>
            </w:tcBorders>
            <w:noWrap/>
            <w:vAlign w:val="bottom"/>
          </w:tcPr>
          <w:p w14:paraId="3E27B614"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0.547</w:t>
            </w:r>
          </w:p>
        </w:tc>
        <w:tc>
          <w:tcPr>
            <w:tcW w:w="324" w:type="pct"/>
            <w:tcBorders>
              <w:top w:val="single" w:sz="4" w:space="0" w:color="auto"/>
              <w:left w:val="dotted" w:sz="4" w:space="0" w:color="808080" w:themeColor="background1" w:themeShade="80"/>
              <w:bottom w:val="dotted" w:sz="4" w:space="0" w:color="auto"/>
              <w:right w:val="single" w:sz="18" w:space="0" w:color="auto"/>
            </w:tcBorders>
            <w:vAlign w:val="bottom"/>
          </w:tcPr>
          <w:p w14:paraId="1480F8C2"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3.98</w:t>
            </w:r>
          </w:p>
        </w:tc>
      </w:tr>
      <w:tr w:rsidR="001D1F28" w:rsidRPr="001D1F28" w14:paraId="6903B41B" w14:textId="77777777" w:rsidTr="001023BB">
        <w:trPr>
          <w:trHeight w:val="20"/>
        </w:trPr>
        <w:tc>
          <w:tcPr>
            <w:tcW w:w="1775" w:type="pct"/>
            <w:vMerge/>
            <w:tcBorders>
              <w:left w:val="single" w:sz="18" w:space="0" w:color="auto"/>
              <w:right w:val="single" w:sz="4" w:space="0" w:color="auto"/>
            </w:tcBorders>
            <w:noWrap/>
            <w:vAlign w:val="center"/>
          </w:tcPr>
          <w:p w14:paraId="03B799AC" w14:textId="77777777" w:rsidR="001D1F28" w:rsidRPr="001D1F28" w:rsidRDefault="001D1F28" w:rsidP="001023BB">
            <w:pPr>
              <w:rPr>
                <w:rFonts w:ascii="Times New Roman" w:hAnsi="Times New Roman" w:cs="Times New Roman"/>
                <w:b/>
                <w:bCs/>
                <w:iCs/>
                <w:sz w:val="20"/>
                <w:szCs w:val="20"/>
              </w:rPr>
            </w:pPr>
          </w:p>
        </w:tc>
        <w:tc>
          <w:tcPr>
            <w:tcW w:w="1740" w:type="pct"/>
            <w:tcBorders>
              <w:top w:val="dotted" w:sz="4" w:space="0" w:color="auto"/>
              <w:left w:val="single" w:sz="4" w:space="0" w:color="auto"/>
              <w:bottom w:val="dotted" w:sz="4" w:space="0" w:color="auto"/>
              <w:right w:val="single" w:sz="18" w:space="0" w:color="auto"/>
            </w:tcBorders>
            <w:vAlign w:val="center"/>
          </w:tcPr>
          <w:p w14:paraId="358F0B97"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Medium (3-4 days)</w:t>
            </w:r>
          </w:p>
        </w:tc>
        <w:tc>
          <w:tcPr>
            <w:tcW w:w="387" w:type="pct"/>
            <w:tcBorders>
              <w:top w:val="dotted" w:sz="4" w:space="0" w:color="auto"/>
              <w:left w:val="single" w:sz="4" w:space="0" w:color="auto"/>
              <w:bottom w:val="dotted" w:sz="4" w:space="0" w:color="auto"/>
              <w:right w:val="dotted" w:sz="4" w:space="0" w:color="auto"/>
            </w:tcBorders>
            <w:vAlign w:val="bottom"/>
          </w:tcPr>
          <w:p w14:paraId="4BBC6ADC"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1.279</w:t>
            </w:r>
          </w:p>
        </w:tc>
        <w:tc>
          <w:tcPr>
            <w:tcW w:w="387" w:type="pct"/>
            <w:tcBorders>
              <w:top w:val="dotted" w:sz="4" w:space="0" w:color="auto"/>
              <w:left w:val="dotted" w:sz="4" w:space="0" w:color="auto"/>
              <w:bottom w:val="dotted" w:sz="4" w:space="0" w:color="auto"/>
              <w:right w:val="single" w:sz="18" w:space="0" w:color="auto"/>
            </w:tcBorders>
            <w:vAlign w:val="bottom"/>
          </w:tcPr>
          <w:p w14:paraId="165C4CF2"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5.18</w:t>
            </w:r>
          </w:p>
        </w:tc>
        <w:tc>
          <w:tcPr>
            <w:tcW w:w="387" w:type="pct"/>
            <w:tcBorders>
              <w:top w:val="dotted" w:sz="4" w:space="0" w:color="auto"/>
              <w:left w:val="single" w:sz="18" w:space="0" w:color="auto"/>
              <w:bottom w:val="dotted" w:sz="4" w:space="0" w:color="auto"/>
              <w:right w:val="dotted" w:sz="4" w:space="0" w:color="808080" w:themeColor="background1" w:themeShade="80"/>
            </w:tcBorders>
            <w:noWrap/>
            <w:vAlign w:val="bottom"/>
          </w:tcPr>
          <w:p w14:paraId="6E009D47"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1.095</w:t>
            </w:r>
          </w:p>
        </w:tc>
        <w:tc>
          <w:tcPr>
            <w:tcW w:w="324" w:type="pct"/>
            <w:tcBorders>
              <w:top w:val="dotted" w:sz="4" w:space="0" w:color="auto"/>
              <w:left w:val="dotted" w:sz="4" w:space="0" w:color="808080" w:themeColor="background1" w:themeShade="80"/>
              <w:bottom w:val="dotted" w:sz="4" w:space="0" w:color="auto"/>
              <w:right w:val="single" w:sz="18" w:space="0" w:color="auto"/>
            </w:tcBorders>
            <w:vAlign w:val="bottom"/>
          </w:tcPr>
          <w:p w14:paraId="289EA3EE"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5.70</w:t>
            </w:r>
          </w:p>
        </w:tc>
      </w:tr>
      <w:tr w:rsidR="001D1F28" w:rsidRPr="001D1F28" w14:paraId="73AA751A" w14:textId="77777777" w:rsidTr="001023BB">
        <w:trPr>
          <w:trHeight w:val="20"/>
        </w:trPr>
        <w:tc>
          <w:tcPr>
            <w:tcW w:w="1775" w:type="pct"/>
            <w:vMerge/>
            <w:tcBorders>
              <w:left w:val="single" w:sz="18" w:space="0" w:color="auto"/>
              <w:bottom w:val="single" w:sz="4" w:space="0" w:color="auto"/>
              <w:right w:val="single" w:sz="4" w:space="0" w:color="auto"/>
            </w:tcBorders>
            <w:noWrap/>
            <w:vAlign w:val="center"/>
          </w:tcPr>
          <w:p w14:paraId="4E21570F" w14:textId="77777777" w:rsidR="001D1F28" w:rsidRPr="001D1F28" w:rsidRDefault="001D1F28" w:rsidP="001023BB">
            <w:pPr>
              <w:rPr>
                <w:rFonts w:ascii="Times New Roman" w:hAnsi="Times New Roman" w:cs="Times New Roman"/>
                <w:b/>
                <w:bCs/>
                <w:iCs/>
                <w:sz w:val="20"/>
                <w:szCs w:val="20"/>
              </w:rPr>
            </w:pPr>
          </w:p>
        </w:tc>
        <w:tc>
          <w:tcPr>
            <w:tcW w:w="1740" w:type="pct"/>
            <w:tcBorders>
              <w:top w:val="dotted" w:sz="4" w:space="0" w:color="auto"/>
              <w:left w:val="single" w:sz="4" w:space="0" w:color="auto"/>
              <w:bottom w:val="single" w:sz="4" w:space="0" w:color="auto"/>
              <w:right w:val="single" w:sz="18" w:space="0" w:color="auto"/>
            </w:tcBorders>
            <w:vAlign w:val="center"/>
          </w:tcPr>
          <w:p w14:paraId="7015BFD3"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High (5-6 days)</w:t>
            </w:r>
          </w:p>
        </w:tc>
        <w:tc>
          <w:tcPr>
            <w:tcW w:w="387" w:type="pct"/>
            <w:tcBorders>
              <w:top w:val="dotted" w:sz="4" w:space="0" w:color="auto"/>
              <w:left w:val="single" w:sz="4" w:space="0" w:color="auto"/>
              <w:bottom w:val="single" w:sz="4" w:space="0" w:color="auto"/>
              <w:right w:val="dotted" w:sz="4" w:space="0" w:color="auto"/>
            </w:tcBorders>
            <w:vAlign w:val="bottom"/>
          </w:tcPr>
          <w:p w14:paraId="0D6CF8A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4.152</w:t>
            </w:r>
          </w:p>
        </w:tc>
        <w:tc>
          <w:tcPr>
            <w:tcW w:w="387" w:type="pct"/>
            <w:tcBorders>
              <w:top w:val="dotted" w:sz="4" w:space="0" w:color="auto"/>
              <w:left w:val="dotted" w:sz="4" w:space="0" w:color="auto"/>
              <w:bottom w:val="single" w:sz="4" w:space="0" w:color="auto"/>
              <w:right w:val="single" w:sz="18" w:space="0" w:color="auto"/>
            </w:tcBorders>
            <w:vAlign w:val="bottom"/>
          </w:tcPr>
          <w:p w14:paraId="288B702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6.46</w:t>
            </w:r>
          </w:p>
        </w:tc>
        <w:tc>
          <w:tcPr>
            <w:tcW w:w="387" w:type="pct"/>
            <w:tcBorders>
              <w:top w:val="dotted" w:sz="4" w:space="0" w:color="auto"/>
              <w:left w:val="single" w:sz="18" w:space="0" w:color="auto"/>
              <w:bottom w:val="single" w:sz="4" w:space="0" w:color="auto"/>
              <w:right w:val="dotted" w:sz="4" w:space="0" w:color="808080" w:themeColor="background1" w:themeShade="80"/>
            </w:tcBorders>
            <w:noWrap/>
            <w:vAlign w:val="bottom"/>
          </w:tcPr>
          <w:p w14:paraId="0859D046"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2.993</w:t>
            </w:r>
          </w:p>
        </w:tc>
        <w:tc>
          <w:tcPr>
            <w:tcW w:w="324" w:type="pct"/>
            <w:tcBorders>
              <w:top w:val="dotted" w:sz="4" w:space="0" w:color="auto"/>
              <w:left w:val="dotted" w:sz="4" w:space="0" w:color="808080" w:themeColor="background1" w:themeShade="80"/>
              <w:bottom w:val="single" w:sz="4" w:space="0" w:color="auto"/>
              <w:right w:val="single" w:sz="18" w:space="0" w:color="auto"/>
            </w:tcBorders>
            <w:vAlign w:val="bottom"/>
          </w:tcPr>
          <w:p w14:paraId="7897D3EF"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5.70</w:t>
            </w:r>
          </w:p>
        </w:tc>
      </w:tr>
      <w:tr w:rsidR="001D1F28" w:rsidRPr="001D1F28" w14:paraId="7419F140" w14:textId="77777777" w:rsidTr="001023BB">
        <w:trPr>
          <w:trHeight w:val="20"/>
        </w:trPr>
        <w:tc>
          <w:tcPr>
            <w:tcW w:w="1775" w:type="pct"/>
            <w:vMerge w:val="restart"/>
            <w:tcBorders>
              <w:top w:val="single" w:sz="4" w:space="0" w:color="auto"/>
              <w:left w:val="single" w:sz="18" w:space="0" w:color="auto"/>
              <w:right w:val="single" w:sz="4" w:space="0" w:color="auto"/>
            </w:tcBorders>
            <w:noWrap/>
            <w:vAlign w:val="center"/>
          </w:tcPr>
          <w:p w14:paraId="6D5B5B42" w14:textId="77777777" w:rsidR="001D1F28" w:rsidRPr="001D1F28" w:rsidRDefault="001D1F28" w:rsidP="001023BB">
            <w:pPr>
              <w:rPr>
                <w:rFonts w:ascii="Times New Roman" w:hAnsi="Times New Roman" w:cs="Times New Roman"/>
                <w:b/>
                <w:bCs/>
                <w:iCs/>
                <w:sz w:val="20"/>
                <w:szCs w:val="20"/>
              </w:rPr>
            </w:pPr>
            <w:r w:rsidRPr="001D1F28">
              <w:rPr>
                <w:rFonts w:ascii="Times New Roman" w:hAnsi="Times New Roman" w:cs="Times New Roman"/>
                <w:iCs/>
                <w:sz w:val="20"/>
                <w:szCs w:val="20"/>
              </w:rPr>
              <w:t>Interaction terms (*)</w:t>
            </w:r>
          </w:p>
        </w:tc>
        <w:tc>
          <w:tcPr>
            <w:tcW w:w="1740" w:type="pct"/>
            <w:tcBorders>
              <w:top w:val="single" w:sz="4" w:space="0" w:color="auto"/>
              <w:left w:val="single" w:sz="4" w:space="0" w:color="auto"/>
              <w:bottom w:val="single" w:sz="4" w:space="0" w:color="auto"/>
              <w:right w:val="single" w:sz="18" w:space="0" w:color="auto"/>
            </w:tcBorders>
            <w:vAlign w:val="center"/>
          </w:tcPr>
          <w:p w14:paraId="64C8D3B5"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Private vehicle × Saturday</w:t>
            </w:r>
          </w:p>
        </w:tc>
        <w:tc>
          <w:tcPr>
            <w:tcW w:w="387" w:type="pct"/>
            <w:tcBorders>
              <w:top w:val="single" w:sz="4" w:space="0" w:color="auto"/>
              <w:left w:val="single" w:sz="4" w:space="0" w:color="auto"/>
              <w:bottom w:val="single" w:sz="4" w:space="0" w:color="auto"/>
              <w:right w:val="dotted" w:sz="4" w:space="0" w:color="auto"/>
            </w:tcBorders>
            <w:vAlign w:val="center"/>
          </w:tcPr>
          <w:p w14:paraId="076EB3C7"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3CF397C9"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6812C03A"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0.404</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3265527A"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4.00</w:t>
            </w:r>
          </w:p>
        </w:tc>
      </w:tr>
      <w:tr w:rsidR="001D1F28" w:rsidRPr="001D1F28" w14:paraId="0D0048C3" w14:textId="77777777" w:rsidTr="001023BB">
        <w:trPr>
          <w:trHeight w:val="20"/>
        </w:trPr>
        <w:tc>
          <w:tcPr>
            <w:tcW w:w="1775" w:type="pct"/>
            <w:vMerge/>
            <w:tcBorders>
              <w:left w:val="single" w:sz="18" w:space="0" w:color="auto"/>
              <w:right w:val="single" w:sz="4" w:space="0" w:color="auto"/>
            </w:tcBorders>
            <w:noWrap/>
            <w:vAlign w:val="center"/>
          </w:tcPr>
          <w:p w14:paraId="224929C6" w14:textId="77777777" w:rsidR="001D1F28" w:rsidRPr="001D1F28" w:rsidRDefault="001D1F28" w:rsidP="001023BB">
            <w:pPr>
              <w:rPr>
                <w:rFonts w:ascii="Times New Roman" w:hAnsi="Times New Roman" w:cs="Times New Roman"/>
                <w:b/>
                <w:bCs/>
                <w:iCs/>
                <w:sz w:val="20"/>
                <w:szCs w:val="20"/>
              </w:rPr>
            </w:pPr>
          </w:p>
        </w:tc>
        <w:tc>
          <w:tcPr>
            <w:tcW w:w="1740" w:type="pct"/>
            <w:tcBorders>
              <w:top w:val="single" w:sz="4" w:space="0" w:color="auto"/>
              <w:left w:val="single" w:sz="4" w:space="0" w:color="auto"/>
              <w:bottom w:val="single" w:sz="4" w:space="0" w:color="auto"/>
              <w:right w:val="single" w:sz="18" w:space="0" w:color="auto"/>
            </w:tcBorders>
            <w:vAlign w:val="center"/>
          </w:tcPr>
          <w:p w14:paraId="6BD45EC7"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Low (1-2 days) × Thursday</w:t>
            </w:r>
          </w:p>
        </w:tc>
        <w:tc>
          <w:tcPr>
            <w:tcW w:w="387" w:type="pct"/>
            <w:tcBorders>
              <w:top w:val="single" w:sz="4" w:space="0" w:color="auto"/>
              <w:left w:val="single" w:sz="4" w:space="0" w:color="auto"/>
              <w:bottom w:val="single" w:sz="4" w:space="0" w:color="auto"/>
              <w:right w:val="dotted" w:sz="4" w:space="0" w:color="auto"/>
            </w:tcBorders>
            <w:vAlign w:val="center"/>
          </w:tcPr>
          <w:p w14:paraId="4D44EDEE"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6868A43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116FD8C0"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-0.306</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0ADAF547"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-2.66</w:t>
            </w:r>
          </w:p>
        </w:tc>
      </w:tr>
      <w:tr w:rsidR="001D1F28" w:rsidRPr="001D1F28" w14:paraId="0407E2FD" w14:textId="77777777" w:rsidTr="001023BB">
        <w:trPr>
          <w:trHeight w:val="20"/>
        </w:trPr>
        <w:tc>
          <w:tcPr>
            <w:tcW w:w="1775" w:type="pct"/>
            <w:vMerge/>
            <w:tcBorders>
              <w:left w:val="single" w:sz="18" w:space="0" w:color="auto"/>
              <w:right w:val="single" w:sz="4" w:space="0" w:color="auto"/>
            </w:tcBorders>
            <w:noWrap/>
            <w:vAlign w:val="center"/>
          </w:tcPr>
          <w:p w14:paraId="5EF41B82" w14:textId="77777777" w:rsidR="001D1F28" w:rsidRPr="001D1F28" w:rsidRDefault="001D1F28" w:rsidP="001023BB">
            <w:pPr>
              <w:rPr>
                <w:rFonts w:ascii="Times New Roman" w:hAnsi="Times New Roman" w:cs="Times New Roman"/>
                <w:b/>
                <w:bCs/>
                <w:iCs/>
                <w:sz w:val="20"/>
                <w:szCs w:val="20"/>
              </w:rPr>
            </w:pPr>
          </w:p>
        </w:tc>
        <w:tc>
          <w:tcPr>
            <w:tcW w:w="1740" w:type="pct"/>
            <w:tcBorders>
              <w:top w:val="single" w:sz="4" w:space="0" w:color="auto"/>
              <w:left w:val="single" w:sz="4" w:space="0" w:color="auto"/>
              <w:bottom w:val="single" w:sz="4" w:space="0" w:color="auto"/>
              <w:right w:val="single" w:sz="18" w:space="0" w:color="auto"/>
            </w:tcBorders>
            <w:vAlign w:val="center"/>
          </w:tcPr>
          <w:p w14:paraId="55D02CAE"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Low (1-2 days) × Friday</w:t>
            </w:r>
          </w:p>
        </w:tc>
        <w:tc>
          <w:tcPr>
            <w:tcW w:w="387" w:type="pct"/>
            <w:tcBorders>
              <w:top w:val="single" w:sz="4" w:space="0" w:color="auto"/>
              <w:left w:val="single" w:sz="4" w:space="0" w:color="auto"/>
              <w:bottom w:val="single" w:sz="4" w:space="0" w:color="auto"/>
              <w:right w:val="dotted" w:sz="4" w:space="0" w:color="auto"/>
            </w:tcBorders>
            <w:vAlign w:val="center"/>
          </w:tcPr>
          <w:p w14:paraId="2E4F02F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2831FCA6"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20B63F41"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-0.263</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0AA55704"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-2.04</w:t>
            </w:r>
          </w:p>
        </w:tc>
      </w:tr>
      <w:tr w:rsidR="001D1F28" w:rsidRPr="001D1F28" w14:paraId="5A1E1101" w14:textId="77777777" w:rsidTr="001023BB">
        <w:trPr>
          <w:trHeight w:val="20"/>
        </w:trPr>
        <w:tc>
          <w:tcPr>
            <w:tcW w:w="1775" w:type="pct"/>
            <w:vMerge/>
            <w:tcBorders>
              <w:left w:val="single" w:sz="18" w:space="0" w:color="auto"/>
              <w:bottom w:val="single" w:sz="4" w:space="0" w:color="auto"/>
              <w:right w:val="single" w:sz="4" w:space="0" w:color="auto"/>
            </w:tcBorders>
            <w:noWrap/>
            <w:vAlign w:val="center"/>
          </w:tcPr>
          <w:p w14:paraId="3D9BAFAB" w14:textId="77777777" w:rsidR="001D1F28" w:rsidRPr="001D1F28" w:rsidRDefault="001D1F28" w:rsidP="001023BB">
            <w:pPr>
              <w:rPr>
                <w:rFonts w:ascii="Times New Roman" w:hAnsi="Times New Roman" w:cs="Times New Roman"/>
                <w:b/>
                <w:bCs/>
                <w:iCs/>
                <w:sz w:val="20"/>
                <w:szCs w:val="20"/>
              </w:rPr>
            </w:pPr>
          </w:p>
        </w:tc>
        <w:tc>
          <w:tcPr>
            <w:tcW w:w="1740" w:type="pct"/>
            <w:tcBorders>
              <w:top w:val="single" w:sz="4" w:space="0" w:color="auto"/>
              <w:left w:val="single" w:sz="4" w:space="0" w:color="auto"/>
              <w:bottom w:val="single" w:sz="4" w:space="0" w:color="auto"/>
              <w:right w:val="single" w:sz="18" w:space="0" w:color="auto"/>
            </w:tcBorders>
            <w:vAlign w:val="center"/>
          </w:tcPr>
          <w:p w14:paraId="18AF0FF6"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Medium (3-4 days) × Friday</w:t>
            </w:r>
          </w:p>
        </w:tc>
        <w:tc>
          <w:tcPr>
            <w:tcW w:w="387" w:type="pct"/>
            <w:tcBorders>
              <w:top w:val="single" w:sz="4" w:space="0" w:color="auto"/>
              <w:left w:val="single" w:sz="4" w:space="0" w:color="auto"/>
              <w:bottom w:val="single" w:sz="4" w:space="0" w:color="auto"/>
              <w:right w:val="dotted" w:sz="4" w:space="0" w:color="auto"/>
            </w:tcBorders>
            <w:vAlign w:val="center"/>
          </w:tcPr>
          <w:p w14:paraId="0F0405DF"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single" w:sz="4" w:space="0" w:color="auto"/>
              <w:right w:val="single" w:sz="18" w:space="0" w:color="auto"/>
            </w:tcBorders>
            <w:vAlign w:val="center"/>
          </w:tcPr>
          <w:p w14:paraId="2861E3A7"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bottom"/>
          </w:tcPr>
          <w:p w14:paraId="4E673484"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-0.839</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bottom"/>
          </w:tcPr>
          <w:p w14:paraId="6856844B"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-3.50</w:t>
            </w:r>
          </w:p>
        </w:tc>
      </w:tr>
      <w:tr w:rsidR="001D1F28" w:rsidRPr="001D1F28" w14:paraId="295115D0" w14:textId="77777777" w:rsidTr="001023BB">
        <w:trPr>
          <w:trHeight w:val="20"/>
        </w:trPr>
        <w:tc>
          <w:tcPr>
            <w:tcW w:w="3515" w:type="pct"/>
            <w:gridSpan w:val="2"/>
            <w:tcBorders>
              <w:top w:val="single" w:sz="4" w:space="0" w:color="auto"/>
              <w:left w:val="single" w:sz="18" w:space="0" w:color="auto"/>
              <w:bottom w:val="single" w:sz="4" w:space="0" w:color="auto"/>
              <w:right w:val="single" w:sz="18" w:space="0" w:color="auto"/>
            </w:tcBorders>
            <w:noWrap/>
            <w:vAlign w:val="center"/>
          </w:tcPr>
          <w:p w14:paraId="4E7F3272"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b/>
                <w:i/>
                <w:sz w:val="20"/>
                <w:szCs w:val="20"/>
              </w:rPr>
              <w:t>Built-environment</w:t>
            </w:r>
            <w:r w:rsidRPr="001D1F28">
              <w:rPr>
                <w:rFonts w:ascii="Times New Roman" w:hAnsi="Times New Roman" w:cs="Times New Roman"/>
                <w:sz w:val="20"/>
                <w:szCs w:val="20"/>
              </w:rPr>
              <w:t xml:space="preserve"> </w:t>
            </w:r>
            <w:r w:rsidRPr="001D1F28">
              <w:rPr>
                <w:rFonts w:ascii="Times New Roman" w:hAnsi="Times New Roman" w:cs="Times New Roman"/>
                <w:b/>
                <w:i/>
                <w:sz w:val="20"/>
                <w:szCs w:val="20"/>
              </w:rPr>
              <w:t>Characteristics</w:t>
            </w:r>
          </w:p>
        </w:tc>
        <w:tc>
          <w:tcPr>
            <w:tcW w:w="387" w:type="pct"/>
            <w:tcBorders>
              <w:top w:val="single" w:sz="4" w:space="0" w:color="auto"/>
              <w:left w:val="single" w:sz="4" w:space="0" w:color="auto"/>
              <w:bottom w:val="single" w:sz="4" w:space="0" w:color="auto"/>
              <w:right w:val="dotted" w:sz="4" w:space="0" w:color="auto"/>
            </w:tcBorders>
            <w:vAlign w:val="center"/>
          </w:tcPr>
          <w:p w14:paraId="00BF2C84"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dotted" w:sz="4" w:space="0" w:color="auto"/>
              <w:bottom w:val="single" w:sz="4" w:space="0" w:color="auto"/>
              <w:right w:val="single" w:sz="18" w:space="0" w:color="auto"/>
            </w:tcBorders>
            <w:vAlign w:val="center"/>
          </w:tcPr>
          <w:p w14:paraId="411B630C"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52B3ABCF" w14:textId="77777777" w:rsidR="001D1F28" w:rsidRPr="001D1F28" w:rsidRDefault="001D1F28" w:rsidP="001023BB">
            <w:pPr>
              <w:tabs>
                <w:tab w:val="decimal" w:pos="360"/>
              </w:tabs>
              <w:jc w:val="center"/>
              <w:rPr>
                <w:rFonts w:ascii="Times New Roman" w:hAnsi="Times New Roman" w:cs="Times New Roman"/>
                <w:sz w:val="20"/>
                <w:szCs w:val="20"/>
              </w:rPr>
            </w:pP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51D31172" w14:textId="77777777" w:rsidR="001D1F28" w:rsidRPr="001D1F28" w:rsidRDefault="001D1F28" w:rsidP="001023BB">
            <w:pPr>
              <w:tabs>
                <w:tab w:val="decimal" w:pos="360"/>
              </w:tabs>
              <w:jc w:val="center"/>
              <w:rPr>
                <w:rFonts w:ascii="Times New Roman" w:hAnsi="Times New Roman" w:cs="Times New Roman"/>
                <w:sz w:val="20"/>
                <w:szCs w:val="20"/>
              </w:rPr>
            </w:pPr>
          </w:p>
        </w:tc>
      </w:tr>
      <w:tr w:rsidR="001D1F28" w:rsidRPr="001D1F28" w14:paraId="1E2416C2" w14:textId="77777777" w:rsidTr="001023BB">
        <w:trPr>
          <w:trHeight w:val="20"/>
        </w:trPr>
        <w:tc>
          <w:tcPr>
            <w:tcW w:w="1775" w:type="pct"/>
            <w:tcBorders>
              <w:top w:val="single" w:sz="4" w:space="0" w:color="auto"/>
              <w:left w:val="single" w:sz="18" w:space="0" w:color="auto"/>
              <w:right w:val="single" w:sz="4" w:space="0" w:color="auto"/>
            </w:tcBorders>
            <w:noWrap/>
            <w:vAlign w:val="center"/>
          </w:tcPr>
          <w:p w14:paraId="26BE8669"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sz w:val="20"/>
                <w:szCs w:val="20"/>
              </w:rPr>
              <w:t>Auto network density (&lt;</w:t>
            </w:r>
            <w:r w:rsidRPr="001D1F28">
              <w:rPr>
                <w:rFonts w:ascii="Times New Roman" w:hAnsi="Times New Roman" w:cs="Times New Roman"/>
                <w:color w:val="000000"/>
                <w:sz w:val="20"/>
                <w:szCs w:val="20"/>
              </w:rPr>
              <w:t>1.305</w:t>
            </w:r>
            <w:r w:rsidRPr="001D1F28">
              <w:rPr>
                <w:rFonts w:ascii="Times New Roman" w:hAnsi="Times New Roman" w:cs="Times New Roman"/>
                <w:sz w:val="20"/>
                <w:szCs w:val="20"/>
              </w:rPr>
              <w:t>)</w:t>
            </w:r>
          </w:p>
        </w:tc>
        <w:tc>
          <w:tcPr>
            <w:tcW w:w="1740" w:type="pct"/>
            <w:tcBorders>
              <w:top w:val="single" w:sz="4" w:space="0" w:color="auto"/>
              <w:left w:val="single" w:sz="4" w:space="0" w:color="auto"/>
              <w:bottom w:val="dotted" w:sz="4" w:space="0" w:color="808080" w:themeColor="background1" w:themeShade="80"/>
              <w:right w:val="single" w:sz="18" w:space="0" w:color="auto"/>
            </w:tcBorders>
            <w:vAlign w:val="center"/>
          </w:tcPr>
          <w:p w14:paraId="7637264F" w14:textId="77777777" w:rsidR="001D1F28" w:rsidRPr="001D1F28" w:rsidRDefault="001D1F28" w:rsidP="001023BB">
            <w:pPr>
              <w:rPr>
                <w:rFonts w:ascii="Times New Roman" w:hAnsi="Times New Roman" w:cs="Times New Roman"/>
                <w:sz w:val="20"/>
                <w:szCs w:val="20"/>
                <w:highlight w:val="yellow"/>
              </w:rPr>
            </w:pPr>
            <w:r w:rsidRPr="001D1F28">
              <w:rPr>
                <w:rFonts w:ascii="Times New Roman" w:hAnsi="Times New Roman" w:cs="Times New Roman"/>
                <w:color w:val="000000"/>
                <w:sz w:val="20"/>
                <w:szCs w:val="20"/>
              </w:rPr>
              <w:t>High (≥ 1.305)</w:t>
            </w:r>
          </w:p>
        </w:tc>
        <w:tc>
          <w:tcPr>
            <w:tcW w:w="387" w:type="pct"/>
            <w:tcBorders>
              <w:top w:val="single" w:sz="4" w:space="0" w:color="auto"/>
              <w:left w:val="single" w:sz="4" w:space="0" w:color="auto"/>
              <w:bottom w:val="dotted" w:sz="4" w:space="0" w:color="auto"/>
              <w:right w:val="dotted" w:sz="4" w:space="0" w:color="auto"/>
            </w:tcBorders>
            <w:vAlign w:val="center"/>
          </w:tcPr>
          <w:p w14:paraId="3CC59F6F"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dotted" w:sz="4" w:space="0" w:color="auto"/>
              <w:right w:val="single" w:sz="18" w:space="0" w:color="auto"/>
            </w:tcBorders>
            <w:vAlign w:val="center"/>
          </w:tcPr>
          <w:p w14:paraId="04822D2F"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vAlign w:val="bottom"/>
          </w:tcPr>
          <w:p w14:paraId="110C1EF9"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0.293</w:t>
            </w:r>
          </w:p>
        </w:tc>
        <w:tc>
          <w:tcPr>
            <w:tcW w:w="324" w:type="pct"/>
            <w:tcBorders>
              <w:top w:val="sing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190CE118"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3.27</w:t>
            </w:r>
          </w:p>
        </w:tc>
      </w:tr>
      <w:tr w:rsidR="001D1F28" w:rsidRPr="001D1F28" w14:paraId="1ED09F97" w14:textId="77777777" w:rsidTr="001023BB">
        <w:trPr>
          <w:trHeight w:val="20"/>
        </w:trPr>
        <w:tc>
          <w:tcPr>
            <w:tcW w:w="1775" w:type="pct"/>
            <w:tcBorders>
              <w:top w:val="single" w:sz="4" w:space="0" w:color="auto"/>
              <w:left w:val="single" w:sz="18" w:space="0" w:color="auto"/>
              <w:bottom w:val="single" w:sz="4" w:space="0" w:color="auto"/>
              <w:right w:val="single" w:sz="4" w:space="0" w:color="auto"/>
            </w:tcBorders>
            <w:noWrap/>
            <w:vAlign w:val="center"/>
          </w:tcPr>
          <w:p w14:paraId="6989DD6D"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 xml:space="preserve">Multimodal network density (&lt; </w:t>
            </w:r>
            <w:r w:rsidRPr="001D1F28">
              <w:rPr>
                <w:rFonts w:ascii="Times New Roman" w:hAnsi="Times New Roman" w:cs="Times New Roman"/>
                <w:color w:val="000000"/>
                <w:sz w:val="20"/>
                <w:szCs w:val="20"/>
              </w:rPr>
              <w:t>3.351</w:t>
            </w:r>
            <w:r w:rsidRPr="001D1F28">
              <w:rPr>
                <w:rFonts w:ascii="Times New Roman" w:hAnsi="Times New Roman" w:cs="Times New Roman"/>
                <w:sz w:val="20"/>
                <w:szCs w:val="20"/>
              </w:rPr>
              <w:t>)</w:t>
            </w:r>
          </w:p>
        </w:tc>
        <w:tc>
          <w:tcPr>
            <w:tcW w:w="1740" w:type="pct"/>
            <w:tcBorders>
              <w:top w:val="single" w:sz="4" w:space="0" w:color="auto"/>
              <w:left w:val="single" w:sz="4" w:space="0" w:color="auto"/>
              <w:bottom w:val="single" w:sz="4" w:space="0" w:color="auto"/>
              <w:right w:val="single" w:sz="18" w:space="0" w:color="auto"/>
            </w:tcBorders>
            <w:vAlign w:val="center"/>
          </w:tcPr>
          <w:p w14:paraId="69008D57" w14:textId="77777777" w:rsidR="001D1F28" w:rsidRPr="001D1F28" w:rsidRDefault="001D1F28" w:rsidP="001023BB">
            <w:pPr>
              <w:rPr>
                <w:rFonts w:ascii="Times New Roman" w:hAnsi="Times New Roman" w:cs="Times New Roman"/>
                <w:color w:val="000000"/>
                <w:sz w:val="20"/>
                <w:szCs w:val="20"/>
              </w:rPr>
            </w:pPr>
            <w:r w:rsidRPr="001D1F28">
              <w:rPr>
                <w:rFonts w:ascii="Times New Roman" w:hAnsi="Times New Roman" w:cs="Times New Roman"/>
                <w:color w:val="000000"/>
                <w:sz w:val="20"/>
                <w:szCs w:val="20"/>
              </w:rPr>
              <w:t>High (≥ 3.351)</w:t>
            </w:r>
          </w:p>
        </w:tc>
        <w:tc>
          <w:tcPr>
            <w:tcW w:w="387" w:type="pct"/>
            <w:tcBorders>
              <w:top w:val="single" w:sz="4" w:space="0" w:color="auto"/>
              <w:left w:val="single" w:sz="4" w:space="0" w:color="auto"/>
              <w:bottom w:val="single" w:sz="4" w:space="0" w:color="auto"/>
              <w:right w:val="dotted" w:sz="4" w:space="0" w:color="auto"/>
            </w:tcBorders>
            <w:vAlign w:val="bottom"/>
          </w:tcPr>
          <w:p w14:paraId="553B2E47"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-0.249</w:t>
            </w:r>
          </w:p>
        </w:tc>
        <w:tc>
          <w:tcPr>
            <w:tcW w:w="387" w:type="pct"/>
            <w:tcBorders>
              <w:top w:val="single" w:sz="4" w:space="0" w:color="auto"/>
              <w:left w:val="dotted" w:sz="4" w:space="0" w:color="auto"/>
              <w:bottom w:val="single" w:sz="4" w:space="0" w:color="auto"/>
              <w:right w:val="single" w:sz="18" w:space="0" w:color="auto"/>
            </w:tcBorders>
            <w:vAlign w:val="bottom"/>
          </w:tcPr>
          <w:p w14:paraId="5A6B344E"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-1.97</w:t>
            </w:r>
          </w:p>
        </w:tc>
        <w:tc>
          <w:tcPr>
            <w:tcW w:w="387" w:type="pct"/>
            <w:tcBorders>
              <w:top w:val="single" w:sz="4" w:space="0" w:color="auto"/>
              <w:left w:val="single" w:sz="18" w:space="0" w:color="auto"/>
              <w:bottom w:val="single" w:sz="4" w:space="0" w:color="auto"/>
              <w:right w:val="dotted" w:sz="4" w:space="0" w:color="808080" w:themeColor="background1" w:themeShade="80"/>
            </w:tcBorders>
            <w:noWrap/>
            <w:vAlign w:val="center"/>
          </w:tcPr>
          <w:p w14:paraId="5DC27E5C"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single" w:sz="4" w:space="0" w:color="auto"/>
              <w:right w:val="single" w:sz="18" w:space="0" w:color="auto"/>
            </w:tcBorders>
            <w:vAlign w:val="center"/>
          </w:tcPr>
          <w:p w14:paraId="09766A17"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0B9C5F57" w14:textId="77777777" w:rsidTr="001023BB">
        <w:trPr>
          <w:trHeight w:val="20"/>
        </w:trPr>
        <w:tc>
          <w:tcPr>
            <w:tcW w:w="1775" w:type="pct"/>
            <w:vMerge w:val="restart"/>
            <w:tcBorders>
              <w:top w:val="single" w:sz="4" w:space="0" w:color="auto"/>
              <w:left w:val="single" w:sz="18" w:space="0" w:color="auto"/>
              <w:right w:val="single" w:sz="4" w:space="0" w:color="auto"/>
            </w:tcBorders>
            <w:noWrap/>
            <w:vAlign w:val="center"/>
          </w:tcPr>
          <w:p w14:paraId="44873647" w14:textId="77777777" w:rsidR="001D1F28" w:rsidRPr="001D1F28" w:rsidRDefault="001D1F28" w:rsidP="001023BB">
            <w:pPr>
              <w:rPr>
                <w:rFonts w:ascii="Times New Roman" w:hAnsi="Times New Roman" w:cs="Times New Roman"/>
                <w:color w:val="000000"/>
                <w:sz w:val="20"/>
                <w:szCs w:val="20"/>
              </w:rPr>
            </w:pPr>
            <w:r w:rsidRPr="001D1F28">
              <w:rPr>
                <w:rFonts w:ascii="Times New Roman" w:hAnsi="Times New Roman" w:cs="Times New Roman"/>
                <w:color w:val="000000"/>
                <w:sz w:val="20"/>
                <w:szCs w:val="20"/>
              </w:rPr>
              <w:t xml:space="preserve">Working age population </w:t>
            </w:r>
            <w:r w:rsidRPr="001D1F28">
              <w:rPr>
                <w:rFonts w:ascii="Times New Roman" w:hAnsi="Times New Roman" w:cs="Times New Roman"/>
                <w:sz w:val="20"/>
                <w:szCs w:val="20"/>
              </w:rPr>
              <w:t>(*)</w:t>
            </w:r>
          </w:p>
        </w:tc>
        <w:tc>
          <w:tcPr>
            <w:tcW w:w="1740" w:type="pct"/>
            <w:tcBorders>
              <w:top w:val="single" w:sz="4" w:space="0" w:color="auto"/>
              <w:left w:val="single" w:sz="4" w:space="0" w:color="auto"/>
              <w:bottom w:val="dotted" w:sz="4" w:space="0" w:color="808080" w:themeColor="background1" w:themeShade="80"/>
              <w:right w:val="single" w:sz="18" w:space="0" w:color="auto"/>
            </w:tcBorders>
          </w:tcPr>
          <w:p w14:paraId="123A1424" w14:textId="77777777" w:rsidR="001D1F28" w:rsidRPr="001D1F28" w:rsidRDefault="001D1F28" w:rsidP="001023BB">
            <w:pPr>
              <w:rPr>
                <w:rFonts w:ascii="Times New Roman" w:hAnsi="Times New Roman" w:cs="Times New Roman"/>
                <w:color w:val="000000"/>
                <w:sz w:val="20"/>
                <w:szCs w:val="20"/>
              </w:rPr>
            </w:pPr>
            <w:r w:rsidRPr="001D1F28">
              <w:rPr>
                <w:rFonts w:ascii="Times New Roman" w:hAnsi="Times New Roman" w:cs="Times New Roman"/>
                <w:color w:val="000000"/>
                <w:sz w:val="20"/>
                <w:szCs w:val="20"/>
              </w:rPr>
              <w:t xml:space="preserve">Medium (≥ 0.589, </w:t>
            </w:r>
            <w:r w:rsidRPr="001D1F28">
              <w:rPr>
                <w:rFonts w:ascii="Times New Roman" w:hAnsi="Times New Roman" w:cs="Times New Roman"/>
                <w:sz w:val="20"/>
                <w:szCs w:val="20"/>
              </w:rPr>
              <w:t xml:space="preserve">&lt; </w:t>
            </w:r>
            <w:r w:rsidRPr="001D1F28">
              <w:rPr>
                <w:rFonts w:ascii="Times New Roman" w:hAnsi="Times New Roman" w:cs="Times New Roman"/>
                <w:color w:val="000000"/>
                <w:sz w:val="20"/>
                <w:szCs w:val="20"/>
              </w:rPr>
              <w:t>0.624)</w:t>
            </w:r>
          </w:p>
        </w:tc>
        <w:tc>
          <w:tcPr>
            <w:tcW w:w="387" w:type="pct"/>
            <w:tcBorders>
              <w:top w:val="single" w:sz="4" w:space="0" w:color="auto"/>
              <w:left w:val="single" w:sz="4" w:space="0" w:color="auto"/>
              <w:bottom w:val="dotted" w:sz="4" w:space="0" w:color="auto"/>
              <w:right w:val="dotted" w:sz="4" w:space="0" w:color="auto"/>
            </w:tcBorders>
            <w:vAlign w:val="center"/>
          </w:tcPr>
          <w:p w14:paraId="59237474"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dotted" w:sz="4" w:space="0" w:color="auto"/>
              <w:bottom w:val="dotted" w:sz="4" w:space="0" w:color="auto"/>
              <w:right w:val="single" w:sz="18" w:space="0" w:color="auto"/>
            </w:tcBorders>
            <w:vAlign w:val="center"/>
          </w:tcPr>
          <w:p w14:paraId="40377C01"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87" w:type="pct"/>
            <w:tcBorders>
              <w:top w:val="single" w:sz="4" w:space="0" w:color="auto"/>
              <w:left w:val="single" w:sz="18" w:space="0" w:color="auto"/>
              <w:bottom w:val="dotted" w:sz="4" w:space="0" w:color="808080" w:themeColor="background1" w:themeShade="80"/>
              <w:right w:val="dotted" w:sz="4" w:space="0" w:color="808080" w:themeColor="background1" w:themeShade="80"/>
            </w:tcBorders>
            <w:noWrap/>
            <w:vAlign w:val="bottom"/>
          </w:tcPr>
          <w:p w14:paraId="2B9D017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0.185</w:t>
            </w:r>
          </w:p>
        </w:tc>
        <w:tc>
          <w:tcPr>
            <w:tcW w:w="324" w:type="pct"/>
            <w:tcBorders>
              <w:top w:val="single" w:sz="4" w:space="0" w:color="auto"/>
              <w:left w:val="dotted" w:sz="4" w:space="0" w:color="808080" w:themeColor="background1" w:themeShade="80"/>
              <w:bottom w:val="dotted" w:sz="4" w:space="0" w:color="808080" w:themeColor="background1" w:themeShade="80"/>
              <w:right w:val="single" w:sz="18" w:space="0" w:color="auto"/>
            </w:tcBorders>
            <w:vAlign w:val="bottom"/>
          </w:tcPr>
          <w:p w14:paraId="414EEB0E"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2.04</w:t>
            </w:r>
          </w:p>
        </w:tc>
      </w:tr>
      <w:tr w:rsidR="001D1F28" w:rsidRPr="001D1F28" w14:paraId="7280F214" w14:textId="77777777" w:rsidTr="001023BB">
        <w:trPr>
          <w:trHeight w:val="20"/>
        </w:trPr>
        <w:tc>
          <w:tcPr>
            <w:tcW w:w="1775" w:type="pct"/>
            <w:vMerge/>
            <w:tcBorders>
              <w:left w:val="single" w:sz="18" w:space="0" w:color="auto"/>
              <w:bottom w:val="single" w:sz="4" w:space="0" w:color="auto"/>
              <w:right w:val="single" w:sz="4" w:space="0" w:color="auto"/>
            </w:tcBorders>
            <w:noWrap/>
            <w:vAlign w:val="center"/>
          </w:tcPr>
          <w:p w14:paraId="09024BA0" w14:textId="77777777" w:rsidR="001D1F28" w:rsidRPr="001D1F28" w:rsidRDefault="001D1F28" w:rsidP="001023BB">
            <w:pPr>
              <w:rPr>
                <w:rFonts w:ascii="Times New Roman" w:hAnsi="Times New Roman" w:cs="Times New Roman"/>
                <w:color w:val="000000"/>
                <w:sz w:val="20"/>
                <w:szCs w:val="20"/>
              </w:rPr>
            </w:pPr>
          </w:p>
        </w:tc>
        <w:tc>
          <w:tcPr>
            <w:tcW w:w="1740" w:type="pct"/>
            <w:tcBorders>
              <w:top w:val="dotted" w:sz="4" w:space="0" w:color="808080" w:themeColor="background1" w:themeShade="80"/>
              <w:left w:val="single" w:sz="4" w:space="0" w:color="auto"/>
              <w:bottom w:val="single" w:sz="4" w:space="0" w:color="auto"/>
              <w:right w:val="single" w:sz="18" w:space="0" w:color="auto"/>
            </w:tcBorders>
          </w:tcPr>
          <w:p w14:paraId="381BE363" w14:textId="77777777" w:rsidR="001D1F28" w:rsidRPr="001D1F28" w:rsidRDefault="001D1F28" w:rsidP="001023BB">
            <w:pPr>
              <w:rPr>
                <w:rFonts w:ascii="Times New Roman" w:hAnsi="Times New Roman" w:cs="Times New Roman"/>
                <w:color w:val="000000"/>
                <w:sz w:val="20"/>
                <w:szCs w:val="20"/>
              </w:rPr>
            </w:pPr>
            <w:r w:rsidRPr="001D1F28">
              <w:rPr>
                <w:rFonts w:ascii="Times New Roman" w:hAnsi="Times New Roman" w:cs="Times New Roman"/>
                <w:color w:val="000000"/>
                <w:sz w:val="20"/>
                <w:szCs w:val="20"/>
              </w:rPr>
              <w:t>High (≥ 0.624)</w:t>
            </w:r>
          </w:p>
        </w:tc>
        <w:tc>
          <w:tcPr>
            <w:tcW w:w="387" w:type="pct"/>
            <w:tcBorders>
              <w:top w:val="dotted" w:sz="4" w:space="0" w:color="auto"/>
              <w:left w:val="single" w:sz="4" w:space="0" w:color="auto"/>
              <w:bottom w:val="single" w:sz="4" w:space="0" w:color="auto"/>
              <w:right w:val="dotted" w:sz="4" w:space="0" w:color="auto"/>
            </w:tcBorders>
            <w:vAlign w:val="bottom"/>
          </w:tcPr>
          <w:p w14:paraId="20EF1187"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-0.253</w:t>
            </w:r>
          </w:p>
        </w:tc>
        <w:tc>
          <w:tcPr>
            <w:tcW w:w="387" w:type="pct"/>
            <w:tcBorders>
              <w:top w:val="dotted" w:sz="4" w:space="0" w:color="auto"/>
              <w:left w:val="dotted" w:sz="4" w:space="0" w:color="auto"/>
              <w:bottom w:val="single" w:sz="4" w:space="0" w:color="auto"/>
              <w:right w:val="single" w:sz="18" w:space="0" w:color="auto"/>
            </w:tcBorders>
            <w:vAlign w:val="bottom"/>
          </w:tcPr>
          <w:p w14:paraId="0E80233D"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-1.96</w:t>
            </w:r>
          </w:p>
        </w:tc>
        <w:tc>
          <w:tcPr>
            <w:tcW w:w="387" w:type="pct"/>
            <w:tcBorders>
              <w:top w:val="dotted" w:sz="4" w:space="0" w:color="808080" w:themeColor="background1" w:themeShade="80"/>
              <w:left w:val="single" w:sz="18" w:space="0" w:color="auto"/>
              <w:bottom w:val="single" w:sz="4" w:space="0" w:color="auto"/>
              <w:right w:val="dotted" w:sz="4" w:space="0" w:color="808080" w:themeColor="background1" w:themeShade="80"/>
            </w:tcBorders>
            <w:noWrap/>
            <w:vAlign w:val="center"/>
          </w:tcPr>
          <w:p w14:paraId="64D4A1A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dotted" w:sz="4" w:space="0" w:color="808080" w:themeColor="background1" w:themeShade="80"/>
              <w:left w:val="dotted" w:sz="4" w:space="0" w:color="808080" w:themeColor="background1" w:themeShade="80"/>
              <w:bottom w:val="single" w:sz="4" w:space="0" w:color="auto"/>
              <w:right w:val="single" w:sz="18" w:space="0" w:color="auto"/>
            </w:tcBorders>
            <w:vAlign w:val="center"/>
          </w:tcPr>
          <w:p w14:paraId="4C4AF40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1E9A3322" w14:textId="77777777" w:rsidTr="001023BB">
        <w:trPr>
          <w:trHeight w:val="20"/>
        </w:trPr>
        <w:tc>
          <w:tcPr>
            <w:tcW w:w="1775" w:type="pct"/>
            <w:tcBorders>
              <w:top w:val="single" w:sz="4" w:space="0" w:color="auto"/>
              <w:left w:val="single" w:sz="18" w:space="0" w:color="auto"/>
              <w:bottom w:val="double" w:sz="4" w:space="0" w:color="auto"/>
              <w:right w:val="single" w:sz="4" w:space="0" w:color="auto"/>
            </w:tcBorders>
            <w:noWrap/>
            <w:vAlign w:val="center"/>
          </w:tcPr>
          <w:p w14:paraId="57D3F049"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Census division (all others)</w:t>
            </w:r>
          </w:p>
        </w:tc>
        <w:tc>
          <w:tcPr>
            <w:tcW w:w="1740" w:type="pct"/>
            <w:tcBorders>
              <w:top w:val="single" w:sz="4" w:space="0" w:color="auto"/>
              <w:left w:val="single" w:sz="4" w:space="0" w:color="auto"/>
              <w:bottom w:val="double" w:sz="4" w:space="0" w:color="auto"/>
              <w:right w:val="single" w:sz="18" w:space="0" w:color="auto"/>
            </w:tcBorders>
            <w:vAlign w:val="center"/>
          </w:tcPr>
          <w:p w14:paraId="78B606A5"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Middle Atlantic</w:t>
            </w:r>
          </w:p>
        </w:tc>
        <w:tc>
          <w:tcPr>
            <w:tcW w:w="387" w:type="pct"/>
            <w:tcBorders>
              <w:top w:val="single" w:sz="4" w:space="0" w:color="auto"/>
              <w:left w:val="single" w:sz="4" w:space="0" w:color="auto"/>
              <w:bottom w:val="double" w:sz="4" w:space="0" w:color="auto"/>
              <w:right w:val="dotted" w:sz="4" w:space="0" w:color="auto"/>
            </w:tcBorders>
            <w:vAlign w:val="center"/>
          </w:tcPr>
          <w:p w14:paraId="7A29D7E2"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0.445</w:t>
            </w:r>
          </w:p>
        </w:tc>
        <w:tc>
          <w:tcPr>
            <w:tcW w:w="387" w:type="pct"/>
            <w:tcBorders>
              <w:top w:val="single" w:sz="4" w:space="0" w:color="auto"/>
              <w:left w:val="dotted" w:sz="4" w:space="0" w:color="auto"/>
              <w:bottom w:val="double" w:sz="4" w:space="0" w:color="auto"/>
              <w:right w:val="single" w:sz="18" w:space="0" w:color="auto"/>
            </w:tcBorders>
            <w:vAlign w:val="center"/>
          </w:tcPr>
          <w:p w14:paraId="324BE154" w14:textId="77777777" w:rsidR="001D1F28" w:rsidRPr="001D1F28" w:rsidRDefault="001D1F28" w:rsidP="001023BB">
            <w:pPr>
              <w:tabs>
                <w:tab w:val="decimal" w:pos="360"/>
              </w:tabs>
              <w:jc w:val="center"/>
              <w:rPr>
                <w:rFonts w:ascii="Times New Roman" w:hAnsi="Times New Roman" w:cs="Times New Roman"/>
                <w:sz w:val="20"/>
                <w:szCs w:val="20"/>
              </w:rPr>
            </w:pPr>
            <w:r w:rsidRPr="001D1F28">
              <w:rPr>
                <w:rFonts w:ascii="Times New Roman" w:hAnsi="Times New Roman" w:cs="Times New Roman"/>
                <w:color w:val="000000"/>
                <w:sz w:val="20"/>
                <w:szCs w:val="20"/>
              </w:rPr>
              <w:t>2.80</w:t>
            </w:r>
          </w:p>
        </w:tc>
        <w:tc>
          <w:tcPr>
            <w:tcW w:w="387" w:type="pct"/>
            <w:tcBorders>
              <w:top w:val="single" w:sz="4" w:space="0" w:color="auto"/>
              <w:left w:val="single" w:sz="18" w:space="0" w:color="auto"/>
              <w:bottom w:val="double" w:sz="4" w:space="0" w:color="auto"/>
              <w:right w:val="dotted" w:sz="4" w:space="0" w:color="808080" w:themeColor="background1" w:themeShade="80"/>
            </w:tcBorders>
            <w:noWrap/>
            <w:vAlign w:val="center"/>
          </w:tcPr>
          <w:p w14:paraId="24102078"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double" w:sz="4" w:space="0" w:color="auto"/>
              <w:right w:val="single" w:sz="18" w:space="0" w:color="auto"/>
            </w:tcBorders>
            <w:vAlign w:val="center"/>
          </w:tcPr>
          <w:p w14:paraId="19BA63F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2F723962" w14:textId="77777777" w:rsidTr="001023BB">
        <w:trPr>
          <w:trHeight w:val="20"/>
        </w:trPr>
        <w:tc>
          <w:tcPr>
            <w:tcW w:w="3515" w:type="pct"/>
            <w:gridSpan w:val="2"/>
            <w:tcBorders>
              <w:top w:val="double" w:sz="4" w:space="0" w:color="auto"/>
              <w:left w:val="single" w:sz="18" w:space="0" w:color="auto"/>
              <w:bottom w:val="single" w:sz="4" w:space="0" w:color="auto"/>
              <w:right w:val="single" w:sz="18" w:space="0" w:color="auto"/>
            </w:tcBorders>
            <w:noWrap/>
            <w:vAlign w:val="center"/>
          </w:tcPr>
          <w:p w14:paraId="1CA85381" w14:textId="77777777" w:rsidR="001D1F28" w:rsidRPr="001D1F28" w:rsidRDefault="001D1F28" w:rsidP="001023BB">
            <w:pPr>
              <w:rPr>
                <w:rFonts w:ascii="Times New Roman" w:hAnsi="Times New Roman" w:cs="Times New Roman"/>
                <w:iCs/>
                <w:sz w:val="20"/>
                <w:szCs w:val="20"/>
              </w:rPr>
            </w:pPr>
            <w:r w:rsidRPr="001D1F28">
              <w:rPr>
                <w:rFonts w:ascii="Times New Roman" w:hAnsi="Times New Roman" w:cs="Times New Roman"/>
                <w:iCs/>
                <w:sz w:val="20"/>
                <w:szCs w:val="20"/>
              </w:rPr>
              <w:t>Correlation</w:t>
            </w:r>
          </w:p>
        </w:tc>
        <w:tc>
          <w:tcPr>
            <w:tcW w:w="387" w:type="pct"/>
            <w:tcBorders>
              <w:top w:val="double" w:sz="4" w:space="0" w:color="auto"/>
              <w:left w:val="single" w:sz="4" w:space="0" w:color="auto"/>
              <w:bottom w:val="single" w:sz="4" w:space="0" w:color="auto"/>
              <w:right w:val="dotted" w:sz="4" w:space="0" w:color="auto"/>
            </w:tcBorders>
            <w:vAlign w:val="bottom"/>
          </w:tcPr>
          <w:p w14:paraId="00983F87" w14:textId="77777777" w:rsidR="001D1F28" w:rsidRPr="001D1F28" w:rsidRDefault="001D1F28" w:rsidP="001023BB">
            <w:pPr>
              <w:tabs>
                <w:tab w:val="decimal" w:pos="360"/>
              </w:tabs>
              <w:jc w:val="center"/>
              <w:rPr>
                <w:rFonts w:ascii="Times New Roman" w:hAnsi="Times New Roman" w:cs="Times New Roman"/>
                <w:color w:val="000000"/>
                <w:sz w:val="20"/>
                <w:szCs w:val="20"/>
                <w:highlight w:val="yellow"/>
              </w:rPr>
            </w:pPr>
          </w:p>
        </w:tc>
        <w:tc>
          <w:tcPr>
            <w:tcW w:w="387" w:type="pct"/>
            <w:tcBorders>
              <w:top w:val="double" w:sz="4" w:space="0" w:color="auto"/>
              <w:left w:val="dotted" w:sz="4" w:space="0" w:color="auto"/>
              <w:bottom w:val="single" w:sz="4" w:space="0" w:color="auto"/>
              <w:right w:val="single" w:sz="18" w:space="0" w:color="auto"/>
            </w:tcBorders>
            <w:vAlign w:val="bottom"/>
          </w:tcPr>
          <w:p w14:paraId="6BC9D257" w14:textId="77777777" w:rsidR="001D1F28" w:rsidRPr="001D1F28" w:rsidRDefault="001D1F28" w:rsidP="001023BB">
            <w:pPr>
              <w:tabs>
                <w:tab w:val="decimal" w:pos="360"/>
              </w:tabs>
              <w:jc w:val="center"/>
              <w:rPr>
                <w:rFonts w:ascii="Times New Roman" w:hAnsi="Times New Roman" w:cs="Times New Roman"/>
                <w:color w:val="000000"/>
                <w:sz w:val="20"/>
                <w:szCs w:val="20"/>
                <w:highlight w:val="yellow"/>
              </w:rPr>
            </w:pPr>
          </w:p>
        </w:tc>
        <w:tc>
          <w:tcPr>
            <w:tcW w:w="387" w:type="pct"/>
            <w:tcBorders>
              <w:top w:val="double" w:sz="4" w:space="0" w:color="auto"/>
              <w:left w:val="single" w:sz="18" w:space="0" w:color="auto"/>
              <w:bottom w:val="single" w:sz="4" w:space="0" w:color="auto"/>
              <w:right w:val="dotted" w:sz="4" w:space="0" w:color="808080" w:themeColor="background1" w:themeShade="80"/>
            </w:tcBorders>
            <w:noWrap/>
            <w:vAlign w:val="center"/>
          </w:tcPr>
          <w:p w14:paraId="38974B91" w14:textId="77777777" w:rsidR="001D1F28" w:rsidRPr="001D1F28" w:rsidRDefault="001D1F28" w:rsidP="001023BB">
            <w:pPr>
              <w:jc w:val="center"/>
              <w:rPr>
                <w:rFonts w:ascii="Times New Roman" w:hAnsi="Times New Roman" w:cs="Times New Roman"/>
                <w:sz w:val="20"/>
                <w:szCs w:val="20"/>
                <w:highlight w:val="yellow"/>
              </w:rPr>
            </w:pPr>
          </w:p>
        </w:tc>
        <w:tc>
          <w:tcPr>
            <w:tcW w:w="324" w:type="pct"/>
            <w:tcBorders>
              <w:top w:val="double" w:sz="4" w:space="0" w:color="auto"/>
              <w:left w:val="dotted" w:sz="4" w:space="0" w:color="808080" w:themeColor="background1" w:themeShade="80"/>
              <w:bottom w:val="single" w:sz="4" w:space="0" w:color="auto"/>
              <w:right w:val="single" w:sz="18" w:space="0" w:color="auto"/>
            </w:tcBorders>
            <w:vAlign w:val="center"/>
          </w:tcPr>
          <w:p w14:paraId="1F3AD7B7" w14:textId="77777777" w:rsidR="001D1F28" w:rsidRPr="001D1F28" w:rsidRDefault="001D1F28" w:rsidP="001023BB">
            <w:pPr>
              <w:jc w:val="center"/>
              <w:rPr>
                <w:rFonts w:ascii="Times New Roman" w:hAnsi="Times New Roman" w:cs="Times New Roman"/>
                <w:sz w:val="20"/>
                <w:szCs w:val="20"/>
                <w:highlight w:val="yellow"/>
              </w:rPr>
            </w:pPr>
          </w:p>
        </w:tc>
      </w:tr>
      <w:tr w:rsidR="001D1F28" w:rsidRPr="001D1F28" w14:paraId="627716ED" w14:textId="77777777" w:rsidTr="001023BB">
        <w:trPr>
          <w:trHeight w:val="20"/>
        </w:trPr>
        <w:tc>
          <w:tcPr>
            <w:tcW w:w="3515" w:type="pct"/>
            <w:gridSpan w:val="2"/>
            <w:tcBorders>
              <w:top w:val="single" w:sz="4" w:space="0" w:color="auto"/>
              <w:left w:val="single" w:sz="18" w:space="0" w:color="auto"/>
              <w:bottom w:val="double" w:sz="4" w:space="0" w:color="auto"/>
              <w:right w:val="single" w:sz="18" w:space="0" w:color="auto"/>
            </w:tcBorders>
            <w:noWrap/>
            <w:vAlign w:val="center"/>
          </w:tcPr>
          <w:p w14:paraId="4C103D64"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iCs/>
                <w:sz w:val="20"/>
                <w:szCs w:val="20"/>
              </w:rPr>
              <w:t>Work-to-home commute stop</w:t>
            </w:r>
          </w:p>
        </w:tc>
        <w:tc>
          <w:tcPr>
            <w:tcW w:w="387" w:type="pct"/>
            <w:tcBorders>
              <w:top w:val="single" w:sz="4" w:space="0" w:color="auto"/>
              <w:left w:val="single" w:sz="4" w:space="0" w:color="auto"/>
              <w:bottom w:val="double" w:sz="4" w:space="0" w:color="auto"/>
              <w:right w:val="dotted" w:sz="4" w:space="0" w:color="auto"/>
            </w:tcBorders>
            <w:vAlign w:val="bottom"/>
          </w:tcPr>
          <w:p w14:paraId="26100889"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0.318</w:t>
            </w:r>
          </w:p>
        </w:tc>
        <w:tc>
          <w:tcPr>
            <w:tcW w:w="387" w:type="pct"/>
            <w:tcBorders>
              <w:top w:val="single" w:sz="4" w:space="0" w:color="auto"/>
              <w:left w:val="dotted" w:sz="4" w:space="0" w:color="auto"/>
              <w:bottom w:val="double" w:sz="4" w:space="0" w:color="auto"/>
              <w:right w:val="single" w:sz="18" w:space="0" w:color="auto"/>
            </w:tcBorders>
            <w:vAlign w:val="bottom"/>
          </w:tcPr>
          <w:p w14:paraId="50243620"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11.54</w:t>
            </w:r>
          </w:p>
        </w:tc>
        <w:tc>
          <w:tcPr>
            <w:tcW w:w="387" w:type="pct"/>
            <w:tcBorders>
              <w:top w:val="single" w:sz="4" w:space="0" w:color="auto"/>
              <w:left w:val="single" w:sz="18" w:space="0" w:color="auto"/>
              <w:bottom w:val="double" w:sz="4" w:space="0" w:color="auto"/>
              <w:right w:val="dotted" w:sz="4" w:space="0" w:color="808080" w:themeColor="background1" w:themeShade="80"/>
            </w:tcBorders>
            <w:noWrap/>
            <w:vAlign w:val="center"/>
          </w:tcPr>
          <w:p w14:paraId="183D58F9"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c>
          <w:tcPr>
            <w:tcW w:w="324" w:type="pct"/>
            <w:tcBorders>
              <w:top w:val="single" w:sz="4" w:space="0" w:color="auto"/>
              <w:left w:val="dotted" w:sz="4" w:space="0" w:color="808080" w:themeColor="background1" w:themeShade="80"/>
              <w:bottom w:val="double" w:sz="4" w:space="0" w:color="auto"/>
              <w:right w:val="single" w:sz="18" w:space="0" w:color="auto"/>
            </w:tcBorders>
            <w:vAlign w:val="center"/>
          </w:tcPr>
          <w:p w14:paraId="048AF8CA" w14:textId="77777777" w:rsidR="001D1F28" w:rsidRPr="001D1F28" w:rsidRDefault="001D1F28" w:rsidP="001023BB">
            <w:pPr>
              <w:jc w:val="center"/>
              <w:rPr>
                <w:rFonts w:ascii="Times New Roman" w:hAnsi="Times New Roman" w:cs="Times New Roman"/>
                <w:sz w:val="20"/>
                <w:szCs w:val="20"/>
              </w:rPr>
            </w:pPr>
            <w:r w:rsidRPr="001D1F28">
              <w:rPr>
                <w:rFonts w:ascii="Times New Roman" w:hAnsi="Times New Roman" w:cs="Times New Roman"/>
                <w:sz w:val="20"/>
                <w:szCs w:val="20"/>
              </w:rPr>
              <w:t>—</w:t>
            </w:r>
          </w:p>
        </w:tc>
      </w:tr>
      <w:tr w:rsidR="001D1F28" w:rsidRPr="001D1F28" w14:paraId="0B033A3F" w14:textId="77777777" w:rsidTr="001023BB">
        <w:trPr>
          <w:trHeight w:val="20"/>
        </w:trPr>
        <w:tc>
          <w:tcPr>
            <w:tcW w:w="3515" w:type="pct"/>
            <w:gridSpan w:val="2"/>
            <w:tcBorders>
              <w:top w:val="double" w:sz="4" w:space="0" w:color="auto"/>
              <w:left w:val="single" w:sz="18" w:space="0" w:color="auto"/>
              <w:bottom w:val="double" w:sz="4" w:space="0" w:color="auto"/>
              <w:right w:val="single" w:sz="18" w:space="0" w:color="auto"/>
            </w:tcBorders>
            <w:noWrap/>
            <w:vAlign w:val="center"/>
          </w:tcPr>
          <w:p w14:paraId="0DB76F1F" w14:textId="77777777" w:rsidR="001D1F28" w:rsidRPr="001D1F28" w:rsidRDefault="001D1F28" w:rsidP="001023BB">
            <w:pPr>
              <w:rPr>
                <w:rFonts w:ascii="Times New Roman" w:hAnsi="Times New Roman" w:cs="Times New Roman"/>
                <w:bCs/>
                <w:iCs/>
                <w:sz w:val="20"/>
                <w:szCs w:val="20"/>
              </w:rPr>
            </w:pPr>
            <w:r w:rsidRPr="001D1F28">
              <w:rPr>
                <w:rFonts w:ascii="Times New Roman" w:hAnsi="Times New Roman" w:cs="Times New Roman"/>
                <w:bCs/>
                <w:iCs/>
                <w:sz w:val="20"/>
                <w:szCs w:val="20"/>
              </w:rPr>
              <w:t>Scale of respondent-specific unobserved effect</w:t>
            </w:r>
          </w:p>
        </w:tc>
        <w:tc>
          <w:tcPr>
            <w:tcW w:w="387" w:type="pct"/>
            <w:tcBorders>
              <w:top w:val="double" w:sz="4" w:space="0" w:color="auto"/>
              <w:left w:val="single" w:sz="4" w:space="0" w:color="auto"/>
              <w:bottom w:val="double" w:sz="4" w:space="0" w:color="auto"/>
              <w:right w:val="dotted" w:sz="4" w:space="0" w:color="auto"/>
            </w:tcBorders>
            <w:vAlign w:val="bottom"/>
          </w:tcPr>
          <w:p w14:paraId="512EB6C0"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2.391</w:t>
            </w:r>
          </w:p>
        </w:tc>
        <w:tc>
          <w:tcPr>
            <w:tcW w:w="387" w:type="pct"/>
            <w:tcBorders>
              <w:top w:val="double" w:sz="4" w:space="0" w:color="auto"/>
              <w:left w:val="dotted" w:sz="4" w:space="0" w:color="auto"/>
              <w:bottom w:val="double" w:sz="4" w:space="0" w:color="auto"/>
              <w:right w:val="single" w:sz="18" w:space="0" w:color="auto"/>
            </w:tcBorders>
            <w:vAlign w:val="bottom"/>
          </w:tcPr>
          <w:p w14:paraId="0825D053"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56.93</w:t>
            </w:r>
          </w:p>
        </w:tc>
        <w:tc>
          <w:tcPr>
            <w:tcW w:w="387" w:type="pct"/>
            <w:tcBorders>
              <w:top w:val="double" w:sz="4" w:space="0" w:color="auto"/>
              <w:left w:val="single" w:sz="18" w:space="0" w:color="auto"/>
              <w:bottom w:val="double" w:sz="4" w:space="0" w:color="auto"/>
              <w:right w:val="dotted" w:sz="4" w:space="0" w:color="808080" w:themeColor="background1" w:themeShade="80"/>
            </w:tcBorders>
            <w:noWrap/>
            <w:vAlign w:val="bottom"/>
          </w:tcPr>
          <w:p w14:paraId="2DB5BB33"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1.782</w:t>
            </w:r>
          </w:p>
        </w:tc>
        <w:tc>
          <w:tcPr>
            <w:tcW w:w="324" w:type="pct"/>
            <w:tcBorders>
              <w:top w:val="double" w:sz="4" w:space="0" w:color="auto"/>
              <w:left w:val="dotted" w:sz="4" w:space="0" w:color="808080" w:themeColor="background1" w:themeShade="80"/>
              <w:bottom w:val="double" w:sz="4" w:space="0" w:color="auto"/>
              <w:right w:val="single" w:sz="18" w:space="0" w:color="auto"/>
            </w:tcBorders>
            <w:vAlign w:val="bottom"/>
          </w:tcPr>
          <w:p w14:paraId="2FDB4C19" w14:textId="77777777" w:rsidR="001D1F28" w:rsidRPr="001D1F28" w:rsidRDefault="001D1F28" w:rsidP="001023BB">
            <w:pPr>
              <w:tabs>
                <w:tab w:val="decimal" w:pos="360"/>
              </w:tabs>
              <w:jc w:val="center"/>
              <w:rPr>
                <w:rFonts w:ascii="Times New Roman" w:hAnsi="Times New Roman" w:cs="Times New Roman"/>
                <w:color w:val="000000"/>
                <w:sz w:val="20"/>
                <w:szCs w:val="20"/>
              </w:rPr>
            </w:pPr>
            <w:r w:rsidRPr="001D1F28">
              <w:rPr>
                <w:rFonts w:ascii="Times New Roman" w:hAnsi="Times New Roman" w:cs="Times New Roman"/>
                <w:color w:val="000000"/>
                <w:sz w:val="20"/>
                <w:szCs w:val="20"/>
              </w:rPr>
              <w:t>49.18</w:t>
            </w:r>
          </w:p>
        </w:tc>
      </w:tr>
      <w:tr w:rsidR="001D1F28" w:rsidRPr="001D1F28" w14:paraId="0706B469" w14:textId="77777777" w:rsidTr="001023BB">
        <w:trPr>
          <w:trHeight w:val="20"/>
        </w:trPr>
        <w:tc>
          <w:tcPr>
            <w:tcW w:w="5000" w:type="pct"/>
            <w:gridSpan w:val="6"/>
            <w:tcBorders>
              <w:top w:val="single" w:sz="18" w:space="0" w:color="auto"/>
              <w:left w:val="single" w:sz="18" w:space="0" w:color="auto"/>
              <w:bottom w:val="single" w:sz="18" w:space="0" w:color="auto"/>
              <w:right w:val="single" w:sz="18" w:space="0" w:color="auto"/>
            </w:tcBorders>
            <w:noWrap/>
            <w:vAlign w:val="center"/>
          </w:tcPr>
          <w:p w14:paraId="15DE2A3A" w14:textId="77777777" w:rsidR="001D1F28" w:rsidRPr="001D1F28" w:rsidRDefault="001D1F28" w:rsidP="001023BB">
            <w:pPr>
              <w:tabs>
                <w:tab w:val="decimal" w:pos="288"/>
              </w:tabs>
              <w:rPr>
                <w:rFonts w:ascii="Times New Roman" w:hAnsi="Times New Roman" w:cs="Times New Roman"/>
                <w:sz w:val="20"/>
                <w:szCs w:val="20"/>
              </w:rPr>
            </w:pPr>
            <w:r w:rsidRPr="001D1F28">
              <w:rPr>
                <w:rFonts w:ascii="Times New Roman" w:hAnsi="Times New Roman" w:cs="Times New Roman"/>
                <w:b/>
                <w:i/>
                <w:sz w:val="20"/>
                <w:szCs w:val="20"/>
              </w:rPr>
              <w:t>Model Fit Measures</w:t>
            </w:r>
          </w:p>
        </w:tc>
      </w:tr>
      <w:tr w:rsidR="001D1F28" w:rsidRPr="001D1F28" w14:paraId="62F5D1D8" w14:textId="77777777" w:rsidTr="001023BB">
        <w:trPr>
          <w:trHeight w:val="20"/>
        </w:trPr>
        <w:tc>
          <w:tcPr>
            <w:tcW w:w="3515" w:type="pct"/>
            <w:gridSpan w:val="2"/>
            <w:tcBorders>
              <w:top w:val="single" w:sz="18" w:space="0" w:color="auto"/>
              <w:left w:val="single" w:sz="18" w:space="0" w:color="auto"/>
              <w:bottom w:val="dotted" w:sz="4" w:space="0" w:color="auto"/>
              <w:right w:val="single" w:sz="18" w:space="0" w:color="auto"/>
            </w:tcBorders>
            <w:noWrap/>
            <w:vAlign w:val="center"/>
          </w:tcPr>
          <w:p w14:paraId="2743E29C"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Log-likelihood at convergence</w:t>
            </w:r>
          </w:p>
        </w:tc>
        <w:tc>
          <w:tcPr>
            <w:tcW w:w="1485" w:type="pct"/>
            <w:gridSpan w:val="4"/>
            <w:tcBorders>
              <w:top w:val="single" w:sz="18" w:space="0" w:color="auto"/>
              <w:left w:val="single" w:sz="18" w:space="0" w:color="auto"/>
              <w:bottom w:val="dotted" w:sz="4" w:space="0" w:color="auto"/>
              <w:right w:val="single" w:sz="18" w:space="0" w:color="auto"/>
            </w:tcBorders>
            <w:vAlign w:val="center"/>
          </w:tcPr>
          <w:p w14:paraId="72593291"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-7699.952</w:t>
            </w:r>
          </w:p>
        </w:tc>
      </w:tr>
      <w:tr w:rsidR="001D1F28" w:rsidRPr="001D1F28" w14:paraId="39CC5262" w14:textId="77777777" w:rsidTr="001023BB">
        <w:trPr>
          <w:trHeight w:val="20"/>
        </w:trPr>
        <w:tc>
          <w:tcPr>
            <w:tcW w:w="3515" w:type="pct"/>
            <w:gridSpan w:val="2"/>
            <w:tcBorders>
              <w:top w:val="dotted" w:sz="4" w:space="0" w:color="auto"/>
              <w:left w:val="single" w:sz="18" w:space="0" w:color="auto"/>
              <w:bottom w:val="dotted" w:sz="4" w:space="0" w:color="auto"/>
              <w:right w:val="single" w:sz="18" w:space="0" w:color="auto"/>
            </w:tcBorders>
            <w:noWrap/>
            <w:vAlign w:val="center"/>
          </w:tcPr>
          <w:p w14:paraId="0B803E56"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Log-likelihood at constants</w:t>
            </w:r>
          </w:p>
        </w:tc>
        <w:tc>
          <w:tcPr>
            <w:tcW w:w="1485" w:type="pct"/>
            <w:gridSpan w:val="4"/>
            <w:tcBorders>
              <w:top w:val="dotted" w:sz="4" w:space="0" w:color="auto"/>
              <w:left w:val="single" w:sz="18" w:space="0" w:color="auto"/>
              <w:bottom w:val="dotted" w:sz="4" w:space="0" w:color="auto"/>
              <w:right w:val="single" w:sz="18" w:space="0" w:color="auto"/>
            </w:tcBorders>
            <w:vAlign w:val="center"/>
          </w:tcPr>
          <w:p w14:paraId="51E42E2D"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-8012.903</w:t>
            </w:r>
          </w:p>
        </w:tc>
      </w:tr>
      <w:tr w:rsidR="001D1F28" w:rsidRPr="001D1F28" w14:paraId="7E81CDF7" w14:textId="77777777" w:rsidTr="001023BB">
        <w:trPr>
          <w:trHeight w:val="20"/>
        </w:trPr>
        <w:tc>
          <w:tcPr>
            <w:tcW w:w="3515" w:type="pct"/>
            <w:gridSpan w:val="2"/>
            <w:tcBorders>
              <w:top w:val="dotted" w:sz="4" w:space="0" w:color="auto"/>
              <w:left w:val="single" w:sz="18" w:space="0" w:color="auto"/>
              <w:bottom w:val="dotted" w:sz="4" w:space="0" w:color="auto"/>
              <w:right w:val="single" w:sz="18" w:space="0" w:color="auto"/>
            </w:tcBorders>
            <w:noWrap/>
            <w:vAlign w:val="center"/>
          </w:tcPr>
          <w:p w14:paraId="6E8151DD"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Log-likelihood at zero</w:t>
            </w:r>
          </w:p>
        </w:tc>
        <w:tc>
          <w:tcPr>
            <w:tcW w:w="1485" w:type="pct"/>
            <w:gridSpan w:val="4"/>
            <w:tcBorders>
              <w:top w:val="dotted" w:sz="4" w:space="0" w:color="auto"/>
              <w:left w:val="single" w:sz="18" w:space="0" w:color="auto"/>
              <w:bottom w:val="dotted" w:sz="4" w:space="0" w:color="auto"/>
              <w:right w:val="single" w:sz="18" w:space="0" w:color="auto"/>
            </w:tcBorders>
            <w:vAlign w:val="center"/>
          </w:tcPr>
          <w:p w14:paraId="722E8A70"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-15351.824</w:t>
            </w:r>
          </w:p>
        </w:tc>
      </w:tr>
      <w:tr w:rsidR="001D1F28" w:rsidRPr="001D1F28" w14:paraId="0D5D4D8D" w14:textId="77777777" w:rsidTr="001023BB">
        <w:trPr>
          <w:trHeight w:val="20"/>
        </w:trPr>
        <w:tc>
          <w:tcPr>
            <w:tcW w:w="3515" w:type="pct"/>
            <w:gridSpan w:val="2"/>
            <w:tcBorders>
              <w:top w:val="dotted" w:sz="4" w:space="0" w:color="auto"/>
              <w:left w:val="single" w:sz="18" w:space="0" w:color="auto"/>
              <w:bottom w:val="dotted" w:sz="4" w:space="0" w:color="auto"/>
              <w:right w:val="single" w:sz="18" w:space="0" w:color="auto"/>
            </w:tcBorders>
            <w:noWrap/>
            <w:vAlign w:val="center"/>
          </w:tcPr>
          <w:p w14:paraId="54C7707E"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Adjusted likelihood ratio index (relative to the constants-only model)</w:t>
            </w:r>
          </w:p>
        </w:tc>
        <w:tc>
          <w:tcPr>
            <w:tcW w:w="1485" w:type="pct"/>
            <w:gridSpan w:val="4"/>
            <w:tcBorders>
              <w:top w:val="dotted" w:sz="4" w:space="0" w:color="auto"/>
              <w:left w:val="single" w:sz="18" w:space="0" w:color="auto"/>
              <w:bottom w:val="dotted" w:sz="4" w:space="0" w:color="auto"/>
              <w:right w:val="single" w:sz="18" w:space="0" w:color="auto"/>
            </w:tcBorders>
            <w:vAlign w:val="center"/>
          </w:tcPr>
          <w:p w14:paraId="0233840B"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0.035</w:t>
            </w:r>
          </w:p>
        </w:tc>
      </w:tr>
      <w:tr w:rsidR="001D1F28" w:rsidRPr="001D1F28" w14:paraId="0B000F77" w14:textId="77777777" w:rsidTr="001023BB">
        <w:trPr>
          <w:trHeight w:val="20"/>
        </w:trPr>
        <w:tc>
          <w:tcPr>
            <w:tcW w:w="3515" w:type="pct"/>
            <w:gridSpan w:val="2"/>
            <w:tcBorders>
              <w:top w:val="dotted" w:sz="4" w:space="0" w:color="auto"/>
              <w:left w:val="single" w:sz="18" w:space="0" w:color="auto"/>
              <w:bottom w:val="dotted" w:sz="4" w:space="0" w:color="auto"/>
              <w:right w:val="single" w:sz="18" w:space="0" w:color="auto"/>
            </w:tcBorders>
            <w:noWrap/>
            <w:vAlign w:val="center"/>
          </w:tcPr>
          <w:p w14:paraId="4F74CC80"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Adjusted likelihood ratio index (relative to equal-probability model)</w:t>
            </w:r>
          </w:p>
        </w:tc>
        <w:tc>
          <w:tcPr>
            <w:tcW w:w="1485" w:type="pct"/>
            <w:gridSpan w:val="4"/>
            <w:tcBorders>
              <w:top w:val="dotted" w:sz="4" w:space="0" w:color="auto"/>
              <w:left w:val="single" w:sz="18" w:space="0" w:color="auto"/>
              <w:bottom w:val="dotted" w:sz="4" w:space="0" w:color="auto"/>
              <w:right w:val="single" w:sz="18" w:space="0" w:color="auto"/>
            </w:tcBorders>
            <w:vAlign w:val="center"/>
          </w:tcPr>
          <w:p w14:paraId="4ED636C5"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0.496</w:t>
            </w:r>
          </w:p>
        </w:tc>
      </w:tr>
      <w:tr w:rsidR="001D1F28" w:rsidRPr="001D1F28" w14:paraId="62B5EF7F" w14:textId="77777777" w:rsidTr="001023BB">
        <w:trPr>
          <w:trHeight w:val="20"/>
        </w:trPr>
        <w:tc>
          <w:tcPr>
            <w:tcW w:w="3515" w:type="pct"/>
            <w:gridSpan w:val="2"/>
            <w:tcBorders>
              <w:top w:val="dotted" w:sz="4" w:space="0" w:color="auto"/>
              <w:left w:val="single" w:sz="18" w:space="0" w:color="auto"/>
              <w:bottom w:val="dotted" w:sz="4" w:space="0" w:color="auto"/>
              <w:right w:val="single" w:sz="18" w:space="0" w:color="auto"/>
            </w:tcBorders>
            <w:noWrap/>
            <w:vAlign w:val="center"/>
          </w:tcPr>
          <w:p w14:paraId="1C5E114A"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Bayesian information criterion</w:t>
            </w:r>
          </w:p>
        </w:tc>
        <w:tc>
          <w:tcPr>
            <w:tcW w:w="1485" w:type="pct"/>
            <w:gridSpan w:val="4"/>
            <w:tcBorders>
              <w:top w:val="dotted" w:sz="4" w:space="0" w:color="auto"/>
              <w:left w:val="single" w:sz="18" w:space="0" w:color="auto"/>
              <w:bottom w:val="dotted" w:sz="4" w:space="0" w:color="auto"/>
              <w:right w:val="single" w:sz="18" w:space="0" w:color="auto"/>
            </w:tcBorders>
            <w:vAlign w:val="center"/>
          </w:tcPr>
          <w:p w14:paraId="5FC9FB2E"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15680.235</w:t>
            </w:r>
          </w:p>
        </w:tc>
      </w:tr>
      <w:tr w:rsidR="001D1F28" w:rsidRPr="001D1F28" w14:paraId="22482CB4" w14:textId="77777777" w:rsidTr="001023BB">
        <w:trPr>
          <w:trHeight w:val="20"/>
        </w:trPr>
        <w:tc>
          <w:tcPr>
            <w:tcW w:w="3515" w:type="pct"/>
            <w:gridSpan w:val="2"/>
            <w:tcBorders>
              <w:top w:val="dotted" w:sz="4" w:space="0" w:color="auto"/>
              <w:left w:val="single" w:sz="18" w:space="0" w:color="auto"/>
              <w:bottom w:val="single" w:sz="18" w:space="0" w:color="auto"/>
              <w:right w:val="single" w:sz="18" w:space="0" w:color="auto"/>
            </w:tcBorders>
            <w:noWrap/>
            <w:vAlign w:val="center"/>
          </w:tcPr>
          <w:p w14:paraId="78B1C887" w14:textId="77777777" w:rsidR="001D1F28" w:rsidRPr="001D1F28" w:rsidRDefault="001D1F28" w:rsidP="001023BB">
            <w:pPr>
              <w:rPr>
                <w:rFonts w:ascii="Times New Roman" w:hAnsi="Times New Roman" w:cs="Times New Roman"/>
                <w:sz w:val="20"/>
                <w:szCs w:val="20"/>
              </w:rPr>
            </w:pPr>
            <w:r w:rsidRPr="001D1F28">
              <w:rPr>
                <w:rFonts w:ascii="Times New Roman" w:hAnsi="Times New Roman" w:cs="Times New Roman"/>
                <w:sz w:val="20"/>
                <w:szCs w:val="20"/>
              </w:rPr>
              <w:t>Likelihood ratio test</w:t>
            </w:r>
          </w:p>
        </w:tc>
        <w:tc>
          <w:tcPr>
            <w:tcW w:w="1485" w:type="pct"/>
            <w:gridSpan w:val="4"/>
            <w:tcBorders>
              <w:top w:val="dotted" w:sz="4" w:space="0" w:color="auto"/>
              <w:left w:val="single" w:sz="18" w:space="0" w:color="auto"/>
              <w:bottom w:val="single" w:sz="18" w:space="0" w:color="auto"/>
              <w:right w:val="single" w:sz="18" w:space="0" w:color="auto"/>
            </w:tcBorders>
            <w:vAlign w:val="center"/>
          </w:tcPr>
          <w:p w14:paraId="5766EABD" w14:textId="77777777" w:rsidR="001D1F28" w:rsidRPr="001D1F28" w:rsidRDefault="001D1F28" w:rsidP="001023BB">
            <w:pPr>
              <w:tabs>
                <w:tab w:val="decimal" w:pos="1440"/>
              </w:tabs>
              <w:rPr>
                <w:rFonts w:ascii="Times New Roman" w:hAnsi="Times New Roman" w:cs="Times New Roman"/>
                <w:sz w:val="20"/>
                <w:szCs w:val="20"/>
              </w:rPr>
            </w:pPr>
            <w:r w:rsidRPr="001D1F28">
              <w:rPr>
                <w:rFonts w:ascii="Times New Roman" w:hAnsi="Times New Roman" w:cs="Times New Roman"/>
                <w:sz w:val="20"/>
                <w:szCs w:val="20"/>
              </w:rPr>
              <w:t>625.902</w:t>
            </w:r>
          </w:p>
        </w:tc>
      </w:tr>
    </w:tbl>
    <w:p w14:paraId="79622B7C" w14:textId="642D7D2D" w:rsidR="00E94AFC" w:rsidRPr="000C1BA7" w:rsidRDefault="004224FF" w:rsidP="00E94AFC">
      <w:pPr>
        <w:spacing w:after="0" w:line="240" w:lineRule="auto"/>
        <w:jc w:val="both"/>
        <w:rPr>
          <w:rFonts w:ascii="Times New Roman" w:hAnsi="Times New Roman" w:cs="Times New Roman"/>
          <w:kern w:val="0"/>
          <w:sz w:val="20"/>
          <w:szCs w:val="20"/>
        </w:rPr>
      </w:pPr>
      <w:r w:rsidRPr="000C1BA7">
        <w:rPr>
          <w:rFonts w:ascii="Times New Roman" w:hAnsi="Times New Roman" w:cs="Times New Roman"/>
          <w:kern w:val="0"/>
          <w:sz w:val="20"/>
          <w:szCs w:val="20"/>
        </w:rPr>
        <w:t>Note: Coef. = coefficient; “—” = not applicable; (*) Base category is not identical across the model equations and corresponds to all omitted categories.</w:t>
      </w:r>
    </w:p>
    <w:p w14:paraId="2C112DFF" w14:textId="77777777" w:rsidR="00C73C2B" w:rsidRDefault="00C73C2B" w:rsidP="00CB5E76">
      <w:pPr>
        <w:spacing w:after="0" w:line="240" w:lineRule="auto"/>
        <w:ind w:firstLine="720"/>
        <w:jc w:val="both"/>
        <w:rPr>
          <w:rFonts w:ascii="Times New Roman" w:hAnsi="Times New Roman" w:cs="Times New Roman"/>
        </w:rPr>
      </w:pPr>
    </w:p>
    <w:p w14:paraId="02202093" w14:textId="6DCEA808"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 xml:space="preserve">Education-related differences are particularly evident on Friday. Respondents with some college or technical-school education exhibit an additional positive Friday effect in both commute directions (see the row labeled “interaction terms” under individual characteristics). Respondents with a bachelor’s degree or higher also have a greater overall propensity to make W-to-H stops, and this difference becomes even larger on Friday. These patterns may reflect differences in occupation, schedule flexibility, or end-of-week activity planning. Workers with greater educational attainment may have more control over their work schedules and may be more inclined to combine shopping, personal business, or social activities with their Friday commute. </w:t>
      </w:r>
    </w:p>
    <w:p w14:paraId="258E5D94" w14:textId="77777777"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Race and ethnicity also exhibit day-specific associations. Black respondents have a higher propensity than non-Black respondents to make stops in both commute directions. In the W-to-H equation, however, this positive difference is almost entirely offset on Thursday. The main Black coefficient is 0.311, while the Thursday interaction is -0.305, yielding a combined effect close to zero on that day. Hispanic respondents exhibit an additional positive effect on H-to-W stop-making on Saturday. These findings may reflect unobserved differences in work schedules, household obligations, activity timing, or commute circumstances across the week, but the specific mechanisms cannot be identified from the available data.</w:t>
      </w:r>
    </w:p>
    <w:p w14:paraId="61A8B6C1" w14:textId="401F205A"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Household characteristics also play an important role. The presence of one or more children increases stop-making propensity in both commute directions. This finding is consistent with the greater escorting, caregiving, and household-serving responsibilities commonly experienced by households with children and with previous evidence linking the presence of children to greater tour complexity (De Abreu e Silva</w:t>
      </w:r>
      <w:r w:rsidR="00CF7AED">
        <w:rPr>
          <w:rFonts w:ascii="Times New Roman" w:hAnsi="Times New Roman" w:cs="Times New Roman"/>
        </w:rPr>
        <w:t>,</w:t>
      </w:r>
      <w:r w:rsidRPr="00CB5E76">
        <w:rPr>
          <w:rFonts w:ascii="Times New Roman" w:hAnsi="Times New Roman" w:cs="Times New Roman"/>
        </w:rPr>
        <w:t xml:space="preserve"> 2018). Respondents in two-worker households have a lower propensity to make H-to-W stops than those in households with one worker or three or more workers. This pattern may reflect differences in how household responsibilities are coordinated, although the underlying behavioral mechanism warrants further investigation. Homeowners also exhibit a lower propensity than non-owners to make W-to-H stops.</w:t>
      </w:r>
    </w:p>
    <w:p w14:paraId="2077FF9A" w14:textId="77777777"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Telecommuting frequency emerges as one of the most prominent factors in the model. Relative to workers who did not telecommute, those who telecommuted one or two days, three or four days, or five or six days during the reported week exhibit progressively higher stop-making propensities in both commute directions. These results suggest that workers who telecommute more frequently organize the workplace commute trips they retain differently from workers who travel to the workplace every workday. Greater schedule flexibility may enable telecommuters to incorporate additional activities into their commute tours, or workers may consolidate non-work activities into the fewer workplace days on which they travel. Although the model does not identify the specific mechanism, it indicates that telecommuting affects travel not only by eliminating workplace commute days but also by increasing commute-tour complexity on the days workers travel to the workplace. This result is consistent with Zhu and Guo (2022) and Zubair et al. (2026), who report greater trip chaining and tour complexity among telecommuters and hybrid workers.</w:t>
      </w:r>
    </w:p>
    <w:p w14:paraId="36958998" w14:textId="77777777"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 xml:space="preserve">The association between telecommuting and W-to-H stop-making is, however, not constant across the week. For workers who telecommute one or two days, the positive effect is significantly smaller on Thursday and Friday. The corresponding main coefficient is 0.547, but the combined effects decline to 0.241 on Thursday and 0.284 on Friday after accounting for the negative interaction terms. Similarly, the positive W-to-H effect for workers telecommuting three or four days declines from 1.095 on the reference days to 0.256 on Friday. Yet, these combined effects remain positive. The negative interactions therefore do not indicate that telecommuters become less likely than non-telecommuters to make stops on these days. Rather, they indicate that the </w:t>
      </w:r>
      <w:r w:rsidRPr="00CB5E76">
        <w:rPr>
          <w:rFonts w:ascii="Times New Roman" w:hAnsi="Times New Roman" w:cs="Times New Roman"/>
        </w:rPr>
        <w:lastRenderedPageBreak/>
        <w:t>otherwise positive association between telecommuting and stop-making is attenuated toward the end of the conventional workweek. This finding provides direct evidence that hybrid workers do not necessarily organize non-work activities consistently across all workplace commute days.</w:t>
      </w:r>
    </w:p>
    <w:p w14:paraId="21CC4D1C" w14:textId="0A41350D"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Commute characteristics further contribute to stop-making propensity. Longer commute distance is positively associated with H-to-W stop-making. Workers with longer commutes may be more inclined to combine other activities with a journey they must already undertake rather than make separate trips. This finding is consistent with Zhu and Guo (2022), although the coefficient is only marginally significant and should be interpreted cautiously. Public-transit commuters have a lower propensity to make stops in both directions than commuters using other modes. This result is consistent with Bautista-Hernández (2020), who report lower trip-chaining propensities among transit users than among private-vehicle users. Fixed routes and schedules, transfer requirements, waiting times, and access and egress constraints may make it more difficult to incorporate intermediate activities into transit commute tours (Rafiq and McNally</w:t>
      </w:r>
      <w:r w:rsidR="00FF58AE">
        <w:rPr>
          <w:rFonts w:ascii="Times New Roman" w:hAnsi="Times New Roman" w:cs="Times New Roman"/>
        </w:rPr>
        <w:t>,</w:t>
      </w:r>
      <w:r w:rsidRPr="00CB5E76">
        <w:rPr>
          <w:rFonts w:ascii="Times New Roman" w:hAnsi="Times New Roman" w:cs="Times New Roman"/>
        </w:rPr>
        <w:t xml:space="preserve"> 2021). Private vehicle users, in contrast, exhibit an additional positive effect on W-to-H stop-making on Saturday, consistent with the greater spatial and temporal flexibility afforded by automobile travel and greater non-work activity engagement on weekend days (Lockwood et al.</w:t>
      </w:r>
      <w:r w:rsidR="00FF58AE">
        <w:rPr>
          <w:rFonts w:ascii="Times New Roman" w:hAnsi="Times New Roman" w:cs="Times New Roman"/>
        </w:rPr>
        <w:t>,</w:t>
      </w:r>
      <w:r w:rsidRPr="00CB5E76">
        <w:rPr>
          <w:rFonts w:ascii="Times New Roman" w:hAnsi="Times New Roman" w:cs="Times New Roman"/>
        </w:rPr>
        <w:t xml:space="preserve"> 2005; </w:t>
      </w:r>
      <w:proofErr w:type="spellStart"/>
      <w:r w:rsidRPr="00CB5E76">
        <w:rPr>
          <w:rFonts w:ascii="Times New Roman" w:hAnsi="Times New Roman" w:cs="Times New Roman"/>
        </w:rPr>
        <w:t>Xianyu</w:t>
      </w:r>
      <w:proofErr w:type="spellEnd"/>
      <w:r w:rsidR="00FF58AE">
        <w:rPr>
          <w:rFonts w:ascii="Times New Roman" w:hAnsi="Times New Roman" w:cs="Times New Roman"/>
        </w:rPr>
        <w:t>,</w:t>
      </w:r>
      <w:r w:rsidRPr="00CB5E76">
        <w:rPr>
          <w:rFonts w:ascii="Times New Roman" w:hAnsi="Times New Roman" w:cs="Times New Roman"/>
        </w:rPr>
        <w:t xml:space="preserve"> 2013).</w:t>
      </w:r>
    </w:p>
    <w:p w14:paraId="35B6EA30" w14:textId="77777777"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 xml:space="preserve">Several built-environment and geographic attributes are also associated with stop-making. Respondents living in areas with high auto-network density have a greater propensity to make W-to-H stops, likely because greater roadway connectivity helps to incorporate intermediate stops. This interpretation is especially relevant because 86.6 percent of commute trips in the analysis sample were made by private vehicle. In contrast, high multimodal-network density is associated with a lower propensity to make H-to-W stops. Greater multimodal accessibility may enable residents to complete activities closer to home or through separate local trips or commute by transit, thereby reducing the need or ability to link them to the H-to-W commute. </w:t>
      </w:r>
    </w:p>
    <w:p w14:paraId="4543040F" w14:textId="77777777" w:rsidR="00CB5E76" w:rsidRPr="00CB5E76"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The share of working-age residents in the surrounding area exhibits different associations across commute directions. Respondents living in areas with a high working-age population share have a lower propensity to make H-to-W stops, whereas those living in areas with a medium working-age share have a higher propensity to make W-to-H stops. A high concentration of working-age residents may be associated with more intense morning travel demand, potentially discouraging additional stops before work. Areas with a moderate working-age share may offer a more favorable combination of activity opportunities and manageable travel conditions for stops on the return journey. These interpretations merit further investigation because the neighborhood variables do not directly measure traffic conditions or the availability of specific activity destinations at the time of travel. Finally, respondents residing in the Middle Atlantic census division exhibit a higher propensity to make H-to-W stops than respondents other divisions.</w:t>
      </w:r>
    </w:p>
    <w:p w14:paraId="0EA9BCF8" w14:textId="36FF9E5F" w:rsidR="006D5CF1" w:rsidRDefault="00CB5E76" w:rsidP="00CB5E76">
      <w:pPr>
        <w:spacing w:after="0" w:line="240" w:lineRule="auto"/>
        <w:ind w:firstLine="720"/>
        <w:jc w:val="both"/>
        <w:rPr>
          <w:rFonts w:ascii="Times New Roman" w:hAnsi="Times New Roman" w:cs="Times New Roman"/>
        </w:rPr>
      </w:pPr>
      <w:r w:rsidRPr="00CB5E76">
        <w:rPr>
          <w:rFonts w:ascii="Times New Roman" w:hAnsi="Times New Roman" w:cs="Times New Roman"/>
        </w:rPr>
        <w:t>Overall, stop-making propensity is higher among workers with children, longer commutes, more frequent telecommuting, and residence in areas with greater auto-network density; several education, race, ethnicity, private-vehicle use, and regional effects also emerge on specific days or commute directions. In contrast, stop-making is lower among women on the return commute, older workers on the journey to work, public transit commuters, homeowners, respondents in two-worker households, and residents of areas with greater multimodal network density or a high share of working-age adults. These underscore that commute stop-making reflects a mix of individual and household responsibilities, commute conditions, work arrangements, and the surrounding built-environment, with several relationships varying by commute direction and day of the week.</w:t>
      </w:r>
    </w:p>
    <w:p w14:paraId="0A7701C6" w14:textId="77777777" w:rsidR="00484266" w:rsidRPr="00D518A4" w:rsidRDefault="00484266" w:rsidP="00484266">
      <w:pPr>
        <w:spacing w:after="0" w:line="240" w:lineRule="auto"/>
        <w:ind w:firstLine="720"/>
        <w:jc w:val="both"/>
        <w:rPr>
          <w:rFonts w:ascii="Times New Roman" w:hAnsi="Times New Roman" w:cs="Times New Roman"/>
        </w:rPr>
      </w:pPr>
    </w:p>
    <w:p w14:paraId="73E3D5A0" w14:textId="4A8F48C3" w:rsidR="00A15401" w:rsidRPr="00D518A4" w:rsidRDefault="00CC75AF" w:rsidP="00E94AFC">
      <w:pPr>
        <w:pStyle w:val="Heading2"/>
        <w:keepNext/>
        <w:keepLines/>
      </w:pPr>
      <w:r w:rsidRPr="00D518A4">
        <w:lastRenderedPageBreak/>
        <w:t xml:space="preserve"> </w:t>
      </w:r>
      <w:r w:rsidR="000E6C4D" w:rsidRPr="000E6C4D">
        <w:t>Correlation and Model Goodness-of-Fit</w:t>
      </w:r>
      <w:r w:rsidR="0059272A" w:rsidRPr="00D518A4">
        <w:t xml:space="preserve">  </w:t>
      </w:r>
    </w:p>
    <w:p w14:paraId="3848C30A" w14:textId="3CF00C7A" w:rsidR="00A036FA" w:rsidRPr="00176918" w:rsidRDefault="00E3539D" w:rsidP="00E94AFC">
      <w:pPr>
        <w:keepNext/>
        <w:keepLines/>
        <w:spacing w:after="0" w:line="240" w:lineRule="auto"/>
        <w:jc w:val="both"/>
        <w:rPr>
          <w:rFonts w:ascii="Times New Roman" w:hAnsi="Times New Roman" w:cs="Times New Roman"/>
        </w:rPr>
      </w:pPr>
      <w:r w:rsidRPr="00E3539D">
        <w:rPr>
          <w:rFonts w:ascii="Times New Roman" w:hAnsi="Times New Roman" w:cs="Times New Roman"/>
        </w:rPr>
        <w:t>An important finding of the estimation results is the positive and statistically significant correlation between the unobserved propensities underlying H-to-W and W-to-H stop-making. The estimated correlation is 0.318, with a t-statistic of 11.54. Thus, even after accounting for the observed individual, household, commute, telecommuting, day-of-week, geographic, and built-environment characteristics, unobserved factors that increase stop-making in one commute direction also tend to increase stop-making in the other on the same day. These factors may include a general inclination to combine activities, schedule flexibility, or familiarity with convenient stop locations. The correlation does not imply that making a stop in one direction causes stop-making in the other; rather, it reflects shared unobserved influences on the two decisions.</w:t>
      </w:r>
      <w:r w:rsidR="0074377D" w:rsidRPr="00D518A4">
        <w:rPr>
          <w:rFonts w:ascii="Times New Roman" w:hAnsi="Times New Roman" w:cs="Times New Roman"/>
        </w:rPr>
        <w:t xml:space="preserve"> </w:t>
      </w:r>
    </w:p>
    <w:p w14:paraId="3E89765A" w14:textId="77777777" w:rsidR="00500115" w:rsidRPr="00500115" w:rsidRDefault="00500115" w:rsidP="00500115">
      <w:pPr>
        <w:spacing w:after="0" w:line="240" w:lineRule="auto"/>
        <w:ind w:firstLine="720"/>
        <w:jc w:val="both"/>
        <w:rPr>
          <w:rFonts w:ascii="Times New Roman" w:hAnsi="Times New Roman" w:cs="Times New Roman"/>
        </w:rPr>
      </w:pPr>
      <w:r w:rsidRPr="00500115">
        <w:rPr>
          <w:rFonts w:ascii="Times New Roman" w:hAnsi="Times New Roman" w:cs="Times New Roman"/>
        </w:rPr>
        <w:t>The positive and highly significant correlation provides strong support for the joint modeling approach. Separate binary models would impose independence between the unobserved components of H-to-W and W-to-H stop-making and would therefore overlook this behavioral connection. The bivariate framework appropriately treats the two outcomes as distinct decisions while recognizing that they arise from an inter-related daily activity-travel context.</w:t>
      </w:r>
    </w:p>
    <w:p w14:paraId="3A8E4026" w14:textId="77777777" w:rsidR="00500115" w:rsidRPr="00500115" w:rsidRDefault="00500115" w:rsidP="00500115">
      <w:pPr>
        <w:spacing w:after="0" w:line="240" w:lineRule="auto"/>
        <w:ind w:firstLine="720"/>
        <w:jc w:val="both"/>
        <w:rPr>
          <w:rFonts w:ascii="Times New Roman" w:hAnsi="Times New Roman" w:cs="Times New Roman"/>
        </w:rPr>
      </w:pPr>
      <w:r w:rsidRPr="00500115">
        <w:rPr>
          <w:rFonts w:ascii="Times New Roman" w:hAnsi="Times New Roman" w:cs="Times New Roman"/>
        </w:rPr>
        <w:t>Also, Table 3 shows that the scales for the time-invariant respondent-specific random effects are statistically highly significant for both commute directions and quite large (relative to the scale of the occasion-specific idiosyncratic random effects). This indicates that, even after accounting for observed sociodemographic, household, commute, telecommuting, geographic, and built-environment characteristics, there are persistent unobserved individual-specific factors that influence stop-making across the multiple commute days reported by the same respondent. In other words, some individuals have a consistently higher or lower propensity to make H-to-W and W-to-H stops. The statistical significance of these effects supports the use of the panel specification.</w:t>
      </w:r>
    </w:p>
    <w:p w14:paraId="7E3FC964" w14:textId="77777777" w:rsidR="00500115" w:rsidRPr="00500115" w:rsidRDefault="00500115" w:rsidP="00500115">
      <w:pPr>
        <w:spacing w:after="0" w:line="240" w:lineRule="auto"/>
        <w:ind w:firstLine="720"/>
        <w:jc w:val="both"/>
        <w:rPr>
          <w:rFonts w:ascii="Times New Roman" w:hAnsi="Times New Roman" w:cs="Times New Roman"/>
        </w:rPr>
      </w:pPr>
      <w:r w:rsidRPr="00500115">
        <w:rPr>
          <w:rFonts w:ascii="Times New Roman" w:hAnsi="Times New Roman" w:cs="Times New Roman"/>
        </w:rPr>
        <w:t xml:space="preserve">The goodness-of-fit measures indicate that the final specification provides a meaningful improvement over simpler benchmark </w:t>
      </w:r>
      <w:proofErr w:type="gramStart"/>
      <w:r w:rsidRPr="00500115">
        <w:rPr>
          <w:rFonts w:ascii="Times New Roman" w:hAnsi="Times New Roman" w:cs="Times New Roman"/>
        </w:rPr>
        <w:t>models</w:t>
      </w:r>
      <w:proofErr w:type="gramEnd"/>
      <w:r w:rsidRPr="00500115">
        <w:rPr>
          <w:rFonts w:ascii="Times New Roman" w:hAnsi="Times New Roman" w:cs="Times New Roman"/>
        </w:rPr>
        <w:t>. The log-likelihood improves from -8,012.903 for the constants-only model to -7,699.952 at convergence, yielding a likelihood ratio statistic of 625.902. This result confirms that the explanatory variables and joint correlation structure add significant information beyond the outcome-specific constants. The adjusted likelihood ratio index is 0.035 relative to the constants-only model and 0.496 relative to the equal-probability model. Although the former is modest, such values are not unusual in disaggregate binary behavioral models with considerable individual-level heterogeneity. The latter indicates a substantial improvement over a naïve model that assigns equal probabilities to the two outcomes. The Bayesian information criterion of 15,680.235 provides an additional fit measure that may be used to compare alternative specifications estimated on the same sample.</w:t>
      </w:r>
    </w:p>
    <w:p w14:paraId="53357A0D" w14:textId="701E0E7E" w:rsidR="00811EDA" w:rsidRDefault="00500115" w:rsidP="00500115">
      <w:pPr>
        <w:spacing w:after="0" w:line="240" w:lineRule="auto"/>
        <w:ind w:firstLine="720"/>
        <w:jc w:val="both"/>
        <w:rPr>
          <w:rFonts w:ascii="Times New Roman" w:hAnsi="Times New Roman" w:cs="Times New Roman"/>
        </w:rPr>
      </w:pPr>
      <w:r w:rsidRPr="00500115">
        <w:rPr>
          <w:rFonts w:ascii="Times New Roman" w:hAnsi="Times New Roman" w:cs="Times New Roman"/>
        </w:rPr>
        <w:t>Overall, the significant cross-equation correlation and model fit statistics support the adopted specification, which captures systematic variation in stop-making while accounting for dependence across commute directions and repeated observations from the same worker.</w:t>
      </w:r>
      <w:r w:rsidR="00732FFF" w:rsidRPr="00D518A4">
        <w:rPr>
          <w:rFonts w:ascii="Times New Roman" w:hAnsi="Times New Roman" w:cs="Times New Roman"/>
        </w:rPr>
        <w:t xml:space="preserve"> </w:t>
      </w:r>
    </w:p>
    <w:p w14:paraId="0D1D532A" w14:textId="77777777" w:rsidR="00CB11BD" w:rsidRPr="0062655C" w:rsidRDefault="00CB11BD" w:rsidP="00CB11BD">
      <w:pPr>
        <w:pStyle w:val="Heading1"/>
      </w:pPr>
      <w:r>
        <w:t>AVERAGE TREATMENT EFFECTS</w:t>
      </w:r>
    </w:p>
    <w:p w14:paraId="1F8846A9" w14:textId="070209F8" w:rsidR="00CB11BD" w:rsidRDefault="002676E0" w:rsidP="000426AE">
      <w:pPr>
        <w:spacing w:after="0" w:line="240" w:lineRule="auto"/>
        <w:jc w:val="both"/>
        <w:rPr>
          <w:rFonts w:ascii="Times New Roman" w:hAnsi="Times New Roman" w:cs="Times New Roman"/>
        </w:rPr>
      </w:pPr>
      <w:r w:rsidRPr="002676E0">
        <w:rPr>
          <w:rFonts w:ascii="Times New Roman" w:hAnsi="Times New Roman" w:cs="Times New Roman"/>
        </w:rPr>
        <w:t xml:space="preserve">The coefficient estimates in Table 3 describe how explanatory variables affect the underlying latent propensity to make an intermediate stop, but they do not directly indicate the magnitude of the resulting change in stop-making probability. To provide a more intuitive interpretation of the telecommuting effects on commute stop-making propensity, Table 4 presents average treatment effects (ATEs) and percentage average treatment effects (PATEs) by day of the week and commute direction. The ATEs indicate the percentage-point change in the predicted probability of making at least one intermediate stop when a worker moves from the base condition of no telecommuting </w:t>
      </w:r>
      <w:r w:rsidRPr="002676E0">
        <w:rPr>
          <w:rFonts w:ascii="Times New Roman" w:hAnsi="Times New Roman" w:cs="Times New Roman"/>
        </w:rPr>
        <w:lastRenderedPageBreak/>
        <w:t>to a low-, medium-, or high-frequency telecommuting arrangement. The PATEs express the same changes relative to the predicted stop-making probability under the no-telecommuting condition.</w:t>
      </w:r>
    </w:p>
    <w:p w14:paraId="2492DC4C" w14:textId="60FBB16E" w:rsidR="00811EDA" w:rsidRDefault="000426AE" w:rsidP="00134AC7">
      <w:pPr>
        <w:spacing w:after="0" w:line="240" w:lineRule="auto"/>
        <w:ind w:firstLine="720"/>
        <w:jc w:val="both"/>
        <w:rPr>
          <w:rFonts w:ascii="Times New Roman" w:hAnsi="Times New Roman" w:cs="Times New Roman"/>
        </w:rPr>
      </w:pPr>
      <w:bookmarkStart w:id="2" w:name="_Ref226768216"/>
      <w:r w:rsidRPr="000426AE">
        <w:rPr>
          <w:rFonts w:ascii="Times New Roman" w:hAnsi="Times New Roman" w:cs="Times New Roman"/>
        </w:rPr>
        <w:t>The results reveal a clear and progressive increase in stop-making as telecommuting frequency rises. For low-frequency telecommuters, working remotely increases the probability of H-to-W stop-making by about 8 percentage points across all days. The corresponding W-to-H effect is between 8 and 9 percentage points from Saturday through Wednesday, but it declines to 3.3 percentage points on Thursday and 4.6 percentage points on Friday. Thus, the positive effect remains throughout the week but is weaker toward the end of the conventional workweek.</w:t>
      </w:r>
    </w:p>
    <w:p w14:paraId="68D08FBF" w14:textId="77777777" w:rsidR="00134AC7" w:rsidRPr="00134AC7" w:rsidRDefault="00134AC7" w:rsidP="00134AC7">
      <w:pPr>
        <w:spacing w:after="0" w:line="240" w:lineRule="auto"/>
        <w:ind w:firstLine="720"/>
        <w:jc w:val="both"/>
        <w:rPr>
          <w:rFonts w:ascii="Times New Roman" w:hAnsi="Times New Roman" w:cs="Times New Roman"/>
        </w:rPr>
      </w:pPr>
    </w:p>
    <w:p w14:paraId="56CC74EF" w14:textId="17FCD150" w:rsidR="0036122F" w:rsidRPr="00437CAF" w:rsidRDefault="000F2B00" w:rsidP="00437CAF">
      <w:pPr>
        <w:pStyle w:val="Caption"/>
        <w:spacing w:after="0"/>
        <w:rPr>
          <w:rFonts w:ascii="Times New Roman" w:hAnsi="Times New Roman" w:cs="Times New Roman"/>
          <w:b/>
          <w:bCs/>
          <w:i w:val="0"/>
          <w:iCs w:val="0"/>
          <w:color w:val="000000" w:themeColor="text1"/>
          <w:sz w:val="22"/>
          <w:szCs w:val="22"/>
        </w:rPr>
      </w:pPr>
      <w:r w:rsidRPr="00437CAF">
        <w:rPr>
          <w:rFonts w:ascii="Times New Roman" w:hAnsi="Times New Roman" w:cs="Times New Roman"/>
          <w:b/>
          <w:bCs/>
          <w:i w:val="0"/>
          <w:iCs w:val="0"/>
          <w:color w:val="000000" w:themeColor="text1"/>
          <w:sz w:val="22"/>
          <w:szCs w:val="22"/>
        </w:rPr>
        <w:t xml:space="preserve">Table </w:t>
      </w:r>
      <w:r w:rsidR="00D60325" w:rsidRPr="00437CAF">
        <w:rPr>
          <w:rFonts w:ascii="Times New Roman" w:hAnsi="Times New Roman" w:cs="Times New Roman"/>
          <w:b/>
          <w:bCs/>
          <w:i w:val="0"/>
          <w:iCs w:val="0"/>
          <w:color w:val="000000" w:themeColor="text1"/>
          <w:sz w:val="22"/>
          <w:szCs w:val="22"/>
        </w:rPr>
        <w:fldChar w:fldCharType="begin"/>
      </w:r>
      <w:r w:rsidR="00D60325" w:rsidRPr="00437CAF">
        <w:rPr>
          <w:rFonts w:ascii="Times New Roman" w:hAnsi="Times New Roman" w:cs="Times New Roman"/>
          <w:b/>
          <w:bCs/>
          <w:i w:val="0"/>
          <w:iCs w:val="0"/>
          <w:color w:val="000000" w:themeColor="text1"/>
          <w:sz w:val="22"/>
          <w:szCs w:val="22"/>
        </w:rPr>
        <w:instrText xml:space="preserve"> SEQ Table \* ARABIC </w:instrText>
      </w:r>
      <w:r w:rsidR="00D60325" w:rsidRPr="00437CAF">
        <w:rPr>
          <w:rFonts w:ascii="Times New Roman" w:hAnsi="Times New Roman" w:cs="Times New Roman"/>
          <w:b/>
          <w:bCs/>
          <w:i w:val="0"/>
          <w:iCs w:val="0"/>
          <w:color w:val="000000" w:themeColor="text1"/>
          <w:sz w:val="22"/>
          <w:szCs w:val="22"/>
        </w:rPr>
        <w:fldChar w:fldCharType="separate"/>
      </w:r>
      <w:r w:rsidR="00D0224B" w:rsidRPr="00437CAF">
        <w:rPr>
          <w:rFonts w:ascii="Times New Roman" w:hAnsi="Times New Roman" w:cs="Times New Roman"/>
          <w:b/>
          <w:bCs/>
          <w:i w:val="0"/>
          <w:iCs w:val="0"/>
          <w:color w:val="000000" w:themeColor="text1"/>
          <w:sz w:val="22"/>
          <w:szCs w:val="22"/>
        </w:rPr>
        <w:t>4</w:t>
      </w:r>
      <w:r w:rsidR="00D60325" w:rsidRPr="00437CAF">
        <w:rPr>
          <w:rFonts w:ascii="Times New Roman" w:hAnsi="Times New Roman" w:cs="Times New Roman"/>
          <w:b/>
          <w:bCs/>
          <w:i w:val="0"/>
          <w:iCs w:val="0"/>
          <w:color w:val="000000" w:themeColor="text1"/>
          <w:sz w:val="22"/>
          <w:szCs w:val="22"/>
        </w:rPr>
        <w:fldChar w:fldCharType="end"/>
      </w:r>
      <w:r w:rsidRPr="00437CAF">
        <w:rPr>
          <w:rFonts w:ascii="Times New Roman" w:hAnsi="Times New Roman" w:cs="Times New Roman"/>
          <w:b/>
          <w:bCs/>
          <w:i w:val="0"/>
          <w:iCs w:val="0"/>
          <w:color w:val="000000" w:themeColor="text1"/>
          <w:sz w:val="22"/>
          <w:szCs w:val="22"/>
        </w:rPr>
        <w:t xml:space="preserve">: </w:t>
      </w:r>
      <w:r w:rsidR="00AA0F8F" w:rsidRPr="00AA0F8F">
        <w:rPr>
          <w:rFonts w:ascii="Times New Roman" w:hAnsi="Times New Roman" w:cs="Times New Roman"/>
          <w:b/>
          <w:bCs/>
          <w:i w:val="0"/>
          <w:iCs w:val="0"/>
          <w:color w:val="000000" w:themeColor="text1"/>
          <w:sz w:val="22"/>
          <w:szCs w:val="22"/>
        </w:rPr>
        <w:t>Average Treatment Effects of Telecommuting Frequency by Day of the Week</w:t>
      </w:r>
    </w:p>
    <w:tbl>
      <w:tblPr>
        <w:tblStyle w:val="PlainTable41"/>
        <w:tblW w:w="5000" w:type="pct"/>
        <w:tblBorders>
          <w:top w:val="single" w:sz="18" w:space="0" w:color="auto"/>
          <w:left w:val="single" w:sz="18" w:space="0" w:color="auto"/>
          <w:bottom w:val="single" w:sz="18" w:space="0" w:color="auto"/>
          <w:right w:val="single" w:sz="18" w:space="0" w:color="auto"/>
          <w:insideH w:val="dotted" w:sz="4" w:space="0" w:color="auto"/>
          <w:insideV w:val="dotted" w:sz="4" w:space="0" w:color="auto"/>
        </w:tblBorders>
        <w:shd w:val="clear" w:color="auto" w:fill="FFFFFF"/>
        <w:tblCellMar>
          <w:left w:w="29" w:type="dxa"/>
          <w:right w:w="29" w:type="dxa"/>
        </w:tblCellMar>
        <w:tblLook w:val="04A0" w:firstRow="1" w:lastRow="0" w:firstColumn="1" w:lastColumn="0" w:noHBand="0" w:noVBand="1"/>
      </w:tblPr>
      <w:tblGrid>
        <w:gridCol w:w="860"/>
        <w:gridCol w:w="1635"/>
        <w:gridCol w:w="1319"/>
        <w:gridCol w:w="1321"/>
        <w:gridCol w:w="669"/>
        <w:gridCol w:w="704"/>
        <w:gridCol w:w="708"/>
        <w:gridCol w:w="704"/>
        <w:gridCol w:w="708"/>
        <w:gridCol w:w="686"/>
      </w:tblGrid>
      <w:tr w:rsidR="00563E97" w:rsidRPr="00563E97" w14:paraId="38D80C43" w14:textId="77777777" w:rsidTr="00563E97">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2" w:type="pct"/>
            <w:vMerge w:val="restart"/>
            <w:tcBorders>
              <w:top w:val="single" w:sz="18" w:space="0" w:color="auto"/>
              <w:left w:val="single" w:sz="18" w:space="0" w:color="auto"/>
              <w:bottom w:val="single" w:sz="18" w:space="0" w:color="auto"/>
              <w:right w:val="single" w:sz="18" w:space="0" w:color="auto"/>
            </w:tcBorders>
            <w:shd w:val="clear" w:color="auto" w:fill="FFFFFF"/>
            <w:vAlign w:val="center"/>
          </w:tcPr>
          <w:p w14:paraId="0D961627" w14:textId="77777777" w:rsidR="00563E97" w:rsidRPr="00563E97" w:rsidRDefault="00563E97" w:rsidP="00563E97">
            <w:pPr>
              <w:rPr>
                <w:rFonts w:ascii="Times New Roman" w:eastAsia="Calibri" w:hAnsi="Times New Roman" w:cs="Times New Roman"/>
                <w:sz w:val="20"/>
                <w:szCs w:val="20"/>
              </w:rPr>
            </w:pPr>
            <w:r w:rsidRPr="00563E97">
              <w:rPr>
                <w:rFonts w:ascii="Times New Roman" w:eastAsia="Calibri" w:hAnsi="Times New Roman" w:cs="Times New Roman"/>
                <w:sz w:val="20"/>
                <w:szCs w:val="20"/>
              </w:rPr>
              <w:t>Base</w:t>
            </w:r>
          </w:p>
        </w:tc>
        <w:tc>
          <w:tcPr>
            <w:tcW w:w="878" w:type="pct"/>
            <w:vMerge w:val="restart"/>
            <w:tcBorders>
              <w:top w:val="single" w:sz="18" w:space="0" w:color="auto"/>
              <w:left w:val="single" w:sz="18" w:space="0" w:color="auto"/>
              <w:bottom w:val="single" w:sz="18" w:space="0" w:color="auto"/>
              <w:right w:val="single" w:sz="8" w:space="0" w:color="auto"/>
            </w:tcBorders>
            <w:shd w:val="clear" w:color="auto" w:fill="FFFFFF"/>
            <w:vAlign w:val="center"/>
          </w:tcPr>
          <w:p w14:paraId="51DC7E07" w14:textId="77777777" w:rsidR="00563E97" w:rsidRPr="00563E97" w:rsidRDefault="00563E97" w:rsidP="00563E97">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Treatment</w:t>
            </w:r>
          </w:p>
        </w:tc>
        <w:tc>
          <w:tcPr>
            <w:tcW w:w="1417" w:type="pct"/>
            <w:gridSpan w:val="2"/>
            <w:tcBorders>
              <w:top w:val="single" w:sz="18" w:space="0" w:color="auto"/>
              <w:left w:val="single" w:sz="18" w:space="0" w:color="auto"/>
              <w:bottom w:val="single" w:sz="18" w:space="0" w:color="auto"/>
            </w:tcBorders>
            <w:shd w:val="clear" w:color="auto" w:fill="FFFFFF"/>
            <w:vAlign w:val="center"/>
          </w:tcPr>
          <w:p w14:paraId="12DBC4A9" w14:textId="77777777" w:rsidR="00563E97" w:rsidRPr="00563E97" w:rsidRDefault="00563E97" w:rsidP="00563E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Sunday through Wednesday</w:t>
            </w:r>
          </w:p>
        </w:tc>
        <w:tc>
          <w:tcPr>
            <w:tcW w:w="737" w:type="pct"/>
            <w:gridSpan w:val="2"/>
            <w:tcBorders>
              <w:top w:val="single" w:sz="18" w:space="0" w:color="auto"/>
              <w:left w:val="single" w:sz="18" w:space="0" w:color="auto"/>
              <w:bottom w:val="single" w:sz="18" w:space="0" w:color="auto"/>
            </w:tcBorders>
            <w:shd w:val="clear" w:color="auto" w:fill="FFFFFF"/>
            <w:vAlign w:val="center"/>
          </w:tcPr>
          <w:p w14:paraId="14145360" w14:textId="77777777" w:rsidR="00563E97" w:rsidRPr="00563E97" w:rsidRDefault="00563E97" w:rsidP="00563E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Thursday</w:t>
            </w:r>
          </w:p>
        </w:tc>
        <w:tc>
          <w:tcPr>
            <w:tcW w:w="758" w:type="pct"/>
            <w:gridSpan w:val="2"/>
            <w:tcBorders>
              <w:top w:val="single" w:sz="18" w:space="0" w:color="auto"/>
              <w:left w:val="single" w:sz="18" w:space="0" w:color="auto"/>
              <w:bottom w:val="single" w:sz="18" w:space="0" w:color="auto"/>
              <w:right w:val="single" w:sz="18" w:space="0" w:color="auto"/>
            </w:tcBorders>
            <w:shd w:val="clear" w:color="auto" w:fill="FFFFFF"/>
            <w:vAlign w:val="center"/>
          </w:tcPr>
          <w:p w14:paraId="6ACF4464" w14:textId="77777777" w:rsidR="00563E97" w:rsidRPr="00563E97" w:rsidRDefault="00563E97" w:rsidP="00563E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Friday</w:t>
            </w:r>
          </w:p>
        </w:tc>
        <w:tc>
          <w:tcPr>
            <w:tcW w:w="748" w:type="pct"/>
            <w:gridSpan w:val="2"/>
            <w:tcBorders>
              <w:top w:val="single" w:sz="18" w:space="0" w:color="auto"/>
              <w:left w:val="single" w:sz="18" w:space="0" w:color="auto"/>
              <w:bottom w:val="single" w:sz="18" w:space="0" w:color="auto"/>
            </w:tcBorders>
            <w:shd w:val="clear" w:color="auto" w:fill="FFFFFF"/>
            <w:vAlign w:val="center"/>
          </w:tcPr>
          <w:p w14:paraId="2C7FAB36" w14:textId="77777777" w:rsidR="00563E97" w:rsidRPr="00563E97" w:rsidRDefault="00563E97" w:rsidP="00563E97">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Saturday</w:t>
            </w:r>
          </w:p>
        </w:tc>
      </w:tr>
      <w:tr w:rsidR="00CF7AED" w:rsidRPr="00563E97" w14:paraId="7DC8C991" w14:textId="77777777" w:rsidTr="00563E97">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462" w:type="pct"/>
            <w:vMerge/>
            <w:tcBorders>
              <w:top w:val="single" w:sz="8" w:space="0" w:color="auto"/>
              <w:left w:val="single" w:sz="18" w:space="0" w:color="auto"/>
              <w:bottom w:val="single" w:sz="18" w:space="0" w:color="auto"/>
              <w:right w:val="single" w:sz="18" w:space="0" w:color="auto"/>
            </w:tcBorders>
            <w:shd w:val="clear" w:color="auto" w:fill="FFFFFF"/>
            <w:vAlign w:val="center"/>
          </w:tcPr>
          <w:p w14:paraId="535B316B" w14:textId="77777777" w:rsidR="00563E97" w:rsidRPr="00563E97" w:rsidRDefault="00563E97" w:rsidP="00563E97">
            <w:pPr>
              <w:rPr>
                <w:rFonts w:ascii="Times New Roman" w:eastAsia="Calibri" w:hAnsi="Times New Roman" w:cs="Times New Roman"/>
                <w:sz w:val="20"/>
                <w:szCs w:val="20"/>
              </w:rPr>
            </w:pPr>
          </w:p>
        </w:tc>
        <w:tc>
          <w:tcPr>
            <w:tcW w:w="878" w:type="pct"/>
            <w:vMerge/>
            <w:tcBorders>
              <w:top w:val="single" w:sz="8" w:space="0" w:color="auto"/>
              <w:left w:val="single" w:sz="18" w:space="0" w:color="auto"/>
              <w:bottom w:val="single" w:sz="18" w:space="0" w:color="auto"/>
              <w:right w:val="single" w:sz="8" w:space="0" w:color="auto"/>
            </w:tcBorders>
            <w:shd w:val="clear" w:color="auto" w:fill="FFFFFF"/>
            <w:vAlign w:val="center"/>
          </w:tcPr>
          <w:p w14:paraId="6C83AFDC" w14:textId="77777777" w:rsidR="00563E97" w:rsidRPr="00563E97" w:rsidRDefault="00563E97" w:rsidP="00563E9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p>
        </w:tc>
        <w:tc>
          <w:tcPr>
            <w:tcW w:w="708" w:type="pct"/>
            <w:tcBorders>
              <w:top w:val="single" w:sz="18" w:space="0" w:color="auto"/>
              <w:left w:val="single" w:sz="18" w:space="0" w:color="auto"/>
              <w:bottom w:val="single" w:sz="18" w:space="0" w:color="auto"/>
              <w:right w:val="single" w:sz="8" w:space="0" w:color="auto"/>
            </w:tcBorders>
            <w:shd w:val="clear" w:color="auto" w:fill="FFFFFF"/>
            <w:vAlign w:val="center"/>
          </w:tcPr>
          <w:p w14:paraId="12FE6A89"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H</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W</w:t>
            </w:r>
          </w:p>
        </w:tc>
        <w:tc>
          <w:tcPr>
            <w:tcW w:w="709" w:type="pct"/>
            <w:tcBorders>
              <w:top w:val="single" w:sz="18" w:space="0" w:color="auto"/>
              <w:left w:val="single" w:sz="8" w:space="0" w:color="auto"/>
              <w:bottom w:val="single" w:sz="18" w:space="0" w:color="auto"/>
            </w:tcBorders>
            <w:shd w:val="clear" w:color="auto" w:fill="FFFFFF"/>
            <w:vAlign w:val="center"/>
          </w:tcPr>
          <w:p w14:paraId="4549B48E"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W</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H</w:t>
            </w:r>
          </w:p>
        </w:tc>
        <w:tc>
          <w:tcPr>
            <w:tcW w:w="359" w:type="pct"/>
            <w:tcBorders>
              <w:top w:val="single" w:sz="18" w:space="0" w:color="auto"/>
              <w:left w:val="single" w:sz="18" w:space="0" w:color="auto"/>
              <w:bottom w:val="single" w:sz="18" w:space="0" w:color="auto"/>
              <w:right w:val="single" w:sz="8" w:space="0" w:color="auto"/>
            </w:tcBorders>
            <w:shd w:val="clear" w:color="auto" w:fill="FFFFFF"/>
            <w:vAlign w:val="center"/>
          </w:tcPr>
          <w:p w14:paraId="37A07A90"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H</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W</w:t>
            </w:r>
          </w:p>
        </w:tc>
        <w:tc>
          <w:tcPr>
            <w:tcW w:w="378" w:type="pct"/>
            <w:tcBorders>
              <w:top w:val="single" w:sz="18" w:space="0" w:color="auto"/>
              <w:left w:val="single" w:sz="8" w:space="0" w:color="auto"/>
              <w:bottom w:val="single" w:sz="18" w:space="0" w:color="auto"/>
            </w:tcBorders>
            <w:shd w:val="clear" w:color="auto" w:fill="FFFFFF"/>
            <w:vAlign w:val="center"/>
          </w:tcPr>
          <w:p w14:paraId="228AAB06"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W</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H</w:t>
            </w:r>
          </w:p>
        </w:tc>
        <w:tc>
          <w:tcPr>
            <w:tcW w:w="380" w:type="pct"/>
            <w:tcBorders>
              <w:top w:val="single" w:sz="18" w:space="0" w:color="auto"/>
              <w:left w:val="single" w:sz="18" w:space="0" w:color="auto"/>
              <w:bottom w:val="single" w:sz="18" w:space="0" w:color="auto"/>
              <w:right w:val="single" w:sz="8" w:space="0" w:color="auto"/>
            </w:tcBorders>
            <w:shd w:val="clear" w:color="auto" w:fill="FFFFFF"/>
            <w:vAlign w:val="center"/>
          </w:tcPr>
          <w:p w14:paraId="3CCFCE4F"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H</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W</w:t>
            </w:r>
          </w:p>
        </w:tc>
        <w:tc>
          <w:tcPr>
            <w:tcW w:w="378" w:type="pct"/>
            <w:tcBorders>
              <w:top w:val="single" w:sz="18" w:space="0" w:color="auto"/>
              <w:left w:val="single" w:sz="8" w:space="0" w:color="auto"/>
              <w:bottom w:val="single" w:sz="18" w:space="0" w:color="auto"/>
              <w:right w:val="single" w:sz="18" w:space="0" w:color="auto"/>
            </w:tcBorders>
            <w:shd w:val="clear" w:color="auto" w:fill="FFFFFF"/>
            <w:vAlign w:val="center"/>
          </w:tcPr>
          <w:p w14:paraId="0B2A9155"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W</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H</w:t>
            </w:r>
          </w:p>
        </w:tc>
        <w:tc>
          <w:tcPr>
            <w:tcW w:w="380" w:type="pct"/>
            <w:tcBorders>
              <w:top w:val="single" w:sz="18" w:space="0" w:color="auto"/>
              <w:left w:val="single" w:sz="18" w:space="0" w:color="auto"/>
              <w:bottom w:val="single" w:sz="18" w:space="0" w:color="auto"/>
              <w:right w:val="single" w:sz="8" w:space="0" w:color="auto"/>
            </w:tcBorders>
            <w:shd w:val="clear" w:color="auto" w:fill="FFFFFF"/>
            <w:vAlign w:val="center"/>
          </w:tcPr>
          <w:p w14:paraId="7B161B2E"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H</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W</w:t>
            </w:r>
          </w:p>
        </w:tc>
        <w:tc>
          <w:tcPr>
            <w:tcW w:w="368" w:type="pct"/>
            <w:tcBorders>
              <w:top w:val="single" w:sz="18" w:space="0" w:color="auto"/>
              <w:left w:val="single" w:sz="8" w:space="0" w:color="auto"/>
              <w:bottom w:val="single" w:sz="18" w:space="0" w:color="auto"/>
            </w:tcBorders>
            <w:shd w:val="clear" w:color="auto" w:fill="FFFFFF"/>
            <w:vAlign w:val="center"/>
          </w:tcPr>
          <w:p w14:paraId="1A1DA17C" w14:textId="77777777" w:rsidR="00563E97" w:rsidRPr="00563E97" w:rsidRDefault="00563E97" w:rsidP="00563E97">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Calibri" w:hAnsi="Times New Roman" w:cs="Times New Roman"/>
                <w:b/>
                <w:bCs/>
                <w:sz w:val="20"/>
                <w:szCs w:val="20"/>
              </w:rPr>
              <w:t>W</w:t>
            </w:r>
            <w:r w:rsidRPr="00563E97">
              <w:rPr>
                <w:rFonts w:ascii="Times New Roman" w:eastAsia="Calibri" w:hAnsi="Times New Roman" w:cs="Times New Roman"/>
                <w:b/>
                <w:bCs/>
                <w:sz w:val="20"/>
                <w:szCs w:val="20"/>
              </w:rPr>
              <w:sym w:font="Wingdings" w:char="F0E0"/>
            </w:r>
            <w:r w:rsidRPr="00563E97">
              <w:rPr>
                <w:rFonts w:ascii="Times New Roman" w:eastAsia="Calibri" w:hAnsi="Times New Roman" w:cs="Times New Roman"/>
                <w:b/>
                <w:bCs/>
                <w:sz w:val="20"/>
                <w:szCs w:val="20"/>
              </w:rPr>
              <w:t>H</w:t>
            </w:r>
          </w:p>
        </w:tc>
      </w:tr>
      <w:tr w:rsidR="00563E97" w:rsidRPr="00563E97" w14:paraId="121FE72F" w14:textId="77777777" w:rsidTr="00563E9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0"/>
            <w:tcBorders>
              <w:top w:val="single" w:sz="18" w:space="0" w:color="auto"/>
              <w:left w:val="single" w:sz="18" w:space="0" w:color="auto"/>
              <w:bottom w:val="single" w:sz="8" w:space="0" w:color="auto"/>
            </w:tcBorders>
            <w:shd w:val="clear" w:color="auto" w:fill="FFFFFF"/>
            <w:vAlign w:val="center"/>
          </w:tcPr>
          <w:p w14:paraId="1AE9B05F" w14:textId="77777777" w:rsidR="00563E97" w:rsidRPr="00563E97" w:rsidRDefault="00563E97" w:rsidP="00563E97">
            <w:pPr>
              <w:tabs>
                <w:tab w:val="decimal" w:pos="360"/>
              </w:tabs>
              <w:jc w:val="center"/>
              <w:rPr>
                <w:rFonts w:ascii="Times New Roman" w:eastAsia="Times New Roman" w:hAnsi="Times New Roman" w:cs="Times New Roman"/>
                <w:i/>
                <w:iCs/>
                <w:sz w:val="20"/>
                <w:szCs w:val="20"/>
              </w:rPr>
            </w:pPr>
            <w:r w:rsidRPr="00563E97">
              <w:rPr>
                <w:rFonts w:ascii="Times New Roman" w:eastAsia="Times New Roman" w:hAnsi="Times New Roman" w:cs="Times New Roman"/>
                <w:i/>
                <w:iCs/>
                <w:sz w:val="20"/>
                <w:szCs w:val="20"/>
              </w:rPr>
              <w:t>ATEs (change in predicted probability)</w:t>
            </w:r>
          </w:p>
        </w:tc>
      </w:tr>
      <w:tr w:rsidR="00CF7AED" w:rsidRPr="00563E97" w14:paraId="2660E38D" w14:textId="77777777" w:rsidTr="00563E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2" w:type="pct"/>
            <w:vMerge w:val="restart"/>
            <w:tcBorders>
              <w:top w:val="double" w:sz="4" w:space="0" w:color="auto"/>
              <w:left w:val="single" w:sz="18" w:space="0" w:color="auto"/>
              <w:bottom w:val="single" w:sz="8" w:space="0" w:color="auto"/>
              <w:right w:val="single" w:sz="18" w:space="0" w:color="auto"/>
            </w:tcBorders>
            <w:shd w:val="clear" w:color="auto" w:fill="FFFFFF"/>
            <w:vAlign w:val="center"/>
          </w:tcPr>
          <w:p w14:paraId="6CF4B22A" w14:textId="77777777" w:rsidR="00563E97" w:rsidRPr="00563E97" w:rsidRDefault="00563E97" w:rsidP="00563E97">
            <w:pPr>
              <w:rPr>
                <w:rFonts w:ascii="Times New Roman" w:eastAsia="Calibri" w:hAnsi="Times New Roman" w:cs="Times New Roman"/>
                <w:sz w:val="20"/>
                <w:szCs w:val="20"/>
              </w:rPr>
            </w:pPr>
            <w:r w:rsidRPr="00563E97">
              <w:rPr>
                <w:rFonts w:ascii="Times New Roman" w:eastAsia="Calibri" w:hAnsi="Times New Roman" w:cs="Times New Roman"/>
                <w:sz w:val="20"/>
                <w:szCs w:val="20"/>
              </w:rPr>
              <w:t xml:space="preserve">None </w:t>
            </w:r>
            <w:r w:rsidRPr="00563E97">
              <w:rPr>
                <w:rFonts w:ascii="Times New Roman" w:eastAsia="Calibri" w:hAnsi="Times New Roman" w:cs="Times New Roman"/>
                <w:sz w:val="20"/>
                <w:szCs w:val="20"/>
              </w:rPr>
              <w:br/>
              <w:t>(0 days)</w:t>
            </w:r>
          </w:p>
        </w:tc>
        <w:tc>
          <w:tcPr>
            <w:tcW w:w="878" w:type="pct"/>
            <w:tcBorders>
              <w:top w:val="double" w:sz="4" w:space="0" w:color="auto"/>
              <w:left w:val="single" w:sz="18" w:space="0" w:color="auto"/>
              <w:bottom w:val="single" w:sz="8" w:space="0" w:color="auto"/>
              <w:right w:val="single" w:sz="8" w:space="0" w:color="auto"/>
            </w:tcBorders>
            <w:shd w:val="clear" w:color="auto" w:fill="FFFFFF"/>
            <w:vAlign w:val="center"/>
          </w:tcPr>
          <w:p w14:paraId="0263E907" w14:textId="77777777" w:rsidR="00563E97" w:rsidRPr="00563E97" w:rsidRDefault="00563E97" w:rsidP="00563E9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Low (1-2 days)</w:t>
            </w:r>
          </w:p>
        </w:tc>
        <w:tc>
          <w:tcPr>
            <w:tcW w:w="708" w:type="pct"/>
            <w:tcBorders>
              <w:top w:val="double" w:sz="4" w:space="0" w:color="auto"/>
              <w:left w:val="single" w:sz="18" w:space="0" w:color="auto"/>
              <w:right w:val="single" w:sz="8" w:space="0" w:color="auto"/>
            </w:tcBorders>
            <w:shd w:val="clear" w:color="auto" w:fill="FFFFFF"/>
            <w:vAlign w:val="center"/>
          </w:tcPr>
          <w:p w14:paraId="4DEF5715"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8.0</w:t>
            </w:r>
          </w:p>
        </w:tc>
        <w:tc>
          <w:tcPr>
            <w:tcW w:w="709" w:type="pct"/>
            <w:tcBorders>
              <w:top w:val="double" w:sz="4" w:space="0" w:color="auto"/>
              <w:left w:val="single" w:sz="8" w:space="0" w:color="auto"/>
            </w:tcBorders>
            <w:shd w:val="clear" w:color="auto" w:fill="FFFFFF"/>
            <w:vAlign w:val="center"/>
          </w:tcPr>
          <w:p w14:paraId="71EC9A8B"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8.1</w:t>
            </w:r>
          </w:p>
        </w:tc>
        <w:tc>
          <w:tcPr>
            <w:tcW w:w="359" w:type="pct"/>
            <w:tcBorders>
              <w:top w:val="double" w:sz="4" w:space="0" w:color="auto"/>
              <w:left w:val="single" w:sz="18" w:space="0" w:color="auto"/>
              <w:right w:val="single" w:sz="8" w:space="0" w:color="auto"/>
            </w:tcBorders>
            <w:shd w:val="clear" w:color="auto" w:fill="FFFFFF"/>
          </w:tcPr>
          <w:p w14:paraId="1CF1B624"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8.0</w:t>
            </w:r>
          </w:p>
        </w:tc>
        <w:tc>
          <w:tcPr>
            <w:tcW w:w="378" w:type="pct"/>
            <w:tcBorders>
              <w:top w:val="double" w:sz="4" w:space="0" w:color="auto"/>
              <w:left w:val="single" w:sz="8" w:space="0" w:color="auto"/>
            </w:tcBorders>
            <w:shd w:val="clear" w:color="auto" w:fill="FFFFFF"/>
          </w:tcPr>
          <w:p w14:paraId="7FE54F6D"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3.3</w:t>
            </w:r>
          </w:p>
        </w:tc>
        <w:tc>
          <w:tcPr>
            <w:tcW w:w="380" w:type="pct"/>
            <w:tcBorders>
              <w:top w:val="double" w:sz="4" w:space="0" w:color="auto"/>
              <w:left w:val="single" w:sz="18" w:space="0" w:color="auto"/>
              <w:right w:val="single" w:sz="8" w:space="0" w:color="auto"/>
            </w:tcBorders>
            <w:shd w:val="clear" w:color="auto" w:fill="FFFFFF"/>
          </w:tcPr>
          <w:p w14:paraId="1B250C53"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8.2</w:t>
            </w:r>
          </w:p>
        </w:tc>
        <w:tc>
          <w:tcPr>
            <w:tcW w:w="378" w:type="pct"/>
            <w:tcBorders>
              <w:top w:val="double" w:sz="4" w:space="0" w:color="auto"/>
              <w:left w:val="single" w:sz="8" w:space="0" w:color="auto"/>
              <w:right w:val="single" w:sz="18" w:space="0" w:color="auto"/>
            </w:tcBorders>
            <w:shd w:val="clear" w:color="auto" w:fill="FFFFFF"/>
          </w:tcPr>
          <w:p w14:paraId="77568C37"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4.6</w:t>
            </w:r>
          </w:p>
        </w:tc>
        <w:tc>
          <w:tcPr>
            <w:tcW w:w="380" w:type="pct"/>
            <w:tcBorders>
              <w:top w:val="double" w:sz="4" w:space="0" w:color="auto"/>
              <w:left w:val="single" w:sz="18" w:space="0" w:color="auto"/>
              <w:right w:val="single" w:sz="8" w:space="0" w:color="auto"/>
            </w:tcBorders>
            <w:shd w:val="clear" w:color="auto" w:fill="FFFFFF"/>
          </w:tcPr>
          <w:p w14:paraId="4E4DFF6F"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szCs w:val="20"/>
              </w:rPr>
            </w:pPr>
            <w:r w:rsidRPr="00563E97">
              <w:rPr>
                <w:rFonts w:ascii="Times New Roman" w:eastAsia="Times New Roman" w:hAnsi="Times New Roman" w:cs="Times New Roman"/>
                <w:bCs/>
                <w:sz w:val="20"/>
                <w:szCs w:val="20"/>
              </w:rPr>
              <w:t>8.2</w:t>
            </w:r>
          </w:p>
        </w:tc>
        <w:tc>
          <w:tcPr>
            <w:tcW w:w="368" w:type="pct"/>
            <w:tcBorders>
              <w:top w:val="double" w:sz="4" w:space="0" w:color="auto"/>
              <w:left w:val="single" w:sz="8" w:space="0" w:color="auto"/>
            </w:tcBorders>
            <w:shd w:val="clear" w:color="auto" w:fill="FFFFFF"/>
          </w:tcPr>
          <w:p w14:paraId="214D1D11"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sz w:val="20"/>
                <w:szCs w:val="20"/>
              </w:rPr>
            </w:pPr>
            <w:r w:rsidRPr="00563E97">
              <w:rPr>
                <w:rFonts w:ascii="Times New Roman" w:eastAsia="Calibri" w:hAnsi="Times New Roman" w:cs="Times New Roman"/>
                <w:bCs/>
                <w:sz w:val="20"/>
                <w:szCs w:val="20"/>
              </w:rPr>
              <w:t>9.0</w:t>
            </w:r>
          </w:p>
        </w:tc>
      </w:tr>
      <w:tr w:rsidR="00CF7AED" w:rsidRPr="00563E97" w14:paraId="79F2E1A9" w14:textId="77777777" w:rsidTr="00563E97">
        <w:trPr>
          <w:trHeight w:val="20"/>
        </w:trPr>
        <w:tc>
          <w:tcPr>
            <w:cnfStyle w:val="001000000000" w:firstRow="0" w:lastRow="0" w:firstColumn="1" w:lastColumn="0" w:oddVBand="0" w:evenVBand="0" w:oddHBand="0" w:evenHBand="0" w:firstRowFirstColumn="0" w:firstRowLastColumn="0" w:lastRowFirstColumn="0" w:lastRowLastColumn="0"/>
            <w:tcW w:w="462" w:type="pct"/>
            <w:vMerge/>
            <w:tcBorders>
              <w:top w:val="single" w:sz="8" w:space="0" w:color="auto"/>
              <w:left w:val="single" w:sz="18" w:space="0" w:color="auto"/>
              <w:bottom w:val="single" w:sz="8" w:space="0" w:color="auto"/>
              <w:right w:val="single" w:sz="18" w:space="0" w:color="auto"/>
            </w:tcBorders>
            <w:shd w:val="clear" w:color="auto" w:fill="FFFFFF"/>
            <w:vAlign w:val="center"/>
          </w:tcPr>
          <w:p w14:paraId="6E0671E9" w14:textId="77777777" w:rsidR="00563E97" w:rsidRPr="00563E97" w:rsidRDefault="00563E97" w:rsidP="00563E97">
            <w:pPr>
              <w:rPr>
                <w:rFonts w:ascii="Times New Roman" w:eastAsia="Calibri" w:hAnsi="Times New Roman" w:cs="Times New Roman"/>
                <w:sz w:val="20"/>
                <w:szCs w:val="20"/>
              </w:rPr>
            </w:pPr>
          </w:p>
        </w:tc>
        <w:tc>
          <w:tcPr>
            <w:tcW w:w="878" w:type="pct"/>
            <w:tcBorders>
              <w:top w:val="single" w:sz="8" w:space="0" w:color="auto"/>
              <w:left w:val="single" w:sz="18" w:space="0" w:color="auto"/>
              <w:bottom w:val="single" w:sz="8" w:space="0" w:color="auto"/>
              <w:right w:val="single" w:sz="8" w:space="0" w:color="auto"/>
            </w:tcBorders>
            <w:shd w:val="clear" w:color="auto" w:fill="FFFFFF"/>
            <w:vAlign w:val="center"/>
          </w:tcPr>
          <w:p w14:paraId="084CE1BF" w14:textId="77777777" w:rsidR="00563E97" w:rsidRPr="00563E97" w:rsidRDefault="00563E97" w:rsidP="00563E9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Medium (3-4 days)</w:t>
            </w:r>
          </w:p>
        </w:tc>
        <w:tc>
          <w:tcPr>
            <w:tcW w:w="708" w:type="pct"/>
            <w:tcBorders>
              <w:top w:val="single" w:sz="8" w:space="0" w:color="auto"/>
              <w:left w:val="single" w:sz="18" w:space="0" w:color="auto"/>
              <w:bottom w:val="dotted" w:sz="4" w:space="0" w:color="auto"/>
              <w:right w:val="single" w:sz="8" w:space="0" w:color="auto"/>
            </w:tcBorders>
            <w:shd w:val="clear" w:color="auto" w:fill="FFFFFF"/>
            <w:vAlign w:val="center"/>
          </w:tcPr>
          <w:p w14:paraId="087D17A9" w14:textId="77777777" w:rsidR="00563E97" w:rsidRPr="00563E97" w:rsidRDefault="00563E97" w:rsidP="00563E97">
            <w:pPr>
              <w:tabs>
                <w:tab w:val="decimal" w:pos="3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14.3</w:t>
            </w:r>
          </w:p>
        </w:tc>
        <w:tc>
          <w:tcPr>
            <w:tcW w:w="709" w:type="pct"/>
            <w:tcBorders>
              <w:top w:val="single" w:sz="8" w:space="0" w:color="auto"/>
              <w:left w:val="single" w:sz="8" w:space="0" w:color="auto"/>
              <w:bottom w:val="dotted" w:sz="4" w:space="0" w:color="auto"/>
            </w:tcBorders>
            <w:shd w:val="clear" w:color="auto" w:fill="FFFFFF"/>
            <w:vAlign w:val="center"/>
          </w:tcPr>
          <w:p w14:paraId="42015582" w14:textId="77777777" w:rsidR="00563E97" w:rsidRPr="00563E97" w:rsidRDefault="00563E97" w:rsidP="00563E97">
            <w:pPr>
              <w:tabs>
                <w:tab w:val="decimal" w:pos="3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17.5</w:t>
            </w:r>
          </w:p>
        </w:tc>
        <w:tc>
          <w:tcPr>
            <w:tcW w:w="359" w:type="pct"/>
            <w:tcBorders>
              <w:top w:val="single" w:sz="8" w:space="0" w:color="auto"/>
              <w:left w:val="single" w:sz="18" w:space="0" w:color="auto"/>
              <w:bottom w:val="dotted" w:sz="4" w:space="0" w:color="auto"/>
              <w:right w:val="single" w:sz="8" w:space="0" w:color="auto"/>
            </w:tcBorders>
            <w:shd w:val="clear" w:color="auto" w:fill="FFFFFF"/>
          </w:tcPr>
          <w:p w14:paraId="483A2F06"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14.3</w:t>
            </w:r>
          </w:p>
        </w:tc>
        <w:tc>
          <w:tcPr>
            <w:tcW w:w="378" w:type="pct"/>
            <w:tcBorders>
              <w:top w:val="single" w:sz="8" w:space="0" w:color="auto"/>
              <w:left w:val="single" w:sz="8" w:space="0" w:color="auto"/>
              <w:bottom w:val="dotted" w:sz="4" w:space="0" w:color="auto"/>
            </w:tcBorders>
            <w:shd w:val="clear" w:color="auto" w:fill="FFFFFF"/>
          </w:tcPr>
          <w:p w14:paraId="7B2AC800"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17.3</w:t>
            </w:r>
          </w:p>
        </w:tc>
        <w:tc>
          <w:tcPr>
            <w:tcW w:w="380" w:type="pct"/>
            <w:tcBorders>
              <w:top w:val="single" w:sz="8" w:space="0" w:color="auto"/>
              <w:left w:val="single" w:sz="18" w:space="0" w:color="auto"/>
              <w:bottom w:val="dotted" w:sz="4" w:space="0" w:color="auto"/>
              <w:right w:val="single" w:sz="8" w:space="0" w:color="auto"/>
            </w:tcBorders>
            <w:shd w:val="clear" w:color="auto" w:fill="FFFFFF"/>
          </w:tcPr>
          <w:p w14:paraId="3347AB80"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14.7</w:t>
            </w:r>
          </w:p>
        </w:tc>
        <w:tc>
          <w:tcPr>
            <w:tcW w:w="378" w:type="pct"/>
            <w:tcBorders>
              <w:top w:val="single" w:sz="8" w:space="0" w:color="auto"/>
              <w:left w:val="single" w:sz="8" w:space="0" w:color="auto"/>
              <w:bottom w:val="dotted" w:sz="4" w:space="0" w:color="auto"/>
              <w:right w:val="single" w:sz="18" w:space="0" w:color="auto"/>
            </w:tcBorders>
            <w:shd w:val="clear" w:color="auto" w:fill="FFFFFF"/>
          </w:tcPr>
          <w:p w14:paraId="5F8B1EF2"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4.1</w:t>
            </w:r>
          </w:p>
        </w:tc>
        <w:tc>
          <w:tcPr>
            <w:tcW w:w="380" w:type="pct"/>
            <w:tcBorders>
              <w:top w:val="single" w:sz="8" w:space="0" w:color="auto"/>
              <w:left w:val="single" w:sz="18" w:space="0" w:color="auto"/>
              <w:bottom w:val="dotted" w:sz="4" w:space="0" w:color="auto"/>
              <w:right w:val="single" w:sz="8" w:space="0" w:color="auto"/>
            </w:tcBorders>
            <w:shd w:val="clear" w:color="auto" w:fill="FFFFFF"/>
          </w:tcPr>
          <w:p w14:paraId="772F14C2"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14.7</w:t>
            </w:r>
          </w:p>
        </w:tc>
        <w:tc>
          <w:tcPr>
            <w:tcW w:w="368" w:type="pct"/>
            <w:tcBorders>
              <w:top w:val="single" w:sz="8" w:space="0" w:color="auto"/>
              <w:left w:val="single" w:sz="8" w:space="0" w:color="auto"/>
              <w:bottom w:val="dotted" w:sz="4" w:space="0" w:color="auto"/>
            </w:tcBorders>
            <w:shd w:val="clear" w:color="auto" w:fill="FFFFFF"/>
          </w:tcPr>
          <w:p w14:paraId="643C576D"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18.9</w:t>
            </w:r>
          </w:p>
        </w:tc>
      </w:tr>
      <w:tr w:rsidR="00CF7AED" w:rsidRPr="00563E97" w14:paraId="250C06E8" w14:textId="77777777" w:rsidTr="00563E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2" w:type="pct"/>
            <w:vMerge/>
            <w:tcBorders>
              <w:top w:val="single" w:sz="8" w:space="0" w:color="auto"/>
              <w:left w:val="single" w:sz="18" w:space="0" w:color="auto"/>
              <w:bottom w:val="double" w:sz="4" w:space="0" w:color="auto"/>
              <w:right w:val="single" w:sz="18" w:space="0" w:color="auto"/>
            </w:tcBorders>
            <w:shd w:val="clear" w:color="auto" w:fill="FFFFFF"/>
            <w:vAlign w:val="center"/>
          </w:tcPr>
          <w:p w14:paraId="75C81444" w14:textId="77777777" w:rsidR="00563E97" w:rsidRPr="00563E97" w:rsidRDefault="00563E97" w:rsidP="00563E97">
            <w:pPr>
              <w:rPr>
                <w:rFonts w:ascii="Times New Roman" w:eastAsia="Calibri" w:hAnsi="Times New Roman" w:cs="Times New Roman"/>
                <w:sz w:val="20"/>
                <w:szCs w:val="20"/>
              </w:rPr>
            </w:pPr>
          </w:p>
        </w:tc>
        <w:tc>
          <w:tcPr>
            <w:tcW w:w="878" w:type="pct"/>
            <w:tcBorders>
              <w:top w:val="single" w:sz="8" w:space="0" w:color="auto"/>
              <w:left w:val="single" w:sz="18" w:space="0" w:color="auto"/>
              <w:bottom w:val="double" w:sz="4" w:space="0" w:color="auto"/>
              <w:right w:val="single" w:sz="8" w:space="0" w:color="auto"/>
            </w:tcBorders>
            <w:shd w:val="clear" w:color="auto" w:fill="FFFFFF"/>
            <w:vAlign w:val="center"/>
          </w:tcPr>
          <w:p w14:paraId="17BE68EB" w14:textId="77777777" w:rsidR="00563E97" w:rsidRPr="00563E97" w:rsidRDefault="00563E97" w:rsidP="00563E9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High (5-6 days)</w:t>
            </w:r>
          </w:p>
        </w:tc>
        <w:tc>
          <w:tcPr>
            <w:tcW w:w="708" w:type="pct"/>
            <w:tcBorders>
              <w:top w:val="single" w:sz="8" w:space="0" w:color="auto"/>
              <w:left w:val="single" w:sz="18" w:space="0" w:color="auto"/>
              <w:bottom w:val="double" w:sz="4" w:space="0" w:color="auto"/>
              <w:right w:val="single" w:sz="8" w:space="0" w:color="auto"/>
            </w:tcBorders>
            <w:shd w:val="clear" w:color="auto" w:fill="FFFFFF"/>
            <w:vAlign w:val="center"/>
          </w:tcPr>
          <w:p w14:paraId="7ECBCEB7"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54.4</w:t>
            </w:r>
          </w:p>
        </w:tc>
        <w:tc>
          <w:tcPr>
            <w:tcW w:w="709" w:type="pct"/>
            <w:tcBorders>
              <w:top w:val="single" w:sz="8" w:space="0" w:color="auto"/>
              <w:left w:val="single" w:sz="8" w:space="0" w:color="auto"/>
              <w:bottom w:val="double" w:sz="4" w:space="0" w:color="auto"/>
            </w:tcBorders>
            <w:shd w:val="clear" w:color="auto" w:fill="FFFFFF"/>
            <w:vAlign w:val="center"/>
          </w:tcPr>
          <w:p w14:paraId="6BC65064"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51.6</w:t>
            </w:r>
          </w:p>
        </w:tc>
        <w:tc>
          <w:tcPr>
            <w:tcW w:w="359" w:type="pct"/>
            <w:tcBorders>
              <w:top w:val="single" w:sz="8" w:space="0" w:color="auto"/>
              <w:left w:val="single" w:sz="18" w:space="0" w:color="auto"/>
              <w:bottom w:val="double" w:sz="4" w:space="0" w:color="auto"/>
              <w:right w:val="single" w:sz="8" w:space="0" w:color="auto"/>
            </w:tcBorders>
            <w:shd w:val="clear" w:color="auto" w:fill="FFFFFF"/>
          </w:tcPr>
          <w:p w14:paraId="32070DBB"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54.4</w:t>
            </w:r>
          </w:p>
        </w:tc>
        <w:tc>
          <w:tcPr>
            <w:tcW w:w="378" w:type="pct"/>
            <w:tcBorders>
              <w:top w:val="single" w:sz="8" w:space="0" w:color="auto"/>
              <w:left w:val="single" w:sz="8" w:space="0" w:color="auto"/>
              <w:bottom w:val="double" w:sz="4" w:space="0" w:color="auto"/>
            </w:tcBorders>
            <w:shd w:val="clear" w:color="auto" w:fill="FFFFFF"/>
          </w:tcPr>
          <w:p w14:paraId="53A68D15"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51.5</w:t>
            </w:r>
          </w:p>
        </w:tc>
        <w:tc>
          <w:tcPr>
            <w:tcW w:w="380" w:type="pct"/>
            <w:tcBorders>
              <w:top w:val="single" w:sz="8" w:space="0" w:color="auto"/>
              <w:left w:val="single" w:sz="18" w:space="0" w:color="auto"/>
              <w:bottom w:val="double" w:sz="4" w:space="0" w:color="auto"/>
              <w:right w:val="single" w:sz="8" w:space="0" w:color="auto"/>
            </w:tcBorders>
            <w:shd w:val="clear" w:color="auto" w:fill="FFFFFF"/>
          </w:tcPr>
          <w:p w14:paraId="377F49C7"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54.6</w:t>
            </w:r>
          </w:p>
        </w:tc>
        <w:tc>
          <w:tcPr>
            <w:tcW w:w="378" w:type="pct"/>
            <w:tcBorders>
              <w:top w:val="single" w:sz="8" w:space="0" w:color="auto"/>
              <w:left w:val="single" w:sz="8" w:space="0" w:color="auto"/>
              <w:bottom w:val="double" w:sz="4" w:space="0" w:color="auto"/>
              <w:right w:val="single" w:sz="18" w:space="0" w:color="auto"/>
            </w:tcBorders>
            <w:shd w:val="clear" w:color="auto" w:fill="FFFFFF"/>
          </w:tcPr>
          <w:p w14:paraId="293E2765"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51.0</w:t>
            </w:r>
          </w:p>
        </w:tc>
        <w:tc>
          <w:tcPr>
            <w:tcW w:w="380" w:type="pct"/>
            <w:tcBorders>
              <w:top w:val="single" w:sz="8" w:space="0" w:color="auto"/>
              <w:left w:val="single" w:sz="18" w:space="0" w:color="auto"/>
              <w:bottom w:val="double" w:sz="4" w:space="0" w:color="auto"/>
              <w:right w:val="single" w:sz="8" w:space="0" w:color="auto"/>
            </w:tcBorders>
            <w:shd w:val="clear" w:color="auto" w:fill="FFFFFF"/>
          </w:tcPr>
          <w:p w14:paraId="507A07D6"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54.5</w:t>
            </w:r>
          </w:p>
        </w:tc>
        <w:tc>
          <w:tcPr>
            <w:tcW w:w="368" w:type="pct"/>
            <w:tcBorders>
              <w:top w:val="single" w:sz="8" w:space="0" w:color="auto"/>
              <w:left w:val="single" w:sz="8" w:space="0" w:color="auto"/>
              <w:bottom w:val="double" w:sz="4" w:space="0" w:color="auto"/>
            </w:tcBorders>
            <w:shd w:val="clear" w:color="auto" w:fill="FFFFFF"/>
          </w:tcPr>
          <w:p w14:paraId="748B74C8"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sz w:val="20"/>
                <w:szCs w:val="20"/>
              </w:rPr>
            </w:pPr>
            <w:r w:rsidRPr="00563E97">
              <w:rPr>
                <w:rFonts w:ascii="Times New Roman" w:eastAsia="Times New Roman" w:hAnsi="Times New Roman" w:cs="Times New Roman"/>
                <w:sz w:val="20"/>
                <w:szCs w:val="20"/>
              </w:rPr>
              <w:t>51.5</w:t>
            </w:r>
          </w:p>
        </w:tc>
      </w:tr>
      <w:tr w:rsidR="00563E97" w:rsidRPr="00563E97" w14:paraId="7B382F62" w14:textId="77777777" w:rsidTr="00563E97">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10"/>
            <w:tcBorders>
              <w:top w:val="double" w:sz="4" w:space="0" w:color="auto"/>
              <w:left w:val="single" w:sz="18" w:space="0" w:color="auto"/>
              <w:bottom w:val="double" w:sz="4" w:space="0" w:color="auto"/>
            </w:tcBorders>
            <w:shd w:val="clear" w:color="auto" w:fill="FFFFFF"/>
            <w:vAlign w:val="center"/>
          </w:tcPr>
          <w:p w14:paraId="5971BBA3" w14:textId="77777777" w:rsidR="00563E97" w:rsidRPr="00563E97" w:rsidRDefault="00563E97" w:rsidP="00563E97">
            <w:pPr>
              <w:tabs>
                <w:tab w:val="decimal" w:pos="360"/>
              </w:tabs>
              <w:jc w:val="center"/>
              <w:rPr>
                <w:rFonts w:ascii="Times New Roman" w:eastAsia="Times New Roman" w:hAnsi="Times New Roman" w:cs="Times New Roman"/>
                <w:i/>
                <w:iCs/>
                <w:sz w:val="20"/>
                <w:szCs w:val="20"/>
              </w:rPr>
            </w:pPr>
            <w:r w:rsidRPr="00563E97">
              <w:rPr>
                <w:rFonts w:ascii="Times New Roman" w:eastAsia="Times New Roman" w:hAnsi="Times New Roman" w:cs="Times New Roman"/>
                <w:i/>
                <w:iCs/>
                <w:sz w:val="20"/>
                <w:szCs w:val="20"/>
              </w:rPr>
              <w:t>Percent ATEs (% change relative to base)</w:t>
            </w:r>
          </w:p>
        </w:tc>
      </w:tr>
      <w:tr w:rsidR="00CF7AED" w:rsidRPr="00563E97" w14:paraId="7BCD149C" w14:textId="77777777" w:rsidTr="00563E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2" w:type="pct"/>
            <w:vMerge w:val="restart"/>
            <w:tcBorders>
              <w:top w:val="double" w:sz="4" w:space="0" w:color="auto"/>
              <w:left w:val="single" w:sz="18" w:space="0" w:color="auto"/>
              <w:right w:val="single" w:sz="18" w:space="0" w:color="auto"/>
            </w:tcBorders>
            <w:shd w:val="clear" w:color="auto" w:fill="FFFFFF"/>
            <w:vAlign w:val="center"/>
          </w:tcPr>
          <w:p w14:paraId="357EB445" w14:textId="77777777" w:rsidR="00563E97" w:rsidRPr="00563E97" w:rsidRDefault="00563E97" w:rsidP="00563E97">
            <w:pPr>
              <w:rPr>
                <w:rFonts w:ascii="Times New Roman" w:eastAsia="Calibri" w:hAnsi="Times New Roman" w:cs="Times New Roman"/>
                <w:sz w:val="20"/>
                <w:szCs w:val="20"/>
              </w:rPr>
            </w:pPr>
            <w:r w:rsidRPr="00563E97">
              <w:rPr>
                <w:rFonts w:ascii="Times New Roman" w:eastAsia="Calibri" w:hAnsi="Times New Roman" w:cs="Times New Roman"/>
                <w:sz w:val="20"/>
                <w:szCs w:val="20"/>
              </w:rPr>
              <w:t xml:space="preserve">None </w:t>
            </w:r>
            <w:r w:rsidRPr="00563E97">
              <w:rPr>
                <w:rFonts w:ascii="Times New Roman" w:eastAsia="Calibri" w:hAnsi="Times New Roman" w:cs="Times New Roman"/>
                <w:sz w:val="20"/>
                <w:szCs w:val="20"/>
              </w:rPr>
              <w:br/>
              <w:t>(0 days)</w:t>
            </w:r>
          </w:p>
        </w:tc>
        <w:tc>
          <w:tcPr>
            <w:tcW w:w="878" w:type="pct"/>
            <w:tcBorders>
              <w:top w:val="double" w:sz="4" w:space="0" w:color="auto"/>
              <w:left w:val="single" w:sz="18" w:space="0" w:color="auto"/>
              <w:bottom w:val="single" w:sz="8" w:space="0" w:color="auto"/>
              <w:right w:val="single" w:sz="8" w:space="0" w:color="auto"/>
            </w:tcBorders>
            <w:shd w:val="clear" w:color="auto" w:fill="FFFFFF"/>
            <w:vAlign w:val="center"/>
          </w:tcPr>
          <w:p w14:paraId="58D683AC" w14:textId="77777777" w:rsidR="00563E97" w:rsidRPr="00563E97" w:rsidRDefault="00563E97" w:rsidP="00563E9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Low (1-2 days)</w:t>
            </w:r>
          </w:p>
        </w:tc>
        <w:tc>
          <w:tcPr>
            <w:tcW w:w="708" w:type="pct"/>
            <w:tcBorders>
              <w:top w:val="double" w:sz="4" w:space="0" w:color="auto"/>
              <w:left w:val="single" w:sz="18" w:space="0" w:color="auto"/>
              <w:bottom w:val="single" w:sz="8" w:space="0" w:color="auto"/>
              <w:right w:val="single" w:sz="8" w:space="0" w:color="auto"/>
            </w:tcBorders>
            <w:shd w:val="clear" w:color="auto" w:fill="FFFFFF"/>
          </w:tcPr>
          <w:p w14:paraId="388637B3"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49.0</w:t>
            </w:r>
          </w:p>
        </w:tc>
        <w:tc>
          <w:tcPr>
            <w:tcW w:w="709" w:type="pct"/>
            <w:tcBorders>
              <w:top w:val="double" w:sz="4" w:space="0" w:color="auto"/>
              <w:left w:val="single" w:sz="8" w:space="0" w:color="auto"/>
              <w:bottom w:val="single" w:sz="8" w:space="0" w:color="auto"/>
            </w:tcBorders>
            <w:shd w:val="clear" w:color="auto" w:fill="FFFFFF"/>
          </w:tcPr>
          <w:p w14:paraId="10139C2E"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40.1</w:t>
            </w:r>
          </w:p>
        </w:tc>
        <w:tc>
          <w:tcPr>
            <w:tcW w:w="359" w:type="pct"/>
            <w:tcBorders>
              <w:top w:val="double" w:sz="4" w:space="0" w:color="auto"/>
              <w:left w:val="single" w:sz="18" w:space="0" w:color="auto"/>
              <w:bottom w:val="single" w:sz="8" w:space="0" w:color="auto"/>
              <w:right w:val="single" w:sz="8" w:space="0" w:color="auto"/>
            </w:tcBorders>
            <w:shd w:val="clear" w:color="auto" w:fill="FFFFFF"/>
          </w:tcPr>
          <w:p w14:paraId="5B5B557E"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49.0</w:t>
            </w:r>
          </w:p>
        </w:tc>
        <w:tc>
          <w:tcPr>
            <w:tcW w:w="378" w:type="pct"/>
            <w:tcBorders>
              <w:top w:val="double" w:sz="4" w:space="0" w:color="auto"/>
              <w:left w:val="single" w:sz="8" w:space="0" w:color="auto"/>
              <w:bottom w:val="single" w:sz="8" w:space="0" w:color="auto"/>
            </w:tcBorders>
            <w:shd w:val="clear" w:color="auto" w:fill="FFFFFF"/>
          </w:tcPr>
          <w:p w14:paraId="59EBB93C"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17.0</w:t>
            </w:r>
          </w:p>
        </w:tc>
        <w:tc>
          <w:tcPr>
            <w:tcW w:w="380" w:type="pct"/>
            <w:tcBorders>
              <w:top w:val="double" w:sz="4" w:space="0" w:color="auto"/>
              <w:left w:val="single" w:sz="18" w:space="0" w:color="auto"/>
              <w:bottom w:val="single" w:sz="8" w:space="0" w:color="auto"/>
              <w:right w:val="single" w:sz="8" w:space="0" w:color="auto"/>
            </w:tcBorders>
            <w:shd w:val="clear" w:color="auto" w:fill="FFFFFF"/>
          </w:tcPr>
          <w:p w14:paraId="432E134E"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47.7</w:t>
            </w:r>
          </w:p>
        </w:tc>
        <w:tc>
          <w:tcPr>
            <w:tcW w:w="378" w:type="pct"/>
            <w:tcBorders>
              <w:top w:val="double" w:sz="4" w:space="0" w:color="auto"/>
              <w:left w:val="single" w:sz="8" w:space="0" w:color="auto"/>
              <w:bottom w:val="single" w:sz="8" w:space="0" w:color="auto"/>
              <w:right w:val="single" w:sz="18" w:space="0" w:color="auto"/>
            </w:tcBorders>
            <w:shd w:val="clear" w:color="auto" w:fill="FFFFFF"/>
          </w:tcPr>
          <w:p w14:paraId="59A76F60"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17.1</w:t>
            </w:r>
          </w:p>
        </w:tc>
        <w:tc>
          <w:tcPr>
            <w:tcW w:w="380" w:type="pct"/>
            <w:tcBorders>
              <w:top w:val="double" w:sz="4" w:space="0" w:color="auto"/>
              <w:left w:val="single" w:sz="18" w:space="0" w:color="auto"/>
              <w:bottom w:val="single" w:sz="8" w:space="0" w:color="auto"/>
              <w:right w:val="single" w:sz="8" w:space="0" w:color="auto"/>
            </w:tcBorders>
            <w:shd w:val="clear" w:color="auto" w:fill="FFFFFF"/>
          </w:tcPr>
          <w:p w14:paraId="0768A021"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47.7</w:t>
            </w:r>
          </w:p>
        </w:tc>
        <w:tc>
          <w:tcPr>
            <w:tcW w:w="368" w:type="pct"/>
            <w:tcBorders>
              <w:top w:val="double" w:sz="4" w:space="0" w:color="auto"/>
              <w:left w:val="single" w:sz="8" w:space="0" w:color="auto"/>
              <w:bottom w:val="single" w:sz="8" w:space="0" w:color="auto"/>
            </w:tcBorders>
            <w:shd w:val="clear" w:color="auto" w:fill="FFFFFF"/>
          </w:tcPr>
          <w:p w14:paraId="53D3B4D4"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35.2</w:t>
            </w:r>
          </w:p>
        </w:tc>
      </w:tr>
      <w:tr w:rsidR="00CF7AED" w:rsidRPr="00563E97" w14:paraId="266622AC" w14:textId="77777777" w:rsidTr="00563E97">
        <w:trPr>
          <w:trHeight w:val="20"/>
        </w:trPr>
        <w:tc>
          <w:tcPr>
            <w:cnfStyle w:val="001000000000" w:firstRow="0" w:lastRow="0" w:firstColumn="1" w:lastColumn="0" w:oddVBand="0" w:evenVBand="0" w:oddHBand="0" w:evenHBand="0" w:firstRowFirstColumn="0" w:firstRowLastColumn="0" w:lastRowFirstColumn="0" w:lastRowLastColumn="0"/>
            <w:tcW w:w="462" w:type="pct"/>
            <w:vMerge/>
            <w:tcBorders>
              <w:left w:val="single" w:sz="18" w:space="0" w:color="auto"/>
              <w:right w:val="single" w:sz="18" w:space="0" w:color="auto"/>
            </w:tcBorders>
            <w:shd w:val="clear" w:color="auto" w:fill="FFFFFF"/>
            <w:vAlign w:val="center"/>
          </w:tcPr>
          <w:p w14:paraId="059C9E96" w14:textId="77777777" w:rsidR="00563E97" w:rsidRPr="00563E97" w:rsidRDefault="00563E97" w:rsidP="00563E97">
            <w:pPr>
              <w:rPr>
                <w:rFonts w:ascii="Times New Roman" w:eastAsia="Calibri" w:hAnsi="Times New Roman" w:cs="Times New Roman"/>
                <w:sz w:val="20"/>
                <w:szCs w:val="20"/>
              </w:rPr>
            </w:pPr>
          </w:p>
        </w:tc>
        <w:tc>
          <w:tcPr>
            <w:tcW w:w="878" w:type="pct"/>
            <w:tcBorders>
              <w:top w:val="single" w:sz="8" w:space="0" w:color="auto"/>
              <w:left w:val="single" w:sz="18" w:space="0" w:color="auto"/>
              <w:bottom w:val="single" w:sz="8" w:space="0" w:color="auto"/>
              <w:right w:val="single" w:sz="8" w:space="0" w:color="auto"/>
            </w:tcBorders>
            <w:shd w:val="clear" w:color="auto" w:fill="FFFFFF"/>
            <w:vAlign w:val="center"/>
          </w:tcPr>
          <w:p w14:paraId="647C81FC" w14:textId="77777777" w:rsidR="00563E97" w:rsidRPr="00563E97" w:rsidRDefault="00563E97" w:rsidP="00563E9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Medium (3-4 days)</w:t>
            </w:r>
          </w:p>
        </w:tc>
        <w:tc>
          <w:tcPr>
            <w:tcW w:w="708" w:type="pct"/>
            <w:tcBorders>
              <w:top w:val="single" w:sz="8" w:space="0" w:color="auto"/>
              <w:left w:val="single" w:sz="18" w:space="0" w:color="auto"/>
              <w:bottom w:val="single" w:sz="8" w:space="0" w:color="auto"/>
              <w:right w:val="single" w:sz="8" w:space="0" w:color="auto"/>
            </w:tcBorders>
            <w:shd w:val="clear" w:color="auto" w:fill="FFFFFF"/>
          </w:tcPr>
          <w:p w14:paraId="179381CE" w14:textId="77777777" w:rsidR="00563E97" w:rsidRPr="00563E97" w:rsidRDefault="00563E97" w:rsidP="00563E97">
            <w:pPr>
              <w:tabs>
                <w:tab w:val="decimal" w:pos="360"/>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88.2</w:t>
            </w:r>
          </w:p>
        </w:tc>
        <w:tc>
          <w:tcPr>
            <w:tcW w:w="709" w:type="pct"/>
            <w:tcBorders>
              <w:top w:val="single" w:sz="8" w:space="0" w:color="auto"/>
              <w:left w:val="single" w:sz="8" w:space="0" w:color="auto"/>
              <w:bottom w:val="single" w:sz="8" w:space="0" w:color="auto"/>
            </w:tcBorders>
            <w:shd w:val="clear" w:color="auto" w:fill="FFFFFF"/>
          </w:tcPr>
          <w:p w14:paraId="10E78CD6" w14:textId="77777777" w:rsidR="00563E97" w:rsidRPr="00563E97" w:rsidRDefault="00563E97" w:rsidP="00563E97">
            <w:pPr>
              <w:tabs>
                <w:tab w:val="decimal" w:pos="360"/>
              </w:tabs>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86.5</w:t>
            </w:r>
          </w:p>
        </w:tc>
        <w:tc>
          <w:tcPr>
            <w:tcW w:w="359" w:type="pct"/>
            <w:tcBorders>
              <w:top w:val="single" w:sz="8" w:space="0" w:color="auto"/>
              <w:left w:val="single" w:sz="18" w:space="0" w:color="auto"/>
              <w:bottom w:val="single" w:sz="8" w:space="0" w:color="auto"/>
              <w:right w:val="single" w:sz="8" w:space="0" w:color="auto"/>
            </w:tcBorders>
            <w:shd w:val="clear" w:color="auto" w:fill="FFFFFF"/>
          </w:tcPr>
          <w:p w14:paraId="1E12AEC8"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88.2</w:t>
            </w:r>
          </w:p>
        </w:tc>
        <w:tc>
          <w:tcPr>
            <w:tcW w:w="378" w:type="pct"/>
            <w:tcBorders>
              <w:top w:val="single" w:sz="8" w:space="0" w:color="auto"/>
              <w:left w:val="single" w:sz="8" w:space="0" w:color="auto"/>
              <w:bottom w:val="single" w:sz="8" w:space="0" w:color="auto"/>
            </w:tcBorders>
            <w:shd w:val="clear" w:color="auto" w:fill="FFFFFF"/>
          </w:tcPr>
          <w:p w14:paraId="4DC7FB9B"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88.5</w:t>
            </w:r>
          </w:p>
        </w:tc>
        <w:tc>
          <w:tcPr>
            <w:tcW w:w="380" w:type="pct"/>
            <w:tcBorders>
              <w:top w:val="single" w:sz="8" w:space="0" w:color="auto"/>
              <w:left w:val="single" w:sz="18" w:space="0" w:color="auto"/>
              <w:bottom w:val="single" w:sz="8" w:space="0" w:color="auto"/>
              <w:right w:val="single" w:sz="8" w:space="0" w:color="auto"/>
            </w:tcBorders>
            <w:shd w:val="clear" w:color="auto" w:fill="FFFFFF"/>
          </w:tcPr>
          <w:p w14:paraId="0C0C580E"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85.5</w:t>
            </w:r>
          </w:p>
        </w:tc>
        <w:tc>
          <w:tcPr>
            <w:tcW w:w="378" w:type="pct"/>
            <w:tcBorders>
              <w:top w:val="single" w:sz="8" w:space="0" w:color="auto"/>
              <w:left w:val="single" w:sz="8" w:space="0" w:color="auto"/>
              <w:bottom w:val="single" w:sz="8" w:space="0" w:color="auto"/>
              <w:right w:val="single" w:sz="18" w:space="0" w:color="auto"/>
            </w:tcBorders>
            <w:shd w:val="clear" w:color="auto" w:fill="FFFFFF"/>
          </w:tcPr>
          <w:p w14:paraId="509AD665"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15.3</w:t>
            </w:r>
          </w:p>
        </w:tc>
        <w:tc>
          <w:tcPr>
            <w:tcW w:w="380" w:type="pct"/>
            <w:tcBorders>
              <w:top w:val="single" w:sz="8" w:space="0" w:color="auto"/>
              <w:left w:val="single" w:sz="18" w:space="0" w:color="auto"/>
              <w:bottom w:val="single" w:sz="8" w:space="0" w:color="auto"/>
              <w:right w:val="single" w:sz="8" w:space="0" w:color="auto"/>
            </w:tcBorders>
            <w:shd w:val="clear" w:color="auto" w:fill="FFFFFF"/>
          </w:tcPr>
          <w:p w14:paraId="5F1FBB34"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85.5</w:t>
            </w:r>
          </w:p>
        </w:tc>
        <w:tc>
          <w:tcPr>
            <w:tcW w:w="368" w:type="pct"/>
            <w:tcBorders>
              <w:top w:val="single" w:sz="8" w:space="0" w:color="auto"/>
              <w:left w:val="single" w:sz="8" w:space="0" w:color="auto"/>
              <w:bottom w:val="single" w:sz="8" w:space="0" w:color="auto"/>
            </w:tcBorders>
            <w:shd w:val="clear" w:color="auto" w:fill="FFFFFF"/>
          </w:tcPr>
          <w:p w14:paraId="5F5DA3EA" w14:textId="77777777" w:rsidR="00563E97" w:rsidRPr="00563E97" w:rsidRDefault="00563E97" w:rsidP="00563E97">
            <w:pPr>
              <w:tabs>
                <w:tab w:val="decimal" w:pos="360"/>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74.2</w:t>
            </w:r>
          </w:p>
        </w:tc>
      </w:tr>
      <w:tr w:rsidR="00CF7AED" w:rsidRPr="00563E97" w14:paraId="179754FD" w14:textId="77777777" w:rsidTr="00563E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62" w:type="pct"/>
            <w:vMerge/>
            <w:tcBorders>
              <w:left w:val="single" w:sz="18" w:space="0" w:color="auto"/>
              <w:bottom w:val="single" w:sz="18" w:space="0" w:color="auto"/>
              <w:right w:val="single" w:sz="18" w:space="0" w:color="auto"/>
            </w:tcBorders>
            <w:shd w:val="clear" w:color="auto" w:fill="FFFFFF"/>
            <w:vAlign w:val="center"/>
          </w:tcPr>
          <w:p w14:paraId="374CF215" w14:textId="77777777" w:rsidR="00563E97" w:rsidRPr="00563E97" w:rsidRDefault="00563E97" w:rsidP="00563E97">
            <w:pPr>
              <w:rPr>
                <w:rFonts w:ascii="Times New Roman" w:eastAsia="Calibri" w:hAnsi="Times New Roman" w:cs="Times New Roman"/>
                <w:sz w:val="20"/>
                <w:szCs w:val="20"/>
              </w:rPr>
            </w:pPr>
          </w:p>
        </w:tc>
        <w:tc>
          <w:tcPr>
            <w:tcW w:w="878" w:type="pct"/>
            <w:tcBorders>
              <w:top w:val="single" w:sz="8" w:space="0" w:color="auto"/>
              <w:left w:val="single" w:sz="18" w:space="0" w:color="auto"/>
              <w:bottom w:val="single" w:sz="18" w:space="0" w:color="auto"/>
              <w:right w:val="single" w:sz="8" w:space="0" w:color="auto"/>
            </w:tcBorders>
            <w:shd w:val="clear" w:color="auto" w:fill="FFFFFF"/>
            <w:vAlign w:val="center"/>
          </w:tcPr>
          <w:p w14:paraId="1DEFE20D" w14:textId="77777777" w:rsidR="00563E97" w:rsidRPr="00563E97" w:rsidRDefault="00563E97" w:rsidP="00563E97">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rPr>
            </w:pPr>
            <w:r w:rsidRPr="00563E97">
              <w:rPr>
                <w:rFonts w:ascii="Times New Roman" w:eastAsia="Calibri" w:hAnsi="Times New Roman" w:cs="Times New Roman"/>
                <w:sz w:val="20"/>
                <w:szCs w:val="20"/>
              </w:rPr>
              <w:t>High (5-6 days)</w:t>
            </w:r>
          </w:p>
        </w:tc>
        <w:tc>
          <w:tcPr>
            <w:tcW w:w="708" w:type="pct"/>
            <w:tcBorders>
              <w:top w:val="single" w:sz="8" w:space="0" w:color="auto"/>
              <w:left w:val="single" w:sz="18" w:space="0" w:color="auto"/>
              <w:bottom w:val="single" w:sz="18" w:space="0" w:color="auto"/>
              <w:right w:val="single" w:sz="8" w:space="0" w:color="auto"/>
            </w:tcBorders>
            <w:shd w:val="clear" w:color="auto" w:fill="FFFFFF"/>
          </w:tcPr>
          <w:p w14:paraId="16BFDF12"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334.7</w:t>
            </w:r>
          </w:p>
        </w:tc>
        <w:tc>
          <w:tcPr>
            <w:tcW w:w="709" w:type="pct"/>
            <w:tcBorders>
              <w:top w:val="single" w:sz="8" w:space="0" w:color="auto"/>
              <w:left w:val="single" w:sz="8" w:space="0" w:color="auto"/>
              <w:bottom w:val="single" w:sz="18" w:space="0" w:color="auto"/>
            </w:tcBorders>
            <w:shd w:val="clear" w:color="auto" w:fill="FFFFFF"/>
          </w:tcPr>
          <w:p w14:paraId="59DD80EA" w14:textId="77777777" w:rsidR="00563E97" w:rsidRPr="00563E97" w:rsidRDefault="00563E97" w:rsidP="00563E97">
            <w:pPr>
              <w:tabs>
                <w:tab w:val="decimal" w:pos="360"/>
              </w:tabs>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254.3</w:t>
            </w:r>
          </w:p>
        </w:tc>
        <w:tc>
          <w:tcPr>
            <w:tcW w:w="359" w:type="pct"/>
            <w:tcBorders>
              <w:top w:val="single" w:sz="8" w:space="0" w:color="auto"/>
              <w:left w:val="single" w:sz="18" w:space="0" w:color="auto"/>
              <w:bottom w:val="single" w:sz="18" w:space="0" w:color="auto"/>
              <w:right w:val="single" w:sz="8" w:space="0" w:color="auto"/>
            </w:tcBorders>
            <w:shd w:val="clear" w:color="auto" w:fill="FFFFFF"/>
          </w:tcPr>
          <w:p w14:paraId="21A786DF"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334.7</w:t>
            </w:r>
          </w:p>
        </w:tc>
        <w:tc>
          <w:tcPr>
            <w:tcW w:w="378" w:type="pct"/>
            <w:tcBorders>
              <w:top w:val="single" w:sz="8" w:space="0" w:color="auto"/>
              <w:left w:val="single" w:sz="8" w:space="0" w:color="auto"/>
              <w:bottom w:val="single" w:sz="18" w:space="0" w:color="auto"/>
            </w:tcBorders>
            <w:shd w:val="clear" w:color="auto" w:fill="FFFFFF"/>
          </w:tcPr>
          <w:p w14:paraId="32EDE823"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263.2</w:t>
            </w:r>
          </w:p>
        </w:tc>
        <w:tc>
          <w:tcPr>
            <w:tcW w:w="380" w:type="pct"/>
            <w:tcBorders>
              <w:top w:val="single" w:sz="8" w:space="0" w:color="auto"/>
              <w:left w:val="single" w:sz="18" w:space="0" w:color="auto"/>
              <w:bottom w:val="single" w:sz="18" w:space="0" w:color="auto"/>
              <w:right w:val="single" w:sz="8" w:space="0" w:color="auto"/>
            </w:tcBorders>
            <w:shd w:val="clear" w:color="auto" w:fill="FFFFFF"/>
          </w:tcPr>
          <w:p w14:paraId="6BEF595C"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317.8</w:t>
            </w:r>
          </w:p>
        </w:tc>
        <w:tc>
          <w:tcPr>
            <w:tcW w:w="378" w:type="pct"/>
            <w:tcBorders>
              <w:top w:val="single" w:sz="8" w:space="0" w:color="auto"/>
              <w:left w:val="single" w:sz="8" w:space="0" w:color="auto"/>
              <w:bottom w:val="single" w:sz="18" w:space="0" w:color="auto"/>
              <w:right w:val="single" w:sz="18" w:space="0" w:color="auto"/>
            </w:tcBorders>
            <w:shd w:val="clear" w:color="auto" w:fill="FFFFFF"/>
          </w:tcPr>
          <w:p w14:paraId="584405AC"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188.7</w:t>
            </w:r>
          </w:p>
        </w:tc>
        <w:tc>
          <w:tcPr>
            <w:tcW w:w="380" w:type="pct"/>
            <w:tcBorders>
              <w:top w:val="single" w:sz="8" w:space="0" w:color="auto"/>
              <w:left w:val="single" w:sz="18" w:space="0" w:color="auto"/>
              <w:bottom w:val="single" w:sz="18" w:space="0" w:color="auto"/>
              <w:right w:val="single" w:sz="8" w:space="0" w:color="auto"/>
            </w:tcBorders>
            <w:shd w:val="clear" w:color="auto" w:fill="FFFFFF"/>
          </w:tcPr>
          <w:p w14:paraId="449A7D03"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318.1</w:t>
            </w:r>
          </w:p>
        </w:tc>
        <w:tc>
          <w:tcPr>
            <w:tcW w:w="368" w:type="pct"/>
            <w:tcBorders>
              <w:top w:val="single" w:sz="8" w:space="0" w:color="auto"/>
              <w:left w:val="single" w:sz="8" w:space="0" w:color="auto"/>
              <w:bottom w:val="single" w:sz="18" w:space="0" w:color="auto"/>
            </w:tcBorders>
            <w:shd w:val="clear" w:color="auto" w:fill="FFFFFF"/>
          </w:tcPr>
          <w:p w14:paraId="75BABAA5" w14:textId="77777777" w:rsidR="00563E97" w:rsidRPr="00563E97" w:rsidRDefault="00563E97" w:rsidP="00563E97">
            <w:pPr>
              <w:tabs>
                <w:tab w:val="decimal" w:pos="360"/>
              </w:tabs>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563E97">
              <w:rPr>
                <w:rFonts w:ascii="Times New Roman" w:eastAsia="Times New Roman" w:hAnsi="Times New Roman" w:cs="Times New Roman"/>
                <w:sz w:val="20"/>
                <w:szCs w:val="20"/>
              </w:rPr>
              <w:t>201.6</w:t>
            </w:r>
          </w:p>
        </w:tc>
      </w:tr>
    </w:tbl>
    <w:p w14:paraId="3CFEEA17" w14:textId="77777777" w:rsidR="00437CAF" w:rsidRDefault="00437CAF" w:rsidP="00AA0F8F">
      <w:pPr>
        <w:spacing w:after="0" w:line="240" w:lineRule="auto"/>
        <w:jc w:val="both"/>
        <w:rPr>
          <w:rFonts w:ascii="Times New Roman" w:hAnsi="Times New Roman" w:cs="Times New Roman"/>
        </w:rPr>
      </w:pPr>
    </w:p>
    <w:bookmarkEnd w:id="2"/>
    <w:p w14:paraId="08818883" w14:textId="77777777" w:rsidR="00C042E2" w:rsidRPr="00C042E2"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The effects are larger for medium-frequency telecommuters. Relative to workers who do not telecommute, working remotely three or four days per week increases the predicted probability of making an H-to-W stop by 14.3-14.7 percentage points across the week. Friday is the notable exception: the W-to-H effect falls to only 4.1 percentage points. This result is consistent with the negative Friday interaction in Table 3 and shows that the otherwise strong association between medium-frequency telecommuting and W-to-H stop-making is sharply attenuated on Friday.</w:t>
      </w:r>
    </w:p>
    <w:p w14:paraId="6C5EBB7D" w14:textId="77777777" w:rsidR="00C042E2" w:rsidRPr="00C042E2"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The largest effects are observed among high-frequency telecommuters. Telecommuting five or six days per week, rather than not telecommuting, increases the predicted probability of making an H-to-W and W-to-H stop by approximately 54.4-54.6 and 51 percentage points, respectively. These effects are remarkably stable over the week, suggesting that the relatively infrequent workplace commute trips made by high-frequency telecommuters are much more likely to include an intermediate stop than those made by workers who do not telecommute. This result should nevertheless be interpreted cautiously because high-frequency telecommuters constitute only 2.5 percent of the sample and contribute relatively few workplace commute-day observations.</w:t>
      </w:r>
    </w:p>
    <w:p w14:paraId="094BA991" w14:textId="77777777" w:rsidR="00C042E2" w:rsidRPr="00C042E2"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The PATEs reinforce these patterns by expressing the effects relative to the predicted stop-making probability under the no-telecommuting base condition. For low-frequency telecommuters, the probability of making an H-to-W stop is approximately 49 percent higher than for non-telecommuters across all day groups. The relative increase in W-to-H stop-making is 40.1 percent from Sunday through Wednesday and 35.2 percent on Saturday, but only about 17 percent on Thursday and Friday.</w:t>
      </w:r>
    </w:p>
    <w:p w14:paraId="36B4DC98" w14:textId="77777777" w:rsidR="00C042E2" w:rsidRPr="00C042E2"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 xml:space="preserve">For medium-frequency telecommuters, the relative increase in H-to-W stop-making ranges from 85.5 to 88.2 percent. The corresponding W-to-H increase is also large on most days, ranging from 74.2 percent on Saturday to 88.5 percent on Thursday. Once again, Friday stands out: the relative increase in W-to-H stop-making is only 15.3 percent. The absolute and proportional effects therefore convey the same central message that medium-frequency telecommuters are </w:t>
      </w:r>
      <w:r w:rsidRPr="00C042E2">
        <w:rPr>
          <w:rFonts w:ascii="Times New Roman" w:hAnsi="Times New Roman" w:cs="Times New Roman"/>
        </w:rPr>
        <w:lastRenderedPageBreak/>
        <w:t>considerably more likely than non-telecommuters to make commute-linked stops on most days, but this difference is much smaller on the Friday return commute.</w:t>
      </w:r>
    </w:p>
    <w:p w14:paraId="537F808B" w14:textId="77777777" w:rsidR="00C042E2" w:rsidRPr="00C042E2"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Relative effects are especially large for high-frequency telecommuters, with H-to-W stop-making probabilities being 318 to 335 percent higher and W-to-H probabilities being 189 to 263 percent higher than those of non-telecommuters. These large percentages reflect both the strong absolute effects and the relatively low predicted stop-making probabilities under the no-telecommuting base condition. They should therefore be interpreted together cautiously.</w:t>
      </w:r>
    </w:p>
    <w:p w14:paraId="0AE53B83" w14:textId="5D733FB8" w:rsidR="006651EF" w:rsidRDefault="00C042E2" w:rsidP="00C042E2">
      <w:pPr>
        <w:spacing w:after="0" w:line="240" w:lineRule="auto"/>
        <w:ind w:firstLine="720"/>
        <w:jc w:val="both"/>
        <w:rPr>
          <w:rFonts w:ascii="Times New Roman" w:hAnsi="Times New Roman" w:cs="Times New Roman"/>
        </w:rPr>
      </w:pPr>
      <w:r w:rsidRPr="00C042E2">
        <w:rPr>
          <w:rFonts w:ascii="Times New Roman" w:hAnsi="Times New Roman" w:cs="Times New Roman"/>
        </w:rPr>
        <w:t>Overall, the treatment-effect estimates confirm that telecommuting is associated not only with fewer workplace commute days but also with a greater likelihood of intermediate stops on the workplace days. The progression from low- to high-frequency telecommuting suggests that workers with more intensive remote-work arrangements may have greater schedule flexibility or may consolidate non-work activities into fewer workplace commute trips. At the same time, the smaller W-to-H effects on Thursday and Friday among low- and medium-frequency telecommuters demonstrate that this relationship is not uniform across the week. The findings therefore reinforce the importance of representing telecommuting frequency, commute direction, and day-of-week variation explicitly when modeling commute-related trip chaining.</w:t>
      </w:r>
      <w:r w:rsidR="00550F3E">
        <w:rPr>
          <w:rFonts w:ascii="Times New Roman" w:hAnsi="Times New Roman" w:cs="Times New Roman"/>
        </w:rPr>
        <w:t xml:space="preserve"> </w:t>
      </w:r>
    </w:p>
    <w:p w14:paraId="421144C7" w14:textId="77777777" w:rsidR="00056858" w:rsidRPr="00D518A4" w:rsidRDefault="00056858" w:rsidP="00EF6B18">
      <w:pPr>
        <w:spacing w:after="0" w:line="240" w:lineRule="auto"/>
        <w:jc w:val="both"/>
        <w:rPr>
          <w:rFonts w:ascii="Times New Roman" w:hAnsi="Times New Roman" w:cs="Times New Roman"/>
        </w:rPr>
      </w:pPr>
    </w:p>
    <w:p w14:paraId="7F146205" w14:textId="2B454AA3" w:rsidR="00D02A37" w:rsidRPr="00D518A4" w:rsidRDefault="005D3C1D" w:rsidP="00EB5F06">
      <w:pPr>
        <w:pStyle w:val="Heading1"/>
        <w:spacing w:before="0" w:line="240" w:lineRule="auto"/>
        <w:rPr>
          <w:szCs w:val="24"/>
        </w:rPr>
      </w:pPr>
      <w:r w:rsidRPr="00D518A4">
        <w:rPr>
          <w:szCs w:val="24"/>
        </w:rPr>
        <w:t>CONCLUSION</w:t>
      </w:r>
    </w:p>
    <w:p w14:paraId="69DCCC42" w14:textId="77777777" w:rsidR="00765230" w:rsidRPr="00765230" w:rsidRDefault="00765230" w:rsidP="00765230">
      <w:pPr>
        <w:spacing w:after="0" w:line="240" w:lineRule="auto"/>
        <w:jc w:val="both"/>
        <w:rPr>
          <w:rFonts w:ascii="Times New Roman" w:hAnsi="Times New Roman" w:cs="Times New Roman"/>
        </w:rPr>
      </w:pPr>
      <w:r w:rsidRPr="00765230">
        <w:rPr>
          <w:rFonts w:ascii="Times New Roman" w:hAnsi="Times New Roman" w:cs="Times New Roman"/>
        </w:rPr>
        <w:t>Accurately representing commute stop-making is increasingly important for travel demand forecasting amid widespread remote and hybrid work. Traditional assumptions of regular weekday commuting and stable commute-tour structures are becoming less tenable as workers vary where they work across the week and reorganize non-work activities around fewer workplace commuting days. This study uses Wave 2 of the 2026 Transportation Heartbeat of America Survey to examine intermediate stop-making on H-to-W and W-to-H commute trips. The analysis included 2,409 full-time workers and 11,074 workplace commute-day observations. A panel bivariate binary probit model jointly estimates both outcomes while accounting for repeated observations, telecommuting frequency, day-of-week variation, and correlated unobserved factors across commute directions.</w:t>
      </w:r>
    </w:p>
    <w:p w14:paraId="5694EF8B"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 xml:space="preserve">Several findings stand out. Intermediate stops are more common on W-to-H trips than on H-to-W trips, reflecting the greater flexibility workers generally have after leaving the workplace. More importantly, stop-making rises strongly and progressively with telecommuting frequency. Relative to workers who did not telecommute, low-, medium-, and high-frequency telecommuters were increasingly more likely to make intermediate stops on the days they traveled to the workplace. The treatment-effect estimates indicate that these differences are substantial, particularly among medium- and high-frequency telecommuters. </w:t>
      </w:r>
    </w:p>
    <w:p w14:paraId="2AB69E8F"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The relationship between telecommuting and stop-making is also not uniform across the week. The positive association between telecommuting and W-to-H stop-making is attenuated on Thursday and Friday for low-frequency telecommuters and on Friday for medium-frequency telecommuters. This finding suggests that hybrid workers do not follow a single, stable pattern of commute trip chaining across all commuting days. Shopping, errands, household responsibilities, and discretionary activities may be distributed across remote and workplace days according to weekly schedules and activity needs. The results therefore reinforce the importance of treating day of week as a behavioral dimension rather than assuming that all weekdays are equivalent.</w:t>
      </w:r>
    </w:p>
    <w:p w14:paraId="3AED9F7A"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Other findings provide additional context. Workers with children are more likely to make stops in both directions, consistent with escorting and household-serving responsibilities. Older workers are less likely to make H-to-W stops, while public-transit commuters are less likely to make stops in either direction. Built environment and commute characteristics also influence stop-</w:t>
      </w:r>
      <w:r w:rsidRPr="00765230">
        <w:rPr>
          <w:rFonts w:ascii="Times New Roman" w:hAnsi="Times New Roman" w:cs="Times New Roman"/>
        </w:rPr>
        <w:lastRenderedPageBreak/>
        <w:t>making. Overall, commute trip chaining reflects the combined influence of household obligations, travel conditions, work arrangements, and the surrounding transportation environment.</w:t>
      </w:r>
    </w:p>
    <w:p w14:paraId="490BE8C1"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The planning implications are significant. Telecommuting should not be represented simply as the removal of commute trips on remote days. Fewer workplace commute days may be accompanied by more complex tours, additional trip segments, and changes in departure time, route, and destination on commute days. These changes may influence peak-period demand even when total commute frequency declines. The findings do not establish that additional stop-making offsets the travel reductions associated with remote work. They do show, however, that a simple commute-trip substitution framework provides an incomplete account of telecommuting impacts.</w:t>
      </w:r>
    </w:p>
    <w:p w14:paraId="68ED215B"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Activity-based travel demand models should therefore distinguish among telecommuting frequencies, represent H-to-W and W-to-H stop-making separately, and account for day-of-week variation. Treating all telecommuters as a homogeneous group or applying the same tour structure to every weekday may misrepresent trip generation, tour complexity, and network demand. The significant dependence between the two commute-direction outcomes supports a joint modeling approach, while the significant respondent-specific effects show that some workers have a persistent tendency to make more or fewer stops across their commute days, reinforcing the importance of accounting for repeated observations from the same individual.</w:t>
      </w:r>
    </w:p>
    <w:p w14:paraId="6C2599D1" w14:textId="77777777" w:rsidR="00765230" w:rsidRPr="00765230"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The study has several limitations. The survey identifies only whether at least one intermediate stop occurred and does not capture the number, purpose, timing, location, duration, or travel distance associated with those stops. It is therefore not possible to determine whether stops generated additional travel, replaced separate trips, or represented minor deviations along the commute route. High-frequency telecommuters also constitute a relatively small share of the sample, and hence their large estimated effects should be interpreted cautiously.</w:t>
      </w:r>
    </w:p>
    <w:p w14:paraId="187FF7D7" w14:textId="798AC721" w:rsidR="00447D34" w:rsidRPr="00233222" w:rsidRDefault="00765230" w:rsidP="00765230">
      <w:pPr>
        <w:spacing w:after="0" w:line="240" w:lineRule="auto"/>
        <w:ind w:firstLine="720"/>
        <w:jc w:val="both"/>
        <w:rPr>
          <w:rFonts w:ascii="Times New Roman" w:hAnsi="Times New Roman" w:cs="Times New Roman"/>
        </w:rPr>
      </w:pPr>
      <w:r w:rsidRPr="00765230">
        <w:rPr>
          <w:rFonts w:ascii="Times New Roman" w:hAnsi="Times New Roman" w:cs="Times New Roman"/>
        </w:rPr>
        <w:t>Future research should use richer weekly activity-travel data to examine stop sequences, purposes, locations, timing, and the sequencing of remote and workplace days. Larger samples of high-frequency telecommuters would allow more precise estimates of their workplace-day travel patterns. Additional research analyzing commute travel mode choice jointly with commute stop-making and teleworking choice would better recognize potential package decision-making among these dimensions. Overall, the study shows that hybrid work reorganizes the weekly activity and travel rather than merely eliminating commute days. Capturing this reorganization is essential for travel demand models seeking to represent the post-COVID mobility landscape accurately.</w:t>
      </w:r>
      <w:r w:rsidR="005E724D" w:rsidRPr="00233222">
        <w:rPr>
          <w:rFonts w:ascii="Times New Roman" w:hAnsi="Times New Roman" w:cs="Times New Roman"/>
        </w:rPr>
        <w:t xml:space="preserve"> </w:t>
      </w:r>
    </w:p>
    <w:p w14:paraId="2649BB5C" w14:textId="77777777" w:rsidR="00447D34" w:rsidRPr="00233222" w:rsidRDefault="00447D34" w:rsidP="006D5CF1">
      <w:pPr>
        <w:spacing w:after="0" w:line="240" w:lineRule="auto"/>
        <w:ind w:firstLine="720"/>
        <w:jc w:val="both"/>
        <w:rPr>
          <w:rFonts w:ascii="Times New Roman" w:hAnsi="Times New Roman" w:cs="Times New Roman"/>
        </w:rPr>
      </w:pPr>
    </w:p>
    <w:p w14:paraId="7AE467E6" w14:textId="15235800" w:rsidR="00447D34" w:rsidRPr="00233222" w:rsidRDefault="005D3C1D" w:rsidP="006D5CF1">
      <w:pPr>
        <w:pStyle w:val="Heading1"/>
        <w:numPr>
          <w:ilvl w:val="0"/>
          <w:numId w:val="0"/>
        </w:numPr>
        <w:spacing w:before="0" w:line="240" w:lineRule="auto"/>
        <w:rPr>
          <w:szCs w:val="24"/>
        </w:rPr>
      </w:pPr>
      <w:r w:rsidRPr="00233222">
        <w:rPr>
          <w:szCs w:val="24"/>
        </w:rPr>
        <w:t>ACKNOWLEDGEMENTS</w:t>
      </w:r>
    </w:p>
    <w:p w14:paraId="5714D079" w14:textId="3EAFA708" w:rsidR="004F4F98" w:rsidRDefault="005116AC" w:rsidP="00233222">
      <w:pPr>
        <w:spacing w:after="0" w:line="240" w:lineRule="auto"/>
        <w:jc w:val="both"/>
        <w:rPr>
          <w:rFonts w:ascii="Times New Roman" w:hAnsi="Times New Roman" w:cs="Times New Roman"/>
        </w:rPr>
      </w:pPr>
      <w:r w:rsidRPr="005116AC">
        <w:rPr>
          <w:rFonts w:ascii="Times New Roman" w:hAnsi="Times New Roman" w:cs="Times New Roman"/>
        </w:rPr>
        <w:t xml:space="preserve">This research was partially supported by the National Center for Understanding Future Travel Behavior and Demand (TBD), which is a National University Transportation Center sponsored by the US Department of Transportation under grant numbers 69A3552344815 and 69A3552348320. </w:t>
      </w:r>
      <w:r w:rsidR="00165392" w:rsidRPr="00233222">
        <w:rPr>
          <w:rFonts w:ascii="Times New Roman" w:hAnsi="Times New Roman" w:cs="Times New Roman"/>
        </w:rPr>
        <w:t>The authors are grateful to Lisa Macias for her help in formatting this document.</w:t>
      </w:r>
    </w:p>
    <w:p w14:paraId="73A7A563" w14:textId="77777777" w:rsidR="004F4F98" w:rsidRDefault="004F4F98">
      <w:pPr>
        <w:rPr>
          <w:rFonts w:ascii="Times New Roman" w:hAnsi="Times New Roman" w:cs="Times New Roman"/>
        </w:rPr>
      </w:pPr>
      <w:r>
        <w:rPr>
          <w:rFonts w:ascii="Times New Roman" w:hAnsi="Times New Roman" w:cs="Times New Roman"/>
        </w:rPr>
        <w:br w:type="page"/>
      </w:r>
    </w:p>
    <w:p w14:paraId="694B3D49" w14:textId="548E8953" w:rsidR="009111A8" w:rsidRPr="00233222" w:rsidRDefault="005B4846" w:rsidP="00233222">
      <w:pPr>
        <w:spacing w:after="0" w:line="240" w:lineRule="auto"/>
        <w:jc w:val="both"/>
        <w:rPr>
          <w:rFonts w:ascii="Times New Roman" w:hAnsi="Times New Roman" w:cs="Times New Roman"/>
          <w:b/>
          <w:bCs/>
        </w:rPr>
      </w:pPr>
      <w:r w:rsidRPr="00233222">
        <w:rPr>
          <w:rFonts w:ascii="Times New Roman" w:hAnsi="Times New Roman" w:cs="Times New Roman"/>
          <w:b/>
          <w:bCs/>
        </w:rPr>
        <w:lastRenderedPageBreak/>
        <w:t>REFERENCES</w:t>
      </w:r>
    </w:p>
    <w:p w14:paraId="354CAA2F" w14:textId="6F51B514" w:rsidR="00F23A8A" w:rsidRPr="00C50D52" w:rsidRDefault="00206459"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hAnsi="Times New Roman" w:cs="Times New Roman"/>
        </w:rPr>
        <w:fldChar w:fldCharType="begin"/>
      </w:r>
      <w:r w:rsidR="003D22CE" w:rsidRPr="00C50D52">
        <w:rPr>
          <w:rFonts w:ascii="Times New Roman" w:hAnsi="Times New Roman" w:cs="Times New Roman"/>
        </w:rPr>
        <w:instrText xml:space="preserve"> ADDIN ZOTERO_BIBL {"uncited":[],"omitted":[],"custom":[]} CSL_BIBLIOGRAPHY </w:instrText>
      </w:r>
      <w:r w:rsidRPr="00C50D52">
        <w:rPr>
          <w:rFonts w:ascii="Times New Roman" w:hAnsi="Times New Roman" w:cs="Times New Roman"/>
        </w:rPr>
        <w:fldChar w:fldCharType="separate"/>
      </w:r>
      <w:r w:rsidR="00F23A8A" w:rsidRPr="00C50D52">
        <w:rPr>
          <w:rFonts w:ascii="Times New Roman" w:eastAsia="Times New Roman" w:hAnsi="Times New Roman" w:cs="Times New Roman"/>
          <w:kern w:val="0"/>
          <w14:ligatures w14:val="none"/>
        </w:rPr>
        <w:t>Asmussen, K</w:t>
      </w:r>
      <w:r w:rsidR="00FF58AE" w:rsidRPr="00C50D52">
        <w:rPr>
          <w:rFonts w:ascii="Times New Roman" w:eastAsia="Times New Roman" w:hAnsi="Times New Roman" w:cs="Times New Roman"/>
          <w:kern w:val="0"/>
          <w14:ligatures w14:val="none"/>
        </w:rPr>
        <w:t>.</w:t>
      </w:r>
      <w:r w:rsidR="00F23A8A" w:rsidRPr="00C50D52">
        <w:rPr>
          <w:rFonts w:ascii="Times New Roman" w:eastAsia="Times New Roman" w:hAnsi="Times New Roman" w:cs="Times New Roman"/>
          <w:kern w:val="0"/>
          <w14:ligatures w14:val="none"/>
        </w:rPr>
        <w:t>E., A</w:t>
      </w:r>
      <w:r w:rsidR="00FF58AE" w:rsidRPr="00C50D52">
        <w:rPr>
          <w:rFonts w:ascii="Times New Roman" w:eastAsia="Times New Roman" w:hAnsi="Times New Roman" w:cs="Times New Roman"/>
          <w:kern w:val="0"/>
          <w14:ligatures w14:val="none"/>
        </w:rPr>
        <w:t>.</w:t>
      </w:r>
      <w:r w:rsidR="00F23A8A" w:rsidRPr="00C50D52">
        <w:rPr>
          <w:rFonts w:ascii="Times New Roman" w:eastAsia="Times New Roman" w:hAnsi="Times New Roman" w:cs="Times New Roman"/>
          <w:kern w:val="0"/>
          <w14:ligatures w14:val="none"/>
        </w:rPr>
        <w:t>J. Haddad, and C</w:t>
      </w:r>
      <w:r w:rsidR="00FF58AE" w:rsidRPr="00C50D52">
        <w:rPr>
          <w:rFonts w:ascii="Times New Roman" w:eastAsia="Times New Roman" w:hAnsi="Times New Roman" w:cs="Times New Roman"/>
          <w:kern w:val="0"/>
          <w14:ligatures w14:val="none"/>
        </w:rPr>
        <w:t>.</w:t>
      </w:r>
      <w:r w:rsidR="00F23A8A" w:rsidRPr="00C50D52">
        <w:rPr>
          <w:rFonts w:ascii="Times New Roman" w:eastAsia="Times New Roman" w:hAnsi="Times New Roman" w:cs="Times New Roman"/>
          <w:kern w:val="0"/>
          <w14:ligatures w14:val="none"/>
        </w:rPr>
        <w:t xml:space="preserve">R. Bhat. 2026. “Telework-to-Play or Play-to-Telework? Investigating the Directional Relationship between Telework and Nonwork Travel.” </w:t>
      </w:r>
      <w:r w:rsidR="00F23A8A" w:rsidRPr="00C50D52">
        <w:rPr>
          <w:rFonts w:ascii="Times New Roman" w:eastAsia="Times New Roman" w:hAnsi="Times New Roman" w:cs="Times New Roman"/>
          <w:i/>
          <w:iCs/>
          <w:kern w:val="0"/>
          <w14:ligatures w14:val="none"/>
        </w:rPr>
        <w:t>Transportation Research Part A: Policy and Practice</w:t>
      </w:r>
      <w:r w:rsidR="00F23A8A" w:rsidRPr="00C50D52">
        <w:rPr>
          <w:rFonts w:ascii="Times New Roman" w:eastAsia="Times New Roman" w:hAnsi="Times New Roman" w:cs="Times New Roman"/>
          <w:kern w:val="0"/>
          <w14:ligatures w14:val="none"/>
        </w:rPr>
        <w:t xml:space="preserve"> 206: 104857. https://doi.org/10.1016/j.tra.2025.104857.</w:t>
      </w:r>
    </w:p>
    <w:p w14:paraId="5929A869" w14:textId="77777777"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Atlanta Regional Commission. 2026. “Regional Commuter Survey - ARC.” </w:t>
      </w:r>
      <w:r w:rsidRPr="00C50D52">
        <w:rPr>
          <w:rFonts w:ascii="Times New Roman" w:eastAsia="Times New Roman" w:hAnsi="Times New Roman" w:cs="Times New Roman"/>
          <w:i/>
          <w:iCs/>
          <w:kern w:val="0"/>
          <w14:ligatures w14:val="none"/>
        </w:rPr>
        <w:t>ARC</w:t>
      </w:r>
      <w:r w:rsidRPr="00C50D52">
        <w:rPr>
          <w:rFonts w:ascii="Times New Roman" w:eastAsia="Times New Roman" w:hAnsi="Times New Roman" w:cs="Times New Roman"/>
          <w:kern w:val="0"/>
          <w14:ligatures w14:val="none"/>
        </w:rPr>
        <w:t>, February 24. https://atlantaregional.org/what-we-do/mobility-services/regional-commuter-survey/.</w:t>
      </w:r>
    </w:p>
    <w:p w14:paraId="2E2EAE18" w14:textId="367790F5"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14:ligatures w14:val="none"/>
        </w:rPr>
        <w:t>Balbontin</w:t>
      </w:r>
      <w:proofErr w:type="spellEnd"/>
      <w:r w:rsidRPr="00C50D52">
        <w:rPr>
          <w:rFonts w:ascii="Times New Roman" w:eastAsia="Times New Roman" w:hAnsi="Times New Roman" w:cs="Times New Roman"/>
          <w:kern w:val="0"/>
          <w14:ligatures w14:val="none"/>
        </w:rPr>
        <w:t>, C</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D</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A. </w:t>
      </w:r>
      <w:proofErr w:type="spellStart"/>
      <w:r w:rsidRPr="00C50D52">
        <w:rPr>
          <w:rFonts w:ascii="Times New Roman" w:eastAsia="Times New Roman" w:hAnsi="Times New Roman" w:cs="Times New Roman"/>
          <w:kern w:val="0"/>
          <w14:ligatures w14:val="none"/>
        </w:rPr>
        <w:t>Hensher</w:t>
      </w:r>
      <w:proofErr w:type="spellEnd"/>
      <w:r w:rsidRPr="00C50D52">
        <w:rPr>
          <w:rFonts w:ascii="Times New Roman" w:eastAsia="Times New Roman" w:hAnsi="Times New Roman" w:cs="Times New Roman"/>
          <w:kern w:val="0"/>
          <w14:ligatures w14:val="none"/>
        </w:rPr>
        <w:t>, and M</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J. Beck. 2024. “The Influence of Working from Home and Underlying Attitudes on the Number of Commuting and Non-Commuting Trips by Workers during 2020 and 2021 Pre- and Post-Lockdown in Australia.” </w:t>
      </w:r>
      <w:r w:rsidRPr="00C50D52">
        <w:rPr>
          <w:rFonts w:ascii="Times New Roman" w:eastAsia="Times New Roman" w:hAnsi="Times New Roman" w:cs="Times New Roman"/>
          <w:i/>
          <w:iCs/>
          <w:kern w:val="0"/>
          <w14:ligatures w14:val="none"/>
        </w:rPr>
        <w:t>Transportation Research Part A: Policy and Practice</w:t>
      </w:r>
      <w:r w:rsidRPr="00C50D52">
        <w:rPr>
          <w:rFonts w:ascii="Times New Roman" w:eastAsia="Times New Roman" w:hAnsi="Times New Roman" w:cs="Times New Roman"/>
          <w:kern w:val="0"/>
          <w14:ligatures w14:val="none"/>
        </w:rPr>
        <w:t xml:space="preserve"> 179: 103937. https://doi.org/10.1016/j.tra.2023.103937.</w:t>
      </w:r>
    </w:p>
    <w:p w14:paraId="4FD9A26A" w14:textId="2400DCA6"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Bautista-Hernández, D. 2020. “Urban Structure and Its Influence on Trip Chaining Complexity in the Mexico City Metropolitan Area.” </w:t>
      </w:r>
      <w:r w:rsidRPr="00C50D52">
        <w:rPr>
          <w:rFonts w:ascii="Times New Roman" w:eastAsia="Times New Roman" w:hAnsi="Times New Roman" w:cs="Times New Roman"/>
          <w:i/>
          <w:iCs/>
          <w:kern w:val="0"/>
          <w14:ligatures w14:val="none"/>
        </w:rPr>
        <w:t>Urban, Planning and Transport Research</w:t>
      </w:r>
      <w:r w:rsidRPr="00C50D52">
        <w:rPr>
          <w:rFonts w:ascii="Times New Roman" w:eastAsia="Times New Roman" w:hAnsi="Times New Roman" w:cs="Times New Roman"/>
          <w:kern w:val="0"/>
          <w14:ligatures w14:val="none"/>
        </w:rPr>
        <w:t xml:space="preserve"> 8 (1): 71–97. https://doi.org/10.1080/21650020.2019.1708784.</w:t>
      </w:r>
    </w:p>
    <w:p w14:paraId="6B389239" w14:textId="2BBC1A4A"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14:ligatures w14:val="none"/>
        </w:rPr>
        <w:t>Caldarola</w:t>
      </w:r>
      <w:proofErr w:type="spellEnd"/>
      <w:r w:rsidRPr="00C50D52">
        <w:rPr>
          <w:rFonts w:ascii="Times New Roman" w:eastAsia="Times New Roman" w:hAnsi="Times New Roman" w:cs="Times New Roman"/>
          <w:kern w:val="0"/>
          <w14:ligatures w14:val="none"/>
        </w:rPr>
        <w:t>, B</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and S</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Sorrell. 2022. “Do Teleworkers Travel Less? Evidence from the English National Travel Survey.” </w:t>
      </w:r>
      <w:r w:rsidRPr="00C50D52">
        <w:rPr>
          <w:rFonts w:ascii="Times New Roman" w:eastAsia="Times New Roman" w:hAnsi="Times New Roman" w:cs="Times New Roman"/>
          <w:i/>
          <w:iCs/>
          <w:kern w:val="0"/>
          <w14:ligatures w14:val="none"/>
        </w:rPr>
        <w:t>Transportation Research Part A: Policy and Practice</w:t>
      </w:r>
      <w:r w:rsidRPr="00C50D52">
        <w:rPr>
          <w:rFonts w:ascii="Times New Roman" w:eastAsia="Times New Roman" w:hAnsi="Times New Roman" w:cs="Times New Roman"/>
          <w:kern w:val="0"/>
          <w14:ligatures w14:val="none"/>
        </w:rPr>
        <w:t xml:space="preserve"> 159: 282–303. https://doi.org/10.1016/j.tra.2022.03.026.</w:t>
      </w:r>
    </w:p>
    <w:p w14:paraId="744E8D1D" w14:textId="4A59B31D"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14:ligatures w14:val="none"/>
        </w:rPr>
        <w:t>Caros</w:t>
      </w:r>
      <w:proofErr w:type="spellEnd"/>
      <w:r w:rsidRPr="00C50D52">
        <w:rPr>
          <w:rFonts w:ascii="Times New Roman" w:eastAsia="Times New Roman" w:hAnsi="Times New Roman" w:cs="Times New Roman"/>
          <w:kern w:val="0"/>
          <w14:ligatures w14:val="none"/>
        </w:rPr>
        <w:t>, N</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S., X</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Guo, Y</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Zheng, and J</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Zhao. 2023. “The Impacts of Remote Work on Travel: Insights from Nearly Three Years of Monthly Surveys.” arXiv:2303.06186. Preprint, arXiv, March 10. https://doi.org/10.48550/arXiv.2303.06186.</w:t>
      </w:r>
    </w:p>
    <w:p w14:paraId="04888DD8" w14:textId="32EB773D"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Chapman, J</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E</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H. Fox, W</w:t>
      </w:r>
      <w:r w:rsidR="00FF58AE" w:rsidRPr="00C50D52">
        <w:rPr>
          <w:rFonts w:ascii="Times New Roman" w:eastAsia="Times New Roman" w:hAnsi="Times New Roman" w:cs="Times New Roman"/>
          <w:kern w:val="0"/>
          <w14:ligatures w14:val="none"/>
        </w:rPr>
        <w:t xml:space="preserve">. </w:t>
      </w:r>
      <w:r w:rsidRPr="00C50D52">
        <w:rPr>
          <w:rFonts w:ascii="Times New Roman" w:eastAsia="Times New Roman" w:hAnsi="Times New Roman" w:cs="Times New Roman"/>
          <w:kern w:val="0"/>
          <w14:ligatures w14:val="none"/>
        </w:rPr>
        <w:t>Bachman, L</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D. Frank, J</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Thomas, and A. Rourk Reyes. 2021. “Smart Location Database Technical Documentation and User Guide Version 3.0.” </w:t>
      </w:r>
      <w:r w:rsidRPr="00C50D52">
        <w:rPr>
          <w:rFonts w:ascii="Times New Roman" w:eastAsia="Times New Roman" w:hAnsi="Times New Roman" w:cs="Times New Roman"/>
          <w:i/>
          <w:iCs/>
          <w:kern w:val="0"/>
          <w14:ligatures w14:val="none"/>
        </w:rPr>
        <w:t>Environmental Protection Agency EPA</w:t>
      </w:r>
      <w:r w:rsidRPr="00C50D52">
        <w:rPr>
          <w:rFonts w:ascii="Times New Roman" w:eastAsia="Times New Roman" w:hAnsi="Times New Roman" w:cs="Times New Roman"/>
          <w:kern w:val="0"/>
          <w14:ligatures w14:val="none"/>
        </w:rPr>
        <w:t xml:space="preserve"> 2006.</w:t>
      </w:r>
    </w:p>
    <w:p w14:paraId="05B65823" w14:textId="088C39A8"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De Abreu e Silva, J. 2018. “The Effects of Land-Use Patterns on Home-Based Tour Complexity and Total Distances Traveled: A Path Analysis.” </w:t>
      </w:r>
      <w:r w:rsidRPr="00C50D52">
        <w:rPr>
          <w:rFonts w:ascii="Times New Roman" w:eastAsia="Times New Roman" w:hAnsi="Times New Roman" w:cs="Times New Roman"/>
          <w:i/>
          <w:iCs/>
          <w:kern w:val="0"/>
          <w14:ligatures w14:val="none"/>
        </w:rPr>
        <w:t>Sustainability</w:t>
      </w:r>
      <w:r w:rsidRPr="00C50D52">
        <w:rPr>
          <w:rFonts w:ascii="Times New Roman" w:eastAsia="Times New Roman" w:hAnsi="Times New Roman" w:cs="Times New Roman"/>
          <w:kern w:val="0"/>
          <w14:ligatures w14:val="none"/>
        </w:rPr>
        <w:t xml:space="preserve"> 10 (3): 830. https://doi.org/10.3390/su10030830.</w:t>
      </w:r>
    </w:p>
    <w:p w14:paraId="3F5FE0D3" w14:textId="747E772D"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Greene, W</w:t>
      </w:r>
      <w:r w:rsidR="00FF58AE"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H. 2003. </w:t>
      </w:r>
      <w:r w:rsidRPr="00C50D52">
        <w:rPr>
          <w:rFonts w:ascii="Times New Roman" w:eastAsia="Times New Roman" w:hAnsi="Times New Roman" w:cs="Times New Roman"/>
          <w:i/>
          <w:iCs/>
          <w:kern w:val="0"/>
          <w14:ligatures w14:val="none"/>
        </w:rPr>
        <w:t>Econometric Analysis</w:t>
      </w:r>
      <w:r w:rsidRPr="00C50D52">
        <w:rPr>
          <w:rFonts w:ascii="Times New Roman" w:eastAsia="Times New Roman" w:hAnsi="Times New Roman" w:cs="Times New Roman"/>
          <w:kern w:val="0"/>
          <w14:ligatures w14:val="none"/>
        </w:rPr>
        <w:t xml:space="preserve">. </w:t>
      </w:r>
      <w:bookmarkStart w:id="3" w:name="_Hlk236320090"/>
      <w:r w:rsidR="00FF58AE" w:rsidRPr="00C50D52">
        <w:rPr>
          <w:rFonts w:ascii="Times New Roman" w:eastAsia="Times New Roman" w:hAnsi="Times New Roman" w:cs="Times New Roman"/>
          <w:kern w:val="0"/>
          <w14:ligatures w14:val="none"/>
        </w:rPr>
        <w:t>5</w:t>
      </w:r>
      <w:r w:rsidR="00FF58AE" w:rsidRPr="00C50D52">
        <w:rPr>
          <w:rFonts w:ascii="Times New Roman" w:eastAsia="Times New Roman" w:hAnsi="Times New Roman" w:cs="Times New Roman"/>
          <w:kern w:val="0"/>
          <w:vertAlign w:val="superscript"/>
          <w14:ligatures w14:val="none"/>
        </w:rPr>
        <w:t>th</w:t>
      </w:r>
      <w:r w:rsidR="00FF58AE" w:rsidRPr="00C50D52">
        <w:rPr>
          <w:rFonts w:ascii="Times New Roman" w:eastAsia="Times New Roman" w:hAnsi="Times New Roman" w:cs="Times New Roman"/>
          <w:kern w:val="0"/>
          <w14:ligatures w14:val="none"/>
        </w:rPr>
        <w:t xml:space="preserve"> edition, </w:t>
      </w:r>
      <w:r w:rsidRPr="00C50D52">
        <w:rPr>
          <w:rFonts w:ascii="Times New Roman" w:eastAsia="Times New Roman" w:hAnsi="Times New Roman" w:cs="Times New Roman"/>
          <w:kern w:val="0"/>
          <w14:ligatures w14:val="none"/>
        </w:rPr>
        <w:t xml:space="preserve">Pearson </w:t>
      </w:r>
      <w:r w:rsidR="00FF58AE" w:rsidRPr="00C50D52">
        <w:rPr>
          <w:rFonts w:ascii="Times New Roman" w:eastAsia="Times New Roman" w:hAnsi="Times New Roman" w:cs="Times New Roman"/>
          <w:kern w:val="0"/>
          <w14:ligatures w14:val="none"/>
        </w:rPr>
        <w:t>E</w:t>
      </w:r>
      <w:r w:rsidRPr="00C50D52">
        <w:rPr>
          <w:rFonts w:ascii="Times New Roman" w:eastAsia="Times New Roman" w:hAnsi="Times New Roman" w:cs="Times New Roman"/>
          <w:kern w:val="0"/>
          <w14:ligatures w14:val="none"/>
        </w:rPr>
        <w:t xml:space="preserve">ducation </w:t>
      </w:r>
      <w:r w:rsidR="00FF58AE" w:rsidRPr="00C50D52">
        <w:rPr>
          <w:rFonts w:ascii="Times New Roman" w:eastAsia="Times New Roman" w:hAnsi="Times New Roman" w:cs="Times New Roman"/>
          <w:kern w:val="0"/>
          <w14:ligatures w14:val="none"/>
        </w:rPr>
        <w:t>Inc</w:t>
      </w:r>
      <w:bookmarkEnd w:id="3"/>
      <w:r w:rsidR="00FF58AE" w:rsidRPr="00C50D52">
        <w:rPr>
          <w:rFonts w:ascii="Times New Roman" w:eastAsia="Times New Roman" w:hAnsi="Times New Roman" w:cs="Times New Roman"/>
          <w:kern w:val="0"/>
          <w14:ligatures w14:val="none"/>
        </w:rPr>
        <w:t>.</w:t>
      </w:r>
    </w:p>
    <w:p w14:paraId="5C40DBA3" w14:textId="26D51F60"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Handy, S. 2025. </w:t>
      </w:r>
      <w:r w:rsidRPr="00C50D52">
        <w:rPr>
          <w:rFonts w:ascii="Times New Roman" w:eastAsia="Times New Roman" w:hAnsi="Times New Roman" w:cs="Times New Roman"/>
          <w:i/>
          <w:iCs/>
          <w:kern w:val="0"/>
          <w14:ligatures w14:val="none"/>
        </w:rPr>
        <w:t>Telecommuting</w:t>
      </w:r>
      <w:r w:rsidRPr="00C50D52">
        <w:rPr>
          <w:rFonts w:ascii="Times New Roman" w:eastAsia="Times New Roman" w:hAnsi="Times New Roman" w:cs="Times New Roman"/>
          <w:kern w:val="0"/>
          <w14:ligatures w14:val="none"/>
        </w:rPr>
        <w:t xml:space="preserve">. </w:t>
      </w:r>
      <w:bookmarkStart w:id="4" w:name="_Hlk236320101"/>
      <w:r w:rsidR="00FF58AE" w:rsidRPr="00C50D52">
        <w:rPr>
          <w:rFonts w:ascii="Times New Roman" w:hAnsi="Times New Roman" w:cs="Times New Roman"/>
        </w:rPr>
        <w:t>UC Davis: Institute of Transportation Studies</w:t>
      </w:r>
      <w:r w:rsidRPr="00C50D52">
        <w:rPr>
          <w:rFonts w:ascii="Times New Roman" w:hAnsi="Times New Roman" w:cs="Times New Roman"/>
        </w:rPr>
        <w:t>.</w:t>
      </w:r>
      <w:bookmarkEnd w:id="4"/>
      <w:r w:rsidRPr="00C50D52">
        <w:rPr>
          <w:rFonts w:ascii="Times New Roman" w:eastAsia="Times New Roman" w:hAnsi="Times New Roman" w:cs="Times New Roman"/>
          <w:kern w:val="0"/>
          <w14:ligatures w14:val="none"/>
        </w:rPr>
        <w:t xml:space="preserve"> https://doi.org/10.7922/G24B2ZNV.</w:t>
      </w:r>
    </w:p>
    <w:p w14:paraId="3F36E604" w14:textId="0C10B3AC"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14:ligatures w14:val="none"/>
        </w:rPr>
        <w:t>Iogansen</w:t>
      </w:r>
      <w:proofErr w:type="spellEnd"/>
      <w:r w:rsidRPr="00C50D52">
        <w:rPr>
          <w:rFonts w:ascii="Times New Roman" w:eastAsia="Times New Roman" w:hAnsi="Times New Roman" w:cs="Times New Roman"/>
          <w:kern w:val="0"/>
          <w14:ligatures w14:val="none"/>
        </w:rPr>
        <w:t>, X</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J</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K. Malik, Y</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Lee, and G</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Circella. 2024. “Change in Work Arrangement during the COVID-19 Pandemic: A Large Shift to Remote and Hybrid Work.” </w:t>
      </w:r>
      <w:r w:rsidRPr="00C50D52">
        <w:rPr>
          <w:rFonts w:ascii="Times New Roman" w:eastAsia="Times New Roman" w:hAnsi="Times New Roman" w:cs="Times New Roman"/>
          <w:i/>
          <w:iCs/>
          <w:kern w:val="0"/>
          <w14:ligatures w14:val="none"/>
        </w:rPr>
        <w:t>Transportation Research Interdisciplinary Perspectives</w:t>
      </w:r>
      <w:r w:rsidRPr="00C50D52">
        <w:rPr>
          <w:rFonts w:ascii="Times New Roman" w:eastAsia="Times New Roman" w:hAnsi="Times New Roman" w:cs="Times New Roman"/>
          <w:kern w:val="0"/>
          <w14:ligatures w14:val="none"/>
        </w:rPr>
        <w:t xml:space="preserve"> 25: 100969. https://doi.org/10.1016/j.trip.2023.100969.</w:t>
      </w:r>
    </w:p>
    <w:p w14:paraId="3822ED36" w14:textId="30DED895"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Jia, G</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K</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Ng, E</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t>
      </w:r>
      <w:proofErr w:type="spellStart"/>
      <w:r w:rsidRPr="00C50D52">
        <w:rPr>
          <w:rFonts w:ascii="Times New Roman" w:eastAsia="Times New Roman" w:hAnsi="Times New Roman" w:cs="Times New Roman"/>
          <w:kern w:val="0"/>
          <w14:ligatures w14:val="none"/>
        </w:rPr>
        <w:t>Ugurel</w:t>
      </w:r>
      <w:proofErr w:type="spellEnd"/>
      <w:r w:rsidRPr="00C50D52">
        <w:rPr>
          <w:rFonts w:ascii="Times New Roman" w:eastAsia="Times New Roman" w:hAnsi="Times New Roman" w:cs="Times New Roman"/>
          <w:kern w:val="0"/>
          <w14:ligatures w14:val="none"/>
        </w:rPr>
        <w:t>, B</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Lee, R</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Pendyala, and C</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Chen. 2025. “COVID &amp; Telecommuting-Induced Changes in Individual Activity and Travel Patterns: Evidence from the Puget Sound Region.” </w:t>
      </w:r>
      <w:r w:rsidRPr="00C50D52">
        <w:rPr>
          <w:rFonts w:ascii="Times New Roman" w:eastAsia="Times New Roman" w:hAnsi="Times New Roman" w:cs="Times New Roman"/>
          <w:i/>
          <w:iCs/>
          <w:kern w:val="0"/>
          <w14:ligatures w14:val="none"/>
        </w:rPr>
        <w:t>Transport Policy</w:t>
      </w:r>
      <w:r w:rsidRPr="00C50D52">
        <w:rPr>
          <w:rFonts w:ascii="Times New Roman" w:eastAsia="Times New Roman" w:hAnsi="Times New Roman" w:cs="Times New Roman"/>
          <w:kern w:val="0"/>
          <w14:ligatures w14:val="none"/>
        </w:rPr>
        <w:t xml:space="preserve"> 173: 103772. https://doi.org/10.1016/j.tranpol.2025.103772.</w:t>
      </w:r>
    </w:p>
    <w:p w14:paraId="2EF30E94" w14:textId="3A8A36E4"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Kothawala, A</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J. Haddad, P</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Loa, Y</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Lee, G</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Circella, and C</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R. Bhat. 2025. “Hybrid Workers’ Activity Intensity: Post-Pandemic Comparison of Telework-Only and in-Person Workdays.” </w:t>
      </w:r>
      <w:r w:rsidRPr="00C50D52">
        <w:rPr>
          <w:rFonts w:ascii="Times New Roman" w:eastAsia="Times New Roman" w:hAnsi="Times New Roman" w:cs="Times New Roman"/>
          <w:i/>
          <w:iCs/>
          <w:kern w:val="0"/>
          <w14:ligatures w14:val="none"/>
        </w:rPr>
        <w:t>Transportation Research Record</w:t>
      </w:r>
      <w:r w:rsidRPr="00C50D52">
        <w:rPr>
          <w:rFonts w:ascii="Times New Roman" w:eastAsia="Times New Roman" w:hAnsi="Times New Roman" w:cs="Times New Roman"/>
          <w:kern w:val="0"/>
          <w14:ligatures w14:val="none"/>
        </w:rPr>
        <w:t xml:space="preserve"> 2679 (11): 260–73. https://doi.org/10.1177/03611981251347299.</w:t>
      </w:r>
    </w:p>
    <w:p w14:paraId="0426F943" w14:textId="2D0BE0C3" w:rsidR="00C50D52"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Lee,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and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G. McNally. 2006. "An Empirical Investigation on the Dynamic Processes of Activity Scheduling and Trip Chaining." </w:t>
      </w:r>
      <w:r w:rsidRPr="00C50D52">
        <w:rPr>
          <w:rFonts w:ascii="Times New Roman" w:eastAsia="Times New Roman" w:hAnsi="Times New Roman" w:cs="Times New Roman"/>
          <w:i/>
          <w:iCs/>
          <w:kern w:val="0"/>
          <w14:ligatures w14:val="none"/>
        </w:rPr>
        <w:t>Transportation</w:t>
      </w:r>
      <w:r w:rsidRPr="00C50D52">
        <w:rPr>
          <w:rFonts w:ascii="Times New Roman" w:eastAsia="Times New Roman" w:hAnsi="Times New Roman" w:cs="Times New Roman"/>
          <w:kern w:val="0"/>
          <w14:ligatures w14:val="none"/>
        </w:rPr>
        <w:t> 33: 553</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565</w:t>
      </w:r>
      <w:r w:rsidR="000C1BA7">
        <w:rPr>
          <w:rFonts w:ascii="Times New Roman" w:eastAsia="Times New Roman" w:hAnsi="Times New Roman" w:cs="Times New Roman"/>
          <w:kern w:val="0"/>
          <w14:ligatures w14:val="none"/>
        </w:rPr>
        <w:t>.</w:t>
      </w:r>
    </w:p>
    <w:p w14:paraId="2BA33084" w14:textId="1B617089"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Lockwood, A</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M., S</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Srinivasan, and C</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R. Bhat.</w:t>
      </w:r>
      <w:r w:rsidR="00C50D52" w:rsidRPr="00C50D52">
        <w:rPr>
          <w:rFonts w:ascii="Times New Roman" w:eastAsia="Times New Roman" w:hAnsi="Times New Roman" w:cs="Times New Roman"/>
          <w:kern w:val="0"/>
          <w14:ligatures w14:val="none"/>
        </w:rPr>
        <w:t xml:space="preserve"> 2005.</w:t>
      </w:r>
      <w:r w:rsidRPr="00C50D52">
        <w:rPr>
          <w:rFonts w:ascii="Times New Roman" w:eastAsia="Times New Roman" w:hAnsi="Times New Roman" w:cs="Times New Roman"/>
          <w:kern w:val="0"/>
          <w14:ligatures w14:val="none"/>
        </w:rPr>
        <w:t xml:space="preserve"> "Exploratory Analysis of Weekend Activity Patterns in the San Francisco Bay Area, California." </w:t>
      </w:r>
      <w:r w:rsidRPr="00C50D52">
        <w:rPr>
          <w:rFonts w:ascii="Times New Roman" w:eastAsia="Times New Roman" w:hAnsi="Times New Roman" w:cs="Times New Roman"/>
          <w:i/>
          <w:iCs/>
          <w:kern w:val="0"/>
          <w14:ligatures w14:val="none"/>
        </w:rPr>
        <w:t>Transportation</w:t>
      </w:r>
      <w:r w:rsidR="00C50D52" w:rsidRPr="00C50D52">
        <w:rPr>
          <w:rFonts w:ascii="Times New Roman" w:eastAsia="Times New Roman" w:hAnsi="Times New Roman" w:cs="Times New Roman"/>
          <w:kern w:val="0"/>
          <w14:ligatures w14:val="none"/>
        </w:rPr>
        <w:t xml:space="preserve"> </w:t>
      </w:r>
      <w:r w:rsidRPr="00C50D52">
        <w:rPr>
          <w:rFonts w:ascii="Times New Roman" w:eastAsia="Times New Roman" w:hAnsi="Times New Roman" w:cs="Times New Roman"/>
          <w:i/>
          <w:iCs/>
          <w:kern w:val="0"/>
          <w14:ligatures w14:val="none"/>
        </w:rPr>
        <w:t>Research Record</w:t>
      </w:r>
      <w:r w:rsidRPr="00C50D52">
        <w:rPr>
          <w:rFonts w:ascii="Times New Roman" w:eastAsia="Times New Roman" w:hAnsi="Times New Roman" w:cs="Times New Roman"/>
          <w:kern w:val="0"/>
          <w14:ligatures w14:val="none"/>
        </w:rPr>
        <w:t> 1926: 70</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78.</w:t>
      </w:r>
    </w:p>
    <w:p w14:paraId="2E88EF54" w14:textId="20811DE5"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lastRenderedPageBreak/>
        <w:t>McGuckin, N</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and N. Srinivasan. 2005. “The Journey-to-Work in the Context of Daily Travel.” </w:t>
      </w:r>
      <w:r w:rsidRPr="00C50D52">
        <w:rPr>
          <w:rFonts w:ascii="Times New Roman" w:eastAsia="Times New Roman" w:hAnsi="Times New Roman" w:cs="Times New Roman"/>
          <w:i/>
          <w:iCs/>
          <w:kern w:val="0"/>
          <w14:ligatures w14:val="none"/>
        </w:rPr>
        <w:t>Census Data for Transportation Planning Conference</w:t>
      </w:r>
      <w:r w:rsidRPr="00C50D52">
        <w:rPr>
          <w:rFonts w:ascii="Times New Roman" w:eastAsia="Times New Roman" w:hAnsi="Times New Roman" w:cs="Times New Roman"/>
          <w:kern w:val="0"/>
          <w14:ligatures w14:val="none"/>
        </w:rPr>
        <w:t>.</w:t>
      </w:r>
    </w:p>
    <w:p w14:paraId="565225E8" w14:textId="57E9F9B1"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Obeid, H</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L. Anderson,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Amine </w:t>
      </w:r>
      <w:proofErr w:type="spellStart"/>
      <w:r w:rsidRPr="00C50D52">
        <w:rPr>
          <w:rFonts w:ascii="Times New Roman" w:eastAsia="Times New Roman" w:hAnsi="Times New Roman" w:cs="Times New Roman"/>
          <w:kern w:val="0"/>
          <w14:ligatures w14:val="none"/>
        </w:rPr>
        <w:t>Bouzaghrane</w:t>
      </w:r>
      <w:proofErr w:type="spellEnd"/>
      <w:r w:rsidRPr="00C50D52">
        <w:rPr>
          <w:rFonts w:ascii="Times New Roman" w:eastAsia="Times New Roman" w:hAnsi="Times New Roman" w:cs="Times New Roman"/>
          <w:kern w:val="0"/>
          <w14:ligatures w14:val="none"/>
        </w:rPr>
        <w:t>, and J</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Walker. 2024. “Does Telecommuting Reduce Trip-Making? Evidence from a U.S. Panel during the COVID-19 Pandemic.” </w:t>
      </w:r>
      <w:r w:rsidRPr="00C50D52">
        <w:rPr>
          <w:rFonts w:ascii="Times New Roman" w:eastAsia="Times New Roman" w:hAnsi="Times New Roman" w:cs="Times New Roman"/>
          <w:i/>
          <w:iCs/>
          <w:kern w:val="0"/>
          <w14:ligatures w14:val="none"/>
        </w:rPr>
        <w:t>Transportation Research Part A: Policy and Practice</w:t>
      </w:r>
      <w:r w:rsidRPr="00C50D52">
        <w:rPr>
          <w:rFonts w:ascii="Times New Roman" w:eastAsia="Times New Roman" w:hAnsi="Times New Roman" w:cs="Times New Roman"/>
          <w:kern w:val="0"/>
          <w14:ligatures w14:val="none"/>
        </w:rPr>
        <w:t xml:space="preserve"> 180: 103972. https://doi.org/10.1016/j.tra.2024.103972.</w:t>
      </w:r>
    </w:p>
    <w:p w14:paraId="28851E8F" w14:textId="4C482ECD"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Rafiq, R</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and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G. McNally. 2021. “Heterogeneity in Activity-Travel Patterns of Public Transit Users: An Application of Latent Class Analysis.” </w:t>
      </w:r>
      <w:r w:rsidRPr="00C50D52">
        <w:rPr>
          <w:rFonts w:ascii="Times New Roman" w:eastAsia="Times New Roman" w:hAnsi="Times New Roman" w:cs="Times New Roman"/>
          <w:i/>
          <w:iCs/>
          <w:kern w:val="0"/>
          <w14:ligatures w14:val="none"/>
        </w:rPr>
        <w:t>Transportation Research Part A: Policy and Practice</w:t>
      </w:r>
      <w:r w:rsidRPr="00C50D52">
        <w:rPr>
          <w:rFonts w:ascii="Times New Roman" w:eastAsia="Times New Roman" w:hAnsi="Times New Roman" w:cs="Times New Roman"/>
          <w:kern w:val="0"/>
          <w14:ligatures w14:val="none"/>
        </w:rPr>
        <w:t xml:space="preserve"> 152: 1–18. https://doi.org/10.1016/j.tra.2021.07.011.</w:t>
      </w:r>
    </w:p>
    <w:p w14:paraId="15F20F4C" w14:textId="6CB84CC8"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Salon, D</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L</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t>
      </w:r>
      <w:proofErr w:type="spellStart"/>
      <w:r w:rsidRPr="00C50D52">
        <w:rPr>
          <w:rFonts w:ascii="Times New Roman" w:eastAsia="Times New Roman" w:hAnsi="Times New Roman" w:cs="Times New Roman"/>
          <w:kern w:val="0"/>
          <w14:ligatures w14:val="none"/>
        </w:rPr>
        <w:t>Mirtich</w:t>
      </w:r>
      <w:proofErr w:type="spellEnd"/>
      <w:r w:rsidRPr="00C50D52">
        <w:rPr>
          <w:rFonts w:ascii="Times New Roman" w:eastAsia="Times New Roman" w:hAnsi="Times New Roman" w:cs="Times New Roman"/>
          <w:kern w:val="0"/>
          <w14:ligatures w14:val="none"/>
        </w:rPr>
        <w:t>, M</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Wigginton Bhagat-Conway, et al. 2022. “The COVID-19 Pandemic and the Future of Telecommuting in the United States.” </w:t>
      </w:r>
      <w:r w:rsidRPr="00C50D52">
        <w:rPr>
          <w:rFonts w:ascii="Times New Roman" w:eastAsia="Times New Roman" w:hAnsi="Times New Roman" w:cs="Times New Roman"/>
          <w:i/>
          <w:iCs/>
          <w:kern w:val="0"/>
          <w14:ligatures w14:val="none"/>
        </w:rPr>
        <w:t>Transportation Research Part D: Transport and Environment</w:t>
      </w:r>
      <w:r w:rsidRPr="00C50D52">
        <w:rPr>
          <w:rFonts w:ascii="Times New Roman" w:eastAsia="Times New Roman" w:hAnsi="Times New Roman" w:cs="Times New Roman"/>
          <w:kern w:val="0"/>
          <w14:ligatures w14:val="none"/>
        </w:rPr>
        <w:t xml:space="preserve"> 112: 103473. https://doi.org/10.1016/j.trd.2022.103473.</w:t>
      </w:r>
    </w:p>
    <w:p w14:paraId="024184B2" w14:textId="6A5AEC7F"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14:ligatures w14:val="none"/>
        </w:rPr>
        <w:t>Speroni</w:t>
      </w:r>
      <w:proofErr w:type="spellEnd"/>
      <w:r w:rsidRPr="00C50D52">
        <w:rPr>
          <w:rFonts w:ascii="Times New Roman" w:eastAsia="Times New Roman" w:hAnsi="Times New Roman" w:cs="Times New Roman"/>
          <w:kern w:val="0"/>
          <w14:ligatures w14:val="none"/>
        </w:rPr>
        <w:t>, S</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and B</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D. Taylor. 2023. </w:t>
      </w:r>
      <w:r w:rsidRPr="00C50D52">
        <w:rPr>
          <w:rFonts w:ascii="Times New Roman" w:eastAsia="Times New Roman" w:hAnsi="Times New Roman" w:cs="Times New Roman"/>
          <w:i/>
          <w:iCs/>
          <w:kern w:val="0"/>
          <w14:ligatures w14:val="none"/>
        </w:rPr>
        <w:t>The Future of Working Away from Work and Daily Travel: A Research Synthesis</w:t>
      </w:r>
      <w:r w:rsidRPr="00C50D52">
        <w:rPr>
          <w:rFonts w:ascii="Times New Roman" w:eastAsia="Times New Roman" w:hAnsi="Times New Roman" w:cs="Times New Roman"/>
          <w:kern w:val="0"/>
          <w14:ligatures w14:val="none"/>
        </w:rPr>
        <w:t xml:space="preserve">. </w:t>
      </w:r>
      <w:bookmarkStart w:id="5" w:name="_Hlk236320338"/>
      <w:r w:rsidR="000C1BA7" w:rsidRPr="000C1BA7">
        <w:rPr>
          <w:rFonts w:ascii="Times New Roman" w:hAnsi="Times New Roman" w:cs="Times New Roman"/>
        </w:rPr>
        <w:t>UCLA: Institute of Transportation Studies</w:t>
      </w:r>
      <w:bookmarkEnd w:id="5"/>
      <w:r w:rsidRPr="000C1BA7">
        <w:rPr>
          <w:rFonts w:ascii="Times New Roman" w:hAnsi="Times New Roman" w:cs="Times New Roman"/>
        </w:rPr>
        <w:t>.</w:t>
      </w:r>
      <w:r w:rsidRPr="00C50D52">
        <w:rPr>
          <w:rFonts w:ascii="Times New Roman" w:eastAsia="Times New Roman" w:hAnsi="Times New Roman" w:cs="Times New Roman"/>
          <w:kern w:val="0"/>
          <w14:ligatures w14:val="none"/>
        </w:rPr>
        <w:t xml:space="preserve"> https://doi.org/10.17610/T64W3D.</w:t>
      </w:r>
    </w:p>
    <w:p w14:paraId="268C48FA" w14:textId="7A8FBDA5"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Su, R</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E</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C. McBride, and K</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G. Goulias. 2021. “Unveiling Daily Activity Pattern Differences between Telecommuters and Commuters Using Human Mobility Motifs and Sequence Analysis.” </w:t>
      </w:r>
      <w:r w:rsidRPr="00C50D52">
        <w:rPr>
          <w:rFonts w:ascii="Times New Roman" w:eastAsia="Times New Roman" w:hAnsi="Times New Roman" w:cs="Times New Roman"/>
          <w:i/>
          <w:iCs/>
          <w:kern w:val="0"/>
          <w14:ligatures w14:val="none"/>
        </w:rPr>
        <w:t>Transportation Research Part A: Policy and Practice</w:t>
      </w:r>
      <w:r w:rsidRPr="00C50D52">
        <w:rPr>
          <w:rFonts w:ascii="Times New Roman" w:eastAsia="Times New Roman" w:hAnsi="Times New Roman" w:cs="Times New Roman"/>
          <w:kern w:val="0"/>
          <w14:ligatures w14:val="none"/>
        </w:rPr>
        <w:t xml:space="preserve"> 147: 106–32. https://doi.org/10.1016/j.tra.2021.03.002.</w:t>
      </w:r>
    </w:p>
    <w:p w14:paraId="248F4592" w14:textId="77777777" w:rsidR="00C50D52"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Wang, R. 2015. “The Stops Made by Commuters: Evidence from the 2009 US National Household Travel Survey.” </w:t>
      </w:r>
      <w:r w:rsidRPr="00C50D52">
        <w:rPr>
          <w:rFonts w:ascii="Times New Roman" w:eastAsia="Times New Roman" w:hAnsi="Times New Roman" w:cs="Times New Roman"/>
          <w:i/>
          <w:iCs/>
          <w:kern w:val="0"/>
          <w14:ligatures w14:val="none"/>
        </w:rPr>
        <w:t>Journal of Transport Geography</w:t>
      </w:r>
      <w:r w:rsidRPr="00C50D52">
        <w:rPr>
          <w:rFonts w:ascii="Times New Roman" w:eastAsia="Times New Roman" w:hAnsi="Times New Roman" w:cs="Times New Roman"/>
          <w:kern w:val="0"/>
          <w14:ligatures w14:val="none"/>
        </w:rPr>
        <w:t xml:space="preserve"> 47: 109–18. </w:t>
      </w:r>
      <w:hyperlink r:id="rId21" w:history="1">
        <w:r w:rsidRPr="00C50D52">
          <w:rPr>
            <w:rFonts w:ascii="Times New Roman" w:eastAsia="Times New Roman" w:hAnsi="Times New Roman" w:cs="Times New Roman"/>
            <w:kern w:val="0"/>
            <w14:ligatures w14:val="none"/>
          </w:rPr>
          <w:t>https://doi.org/10.1016/j.jtrangeo.2014.11.005</w:t>
        </w:r>
      </w:hyperlink>
      <w:r w:rsidRPr="00C50D52">
        <w:rPr>
          <w:rFonts w:ascii="Times New Roman" w:eastAsia="Times New Roman" w:hAnsi="Times New Roman" w:cs="Times New Roman"/>
          <w:kern w:val="0"/>
          <w14:ligatures w14:val="none"/>
        </w:rPr>
        <w:t xml:space="preserve">. </w:t>
      </w:r>
    </w:p>
    <w:p w14:paraId="6815FE69" w14:textId="12E1F368"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proofErr w:type="spellStart"/>
      <w:r w:rsidRPr="00C50D52">
        <w:rPr>
          <w:rFonts w:ascii="Times New Roman" w:eastAsia="Times New Roman" w:hAnsi="Times New Roman" w:cs="Times New Roman"/>
          <w:kern w:val="0"/>
          <w:lang w:eastAsia="ja-JP"/>
          <w14:ligatures w14:val="none"/>
        </w:rPr>
        <w:t>Xianyu</w:t>
      </w:r>
      <w:proofErr w:type="spellEnd"/>
      <w:r w:rsidRPr="00C50D52">
        <w:rPr>
          <w:rFonts w:ascii="Times New Roman" w:eastAsia="Times New Roman" w:hAnsi="Times New Roman" w:cs="Times New Roman"/>
          <w:kern w:val="0"/>
          <w:lang w:eastAsia="ja-JP"/>
          <w14:ligatures w14:val="none"/>
        </w:rPr>
        <w:t>, J. 2013. "An Exploration of the Interdependencies between Trip Chaining</w:t>
      </w:r>
      <w:r w:rsidR="00C50D52" w:rsidRPr="00C50D52">
        <w:rPr>
          <w:rFonts w:ascii="Times New Roman" w:eastAsia="Times New Roman" w:hAnsi="Times New Roman" w:cs="Times New Roman"/>
          <w:kern w:val="0"/>
          <w:lang w:eastAsia="ja-JP"/>
          <w14:ligatures w14:val="none"/>
        </w:rPr>
        <w:t xml:space="preserve"> </w:t>
      </w:r>
      <w:r w:rsidRPr="00C50D52">
        <w:rPr>
          <w:rFonts w:ascii="Times New Roman" w:eastAsia="Times New Roman" w:hAnsi="Times New Roman" w:cs="Times New Roman"/>
          <w:kern w:val="0"/>
          <w:lang w:eastAsia="ja-JP"/>
          <w14:ligatures w14:val="none"/>
        </w:rPr>
        <w:t>Behavior and Travel Mode Choice." </w:t>
      </w:r>
      <w:r w:rsidRPr="00C50D52">
        <w:rPr>
          <w:rFonts w:ascii="Times New Roman" w:eastAsia="Times New Roman" w:hAnsi="Times New Roman" w:cs="Times New Roman"/>
          <w:i/>
          <w:iCs/>
          <w:kern w:val="0"/>
          <w:lang w:eastAsia="ja-JP"/>
          <w14:ligatures w14:val="none"/>
        </w:rPr>
        <w:t>Procedia-Social and Behavioral Sciences</w:t>
      </w:r>
      <w:r w:rsidRPr="00C50D52">
        <w:rPr>
          <w:rFonts w:ascii="Times New Roman" w:eastAsia="Times New Roman" w:hAnsi="Times New Roman" w:cs="Times New Roman"/>
          <w:kern w:val="0"/>
          <w:lang w:eastAsia="ja-JP"/>
          <w14:ligatures w14:val="none"/>
        </w:rPr>
        <w:t> 96: 1967</w:t>
      </w:r>
      <w:r w:rsidR="00C50D52" w:rsidRPr="00C50D52">
        <w:rPr>
          <w:rFonts w:ascii="Times New Roman" w:eastAsia="Times New Roman" w:hAnsi="Times New Roman" w:cs="Times New Roman"/>
          <w:kern w:val="0"/>
          <w:lang w:eastAsia="ja-JP"/>
          <w14:ligatures w14:val="none"/>
        </w:rPr>
        <w:t>–</w:t>
      </w:r>
      <w:r w:rsidRPr="00C50D52">
        <w:rPr>
          <w:rFonts w:ascii="Times New Roman" w:eastAsia="Times New Roman" w:hAnsi="Times New Roman" w:cs="Times New Roman"/>
          <w:kern w:val="0"/>
          <w:lang w:eastAsia="ja-JP"/>
          <w14:ligatures w14:val="none"/>
        </w:rPr>
        <w:t>1975.</w:t>
      </w:r>
    </w:p>
    <w:p w14:paraId="2ECDFF47" w14:textId="554CD98D"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Yang, L</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L</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Hu, and Z</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Wang. 2019. “The Built Environment and Trip Chaining Behaviour Revisited: The Joint Effects of the Modifiable Areal Unit Problem and Tour Purpose.” </w:t>
      </w:r>
      <w:r w:rsidRPr="00C50D52">
        <w:rPr>
          <w:rFonts w:ascii="Times New Roman" w:eastAsia="Times New Roman" w:hAnsi="Times New Roman" w:cs="Times New Roman"/>
          <w:i/>
          <w:iCs/>
          <w:kern w:val="0"/>
          <w14:ligatures w14:val="none"/>
        </w:rPr>
        <w:t>Urban Studies</w:t>
      </w:r>
      <w:r w:rsidRPr="00C50D52">
        <w:rPr>
          <w:rFonts w:ascii="Times New Roman" w:eastAsia="Times New Roman" w:hAnsi="Times New Roman" w:cs="Times New Roman"/>
          <w:kern w:val="0"/>
          <w14:ligatures w14:val="none"/>
        </w:rPr>
        <w:t xml:space="preserve"> 56 (4): 795–817. https://doi.org/10.1177/0042098017749188.</w:t>
      </w:r>
    </w:p>
    <w:p w14:paraId="2FC7074F" w14:textId="0042D430" w:rsidR="00F23A8A"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 xml:space="preserve">Zhu, P. 2012. “Are Telecommuting and Personal Travel Complements or Substitutes?” </w:t>
      </w:r>
      <w:r w:rsidRPr="00C50D52">
        <w:rPr>
          <w:rFonts w:ascii="Times New Roman" w:eastAsia="Times New Roman" w:hAnsi="Times New Roman" w:cs="Times New Roman"/>
          <w:i/>
          <w:iCs/>
          <w:kern w:val="0"/>
          <w14:ligatures w14:val="none"/>
        </w:rPr>
        <w:t>The Annals of Regional Science</w:t>
      </w:r>
      <w:r w:rsidRPr="00C50D52">
        <w:rPr>
          <w:rFonts w:ascii="Times New Roman" w:eastAsia="Times New Roman" w:hAnsi="Times New Roman" w:cs="Times New Roman"/>
          <w:kern w:val="0"/>
          <w14:ligatures w14:val="none"/>
        </w:rPr>
        <w:t xml:space="preserve"> 48 (2): 619–39. https://doi.org/10.1007/s00168-011-0460-6.</w:t>
      </w:r>
    </w:p>
    <w:p w14:paraId="15BE9FE4" w14:textId="77777777" w:rsidR="00C50D52"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Zhu, P</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and Y</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Guo. 2022. “Telecommuting and Trip Chaining: Pre-Pandemic Patterns and Implications for the Post-Pandemic World.” </w:t>
      </w:r>
      <w:r w:rsidRPr="00C50D52">
        <w:rPr>
          <w:rFonts w:ascii="Times New Roman" w:eastAsia="Times New Roman" w:hAnsi="Times New Roman" w:cs="Times New Roman"/>
          <w:i/>
          <w:iCs/>
          <w:kern w:val="0"/>
          <w14:ligatures w14:val="none"/>
        </w:rPr>
        <w:t>Transportation Research Part D: Transport and Environment</w:t>
      </w:r>
      <w:r w:rsidRPr="00C50D52">
        <w:rPr>
          <w:rFonts w:ascii="Times New Roman" w:eastAsia="Times New Roman" w:hAnsi="Times New Roman" w:cs="Times New Roman"/>
          <w:kern w:val="0"/>
          <w14:ligatures w14:val="none"/>
        </w:rPr>
        <w:t xml:space="preserve"> 113: 103524. https://doi.org/10.1016/j.trd.2022.103524.</w:t>
      </w:r>
    </w:p>
    <w:p w14:paraId="36CECEA2" w14:textId="03F2D413" w:rsidR="006D4AB6" w:rsidRPr="00C50D52" w:rsidRDefault="00F23A8A" w:rsidP="000C1BA7">
      <w:pPr>
        <w:spacing w:after="0" w:line="240" w:lineRule="auto"/>
        <w:ind w:left="540" w:hanging="540"/>
        <w:jc w:val="both"/>
        <w:rPr>
          <w:rFonts w:ascii="Times New Roman" w:eastAsia="Times New Roman" w:hAnsi="Times New Roman" w:cs="Times New Roman"/>
          <w:kern w:val="0"/>
          <w14:ligatures w14:val="none"/>
        </w:rPr>
      </w:pPr>
      <w:r w:rsidRPr="00C50D52">
        <w:rPr>
          <w:rFonts w:ascii="Times New Roman" w:eastAsia="Times New Roman" w:hAnsi="Times New Roman" w:cs="Times New Roman"/>
          <w:kern w:val="0"/>
          <w14:ligatures w14:val="none"/>
        </w:rPr>
        <w:t>Zubair, H</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S</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t>
      </w:r>
      <w:proofErr w:type="spellStart"/>
      <w:r w:rsidRPr="00C50D52">
        <w:rPr>
          <w:rFonts w:ascii="Times New Roman" w:eastAsia="Times New Roman" w:hAnsi="Times New Roman" w:cs="Times New Roman"/>
          <w:kern w:val="0"/>
          <w14:ligatures w14:val="none"/>
        </w:rPr>
        <w:t>Susilawati</w:t>
      </w:r>
      <w:proofErr w:type="spellEnd"/>
      <w:r w:rsidRPr="00C50D52">
        <w:rPr>
          <w:rFonts w:ascii="Times New Roman" w:eastAsia="Times New Roman" w:hAnsi="Times New Roman" w:cs="Times New Roman"/>
          <w:kern w:val="0"/>
          <w14:ligatures w14:val="none"/>
        </w:rPr>
        <w:t>, A</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w:t>
      </w:r>
      <w:proofErr w:type="spellStart"/>
      <w:r w:rsidRPr="00C50D52">
        <w:rPr>
          <w:rFonts w:ascii="Times New Roman" w:eastAsia="Times New Roman" w:hAnsi="Times New Roman" w:cs="Times New Roman"/>
          <w:kern w:val="0"/>
          <w14:ligatures w14:val="none"/>
        </w:rPr>
        <w:t>Talei</w:t>
      </w:r>
      <w:proofErr w:type="spellEnd"/>
      <w:r w:rsidRPr="00C50D52">
        <w:rPr>
          <w:rFonts w:ascii="Times New Roman" w:eastAsia="Times New Roman" w:hAnsi="Times New Roman" w:cs="Times New Roman"/>
          <w:kern w:val="0"/>
          <w14:ligatures w14:val="none"/>
        </w:rPr>
        <w:t>, and Z</w:t>
      </w:r>
      <w:r w:rsidR="00C50D52" w:rsidRPr="00C50D52">
        <w:rPr>
          <w:rFonts w:ascii="Times New Roman" w:eastAsia="Times New Roman" w:hAnsi="Times New Roman" w:cs="Times New Roman"/>
          <w:kern w:val="0"/>
          <w14:ligatures w14:val="none"/>
        </w:rPr>
        <w:t>.</w:t>
      </w:r>
      <w:r w:rsidRPr="00C50D52">
        <w:rPr>
          <w:rFonts w:ascii="Times New Roman" w:eastAsia="Times New Roman" w:hAnsi="Times New Roman" w:cs="Times New Roman"/>
          <w:kern w:val="0"/>
          <w14:ligatures w14:val="none"/>
        </w:rPr>
        <w:t xml:space="preserve"> Pu. 2026. “Evaluating the Effect of Post-Pandemic Hybrid Work on Travel Behaviour and Sustainable Transportation: A Tour-Based</w:t>
      </w:r>
      <w:r w:rsidR="00C50D52" w:rsidRPr="00C50D52">
        <w:rPr>
          <w:rFonts w:ascii="Times New Roman" w:eastAsia="Times New Roman" w:hAnsi="Times New Roman" w:cs="Times New Roman"/>
          <w:kern w:val="0"/>
          <w14:ligatures w14:val="none"/>
        </w:rPr>
        <w:t xml:space="preserve"> </w:t>
      </w:r>
      <w:r w:rsidRPr="00C50D52">
        <w:rPr>
          <w:rFonts w:ascii="Times New Roman" w:eastAsia="Times New Roman" w:hAnsi="Times New Roman" w:cs="Times New Roman"/>
          <w:kern w:val="0"/>
          <w14:ligatures w14:val="none"/>
        </w:rPr>
        <w:t xml:space="preserve">Analysis.” </w:t>
      </w:r>
      <w:r w:rsidRPr="00C50D52">
        <w:rPr>
          <w:rFonts w:ascii="Times New Roman" w:eastAsia="Times New Roman" w:hAnsi="Times New Roman" w:cs="Times New Roman"/>
          <w:i/>
          <w:iCs/>
          <w:kern w:val="0"/>
          <w14:ligatures w14:val="none"/>
        </w:rPr>
        <w:t>Travel Behaviour and Society</w:t>
      </w:r>
      <w:r w:rsidRPr="00C50D52">
        <w:rPr>
          <w:rFonts w:ascii="Times New Roman" w:eastAsia="Times New Roman" w:hAnsi="Times New Roman" w:cs="Times New Roman"/>
          <w:kern w:val="0"/>
          <w14:ligatures w14:val="none"/>
        </w:rPr>
        <w:t xml:space="preserve"> 43: 101199. https://doi.org/10.1016/j.tbs.2025.101199.</w:t>
      </w:r>
    </w:p>
    <w:p w14:paraId="7EA314FB" w14:textId="28B946DC" w:rsidR="009D7EA2" w:rsidRPr="00C50D52" w:rsidRDefault="00206459" w:rsidP="000C1BA7">
      <w:pPr>
        <w:spacing w:after="0" w:line="240" w:lineRule="auto"/>
        <w:ind w:left="540" w:hanging="540"/>
        <w:jc w:val="both"/>
        <w:rPr>
          <w:rFonts w:ascii="Times New Roman" w:hAnsi="Times New Roman" w:cs="Times New Roman"/>
        </w:rPr>
      </w:pPr>
      <w:r w:rsidRPr="00C50D52">
        <w:rPr>
          <w:rFonts w:ascii="Times New Roman" w:hAnsi="Times New Roman" w:cs="Times New Roman"/>
        </w:rPr>
        <w:fldChar w:fldCharType="end"/>
      </w:r>
    </w:p>
    <w:sectPr w:rsidR="009D7EA2" w:rsidRPr="00C50D52" w:rsidSect="00122C06">
      <w:footerReference w:type="default" r:id="rId2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8E416E" w14:textId="77777777" w:rsidR="005802B0" w:rsidRDefault="005802B0" w:rsidP="004F1C87">
      <w:pPr>
        <w:spacing w:after="0" w:line="240" w:lineRule="auto"/>
      </w:pPr>
      <w:r>
        <w:separator/>
      </w:r>
    </w:p>
  </w:endnote>
  <w:endnote w:type="continuationSeparator" w:id="0">
    <w:p w14:paraId="12A6628F" w14:textId="77777777" w:rsidR="005802B0" w:rsidRDefault="005802B0" w:rsidP="004F1C87">
      <w:pPr>
        <w:spacing w:after="0" w:line="240" w:lineRule="auto"/>
      </w:pPr>
      <w:r>
        <w:continuationSeparator/>
      </w:r>
    </w:p>
  </w:endnote>
  <w:endnote w:type="continuationNotice" w:id="1">
    <w:p w14:paraId="2293BD2F" w14:textId="77777777" w:rsidR="005802B0" w:rsidRDefault="005802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imesNewRomanPS-BoldMT">
    <w:altName w:val="Times New Roman"/>
    <w:panose1 w:val="00000000000000000000"/>
    <w:charset w:val="00"/>
    <w:family w:val="roman"/>
    <w:notTrueType/>
    <w:pitch w:val="default"/>
  </w:font>
  <w:font w:name="Times">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22753859" w14:textId="77777777" w:rsidR="00496588" w:rsidRDefault="00496588">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05FF75BE" w14:textId="77777777" w:rsidR="00496588" w:rsidRDefault="004965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10B3D" w14:textId="6BF65229" w:rsidR="004F1C87" w:rsidRPr="00C9513B" w:rsidRDefault="004F1C87" w:rsidP="00C9513B">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581667"/>
      <w:docPartObj>
        <w:docPartGallery w:val="Page Numbers (Bottom of Page)"/>
        <w:docPartUnique/>
      </w:docPartObj>
    </w:sdtPr>
    <w:sdtEndPr>
      <w:rPr>
        <w:rFonts w:ascii="Times New Roman" w:hAnsi="Times New Roman" w:cs="Times New Roman"/>
        <w:noProof/>
      </w:rPr>
    </w:sdtEndPr>
    <w:sdtContent>
      <w:p w14:paraId="6800E3E6" w14:textId="3DFF990B" w:rsidR="00122C06" w:rsidRPr="00CF7AED" w:rsidRDefault="00122C06" w:rsidP="00CF7AED">
        <w:pPr>
          <w:pStyle w:val="Footer"/>
          <w:jc w:val="center"/>
          <w:rPr>
            <w:rFonts w:ascii="Times New Roman" w:hAnsi="Times New Roman" w:cs="Times New Roman"/>
          </w:rPr>
        </w:pPr>
        <w:r w:rsidRPr="00CF7AED">
          <w:rPr>
            <w:rFonts w:ascii="Times New Roman" w:hAnsi="Times New Roman" w:cs="Times New Roman"/>
          </w:rPr>
          <w:fldChar w:fldCharType="begin"/>
        </w:r>
        <w:r w:rsidRPr="00CF7AED">
          <w:rPr>
            <w:rFonts w:ascii="Times New Roman" w:hAnsi="Times New Roman" w:cs="Times New Roman"/>
          </w:rPr>
          <w:instrText xml:space="preserve"> PAGE   \* MERGEFORMAT </w:instrText>
        </w:r>
        <w:r w:rsidRPr="00CF7AED">
          <w:rPr>
            <w:rFonts w:ascii="Times New Roman" w:hAnsi="Times New Roman" w:cs="Times New Roman"/>
          </w:rPr>
          <w:fldChar w:fldCharType="separate"/>
        </w:r>
        <w:r w:rsidRPr="00CF7AED">
          <w:rPr>
            <w:rFonts w:ascii="Times New Roman" w:hAnsi="Times New Roman" w:cs="Times New Roman"/>
            <w:noProof/>
          </w:rPr>
          <w:t>2</w:t>
        </w:r>
        <w:r w:rsidRPr="00CF7AED">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3149B" w14:textId="77777777" w:rsidR="005802B0" w:rsidRDefault="005802B0" w:rsidP="004F1C87">
      <w:pPr>
        <w:spacing w:after="0" w:line="240" w:lineRule="auto"/>
      </w:pPr>
      <w:r>
        <w:separator/>
      </w:r>
    </w:p>
  </w:footnote>
  <w:footnote w:type="continuationSeparator" w:id="0">
    <w:p w14:paraId="36383532" w14:textId="77777777" w:rsidR="005802B0" w:rsidRDefault="005802B0" w:rsidP="004F1C87">
      <w:pPr>
        <w:spacing w:after="0" w:line="240" w:lineRule="auto"/>
      </w:pPr>
      <w:r>
        <w:continuationSeparator/>
      </w:r>
    </w:p>
  </w:footnote>
  <w:footnote w:type="continuationNotice" w:id="1">
    <w:p w14:paraId="12CF0C85" w14:textId="77777777" w:rsidR="005802B0" w:rsidRDefault="005802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D51E9"/>
    <w:multiLevelType w:val="hybridMultilevel"/>
    <w:tmpl w:val="9CBC606C"/>
    <w:lvl w:ilvl="0" w:tplc="79C63EC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707317"/>
    <w:multiLevelType w:val="hybridMultilevel"/>
    <w:tmpl w:val="D8028482"/>
    <w:lvl w:ilvl="0" w:tplc="37F65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C4E8B"/>
    <w:multiLevelType w:val="hybridMultilevel"/>
    <w:tmpl w:val="6D3AA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130864"/>
    <w:multiLevelType w:val="hybridMultilevel"/>
    <w:tmpl w:val="0E88CC12"/>
    <w:lvl w:ilvl="0" w:tplc="D522F842">
      <w:start w:val="1"/>
      <w:numFmt w:val="bullet"/>
      <w:suff w:val="space"/>
      <w:lvlText w:val=""/>
      <w:lvlJc w:val="left"/>
      <w:pPr>
        <w:ind w:left="144" w:hanging="72"/>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12AA2D6D"/>
    <w:multiLevelType w:val="multilevel"/>
    <w:tmpl w:val="B1CA1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412577"/>
    <w:multiLevelType w:val="hybridMultilevel"/>
    <w:tmpl w:val="DE7256A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907625"/>
    <w:multiLevelType w:val="hybridMultilevel"/>
    <w:tmpl w:val="818C7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F05194"/>
    <w:multiLevelType w:val="hybridMultilevel"/>
    <w:tmpl w:val="B9F22C78"/>
    <w:lvl w:ilvl="0" w:tplc="D522F842">
      <w:start w:val="1"/>
      <w:numFmt w:val="bullet"/>
      <w:suff w:val="space"/>
      <w:lvlText w:val=""/>
      <w:lvlJc w:val="left"/>
      <w:pPr>
        <w:ind w:left="144" w:hanging="72"/>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8" w15:restartNumberingAfterBreak="0">
    <w:nsid w:val="1AE04B28"/>
    <w:multiLevelType w:val="hybridMultilevel"/>
    <w:tmpl w:val="E1CCF054"/>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472788"/>
    <w:multiLevelType w:val="hybridMultilevel"/>
    <w:tmpl w:val="0A8E4A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F569F4"/>
    <w:multiLevelType w:val="multilevel"/>
    <w:tmpl w:val="E786B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2363A8"/>
    <w:multiLevelType w:val="hybridMultilevel"/>
    <w:tmpl w:val="DF06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87130"/>
    <w:multiLevelType w:val="hybridMultilevel"/>
    <w:tmpl w:val="D7EC1654"/>
    <w:lvl w:ilvl="0" w:tplc="601686B2">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077614"/>
    <w:multiLevelType w:val="hybridMultilevel"/>
    <w:tmpl w:val="5E52F13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B2275"/>
    <w:multiLevelType w:val="hybridMultilevel"/>
    <w:tmpl w:val="80AE2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F40BAF"/>
    <w:multiLevelType w:val="hybridMultilevel"/>
    <w:tmpl w:val="C2CCA01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A0A36"/>
    <w:multiLevelType w:val="multilevel"/>
    <w:tmpl w:val="BC48B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D505ED"/>
    <w:multiLevelType w:val="hybridMultilevel"/>
    <w:tmpl w:val="08BE9E78"/>
    <w:lvl w:ilvl="0" w:tplc="06AEAB84">
      <w:start w:val="1"/>
      <w:numFmt w:val="lowerLetter"/>
      <w:lvlText w:val="(%1)"/>
      <w:lvlJc w:val="left"/>
      <w:pPr>
        <w:ind w:left="720" w:hanging="360"/>
      </w:pPr>
      <w:rPr>
        <w:rFonts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896FEF"/>
    <w:multiLevelType w:val="hybridMultilevel"/>
    <w:tmpl w:val="C9C88F4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028A2"/>
    <w:multiLevelType w:val="hybridMultilevel"/>
    <w:tmpl w:val="40AC7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2406A6"/>
    <w:multiLevelType w:val="hybridMultilevel"/>
    <w:tmpl w:val="84669BFC"/>
    <w:lvl w:ilvl="0" w:tplc="9E1E68C2">
      <w:start w:val="1"/>
      <w:numFmt w:val="decimal"/>
      <w:lvlText w:val="%1."/>
      <w:lvlJc w:val="left"/>
      <w:pPr>
        <w:ind w:left="1020" w:hanging="360"/>
      </w:pPr>
    </w:lvl>
    <w:lvl w:ilvl="1" w:tplc="5B5C6C70">
      <w:start w:val="1"/>
      <w:numFmt w:val="decimal"/>
      <w:lvlText w:val="%2."/>
      <w:lvlJc w:val="left"/>
      <w:pPr>
        <w:ind w:left="1020" w:hanging="360"/>
      </w:pPr>
    </w:lvl>
    <w:lvl w:ilvl="2" w:tplc="62EAFF72">
      <w:start w:val="1"/>
      <w:numFmt w:val="decimal"/>
      <w:lvlText w:val="%3."/>
      <w:lvlJc w:val="left"/>
      <w:pPr>
        <w:ind w:left="1020" w:hanging="360"/>
      </w:pPr>
    </w:lvl>
    <w:lvl w:ilvl="3" w:tplc="4BFC8CAE">
      <w:start w:val="1"/>
      <w:numFmt w:val="decimal"/>
      <w:lvlText w:val="%4."/>
      <w:lvlJc w:val="left"/>
      <w:pPr>
        <w:ind w:left="1020" w:hanging="360"/>
      </w:pPr>
    </w:lvl>
    <w:lvl w:ilvl="4" w:tplc="585070F8">
      <w:start w:val="1"/>
      <w:numFmt w:val="decimal"/>
      <w:lvlText w:val="%5."/>
      <w:lvlJc w:val="left"/>
      <w:pPr>
        <w:ind w:left="1020" w:hanging="360"/>
      </w:pPr>
    </w:lvl>
    <w:lvl w:ilvl="5" w:tplc="3FC4B3B8">
      <w:start w:val="1"/>
      <w:numFmt w:val="decimal"/>
      <w:lvlText w:val="%6."/>
      <w:lvlJc w:val="left"/>
      <w:pPr>
        <w:ind w:left="1020" w:hanging="360"/>
      </w:pPr>
    </w:lvl>
    <w:lvl w:ilvl="6" w:tplc="34E23D14">
      <w:start w:val="1"/>
      <w:numFmt w:val="decimal"/>
      <w:lvlText w:val="%7."/>
      <w:lvlJc w:val="left"/>
      <w:pPr>
        <w:ind w:left="1020" w:hanging="360"/>
      </w:pPr>
    </w:lvl>
    <w:lvl w:ilvl="7" w:tplc="8AC88972">
      <w:start w:val="1"/>
      <w:numFmt w:val="decimal"/>
      <w:lvlText w:val="%8."/>
      <w:lvlJc w:val="left"/>
      <w:pPr>
        <w:ind w:left="1020" w:hanging="360"/>
      </w:pPr>
    </w:lvl>
    <w:lvl w:ilvl="8" w:tplc="6AFA7C14">
      <w:start w:val="1"/>
      <w:numFmt w:val="decimal"/>
      <w:lvlText w:val="%9."/>
      <w:lvlJc w:val="left"/>
      <w:pPr>
        <w:ind w:left="1020" w:hanging="360"/>
      </w:pPr>
    </w:lvl>
  </w:abstractNum>
  <w:abstractNum w:abstractNumId="21" w15:restartNumberingAfterBreak="0">
    <w:nsid w:val="4F675A70"/>
    <w:multiLevelType w:val="hybridMultilevel"/>
    <w:tmpl w:val="9FBEA34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1E59D4"/>
    <w:multiLevelType w:val="multilevel"/>
    <w:tmpl w:val="CFE28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811F27"/>
    <w:multiLevelType w:val="hybridMultilevel"/>
    <w:tmpl w:val="A41E8858"/>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0B7F20"/>
    <w:multiLevelType w:val="hybridMultilevel"/>
    <w:tmpl w:val="C3844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975B00"/>
    <w:multiLevelType w:val="hybridMultilevel"/>
    <w:tmpl w:val="92FC727A"/>
    <w:lvl w:ilvl="0" w:tplc="31F26C8E">
      <w:start w:val="1"/>
      <w:numFmt w:val="decimal"/>
      <w:lvlText w:val="%1."/>
      <w:lvlJc w:val="left"/>
      <w:pPr>
        <w:ind w:left="1020" w:hanging="360"/>
      </w:pPr>
    </w:lvl>
    <w:lvl w:ilvl="1" w:tplc="E3FCE402">
      <w:start w:val="1"/>
      <w:numFmt w:val="decimal"/>
      <w:lvlText w:val="%2."/>
      <w:lvlJc w:val="left"/>
      <w:pPr>
        <w:ind w:left="1020" w:hanging="360"/>
      </w:pPr>
    </w:lvl>
    <w:lvl w:ilvl="2" w:tplc="BEB493D0">
      <w:start w:val="1"/>
      <w:numFmt w:val="decimal"/>
      <w:lvlText w:val="%3."/>
      <w:lvlJc w:val="left"/>
      <w:pPr>
        <w:ind w:left="1020" w:hanging="360"/>
      </w:pPr>
    </w:lvl>
    <w:lvl w:ilvl="3" w:tplc="21786260">
      <w:start w:val="1"/>
      <w:numFmt w:val="decimal"/>
      <w:lvlText w:val="%4."/>
      <w:lvlJc w:val="left"/>
      <w:pPr>
        <w:ind w:left="1020" w:hanging="360"/>
      </w:pPr>
    </w:lvl>
    <w:lvl w:ilvl="4" w:tplc="67A46BD8">
      <w:start w:val="1"/>
      <w:numFmt w:val="decimal"/>
      <w:lvlText w:val="%5."/>
      <w:lvlJc w:val="left"/>
      <w:pPr>
        <w:ind w:left="1020" w:hanging="360"/>
      </w:pPr>
    </w:lvl>
    <w:lvl w:ilvl="5" w:tplc="B1E41DC6">
      <w:start w:val="1"/>
      <w:numFmt w:val="decimal"/>
      <w:lvlText w:val="%6."/>
      <w:lvlJc w:val="left"/>
      <w:pPr>
        <w:ind w:left="1020" w:hanging="360"/>
      </w:pPr>
    </w:lvl>
    <w:lvl w:ilvl="6" w:tplc="B4768B18">
      <w:start w:val="1"/>
      <w:numFmt w:val="decimal"/>
      <w:lvlText w:val="%7."/>
      <w:lvlJc w:val="left"/>
      <w:pPr>
        <w:ind w:left="1020" w:hanging="360"/>
      </w:pPr>
    </w:lvl>
    <w:lvl w:ilvl="7" w:tplc="B6F0B882">
      <w:start w:val="1"/>
      <w:numFmt w:val="decimal"/>
      <w:lvlText w:val="%8."/>
      <w:lvlJc w:val="left"/>
      <w:pPr>
        <w:ind w:left="1020" w:hanging="360"/>
      </w:pPr>
    </w:lvl>
    <w:lvl w:ilvl="8" w:tplc="FD763472">
      <w:start w:val="1"/>
      <w:numFmt w:val="decimal"/>
      <w:lvlText w:val="%9."/>
      <w:lvlJc w:val="left"/>
      <w:pPr>
        <w:ind w:left="1020" w:hanging="360"/>
      </w:pPr>
    </w:lvl>
  </w:abstractNum>
  <w:abstractNum w:abstractNumId="26" w15:restartNumberingAfterBreak="0">
    <w:nsid w:val="56705E6E"/>
    <w:multiLevelType w:val="hybridMultilevel"/>
    <w:tmpl w:val="C9BCE664"/>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8B47EB"/>
    <w:multiLevelType w:val="hybridMultilevel"/>
    <w:tmpl w:val="B02AC69A"/>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B92168"/>
    <w:multiLevelType w:val="hybridMultilevel"/>
    <w:tmpl w:val="9EDCC932"/>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686DEB"/>
    <w:multiLevelType w:val="hybridMultilevel"/>
    <w:tmpl w:val="B0F2B91C"/>
    <w:lvl w:ilvl="0" w:tplc="E2406498">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E22A22"/>
    <w:multiLevelType w:val="hybridMultilevel"/>
    <w:tmpl w:val="9F9A735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7B1CB1"/>
    <w:multiLevelType w:val="hybridMultilevel"/>
    <w:tmpl w:val="C01684AE"/>
    <w:lvl w:ilvl="0" w:tplc="32043CC4">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122567"/>
    <w:multiLevelType w:val="hybridMultilevel"/>
    <w:tmpl w:val="5BFE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7B753A"/>
    <w:multiLevelType w:val="multilevel"/>
    <w:tmpl w:val="BA861C46"/>
    <w:lvl w:ilvl="0">
      <w:start w:val="1"/>
      <w:numFmt w:val="decimal"/>
      <w:pStyle w:val="Heading1"/>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pStyle w:val="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BB30122"/>
    <w:multiLevelType w:val="hybridMultilevel"/>
    <w:tmpl w:val="6A829A3E"/>
    <w:lvl w:ilvl="0" w:tplc="D522F842">
      <w:start w:val="1"/>
      <w:numFmt w:val="bullet"/>
      <w:suff w:val="space"/>
      <w:lvlText w:val=""/>
      <w:lvlJc w:val="left"/>
      <w:pPr>
        <w:ind w:left="72" w:hanging="72"/>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F91D09"/>
    <w:multiLevelType w:val="hybridMultilevel"/>
    <w:tmpl w:val="308CE048"/>
    <w:lvl w:ilvl="0" w:tplc="EBEC84E4">
      <w:start w:val="1"/>
      <w:numFmt w:val="decimal"/>
      <w:lvlText w:val="%1."/>
      <w:lvlJc w:val="left"/>
      <w:pPr>
        <w:ind w:left="1020" w:hanging="360"/>
      </w:pPr>
    </w:lvl>
    <w:lvl w:ilvl="1" w:tplc="C4E03DA2">
      <w:start w:val="1"/>
      <w:numFmt w:val="decimal"/>
      <w:lvlText w:val="%2."/>
      <w:lvlJc w:val="left"/>
      <w:pPr>
        <w:ind w:left="1020" w:hanging="360"/>
      </w:pPr>
    </w:lvl>
    <w:lvl w:ilvl="2" w:tplc="F964117E">
      <w:start w:val="1"/>
      <w:numFmt w:val="decimal"/>
      <w:lvlText w:val="%3."/>
      <w:lvlJc w:val="left"/>
      <w:pPr>
        <w:ind w:left="1020" w:hanging="360"/>
      </w:pPr>
    </w:lvl>
    <w:lvl w:ilvl="3" w:tplc="4C50F258">
      <w:start w:val="1"/>
      <w:numFmt w:val="decimal"/>
      <w:lvlText w:val="%4."/>
      <w:lvlJc w:val="left"/>
      <w:pPr>
        <w:ind w:left="1020" w:hanging="360"/>
      </w:pPr>
    </w:lvl>
    <w:lvl w:ilvl="4" w:tplc="D07A69E4">
      <w:start w:val="1"/>
      <w:numFmt w:val="decimal"/>
      <w:lvlText w:val="%5."/>
      <w:lvlJc w:val="left"/>
      <w:pPr>
        <w:ind w:left="1020" w:hanging="360"/>
      </w:pPr>
    </w:lvl>
    <w:lvl w:ilvl="5" w:tplc="C6DC8B2E">
      <w:start w:val="1"/>
      <w:numFmt w:val="decimal"/>
      <w:lvlText w:val="%6."/>
      <w:lvlJc w:val="left"/>
      <w:pPr>
        <w:ind w:left="1020" w:hanging="360"/>
      </w:pPr>
    </w:lvl>
    <w:lvl w:ilvl="6" w:tplc="F8F42C52">
      <w:start w:val="1"/>
      <w:numFmt w:val="decimal"/>
      <w:lvlText w:val="%7."/>
      <w:lvlJc w:val="left"/>
      <w:pPr>
        <w:ind w:left="1020" w:hanging="360"/>
      </w:pPr>
    </w:lvl>
    <w:lvl w:ilvl="7" w:tplc="94920EE2">
      <w:start w:val="1"/>
      <w:numFmt w:val="decimal"/>
      <w:lvlText w:val="%8."/>
      <w:lvlJc w:val="left"/>
      <w:pPr>
        <w:ind w:left="1020" w:hanging="360"/>
      </w:pPr>
    </w:lvl>
    <w:lvl w:ilvl="8" w:tplc="3FA87EC4">
      <w:start w:val="1"/>
      <w:numFmt w:val="decimal"/>
      <w:lvlText w:val="%9."/>
      <w:lvlJc w:val="left"/>
      <w:pPr>
        <w:ind w:left="1020" w:hanging="360"/>
      </w:pPr>
    </w:lvl>
  </w:abstractNum>
  <w:abstractNum w:abstractNumId="36" w15:restartNumberingAfterBreak="0">
    <w:nsid w:val="739568CE"/>
    <w:multiLevelType w:val="multilevel"/>
    <w:tmpl w:val="E69A2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C25BB8"/>
    <w:multiLevelType w:val="hybridMultilevel"/>
    <w:tmpl w:val="061016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6626CE"/>
    <w:multiLevelType w:val="hybridMultilevel"/>
    <w:tmpl w:val="A17CB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7555A1"/>
    <w:multiLevelType w:val="hybridMultilevel"/>
    <w:tmpl w:val="0D7EE706"/>
    <w:lvl w:ilvl="0" w:tplc="2B4668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89565B"/>
    <w:multiLevelType w:val="hybridMultilevel"/>
    <w:tmpl w:val="2F1E0E18"/>
    <w:lvl w:ilvl="0" w:tplc="DE8E91B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087A22"/>
    <w:multiLevelType w:val="hybridMultilevel"/>
    <w:tmpl w:val="849252AC"/>
    <w:lvl w:ilvl="0" w:tplc="D522F842">
      <w:start w:val="1"/>
      <w:numFmt w:val="bullet"/>
      <w:suff w:val="space"/>
      <w:lvlText w:val=""/>
      <w:lvlJc w:val="left"/>
      <w:pPr>
        <w:ind w:left="216" w:hanging="72"/>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2" w15:restartNumberingAfterBreak="0">
    <w:nsid w:val="7D767763"/>
    <w:multiLevelType w:val="hybridMultilevel"/>
    <w:tmpl w:val="C23855E6"/>
    <w:lvl w:ilvl="0" w:tplc="0AEEAEB2">
      <w:start w:val="1"/>
      <w:numFmt w:val="decimal"/>
      <w:lvlText w:val="1.%1"/>
      <w:lvlJc w:val="left"/>
      <w:pPr>
        <w:ind w:left="720" w:hanging="360"/>
      </w:pPr>
      <w:rPr>
        <w:rFonts w:hint="default"/>
        <w:bCs w:val="0"/>
        <w:i w:val="0"/>
        <w:iCs w:val="0"/>
        <w:caps w:val="0"/>
        <w:smallCaps w:val="0"/>
        <w:strike w:val="0"/>
        <w:dstrike w:val="0"/>
        <w:outline w:val="0"/>
        <w:shadow w:val="0"/>
        <w:emboss w:val="0"/>
        <w:imprint w:val="0"/>
        <w:vanish w:val="0"/>
        <w:spacing w:val="0"/>
        <w:position w:val="0"/>
        <w:u w:val="none"/>
        <w:effect w:val="none"/>
        <w:vertAlign w:val="baseline"/>
        <w:em w: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BA0DBF"/>
    <w:multiLevelType w:val="hybridMultilevel"/>
    <w:tmpl w:val="E25C78E2"/>
    <w:lvl w:ilvl="0" w:tplc="5D1680E8">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7"/>
  </w:num>
  <w:num w:numId="4">
    <w:abstractNumId w:val="24"/>
  </w:num>
  <w:num w:numId="5">
    <w:abstractNumId w:val="32"/>
  </w:num>
  <w:num w:numId="6">
    <w:abstractNumId w:val="40"/>
  </w:num>
  <w:num w:numId="7">
    <w:abstractNumId w:val="1"/>
  </w:num>
  <w:num w:numId="8">
    <w:abstractNumId w:val="39"/>
  </w:num>
  <w:num w:numId="9">
    <w:abstractNumId w:val="25"/>
  </w:num>
  <w:num w:numId="10">
    <w:abstractNumId w:val="22"/>
  </w:num>
  <w:num w:numId="11">
    <w:abstractNumId w:val="36"/>
  </w:num>
  <w:num w:numId="12">
    <w:abstractNumId w:val="10"/>
  </w:num>
  <w:num w:numId="13">
    <w:abstractNumId w:val="4"/>
  </w:num>
  <w:num w:numId="14">
    <w:abstractNumId w:val="16"/>
  </w:num>
  <w:num w:numId="15">
    <w:abstractNumId w:val="2"/>
  </w:num>
  <w:num w:numId="16">
    <w:abstractNumId w:val="19"/>
  </w:num>
  <w:num w:numId="17">
    <w:abstractNumId w:val="31"/>
  </w:num>
  <w:num w:numId="18">
    <w:abstractNumId w:val="33"/>
  </w:num>
  <w:num w:numId="19">
    <w:abstractNumId w:val="42"/>
  </w:num>
  <w:num w:numId="20">
    <w:abstractNumId w:val="35"/>
  </w:num>
  <w:num w:numId="21">
    <w:abstractNumId w:val="33"/>
    <w:lvlOverride w:ilvl="0">
      <w:startOverride w:val="4"/>
    </w:lvlOverride>
    <w:lvlOverride w:ilvl="1">
      <w:startOverride w:val="2"/>
    </w:lvlOverride>
  </w:num>
  <w:num w:numId="22">
    <w:abstractNumId w:val="11"/>
  </w:num>
  <w:num w:numId="23">
    <w:abstractNumId w:val="29"/>
  </w:num>
  <w:num w:numId="24">
    <w:abstractNumId w:val="8"/>
  </w:num>
  <w:num w:numId="25">
    <w:abstractNumId w:val="7"/>
  </w:num>
  <w:num w:numId="26">
    <w:abstractNumId w:val="41"/>
  </w:num>
  <w:num w:numId="27">
    <w:abstractNumId w:val="34"/>
  </w:num>
  <w:num w:numId="28">
    <w:abstractNumId w:val="5"/>
  </w:num>
  <w:num w:numId="29">
    <w:abstractNumId w:val="26"/>
  </w:num>
  <w:num w:numId="30">
    <w:abstractNumId w:val="23"/>
  </w:num>
  <w:num w:numId="31">
    <w:abstractNumId w:val="21"/>
  </w:num>
  <w:num w:numId="32">
    <w:abstractNumId w:val="3"/>
  </w:num>
  <w:num w:numId="33">
    <w:abstractNumId w:val="28"/>
  </w:num>
  <w:num w:numId="34">
    <w:abstractNumId w:val="15"/>
  </w:num>
  <w:num w:numId="35">
    <w:abstractNumId w:val="18"/>
  </w:num>
  <w:num w:numId="36">
    <w:abstractNumId w:val="13"/>
  </w:num>
  <w:num w:numId="37">
    <w:abstractNumId w:val="27"/>
  </w:num>
  <w:num w:numId="38">
    <w:abstractNumId w:val="12"/>
  </w:num>
  <w:num w:numId="39">
    <w:abstractNumId w:val="30"/>
  </w:num>
  <w:num w:numId="40">
    <w:abstractNumId w:val="38"/>
  </w:num>
  <w:num w:numId="41">
    <w:abstractNumId w:val="9"/>
  </w:num>
  <w:num w:numId="42">
    <w:abstractNumId w:val="14"/>
  </w:num>
  <w:num w:numId="43">
    <w:abstractNumId w:val="17"/>
  </w:num>
  <w:num w:numId="44">
    <w:abstractNumId w:val="20"/>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B8"/>
    <w:rsid w:val="0000057D"/>
    <w:rsid w:val="00000770"/>
    <w:rsid w:val="00000829"/>
    <w:rsid w:val="00001E63"/>
    <w:rsid w:val="00002357"/>
    <w:rsid w:val="0000294F"/>
    <w:rsid w:val="00002CFD"/>
    <w:rsid w:val="00003082"/>
    <w:rsid w:val="00004945"/>
    <w:rsid w:val="0000565A"/>
    <w:rsid w:val="00006306"/>
    <w:rsid w:val="0000656E"/>
    <w:rsid w:val="000065D5"/>
    <w:rsid w:val="00006DCF"/>
    <w:rsid w:val="00006E53"/>
    <w:rsid w:val="000071C8"/>
    <w:rsid w:val="00007630"/>
    <w:rsid w:val="000076DC"/>
    <w:rsid w:val="00007BCA"/>
    <w:rsid w:val="000103AE"/>
    <w:rsid w:val="000103B6"/>
    <w:rsid w:val="00010489"/>
    <w:rsid w:val="00010A83"/>
    <w:rsid w:val="00010C62"/>
    <w:rsid w:val="0001101C"/>
    <w:rsid w:val="00011381"/>
    <w:rsid w:val="00011DF6"/>
    <w:rsid w:val="00012034"/>
    <w:rsid w:val="00012656"/>
    <w:rsid w:val="00012F8D"/>
    <w:rsid w:val="0001359A"/>
    <w:rsid w:val="00013729"/>
    <w:rsid w:val="00014C99"/>
    <w:rsid w:val="00014D29"/>
    <w:rsid w:val="0001527D"/>
    <w:rsid w:val="00015707"/>
    <w:rsid w:val="00015758"/>
    <w:rsid w:val="000163DF"/>
    <w:rsid w:val="00016958"/>
    <w:rsid w:val="00016E6E"/>
    <w:rsid w:val="00017AAA"/>
    <w:rsid w:val="000203C9"/>
    <w:rsid w:val="0002074A"/>
    <w:rsid w:val="0002075B"/>
    <w:rsid w:val="000210ED"/>
    <w:rsid w:val="00021443"/>
    <w:rsid w:val="000214D0"/>
    <w:rsid w:val="000215AF"/>
    <w:rsid w:val="00021D19"/>
    <w:rsid w:val="00021F96"/>
    <w:rsid w:val="0002213B"/>
    <w:rsid w:val="00022478"/>
    <w:rsid w:val="00022548"/>
    <w:rsid w:val="00022F65"/>
    <w:rsid w:val="00022FDB"/>
    <w:rsid w:val="00023171"/>
    <w:rsid w:val="000234FF"/>
    <w:rsid w:val="0002371B"/>
    <w:rsid w:val="00023791"/>
    <w:rsid w:val="00023C0E"/>
    <w:rsid w:val="00024238"/>
    <w:rsid w:val="0002455C"/>
    <w:rsid w:val="000257B5"/>
    <w:rsid w:val="00025F70"/>
    <w:rsid w:val="0002622B"/>
    <w:rsid w:val="000264AC"/>
    <w:rsid w:val="000264DC"/>
    <w:rsid w:val="0002682E"/>
    <w:rsid w:val="000268E4"/>
    <w:rsid w:val="00026CCD"/>
    <w:rsid w:val="0002743C"/>
    <w:rsid w:val="00027770"/>
    <w:rsid w:val="00027903"/>
    <w:rsid w:val="00030133"/>
    <w:rsid w:val="00030D9B"/>
    <w:rsid w:val="0003195F"/>
    <w:rsid w:val="0003223F"/>
    <w:rsid w:val="00032371"/>
    <w:rsid w:val="000323DA"/>
    <w:rsid w:val="0003273C"/>
    <w:rsid w:val="0003290A"/>
    <w:rsid w:val="00032C5D"/>
    <w:rsid w:val="00032CCB"/>
    <w:rsid w:val="0003333C"/>
    <w:rsid w:val="00034DCD"/>
    <w:rsid w:val="00035C69"/>
    <w:rsid w:val="00035CB6"/>
    <w:rsid w:val="00036212"/>
    <w:rsid w:val="000364E4"/>
    <w:rsid w:val="000368AB"/>
    <w:rsid w:val="00036A17"/>
    <w:rsid w:val="00037630"/>
    <w:rsid w:val="00037B2D"/>
    <w:rsid w:val="00041350"/>
    <w:rsid w:val="0004156B"/>
    <w:rsid w:val="0004164F"/>
    <w:rsid w:val="00041852"/>
    <w:rsid w:val="00041BA5"/>
    <w:rsid w:val="00041EDE"/>
    <w:rsid w:val="000423ED"/>
    <w:rsid w:val="0004244E"/>
    <w:rsid w:val="000426AE"/>
    <w:rsid w:val="000426BC"/>
    <w:rsid w:val="0004300D"/>
    <w:rsid w:val="000437C7"/>
    <w:rsid w:val="00043D14"/>
    <w:rsid w:val="000443AC"/>
    <w:rsid w:val="00044A1B"/>
    <w:rsid w:val="00045231"/>
    <w:rsid w:val="00045522"/>
    <w:rsid w:val="000456D8"/>
    <w:rsid w:val="00045ECB"/>
    <w:rsid w:val="00046987"/>
    <w:rsid w:val="00046AE1"/>
    <w:rsid w:val="00046BC8"/>
    <w:rsid w:val="00046C5E"/>
    <w:rsid w:val="0004745C"/>
    <w:rsid w:val="0004761B"/>
    <w:rsid w:val="0005023C"/>
    <w:rsid w:val="0005091E"/>
    <w:rsid w:val="00050954"/>
    <w:rsid w:val="00050B99"/>
    <w:rsid w:val="00050E0A"/>
    <w:rsid w:val="000514E9"/>
    <w:rsid w:val="0005185B"/>
    <w:rsid w:val="00052302"/>
    <w:rsid w:val="0005245D"/>
    <w:rsid w:val="000524C1"/>
    <w:rsid w:val="00052A12"/>
    <w:rsid w:val="00052A5F"/>
    <w:rsid w:val="00052AD2"/>
    <w:rsid w:val="00052B32"/>
    <w:rsid w:val="00053172"/>
    <w:rsid w:val="00053777"/>
    <w:rsid w:val="00053E5D"/>
    <w:rsid w:val="00054247"/>
    <w:rsid w:val="000545DF"/>
    <w:rsid w:val="00054C6B"/>
    <w:rsid w:val="000554A5"/>
    <w:rsid w:val="0005600F"/>
    <w:rsid w:val="000562A7"/>
    <w:rsid w:val="00056858"/>
    <w:rsid w:val="000569FA"/>
    <w:rsid w:val="00056AF1"/>
    <w:rsid w:val="00056F4A"/>
    <w:rsid w:val="000570CA"/>
    <w:rsid w:val="00060C27"/>
    <w:rsid w:val="00060EC1"/>
    <w:rsid w:val="00061B24"/>
    <w:rsid w:val="00061CFA"/>
    <w:rsid w:val="00061E41"/>
    <w:rsid w:val="000626EA"/>
    <w:rsid w:val="00063102"/>
    <w:rsid w:val="00063E4B"/>
    <w:rsid w:val="00063F62"/>
    <w:rsid w:val="00063FC7"/>
    <w:rsid w:val="00063FE4"/>
    <w:rsid w:val="0006483F"/>
    <w:rsid w:val="000648D2"/>
    <w:rsid w:val="00064F8A"/>
    <w:rsid w:val="00065631"/>
    <w:rsid w:val="000656E2"/>
    <w:rsid w:val="00065966"/>
    <w:rsid w:val="00065AD0"/>
    <w:rsid w:val="0006608B"/>
    <w:rsid w:val="000665FC"/>
    <w:rsid w:val="00066866"/>
    <w:rsid w:val="00066E9E"/>
    <w:rsid w:val="00067700"/>
    <w:rsid w:val="0007054A"/>
    <w:rsid w:val="00071817"/>
    <w:rsid w:val="000719FC"/>
    <w:rsid w:val="00071D81"/>
    <w:rsid w:val="00072154"/>
    <w:rsid w:val="000725D3"/>
    <w:rsid w:val="00072677"/>
    <w:rsid w:val="00072686"/>
    <w:rsid w:val="000728B4"/>
    <w:rsid w:val="00073F83"/>
    <w:rsid w:val="0007451D"/>
    <w:rsid w:val="00075011"/>
    <w:rsid w:val="00075411"/>
    <w:rsid w:val="000758AE"/>
    <w:rsid w:val="00075B18"/>
    <w:rsid w:val="00075E19"/>
    <w:rsid w:val="000764B4"/>
    <w:rsid w:val="0007697F"/>
    <w:rsid w:val="00076A31"/>
    <w:rsid w:val="00076FDE"/>
    <w:rsid w:val="0007793D"/>
    <w:rsid w:val="00080682"/>
    <w:rsid w:val="000814C6"/>
    <w:rsid w:val="00081AD4"/>
    <w:rsid w:val="00081AE7"/>
    <w:rsid w:val="00081D76"/>
    <w:rsid w:val="00082370"/>
    <w:rsid w:val="0008359E"/>
    <w:rsid w:val="000836AA"/>
    <w:rsid w:val="0008378E"/>
    <w:rsid w:val="000838E0"/>
    <w:rsid w:val="00084B80"/>
    <w:rsid w:val="00084BC8"/>
    <w:rsid w:val="00084DA6"/>
    <w:rsid w:val="0008507B"/>
    <w:rsid w:val="000850EC"/>
    <w:rsid w:val="000858AD"/>
    <w:rsid w:val="00085B3B"/>
    <w:rsid w:val="00085B3D"/>
    <w:rsid w:val="00085D4E"/>
    <w:rsid w:val="0008682D"/>
    <w:rsid w:val="0008697A"/>
    <w:rsid w:val="00086B95"/>
    <w:rsid w:val="0008705D"/>
    <w:rsid w:val="000871A2"/>
    <w:rsid w:val="0008757D"/>
    <w:rsid w:val="00090043"/>
    <w:rsid w:val="00090149"/>
    <w:rsid w:val="000901CD"/>
    <w:rsid w:val="00090707"/>
    <w:rsid w:val="000909D9"/>
    <w:rsid w:val="0009122D"/>
    <w:rsid w:val="00091603"/>
    <w:rsid w:val="000919D2"/>
    <w:rsid w:val="000919F7"/>
    <w:rsid w:val="000935C0"/>
    <w:rsid w:val="000935D9"/>
    <w:rsid w:val="00093F7D"/>
    <w:rsid w:val="000947C5"/>
    <w:rsid w:val="0009512E"/>
    <w:rsid w:val="00095584"/>
    <w:rsid w:val="00095608"/>
    <w:rsid w:val="00095B7F"/>
    <w:rsid w:val="000968F3"/>
    <w:rsid w:val="00096E2F"/>
    <w:rsid w:val="0009705F"/>
    <w:rsid w:val="000971C5"/>
    <w:rsid w:val="000973EC"/>
    <w:rsid w:val="00097B7A"/>
    <w:rsid w:val="000A03BB"/>
    <w:rsid w:val="000A069D"/>
    <w:rsid w:val="000A0DF3"/>
    <w:rsid w:val="000A1023"/>
    <w:rsid w:val="000A13C2"/>
    <w:rsid w:val="000A18FC"/>
    <w:rsid w:val="000A1C61"/>
    <w:rsid w:val="000A1CBE"/>
    <w:rsid w:val="000A1EF2"/>
    <w:rsid w:val="000A200C"/>
    <w:rsid w:val="000A24C0"/>
    <w:rsid w:val="000A29A8"/>
    <w:rsid w:val="000A3234"/>
    <w:rsid w:val="000A34DB"/>
    <w:rsid w:val="000A369B"/>
    <w:rsid w:val="000A3D50"/>
    <w:rsid w:val="000A3E26"/>
    <w:rsid w:val="000A3FD3"/>
    <w:rsid w:val="000A4ECA"/>
    <w:rsid w:val="000A50D9"/>
    <w:rsid w:val="000A5302"/>
    <w:rsid w:val="000A59D6"/>
    <w:rsid w:val="000A5AA1"/>
    <w:rsid w:val="000A5EE8"/>
    <w:rsid w:val="000A6406"/>
    <w:rsid w:val="000A68F7"/>
    <w:rsid w:val="000A6A57"/>
    <w:rsid w:val="000A6D04"/>
    <w:rsid w:val="000A6D1F"/>
    <w:rsid w:val="000A6F69"/>
    <w:rsid w:val="000A70C8"/>
    <w:rsid w:val="000B0D1C"/>
    <w:rsid w:val="000B0F7F"/>
    <w:rsid w:val="000B13CB"/>
    <w:rsid w:val="000B1533"/>
    <w:rsid w:val="000B2918"/>
    <w:rsid w:val="000B352C"/>
    <w:rsid w:val="000B4912"/>
    <w:rsid w:val="000B4B54"/>
    <w:rsid w:val="000B5329"/>
    <w:rsid w:val="000B57DD"/>
    <w:rsid w:val="000B66D7"/>
    <w:rsid w:val="000B685D"/>
    <w:rsid w:val="000B6FBE"/>
    <w:rsid w:val="000B77E5"/>
    <w:rsid w:val="000B77F2"/>
    <w:rsid w:val="000B787A"/>
    <w:rsid w:val="000B790D"/>
    <w:rsid w:val="000B7960"/>
    <w:rsid w:val="000B7F86"/>
    <w:rsid w:val="000B7FC1"/>
    <w:rsid w:val="000C0E6D"/>
    <w:rsid w:val="000C12C0"/>
    <w:rsid w:val="000C1BA7"/>
    <w:rsid w:val="000C20D2"/>
    <w:rsid w:val="000C22A1"/>
    <w:rsid w:val="000C2499"/>
    <w:rsid w:val="000C2C16"/>
    <w:rsid w:val="000C2F60"/>
    <w:rsid w:val="000C3419"/>
    <w:rsid w:val="000C3B34"/>
    <w:rsid w:val="000C3F59"/>
    <w:rsid w:val="000C41D5"/>
    <w:rsid w:val="000C4567"/>
    <w:rsid w:val="000C4597"/>
    <w:rsid w:val="000C4667"/>
    <w:rsid w:val="000C498E"/>
    <w:rsid w:val="000C4B80"/>
    <w:rsid w:val="000C518F"/>
    <w:rsid w:val="000C5D3C"/>
    <w:rsid w:val="000C6099"/>
    <w:rsid w:val="000C625E"/>
    <w:rsid w:val="000C676E"/>
    <w:rsid w:val="000C6D47"/>
    <w:rsid w:val="000C6FAF"/>
    <w:rsid w:val="000C7454"/>
    <w:rsid w:val="000C7776"/>
    <w:rsid w:val="000C798C"/>
    <w:rsid w:val="000D051F"/>
    <w:rsid w:val="000D07CB"/>
    <w:rsid w:val="000D0C36"/>
    <w:rsid w:val="000D14F1"/>
    <w:rsid w:val="000D17F9"/>
    <w:rsid w:val="000D2925"/>
    <w:rsid w:val="000D2AA8"/>
    <w:rsid w:val="000D324C"/>
    <w:rsid w:val="000D386B"/>
    <w:rsid w:val="000D3B26"/>
    <w:rsid w:val="000D3E7B"/>
    <w:rsid w:val="000D4262"/>
    <w:rsid w:val="000D473C"/>
    <w:rsid w:val="000D5112"/>
    <w:rsid w:val="000D53FB"/>
    <w:rsid w:val="000D5F86"/>
    <w:rsid w:val="000D627A"/>
    <w:rsid w:val="000D6CE4"/>
    <w:rsid w:val="000D701B"/>
    <w:rsid w:val="000E0229"/>
    <w:rsid w:val="000E0AA3"/>
    <w:rsid w:val="000E0F41"/>
    <w:rsid w:val="000E17C0"/>
    <w:rsid w:val="000E18EA"/>
    <w:rsid w:val="000E213E"/>
    <w:rsid w:val="000E2376"/>
    <w:rsid w:val="000E2BD2"/>
    <w:rsid w:val="000E3D74"/>
    <w:rsid w:val="000E4101"/>
    <w:rsid w:val="000E46EC"/>
    <w:rsid w:val="000E4A4F"/>
    <w:rsid w:val="000E5CE9"/>
    <w:rsid w:val="000E5E44"/>
    <w:rsid w:val="000E6776"/>
    <w:rsid w:val="000E69D0"/>
    <w:rsid w:val="000E6A94"/>
    <w:rsid w:val="000E6C4D"/>
    <w:rsid w:val="000E7176"/>
    <w:rsid w:val="000E72FF"/>
    <w:rsid w:val="000E76B6"/>
    <w:rsid w:val="000E789C"/>
    <w:rsid w:val="000E7B4F"/>
    <w:rsid w:val="000E7EC7"/>
    <w:rsid w:val="000F1232"/>
    <w:rsid w:val="000F13BE"/>
    <w:rsid w:val="000F1FBB"/>
    <w:rsid w:val="000F2111"/>
    <w:rsid w:val="000F2A9B"/>
    <w:rsid w:val="000F2B00"/>
    <w:rsid w:val="000F30BF"/>
    <w:rsid w:val="000F30F4"/>
    <w:rsid w:val="000F3169"/>
    <w:rsid w:val="000F32AA"/>
    <w:rsid w:val="000F45F8"/>
    <w:rsid w:val="000F46EB"/>
    <w:rsid w:val="000F4FE9"/>
    <w:rsid w:val="000F5445"/>
    <w:rsid w:val="000F5654"/>
    <w:rsid w:val="000F5916"/>
    <w:rsid w:val="000F5AE1"/>
    <w:rsid w:val="000F5BDD"/>
    <w:rsid w:val="000F5DDF"/>
    <w:rsid w:val="000F6251"/>
    <w:rsid w:val="000F6573"/>
    <w:rsid w:val="000F66D3"/>
    <w:rsid w:val="000F73F0"/>
    <w:rsid w:val="000F74F0"/>
    <w:rsid w:val="000F76B2"/>
    <w:rsid w:val="000F7880"/>
    <w:rsid w:val="000F7C2F"/>
    <w:rsid w:val="000F7EE8"/>
    <w:rsid w:val="001002A7"/>
    <w:rsid w:val="00100608"/>
    <w:rsid w:val="00101686"/>
    <w:rsid w:val="00101A13"/>
    <w:rsid w:val="00102010"/>
    <w:rsid w:val="0010282C"/>
    <w:rsid w:val="00102F28"/>
    <w:rsid w:val="00103023"/>
    <w:rsid w:val="00103345"/>
    <w:rsid w:val="001036CB"/>
    <w:rsid w:val="00103767"/>
    <w:rsid w:val="00103841"/>
    <w:rsid w:val="001040B3"/>
    <w:rsid w:val="0010414C"/>
    <w:rsid w:val="00104807"/>
    <w:rsid w:val="0010532C"/>
    <w:rsid w:val="00106296"/>
    <w:rsid w:val="00106419"/>
    <w:rsid w:val="00106551"/>
    <w:rsid w:val="001069D2"/>
    <w:rsid w:val="00106E26"/>
    <w:rsid w:val="001071AB"/>
    <w:rsid w:val="00107A69"/>
    <w:rsid w:val="00110084"/>
    <w:rsid w:val="00110CEF"/>
    <w:rsid w:val="00110FB7"/>
    <w:rsid w:val="0011122F"/>
    <w:rsid w:val="0011128E"/>
    <w:rsid w:val="00111793"/>
    <w:rsid w:val="00111DBC"/>
    <w:rsid w:val="00112150"/>
    <w:rsid w:val="001122A6"/>
    <w:rsid w:val="001125F1"/>
    <w:rsid w:val="0011283F"/>
    <w:rsid w:val="00112A82"/>
    <w:rsid w:val="00112C97"/>
    <w:rsid w:val="00113292"/>
    <w:rsid w:val="00113419"/>
    <w:rsid w:val="00113433"/>
    <w:rsid w:val="001146B3"/>
    <w:rsid w:val="00114866"/>
    <w:rsid w:val="0011513F"/>
    <w:rsid w:val="00115593"/>
    <w:rsid w:val="00115D3E"/>
    <w:rsid w:val="00115F3F"/>
    <w:rsid w:val="00116031"/>
    <w:rsid w:val="00117A7A"/>
    <w:rsid w:val="00117C91"/>
    <w:rsid w:val="00120183"/>
    <w:rsid w:val="0012027E"/>
    <w:rsid w:val="00121451"/>
    <w:rsid w:val="00121B60"/>
    <w:rsid w:val="00121BFF"/>
    <w:rsid w:val="001225F6"/>
    <w:rsid w:val="00122C06"/>
    <w:rsid w:val="001232BD"/>
    <w:rsid w:val="00123411"/>
    <w:rsid w:val="00123417"/>
    <w:rsid w:val="001239C3"/>
    <w:rsid w:val="00123C0F"/>
    <w:rsid w:val="0012429E"/>
    <w:rsid w:val="001248F7"/>
    <w:rsid w:val="001260E6"/>
    <w:rsid w:val="00126454"/>
    <w:rsid w:val="001267C9"/>
    <w:rsid w:val="00126B72"/>
    <w:rsid w:val="00126FBB"/>
    <w:rsid w:val="00126FDF"/>
    <w:rsid w:val="0012714C"/>
    <w:rsid w:val="00127CE2"/>
    <w:rsid w:val="00127FF6"/>
    <w:rsid w:val="001305EE"/>
    <w:rsid w:val="001306DF"/>
    <w:rsid w:val="001309A3"/>
    <w:rsid w:val="00130D4A"/>
    <w:rsid w:val="00131939"/>
    <w:rsid w:val="00131C34"/>
    <w:rsid w:val="00132C03"/>
    <w:rsid w:val="00132F0F"/>
    <w:rsid w:val="00132F84"/>
    <w:rsid w:val="00133A77"/>
    <w:rsid w:val="00133A96"/>
    <w:rsid w:val="001340B5"/>
    <w:rsid w:val="0013414D"/>
    <w:rsid w:val="00134580"/>
    <w:rsid w:val="00134AC7"/>
    <w:rsid w:val="00134EF1"/>
    <w:rsid w:val="001352B5"/>
    <w:rsid w:val="00135874"/>
    <w:rsid w:val="001363B7"/>
    <w:rsid w:val="00136552"/>
    <w:rsid w:val="00136938"/>
    <w:rsid w:val="00137CBD"/>
    <w:rsid w:val="00137F1D"/>
    <w:rsid w:val="001404E3"/>
    <w:rsid w:val="00140BA8"/>
    <w:rsid w:val="00140D9E"/>
    <w:rsid w:val="00140E08"/>
    <w:rsid w:val="001416D5"/>
    <w:rsid w:val="00141734"/>
    <w:rsid w:val="00141857"/>
    <w:rsid w:val="00141CA1"/>
    <w:rsid w:val="00143587"/>
    <w:rsid w:val="00143B43"/>
    <w:rsid w:val="001440B9"/>
    <w:rsid w:val="001441CE"/>
    <w:rsid w:val="001443AF"/>
    <w:rsid w:val="0014496D"/>
    <w:rsid w:val="00144A00"/>
    <w:rsid w:val="00144A27"/>
    <w:rsid w:val="00144F24"/>
    <w:rsid w:val="001453DA"/>
    <w:rsid w:val="0014544B"/>
    <w:rsid w:val="00145809"/>
    <w:rsid w:val="00145EA2"/>
    <w:rsid w:val="00146412"/>
    <w:rsid w:val="001469D9"/>
    <w:rsid w:val="001470B1"/>
    <w:rsid w:val="00147B7A"/>
    <w:rsid w:val="00150073"/>
    <w:rsid w:val="00150BAE"/>
    <w:rsid w:val="00150D64"/>
    <w:rsid w:val="00151581"/>
    <w:rsid w:val="0015170E"/>
    <w:rsid w:val="00151961"/>
    <w:rsid w:val="00151CEB"/>
    <w:rsid w:val="00151DAE"/>
    <w:rsid w:val="001526E4"/>
    <w:rsid w:val="0015321E"/>
    <w:rsid w:val="00153483"/>
    <w:rsid w:val="001538E6"/>
    <w:rsid w:val="00153A63"/>
    <w:rsid w:val="00153B60"/>
    <w:rsid w:val="00153D9B"/>
    <w:rsid w:val="00154A28"/>
    <w:rsid w:val="00154A54"/>
    <w:rsid w:val="00154AFE"/>
    <w:rsid w:val="00154C04"/>
    <w:rsid w:val="00154EC5"/>
    <w:rsid w:val="001552DE"/>
    <w:rsid w:val="00155636"/>
    <w:rsid w:val="00155909"/>
    <w:rsid w:val="00155946"/>
    <w:rsid w:val="00155F0E"/>
    <w:rsid w:val="00157490"/>
    <w:rsid w:val="00157C53"/>
    <w:rsid w:val="00160400"/>
    <w:rsid w:val="00160C81"/>
    <w:rsid w:val="00160F1A"/>
    <w:rsid w:val="00161787"/>
    <w:rsid w:val="00161AC8"/>
    <w:rsid w:val="001622D1"/>
    <w:rsid w:val="001624FD"/>
    <w:rsid w:val="00162958"/>
    <w:rsid w:val="00162AED"/>
    <w:rsid w:val="00162D19"/>
    <w:rsid w:val="0016314E"/>
    <w:rsid w:val="001634E1"/>
    <w:rsid w:val="00163799"/>
    <w:rsid w:val="00164406"/>
    <w:rsid w:val="00164658"/>
    <w:rsid w:val="00164CA8"/>
    <w:rsid w:val="001651C4"/>
    <w:rsid w:val="00165392"/>
    <w:rsid w:val="0016590D"/>
    <w:rsid w:val="0016592A"/>
    <w:rsid w:val="001667B0"/>
    <w:rsid w:val="00166B3A"/>
    <w:rsid w:val="00166CA1"/>
    <w:rsid w:val="00167DD8"/>
    <w:rsid w:val="0017069E"/>
    <w:rsid w:val="001709DB"/>
    <w:rsid w:val="0017156A"/>
    <w:rsid w:val="0017175F"/>
    <w:rsid w:val="00172B31"/>
    <w:rsid w:val="00173011"/>
    <w:rsid w:val="0017498E"/>
    <w:rsid w:val="00174B77"/>
    <w:rsid w:val="00175CF3"/>
    <w:rsid w:val="00175EBC"/>
    <w:rsid w:val="00176918"/>
    <w:rsid w:val="00176B0D"/>
    <w:rsid w:val="001779B2"/>
    <w:rsid w:val="00177A5D"/>
    <w:rsid w:val="00177B14"/>
    <w:rsid w:val="00177FC1"/>
    <w:rsid w:val="00177FC8"/>
    <w:rsid w:val="00180052"/>
    <w:rsid w:val="00180059"/>
    <w:rsid w:val="0018035F"/>
    <w:rsid w:val="001807CE"/>
    <w:rsid w:val="00180AD7"/>
    <w:rsid w:val="00181D60"/>
    <w:rsid w:val="00182472"/>
    <w:rsid w:val="00182608"/>
    <w:rsid w:val="0018276E"/>
    <w:rsid w:val="00182ACC"/>
    <w:rsid w:val="00182CF8"/>
    <w:rsid w:val="00182E99"/>
    <w:rsid w:val="00183007"/>
    <w:rsid w:val="00183DD6"/>
    <w:rsid w:val="00184264"/>
    <w:rsid w:val="001857D6"/>
    <w:rsid w:val="00185A86"/>
    <w:rsid w:val="00185F6A"/>
    <w:rsid w:val="0018643A"/>
    <w:rsid w:val="00186467"/>
    <w:rsid w:val="00186503"/>
    <w:rsid w:val="00186579"/>
    <w:rsid w:val="001868A3"/>
    <w:rsid w:val="00186CB1"/>
    <w:rsid w:val="00186EA8"/>
    <w:rsid w:val="00187B16"/>
    <w:rsid w:val="00187ECC"/>
    <w:rsid w:val="001903F9"/>
    <w:rsid w:val="0019060F"/>
    <w:rsid w:val="00190A2A"/>
    <w:rsid w:val="00190C56"/>
    <w:rsid w:val="00190E67"/>
    <w:rsid w:val="00190F04"/>
    <w:rsid w:val="00191145"/>
    <w:rsid w:val="00191341"/>
    <w:rsid w:val="001915B4"/>
    <w:rsid w:val="00191D34"/>
    <w:rsid w:val="00191E34"/>
    <w:rsid w:val="00192116"/>
    <w:rsid w:val="001923D9"/>
    <w:rsid w:val="001929DE"/>
    <w:rsid w:val="00192BD4"/>
    <w:rsid w:val="00192FCB"/>
    <w:rsid w:val="00193056"/>
    <w:rsid w:val="00193382"/>
    <w:rsid w:val="0019395D"/>
    <w:rsid w:val="00193B7C"/>
    <w:rsid w:val="00193F27"/>
    <w:rsid w:val="00193F40"/>
    <w:rsid w:val="00194514"/>
    <w:rsid w:val="00194669"/>
    <w:rsid w:val="00195027"/>
    <w:rsid w:val="001955DB"/>
    <w:rsid w:val="00195871"/>
    <w:rsid w:val="00195FB2"/>
    <w:rsid w:val="00196A16"/>
    <w:rsid w:val="00196C8C"/>
    <w:rsid w:val="00196F49"/>
    <w:rsid w:val="00197678"/>
    <w:rsid w:val="00197739"/>
    <w:rsid w:val="001977B1"/>
    <w:rsid w:val="001A0091"/>
    <w:rsid w:val="001A069F"/>
    <w:rsid w:val="001A09A5"/>
    <w:rsid w:val="001A17B2"/>
    <w:rsid w:val="001A1DD9"/>
    <w:rsid w:val="001A206D"/>
    <w:rsid w:val="001A27C8"/>
    <w:rsid w:val="001A27E8"/>
    <w:rsid w:val="001A28A9"/>
    <w:rsid w:val="001A2A91"/>
    <w:rsid w:val="001A2B16"/>
    <w:rsid w:val="001A2B69"/>
    <w:rsid w:val="001A2E4A"/>
    <w:rsid w:val="001A332C"/>
    <w:rsid w:val="001A3485"/>
    <w:rsid w:val="001A3B33"/>
    <w:rsid w:val="001A414E"/>
    <w:rsid w:val="001A44B4"/>
    <w:rsid w:val="001A50F2"/>
    <w:rsid w:val="001A5705"/>
    <w:rsid w:val="001A73F0"/>
    <w:rsid w:val="001A76D7"/>
    <w:rsid w:val="001A7CA6"/>
    <w:rsid w:val="001B1A19"/>
    <w:rsid w:val="001B2B3A"/>
    <w:rsid w:val="001B37CF"/>
    <w:rsid w:val="001B390F"/>
    <w:rsid w:val="001B3D81"/>
    <w:rsid w:val="001B4186"/>
    <w:rsid w:val="001B4F22"/>
    <w:rsid w:val="001B5067"/>
    <w:rsid w:val="001B67C2"/>
    <w:rsid w:val="001B69EB"/>
    <w:rsid w:val="001B709E"/>
    <w:rsid w:val="001B739A"/>
    <w:rsid w:val="001B74AE"/>
    <w:rsid w:val="001B7853"/>
    <w:rsid w:val="001B79AD"/>
    <w:rsid w:val="001B7C72"/>
    <w:rsid w:val="001C0B79"/>
    <w:rsid w:val="001C1077"/>
    <w:rsid w:val="001C1795"/>
    <w:rsid w:val="001C22E0"/>
    <w:rsid w:val="001C2575"/>
    <w:rsid w:val="001C27EA"/>
    <w:rsid w:val="001C2CCE"/>
    <w:rsid w:val="001C2FC2"/>
    <w:rsid w:val="001C312D"/>
    <w:rsid w:val="001C349E"/>
    <w:rsid w:val="001C3586"/>
    <w:rsid w:val="001C35F0"/>
    <w:rsid w:val="001C364D"/>
    <w:rsid w:val="001C36CC"/>
    <w:rsid w:val="001C3864"/>
    <w:rsid w:val="001C3EB8"/>
    <w:rsid w:val="001C41D1"/>
    <w:rsid w:val="001C42B8"/>
    <w:rsid w:val="001C4698"/>
    <w:rsid w:val="001C46C9"/>
    <w:rsid w:val="001C47C9"/>
    <w:rsid w:val="001C4B26"/>
    <w:rsid w:val="001C4C45"/>
    <w:rsid w:val="001C4E32"/>
    <w:rsid w:val="001C52C2"/>
    <w:rsid w:val="001C5D5B"/>
    <w:rsid w:val="001C61DF"/>
    <w:rsid w:val="001C63B6"/>
    <w:rsid w:val="001C6442"/>
    <w:rsid w:val="001C68A9"/>
    <w:rsid w:val="001C6F12"/>
    <w:rsid w:val="001C7A66"/>
    <w:rsid w:val="001C7DE2"/>
    <w:rsid w:val="001C7E16"/>
    <w:rsid w:val="001D0390"/>
    <w:rsid w:val="001D058E"/>
    <w:rsid w:val="001D0B48"/>
    <w:rsid w:val="001D0CF4"/>
    <w:rsid w:val="001D11E9"/>
    <w:rsid w:val="001D1435"/>
    <w:rsid w:val="001D1BEE"/>
    <w:rsid w:val="001D1F28"/>
    <w:rsid w:val="001D231F"/>
    <w:rsid w:val="001D2667"/>
    <w:rsid w:val="001D267F"/>
    <w:rsid w:val="001D3307"/>
    <w:rsid w:val="001D3653"/>
    <w:rsid w:val="001D3721"/>
    <w:rsid w:val="001D39A9"/>
    <w:rsid w:val="001D3F84"/>
    <w:rsid w:val="001D44B6"/>
    <w:rsid w:val="001D4901"/>
    <w:rsid w:val="001D4B12"/>
    <w:rsid w:val="001D4C57"/>
    <w:rsid w:val="001D50AC"/>
    <w:rsid w:val="001D5177"/>
    <w:rsid w:val="001D55BF"/>
    <w:rsid w:val="001D597C"/>
    <w:rsid w:val="001D5BFB"/>
    <w:rsid w:val="001D5E44"/>
    <w:rsid w:val="001D5EDC"/>
    <w:rsid w:val="001D6C2F"/>
    <w:rsid w:val="001D6C59"/>
    <w:rsid w:val="001D70D3"/>
    <w:rsid w:val="001D78D3"/>
    <w:rsid w:val="001D7D16"/>
    <w:rsid w:val="001E035F"/>
    <w:rsid w:val="001E04D9"/>
    <w:rsid w:val="001E1004"/>
    <w:rsid w:val="001E1511"/>
    <w:rsid w:val="001E15D3"/>
    <w:rsid w:val="001E1E38"/>
    <w:rsid w:val="001E2212"/>
    <w:rsid w:val="001E28E8"/>
    <w:rsid w:val="001E2BA9"/>
    <w:rsid w:val="001E2FE0"/>
    <w:rsid w:val="001E319F"/>
    <w:rsid w:val="001E3506"/>
    <w:rsid w:val="001E3B73"/>
    <w:rsid w:val="001E3BDE"/>
    <w:rsid w:val="001E44F6"/>
    <w:rsid w:val="001E4A43"/>
    <w:rsid w:val="001E4B92"/>
    <w:rsid w:val="001E4C88"/>
    <w:rsid w:val="001E5CE2"/>
    <w:rsid w:val="001E6776"/>
    <w:rsid w:val="001E6FC9"/>
    <w:rsid w:val="001E7EF3"/>
    <w:rsid w:val="001E7F51"/>
    <w:rsid w:val="001E7FF3"/>
    <w:rsid w:val="001F0083"/>
    <w:rsid w:val="001F09ED"/>
    <w:rsid w:val="001F0B94"/>
    <w:rsid w:val="001F0F93"/>
    <w:rsid w:val="001F1D4E"/>
    <w:rsid w:val="001F1F9B"/>
    <w:rsid w:val="001F224B"/>
    <w:rsid w:val="001F2E40"/>
    <w:rsid w:val="001F34A7"/>
    <w:rsid w:val="001F34C0"/>
    <w:rsid w:val="001F355E"/>
    <w:rsid w:val="001F395D"/>
    <w:rsid w:val="001F3C31"/>
    <w:rsid w:val="001F4149"/>
    <w:rsid w:val="001F47ED"/>
    <w:rsid w:val="001F6A64"/>
    <w:rsid w:val="001F6AEB"/>
    <w:rsid w:val="001F6D01"/>
    <w:rsid w:val="001F7613"/>
    <w:rsid w:val="001F7FAB"/>
    <w:rsid w:val="00200433"/>
    <w:rsid w:val="002023CA"/>
    <w:rsid w:val="002027FF"/>
    <w:rsid w:val="00202D27"/>
    <w:rsid w:val="00202D46"/>
    <w:rsid w:val="002035D1"/>
    <w:rsid w:val="002035FF"/>
    <w:rsid w:val="00203DD4"/>
    <w:rsid w:val="0020405C"/>
    <w:rsid w:val="002040EC"/>
    <w:rsid w:val="00204228"/>
    <w:rsid w:val="00204AE3"/>
    <w:rsid w:val="00204E08"/>
    <w:rsid w:val="0020535A"/>
    <w:rsid w:val="002054A8"/>
    <w:rsid w:val="00205DBE"/>
    <w:rsid w:val="0020615F"/>
    <w:rsid w:val="00206459"/>
    <w:rsid w:val="00206633"/>
    <w:rsid w:val="002102F9"/>
    <w:rsid w:val="002105B1"/>
    <w:rsid w:val="00210F30"/>
    <w:rsid w:val="00210F70"/>
    <w:rsid w:val="0021183C"/>
    <w:rsid w:val="00211BED"/>
    <w:rsid w:val="0021228D"/>
    <w:rsid w:val="00212580"/>
    <w:rsid w:val="002127BE"/>
    <w:rsid w:val="002128F1"/>
    <w:rsid w:val="00212DF7"/>
    <w:rsid w:val="00212DFF"/>
    <w:rsid w:val="00212FE1"/>
    <w:rsid w:val="00213343"/>
    <w:rsid w:val="002139AE"/>
    <w:rsid w:val="0021477E"/>
    <w:rsid w:val="0021483A"/>
    <w:rsid w:val="0021616C"/>
    <w:rsid w:val="002163CC"/>
    <w:rsid w:val="002166B6"/>
    <w:rsid w:val="002168A4"/>
    <w:rsid w:val="00216933"/>
    <w:rsid w:val="002206C0"/>
    <w:rsid w:val="00221543"/>
    <w:rsid w:val="00221604"/>
    <w:rsid w:val="00221A9C"/>
    <w:rsid w:val="00221E0D"/>
    <w:rsid w:val="00222971"/>
    <w:rsid w:val="002229CC"/>
    <w:rsid w:val="00223426"/>
    <w:rsid w:val="00223A1A"/>
    <w:rsid w:val="00223CCC"/>
    <w:rsid w:val="00225BEE"/>
    <w:rsid w:val="002262FC"/>
    <w:rsid w:val="00226433"/>
    <w:rsid w:val="002271EF"/>
    <w:rsid w:val="0023108B"/>
    <w:rsid w:val="002313D5"/>
    <w:rsid w:val="0023190A"/>
    <w:rsid w:val="0023223E"/>
    <w:rsid w:val="0023269B"/>
    <w:rsid w:val="00232D55"/>
    <w:rsid w:val="00232DAA"/>
    <w:rsid w:val="00233144"/>
    <w:rsid w:val="00233222"/>
    <w:rsid w:val="002336DB"/>
    <w:rsid w:val="0023387E"/>
    <w:rsid w:val="00233D70"/>
    <w:rsid w:val="00233E8F"/>
    <w:rsid w:val="00233EB6"/>
    <w:rsid w:val="002347F3"/>
    <w:rsid w:val="00234AE7"/>
    <w:rsid w:val="002359A9"/>
    <w:rsid w:val="00236413"/>
    <w:rsid w:val="00237F3E"/>
    <w:rsid w:val="002405C4"/>
    <w:rsid w:val="0024079E"/>
    <w:rsid w:val="00240F8C"/>
    <w:rsid w:val="0024129D"/>
    <w:rsid w:val="002415BA"/>
    <w:rsid w:val="00241879"/>
    <w:rsid w:val="00241A04"/>
    <w:rsid w:val="002426C1"/>
    <w:rsid w:val="00242AF2"/>
    <w:rsid w:val="00242F3C"/>
    <w:rsid w:val="0024325E"/>
    <w:rsid w:val="00243305"/>
    <w:rsid w:val="00243752"/>
    <w:rsid w:val="00243B1C"/>
    <w:rsid w:val="00243F06"/>
    <w:rsid w:val="00243F11"/>
    <w:rsid w:val="002440E5"/>
    <w:rsid w:val="0024451C"/>
    <w:rsid w:val="0024482A"/>
    <w:rsid w:val="00244A8D"/>
    <w:rsid w:val="00244D86"/>
    <w:rsid w:val="0024525A"/>
    <w:rsid w:val="00245546"/>
    <w:rsid w:val="00245699"/>
    <w:rsid w:val="002456BE"/>
    <w:rsid w:val="002456CF"/>
    <w:rsid w:val="00245D6E"/>
    <w:rsid w:val="00245F62"/>
    <w:rsid w:val="0024615E"/>
    <w:rsid w:val="0024663D"/>
    <w:rsid w:val="0024683E"/>
    <w:rsid w:val="002469A6"/>
    <w:rsid w:val="00246E2F"/>
    <w:rsid w:val="00246F5E"/>
    <w:rsid w:val="00247197"/>
    <w:rsid w:val="00247312"/>
    <w:rsid w:val="00247398"/>
    <w:rsid w:val="0024754C"/>
    <w:rsid w:val="00247C9B"/>
    <w:rsid w:val="00247D56"/>
    <w:rsid w:val="00247E53"/>
    <w:rsid w:val="0025193D"/>
    <w:rsid w:val="00251E65"/>
    <w:rsid w:val="00251E7B"/>
    <w:rsid w:val="00252602"/>
    <w:rsid w:val="00252729"/>
    <w:rsid w:val="00252C54"/>
    <w:rsid w:val="002547DF"/>
    <w:rsid w:val="00254DC8"/>
    <w:rsid w:val="002560AC"/>
    <w:rsid w:val="002563A4"/>
    <w:rsid w:val="0025689F"/>
    <w:rsid w:val="00256B3B"/>
    <w:rsid w:val="00256E02"/>
    <w:rsid w:val="00256E79"/>
    <w:rsid w:val="002577E6"/>
    <w:rsid w:val="00257CF0"/>
    <w:rsid w:val="00260007"/>
    <w:rsid w:val="00261078"/>
    <w:rsid w:val="002619E5"/>
    <w:rsid w:val="00261A48"/>
    <w:rsid w:val="00261C59"/>
    <w:rsid w:val="00261DC0"/>
    <w:rsid w:val="0026276A"/>
    <w:rsid w:val="00262E90"/>
    <w:rsid w:val="00263475"/>
    <w:rsid w:val="00263CDF"/>
    <w:rsid w:val="00263F0B"/>
    <w:rsid w:val="00264372"/>
    <w:rsid w:val="00264589"/>
    <w:rsid w:val="002651B4"/>
    <w:rsid w:val="002653B8"/>
    <w:rsid w:val="00265E21"/>
    <w:rsid w:val="0026635F"/>
    <w:rsid w:val="00266D33"/>
    <w:rsid w:val="0026708B"/>
    <w:rsid w:val="002676E0"/>
    <w:rsid w:val="00267D2F"/>
    <w:rsid w:val="002700BF"/>
    <w:rsid w:val="002701DB"/>
    <w:rsid w:val="002703B3"/>
    <w:rsid w:val="00270662"/>
    <w:rsid w:val="002708DE"/>
    <w:rsid w:val="00270C84"/>
    <w:rsid w:val="00270F85"/>
    <w:rsid w:val="00271BA2"/>
    <w:rsid w:val="00271F0B"/>
    <w:rsid w:val="002723EE"/>
    <w:rsid w:val="00272FED"/>
    <w:rsid w:val="002733AC"/>
    <w:rsid w:val="0027423D"/>
    <w:rsid w:val="00274704"/>
    <w:rsid w:val="00275A2E"/>
    <w:rsid w:val="00275B7A"/>
    <w:rsid w:val="00275D1A"/>
    <w:rsid w:val="00275F49"/>
    <w:rsid w:val="00276006"/>
    <w:rsid w:val="002769CC"/>
    <w:rsid w:val="00276F37"/>
    <w:rsid w:val="00277188"/>
    <w:rsid w:val="002774DE"/>
    <w:rsid w:val="00277A88"/>
    <w:rsid w:val="00277B02"/>
    <w:rsid w:val="00277DD4"/>
    <w:rsid w:val="0028015D"/>
    <w:rsid w:val="002802A0"/>
    <w:rsid w:val="002803CB"/>
    <w:rsid w:val="00280872"/>
    <w:rsid w:val="00280A56"/>
    <w:rsid w:val="00280F7B"/>
    <w:rsid w:val="0028135F"/>
    <w:rsid w:val="00281C60"/>
    <w:rsid w:val="00281EBE"/>
    <w:rsid w:val="0028233B"/>
    <w:rsid w:val="00282952"/>
    <w:rsid w:val="00282B9F"/>
    <w:rsid w:val="00282BAA"/>
    <w:rsid w:val="00282E31"/>
    <w:rsid w:val="002835E3"/>
    <w:rsid w:val="002838F4"/>
    <w:rsid w:val="00283F8F"/>
    <w:rsid w:val="00284CD3"/>
    <w:rsid w:val="00285AB8"/>
    <w:rsid w:val="00285ADE"/>
    <w:rsid w:val="00285E81"/>
    <w:rsid w:val="0028630E"/>
    <w:rsid w:val="00286532"/>
    <w:rsid w:val="002865B3"/>
    <w:rsid w:val="002866D2"/>
    <w:rsid w:val="00286B5F"/>
    <w:rsid w:val="0028765F"/>
    <w:rsid w:val="00287861"/>
    <w:rsid w:val="00287D0F"/>
    <w:rsid w:val="00287F91"/>
    <w:rsid w:val="002900E9"/>
    <w:rsid w:val="002903D7"/>
    <w:rsid w:val="002904C9"/>
    <w:rsid w:val="002908D3"/>
    <w:rsid w:val="00290ED1"/>
    <w:rsid w:val="00291159"/>
    <w:rsid w:val="002916B8"/>
    <w:rsid w:val="0029241F"/>
    <w:rsid w:val="00292F2C"/>
    <w:rsid w:val="00293009"/>
    <w:rsid w:val="00293888"/>
    <w:rsid w:val="002938EA"/>
    <w:rsid w:val="002942AD"/>
    <w:rsid w:val="002944B4"/>
    <w:rsid w:val="002949B4"/>
    <w:rsid w:val="00294BB2"/>
    <w:rsid w:val="00294BD8"/>
    <w:rsid w:val="0029568E"/>
    <w:rsid w:val="00295A48"/>
    <w:rsid w:val="00295D12"/>
    <w:rsid w:val="00295DF5"/>
    <w:rsid w:val="00295E58"/>
    <w:rsid w:val="00295F2C"/>
    <w:rsid w:val="00296072"/>
    <w:rsid w:val="0029610F"/>
    <w:rsid w:val="00296905"/>
    <w:rsid w:val="002970A7"/>
    <w:rsid w:val="002978B9"/>
    <w:rsid w:val="00297A57"/>
    <w:rsid w:val="002A077D"/>
    <w:rsid w:val="002A0C1F"/>
    <w:rsid w:val="002A106A"/>
    <w:rsid w:val="002A1125"/>
    <w:rsid w:val="002A2335"/>
    <w:rsid w:val="002A256C"/>
    <w:rsid w:val="002A27AC"/>
    <w:rsid w:val="002A2859"/>
    <w:rsid w:val="002A2A95"/>
    <w:rsid w:val="002A2B8D"/>
    <w:rsid w:val="002A3325"/>
    <w:rsid w:val="002A35B5"/>
    <w:rsid w:val="002A3775"/>
    <w:rsid w:val="002A3D01"/>
    <w:rsid w:val="002A3DB5"/>
    <w:rsid w:val="002A400E"/>
    <w:rsid w:val="002A47A4"/>
    <w:rsid w:val="002A4C1D"/>
    <w:rsid w:val="002A4DED"/>
    <w:rsid w:val="002A5680"/>
    <w:rsid w:val="002A56D8"/>
    <w:rsid w:val="002A5B3F"/>
    <w:rsid w:val="002A5D4C"/>
    <w:rsid w:val="002A637B"/>
    <w:rsid w:val="002A64DA"/>
    <w:rsid w:val="002A7D69"/>
    <w:rsid w:val="002A7D7D"/>
    <w:rsid w:val="002B000D"/>
    <w:rsid w:val="002B0269"/>
    <w:rsid w:val="002B06F5"/>
    <w:rsid w:val="002B0BCB"/>
    <w:rsid w:val="002B0C39"/>
    <w:rsid w:val="002B0E74"/>
    <w:rsid w:val="002B1230"/>
    <w:rsid w:val="002B13C1"/>
    <w:rsid w:val="002B1658"/>
    <w:rsid w:val="002B1CFC"/>
    <w:rsid w:val="002B1E91"/>
    <w:rsid w:val="002B21BC"/>
    <w:rsid w:val="002B29C3"/>
    <w:rsid w:val="002B2EFB"/>
    <w:rsid w:val="002B3F38"/>
    <w:rsid w:val="002B45E0"/>
    <w:rsid w:val="002B4724"/>
    <w:rsid w:val="002B4975"/>
    <w:rsid w:val="002B4D95"/>
    <w:rsid w:val="002B5E1E"/>
    <w:rsid w:val="002B5EA5"/>
    <w:rsid w:val="002B664C"/>
    <w:rsid w:val="002B6881"/>
    <w:rsid w:val="002B71E4"/>
    <w:rsid w:val="002B7351"/>
    <w:rsid w:val="002B769E"/>
    <w:rsid w:val="002B78AA"/>
    <w:rsid w:val="002B7A6A"/>
    <w:rsid w:val="002C0AE6"/>
    <w:rsid w:val="002C1443"/>
    <w:rsid w:val="002C14F6"/>
    <w:rsid w:val="002C1BA3"/>
    <w:rsid w:val="002C1C42"/>
    <w:rsid w:val="002C2054"/>
    <w:rsid w:val="002C26EE"/>
    <w:rsid w:val="002C2EE1"/>
    <w:rsid w:val="002C3447"/>
    <w:rsid w:val="002C3605"/>
    <w:rsid w:val="002C362A"/>
    <w:rsid w:val="002C37A0"/>
    <w:rsid w:val="002C37C1"/>
    <w:rsid w:val="002C3E1B"/>
    <w:rsid w:val="002C41A7"/>
    <w:rsid w:val="002C4418"/>
    <w:rsid w:val="002C4C91"/>
    <w:rsid w:val="002C4E03"/>
    <w:rsid w:val="002C5239"/>
    <w:rsid w:val="002C53A8"/>
    <w:rsid w:val="002C56AF"/>
    <w:rsid w:val="002C599B"/>
    <w:rsid w:val="002C5BE8"/>
    <w:rsid w:val="002C6026"/>
    <w:rsid w:val="002C6726"/>
    <w:rsid w:val="002C71F2"/>
    <w:rsid w:val="002C73DB"/>
    <w:rsid w:val="002C77BB"/>
    <w:rsid w:val="002C77F1"/>
    <w:rsid w:val="002C78B7"/>
    <w:rsid w:val="002C7B73"/>
    <w:rsid w:val="002D11FE"/>
    <w:rsid w:val="002D1477"/>
    <w:rsid w:val="002D1573"/>
    <w:rsid w:val="002D1C4A"/>
    <w:rsid w:val="002D244F"/>
    <w:rsid w:val="002D2465"/>
    <w:rsid w:val="002D3861"/>
    <w:rsid w:val="002D39D4"/>
    <w:rsid w:val="002D3C2C"/>
    <w:rsid w:val="002D44E1"/>
    <w:rsid w:val="002D45B3"/>
    <w:rsid w:val="002D4A2A"/>
    <w:rsid w:val="002D4A62"/>
    <w:rsid w:val="002D5406"/>
    <w:rsid w:val="002D555F"/>
    <w:rsid w:val="002D565B"/>
    <w:rsid w:val="002D5B23"/>
    <w:rsid w:val="002D5D34"/>
    <w:rsid w:val="002D5F45"/>
    <w:rsid w:val="002D6621"/>
    <w:rsid w:val="002D6B43"/>
    <w:rsid w:val="002D70D8"/>
    <w:rsid w:val="002D7908"/>
    <w:rsid w:val="002D7A63"/>
    <w:rsid w:val="002E0672"/>
    <w:rsid w:val="002E07A2"/>
    <w:rsid w:val="002E0A02"/>
    <w:rsid w:val="002E0D65"/>
    <w:rsid w:val="002E113E"/>
    <w:rsid w:val="002E1695"/>
    <w:rsid w:val="002E1D22"/>
    <w:rsid w:val="002E2227"/>
    <w:rsid w:val="002E2541"/>
    <w:rsid w:val="002E2618"/>
    <w:rsid w:val="002E2714"/>
    <w:rsid w:val="002E2751"/>
    <w:rsid w:val="002E31DF"/>
    <w:rsid w:val="002E3258"/>
    <w:rsid w:val="002E33BE"/>
    <w:rsid w:val="002E3F46"/>
    <w:rsid w:val="002E5153"/>
    <w:rsid w:val="002E51F8"/>
    <w:rsid w:val="002E6EC4"/>
    <w:rsid w:val="002E6FB0"/>
    <w:rsid w:val="002E71DB"/>
    <w:rsid w:val="002E720C"/>
    <w:rsid w:val="002E7691"/>
    <w:rsid w:val="002F001B"/>
    <w:rsid w:val="002F05F5"/>
    <w:rsid w:val="002F1013"/>
    <w:rsid w:val="002F1210"/>
    <w:rsid w:val="002F1540"/>
    <w:rsid w:val="002F19EA"/>
    <w:rsid w:val="002F203D"/>
    <w:rsid w:val="002F26FA"/>
    <w:rsid w:val="002F2834"/>
    <w:rsid w:val="002F2F9B"/>
    <w:rsid w:val="002F30FB"/>
    <w:rsid w:val="002F316B"/>
    <w:rsid w:val="002F328E"/>
    <w:rsid w:val="002F3334"/>
    <w:rsid w:val="002F34C9"/>
    <w:rsid w:val="002F3570"/>
    <w:rsid w:val="002F3A4C"/>
    <w:rsid w:val="002F3E22"/>
    <w:rsid w:val="002F42AD"/>
    <w:rsid w:val="002F4728"/>
    <w:rsid w:val="002F4C14"/>
    <w:rsid w:val="002F5102"/>
    <w:rsid w:val="002F531E"/>
    <w:rsid w:val="002F587C"/>
    <w:rsid w:val="002F61BA"/>
    <w:rsid w:val="002F654A"/>
    <w:rsid w:val="002F73FC"/>
    <w:rsid w:val="002F7989"/>
    <w:rsid w:val="002F7AD5"/>
    <w:rsid w:val="003000FD"/>
    <w:rsid w:val="00300D57"/>
    <w:rsid w:val="0030103F"/>
    <w:rsid w:val="003016E7"/>
    <w:rsid w:val="00301E18"/>
    <w:rsid w:val="003032B7"/>
    <w:rsid w:val="003033F6"/>
    <w:rsid w:val="003037BC"/>
    <w:rsid w:val="0030401B"/>
    <w:rsid w:val="003044A3"/>
    <w:rsid w:val="00304A6A"/>
    <w:rsid w:val="00304E14"/>
    <w:rsid w:val="00305C2A"/>
    <w:rsid w:val="00306299"/>
    <w:rsid w:val="00306558"/>
    <w:rsid w:val="00306611"/>
    <w:rsid w:val="00306AB7"/>
    <w:rsid w:val="00306B2F"/>
    <w:rsid w:val="00306D83"/>
    <w:rsid w:val="00306E9D"/>
    <w:rsid w:val="00307A08"/>
    <w:rsid w:val="00307C8A"/>
    <w:rsid w:val="00307D6D"/>
    <w:rsid w:val="00310667"/>
    <w:rsid w:val="00310A4C"/>
    <w:rsid w:val="00310AF4"/>
    <w:rsid w:val="003112B5"/>
    <w:rsid w:val="00312739"/>
    <w:rsid w:val="00312C4F"/>
    <w:rsid w:val="00313520"/>
    <w:rsid w:val="0031374A"/>
    <w:rsid w:val="00314321"/>
    <w:rsid w:val="0031468F"/>
    <w:rsid w:val="00314944"/>
    <w:rsid w:val="00314A55"/>
    <w:rsid w:val="003155A4"/>
    <w:rsid w:val="003159A0"/>
    <w:rsid w:val="003160C0"/>
    <w:rsid w:val="003163F0"/>
    <w:rsid w:val="003167BC"/>
    <w:rsid w:val="00316DCC"/>
    <w:rsid w:val="00317185"/>
    <w:rsid w:val="00317284"/>
    <w:rsid w:val="0031735A"/>
    <w:rsid w:val="00317389"/>
    <w:rsid w:val="003178B7"/>
    <w:rsid w:val="00317DB6"/>
    <w:rsid w:val="0032017D"/>
    <w:rsid w:val="003201D0"/>
    <w:rsid w:val="0032051F"/>
    <w:rsid w:val="003208E0"/>
    <w:rsid w:val="00320982"/>
    <w:rsid w:val="00321046"/>
    <w:rsid w:val="00321FFC"/>
    <w:rsid w:val="0032240C"/>
    <w:rsid w:val="00322D44"/>
    <w:rsid w:val="003231DC"/>
    <w:rsid w:val="00323759"/>
    <w:rsid w:val="003241DF"/>
    <w:rsid w:val="0032451C"/>
    <w:rsid w:val="00325362"/>
    <w:rsid w:val="00325DA0"/>
    <w:rsid w:val="003267AB"/>
    <w:rsid w:val="003269DB"/>
    <w:rsid w:val="0032784E"/>
    <w:rsid w:val="00327C4F"/>
    <w:rsid w:val="00330143"/>
    <w:rsid w:val="0033071B"/>
    <w:rsid w:val="00330764"/>
    <w:rsid w:val="003315BE"/>
    <w:rsid w:val="00331D65"/>
    <w:rsid w:val="0033254E"/>
    <w:rsid w:val="003326A9"/>
    <w:rsid w:val="003326E3"/>
    <w:rsid w:val="00332773"/>
    <w:rsid w:val="003328B9"/>
    <w:rsid w:val="0033294F"/>
    <w:rsid w:val="00333395"/>
    <w:rsid w:val="0033396A"/>
    <w:rsid w:val="00333B53"/>
    <w:rsid w:val="00333B88"/>
    <w:rsid w:val="00333DDE"/>
    <w:rsid w:val="003340D0"/>
    <w:rsid w:val="00334F69"/>
    <w:rsid w:val="0033505A"/>
    <w:rsid w:val="003407B9"/>
    <w:rsid w:val="0034098E"/>
    <w:rsid w:val="0034130E"/>
    <w:rsid w:val="0034156C"/>
    <w:rsid w:val="00341B10"/>
    <w:rsid w:val="00341B25"/>
    <w:rsid w:val="00342526"/>
    <w:rsid w:val="00342AB1"/>
    <w:rsid w:val="00343123"/>
    <w:rsid w:val="003439FB"/>
    <w:rsid w:val="00343B0E"/>
    <w:rsid w:val="00344005"/>
    <w:rsid w:val="00344171"/>
    <w:rsid w:val="003443A6"/>
    <w:rsid w:val="003443E8"/>
    <w:rsid w:val="0034481D"/>
    <w:rsid w:val="00344D48"/>
    <w:rsid w:val="003453E1"/>
    <w:rsid w:val="00345BD5"/>
    <w:rsid w:val="00345DFF"/>
    <w:rsid w:val="00346534"/>
    <w:rsid w:val="003466A7"/>
    <w:rsid w:val="003476FB"/>
    <w:rsid w:val="00347924"/>
    <w:rsid w:val="00350528"/>
    <w:rsid w:val="003506D7"/>
    <w:rsid w:val="00350B55"/>
    <w:rsid w:val="00350D8B"/>
    <w:rsid w:val="00351C44"/>
    <w:rsid w:val="0035201C"/>
    <w:rsid w:val="003523BC"/>
    <w:rsid w:val="0035267F"/>
    <w:rsid w:val="00353E54"/>
    <w:rsid w:val="003540F5"/>
    <w:rsid w:val="00354677"/>
    <w:rsid w:val="00354966"/>
    <w:rsid w:val="00354AC6"/>
    <w:rsid w:val="00355232"/>
    <w:rsid w:val="003555B4"/>
    <w:rsid w:val="00355AE3"/>
    <w:rsid w:val="00357258"/>
    <w:rsid w:val="00357B1D"/>
    <w:rsid w:val="00357B20"/>
    <w:rsid w:val="00357C26"/>
    <w:rsid w:val="00357D4B"/>
    <w:rsid w:val="003601C7"/>
    <w:rsid w:val="00360326"/>
    <w:rsid w:val="003604A5"/>
    <w:rsid w:val="0036089D"/>
    <w:rsid w:val="003608CF"/>
    <w:rsid w:val="00360B51"/>
    <w:rsid w:val="0036122F"/>
    <w:rsid w:val="0036198B"/>
    <w:rsid w:val="00361C7A"/>
    <w:rsid w:val="0036213C"/>
    <w:rsid w:val="00362630"/>
    <w:rsid w:val="00362BD7"/>
    <w:rsid w:val="00362E47"/>
    <w:rsid w:val="0036432C"/>
    <w:rsid w:val="0036453D"/>
    <w:rsid w:val="003646CE"/>
    <w:rsid w:val="00364A76"/>
    <w:rsid w:val="00364ED6"/>
    <w:rsid w:val="00364F74"/>
    <w:rsid w:val="00365897"/>
    <w:rsid w:val="00365950"/>
    <w:rsid w:val="0036597A"/>
    <w:rsid w:val="00365B29"/>
    <w:rsid w:val="00365D7B"/>
    <w:rsid w:val="00367401"/>
    <w:rsid w:val="00367F4D"/>
    <w:rsid w:val="00370134"/>
    <w:rsid w:val="00370BC7"/>
    <w:rsid w:val="0037180F"/>
    <w:rsid w:val="00371CB6"/>
    <w:rsid w:val="00372011"/>
    <w:rsid w:val="00372378"/>
    <w:rsid w:val="0037259F"/>
    <w:rsid w:val="00372A17"/>
    <w:rsid w:val="00373957"/>
    <w:rsid w:val="003739E0"/>
    <w:rsid w:val="00373BBE"/>
    <w:rsid w:val="00374973"/>
    <w:rsid w:val="00374FC6"/>
    <w:rsid w:val="0037509D"/>
    <w:rsid w:val="00375212"/>
    <w:rsid w:val="00375DFC"/>
    <w:rsid w:val="00376286"/>
    <w:rsid w:val="0037632E"/>
    <w:rsid w:val="003768BC"/>
    <w:rsid w:val="00376B41"/>
    <w:rsid w:val="00377272"/>
    <w:rsid w:val="0037769C"/>
    <w:rsid w:val="003777FB"/>
    <w:rsid w:val="0037786B"/>
    <w:rsid w:val="003779AB"/>
    <w:rsid w:val="00377C9E"/>
    <w:rsid w:val="003804FB"/>
    <w:rsid w:val="003808B7"/>
    <w:rsid w:val="003814B3"/>
    <w:rsid w:val="00381AC3"/>
    <w:rsid w:val="003821A5"/>
    <w:rsid w:val="00382C7D"/>
    <w:rsid w:val="0038368F"/>
    <w:rsid w:val="0038399E"/>
    <w:rsid w:val="003844EF"/>
    <w:rsid w:val="00384DBF"/>
    <w:rsid w:val="00385248"/>
    <w:rsid w:val="0038528E"/>
    <w:rsid w:val="00385375"/>
    <w:rsid w:val="00386537"/>
    <w:rsid w:val="003867C6"/>
    <w:rsid w:val="00387038"/>
    <w:rsid w:val="00387869"/>
    <w:rsid w:val="003878B9"/>
    <w:rsid w:val="00387E76"/>
    <w:rsid w:val="00387F11"/>
    <w:rsid w:val="00390DEC"/>
    <w:rsid w:val="00390FD2"/>
    <w:rsid w:val="003913B9"/>
    <w:rsid w:val="00391A40"/>
    <w:rsid w:val="00391B34"/>
    <w:rsid w:val="00391B50"/>
    <w:rsid w:val="00391F55"/>
    <w:rsid w:val="00392B68"/>
    <w:rsid w:val="0039336E"/>
    <w:rsid w:val="0039352F"/>
    <w:rsid w:val="00394430"/>
    <w:rsid w:val="00395B27"/>
    <w:rsid w:val="00395B7C"/>
    <w:rsid w:val="0039646F"/>
    <w:rsid w:val="0039662C"/>
    <w:rsid w:val="00396DA3"/>
    <w:rsid w:val="003976EC"/>
    <w:rsid w:val="00397DD7"/>
    <w:rsid w:val="00397E4B"/>
    <w:rsid w:val="003A161A"/>
    <w:rsid w:val="003A19EF"/>
    <w:rsid w:val="003A2159"/>
    <w:rsid w:val="003A2184"/>
    <w:rsid w:val="003A24F5"/>
    <w:rsid w:val="003A24FE"/>
    <w:rsid w:val="003A25AD"/>
    <w:rsid w:val="003A2C3E"/>
    <w:rsid w:val="003A30C1"/>
    <w:rsid w:val="003A3AA6"/>
    <w:rsid w:val="003A3B91"/>
    <w:rsid w:val="003A4CE4"/>
    <w:rsid w:val="003A4E68"/>
    <w:rsid w:val="003A515C"/>
    <w:rsid w:val="003A52C4"/>
    <w:rsid w:val="003A5A0E"/>
    <w:rsid w:val="003A5AB3"/>
    <w:rsid w:val="003A610F"/>
    <w:rsid w:val="003A649E"/>
    <w:rsid w:val="003A678A"/>
    <w:rsid w:val="003A682A"/>
    <w:rsid w:val="003A7386"/>
    <w:rsid w:val="003A74A9"/>
    <w:rsid w:val="003B055E"/>
    <w:rsid w:val="003B0766"/>
    <w:rsid w:val="003B1235"/>
    <w:rsid w:val="003B12E1"/>
    <w:rsid w:val="003B1824"/>
    <w:rsid w:val="003B224E"/>
    <w:rsid w:val="003B2589"/>
    <w:rsid w:val="003B286A"/>
    <w:rsid w:val="003B29E6"/>
    <w:rsid w:val="003B2B13"/>
    <w:rsid w:val="003B2D52"/>
    <w:rsid w:val="003B2D69"/>
    <w:rsid w:val="003B3113"/>
    <w:rsid w:val="003B357C"/>
    <w:rsid w:val="003B3A09"/>
    <w:rsid w:val="003B4580"/>
    <w:rsid w:val="003B488C"/>
    <w:rsid w:val="003B49D7"/>
    <w:rsid w:val="003B502B"/>
    <w:rsid w:val="003B5729"/>
    <w:rsid w:val="003B5838"/>
    <w:rsid w:val="003B5DA8"/>
    <w:rsid w:val="003B600B"/>
    <w:rsid w:val="003B64CE"/>
    <w:rsid w:val="003B67A3"/>
    <w:rsid w:val="003B6C6C"/>
    <w:rsid w:val="003B6D6C"/>
    <w:rsid w:val="003B6F84"/>
    <w:rsid w:val="003B6F94"/>
    <w:rsid w:val="003B71EE"/>
    <w:rsid w:val="003C029E"/>
    <w:rsid w:val="003C0FCD"/>
    <w:rsid w:val="003C14A6"/>
    <w:rsid w:val="003C1B03"/>
    <w:rsid w:val="003C1E86"/>
    <w:rsid w:val="003C206F"/>
    <w:rsid w:val="003C218E"/>
    <w:rsid w:val="003C24D5"/>
    <w:rsid w:val="003C2604"/>
    <w:rsid w:val="003C2A38"/>
    <w:rsid w:val="003C2CA6"/>
    <w:rsid w:val="003C312C"/>
    <w:rsid w:val="003C34C9"/>
    <w:rsid w:val="003C3AA2"/>
    <w:rsid w:val="003C3BAB"/>
    <w:rsid w:val="003C42EE"/>
    <w:rsid w:val="003C438E"/>
    <w:rsid w:val="003C4E65"/>
    <w:rsid w:val="003C5092"/>
    <w:rsid w:val="003C527B"/>
    <w:rsid w:val="003C6469"/>
    <w:rsid w:val="003C6C03"/>
    <w:rsid w:val="003C6CCF"/>
    <w:rsid w:val="003C77B9"/>
    <w:rsid w:val="003C783E"/>
    <w:rsid w:val="003C7AAB"/>
    <w:rsid w:val="003C7DA2"/>
    <w:rsid w:val="003D013C"/>
    <w:rsid w:val="003D06F0"/>
    <w:rsid w:val="003D0C79"/>
    <w:rsid w:val="003D0D2A"/>
    <w:rsid w:val="003D1A39"/>
    <w:rsid w:val="003D1D7F"/>
    <w:rsid w:val="003D226B"/>
    <w:rsid w:val="003D229F"/>
    <w:rsid w:val="003D22CE"/>
    <w:rsid w:val="003D2675"/>
    <w:rsid w:val="003D295D"/>
    <w:rsid w:val="003D3201"/>
    <w:rsid w:val="003D3CD1"/>
    <w:rsid w:val="003D457F"/>
    <w:rsid w:val="003D4A7C"/>
    <w:rsid w:val="003D55E7"/>
    <w:rsid w:val="003D56F7"/>
    <w:rsid w:val="003D6155"/>
    <w:rsid w:val="003D6947"/>
    <w:rsid w:val="003D7C54"/>
    <w:rsid w:val="003E0184"/>
    <w:rsid w:val="003E06E9"/>
    <w:rsid w:val="003E0C33"/>
    <w:rsid w:val="003E0CFF"/>
    <w:rsid w:val="003E0DBA"/>
    <w:rsid w:val="003E142E"/>
    <w:rsid w:val="003E1B9A"/>
    <w:rsid w:val="003E1CAC"/>
    <w:rsid w:val="003E1ED6"/>
    <w:rsid w:val="003E2473"/>
    <w:rsid w:val="003E2741"/>
    <w:rsid w:val="003E2FAC"/>
    <w:rsid w:val="003E33FA"/>
    <w:rsid w:val="003E3911"/>
    <w:rsid w:val="003E41AB"/>
    <w:rsid w:val="003E4EAE"/>
    <w:rsid w:val="003E4FB0"/>
    <w:rsid w:val="003E6C5E"/>
    <w:rsid w:val="003E7786"/>
    <w:rsid w:val="003F019D"/>
    <w:rsid w:val="003F0864"/>
    <w:rsid w:val="003F0FE4"/>
    <w:rsid w:val="003F1772"/>
    <w:rsid w:val="003F1828"/>
    <w:rsid w:val="003F1D3A"/>
    <w:rsid w:val="003F2D71"/>
    <w:rsid w:val="003F39CA"/>
    <w:rsid w:val="003F4427"/>
    <w:rsid w:val="003F45C1"/>
    <w:rsid w:val="003F4CE5"/>
    <w:rsid w:val="003F505F"/>
    <w:rsid w:val="003F53C7"/>
    <w:rsid w:val="003F5AAF"/>
    <w:rsid w:val="003F5B85"/>
    <w:rsid w:val="003F5CE1"/>
    <w:rsid w:val="003F5ECA"/>
    <w:rsid w:val="003F63AC"/>
    <w:rsid w:val="003F6830"/>
    <w:rsid w:val="003F69BE"/>
    <w:rsid w:val="003F7010"/>
    <w:rsid w:val="003F7C37"/>
    <w:rsid w:val="00400288"/>
    <w:rsid w:val="004002CD"/>
    <w:rsid w:val="004010BB"/>
    <w:rsid w:val="004011BA"/>
    <w:rsid w:val="00401813"/>
    <w:rsid w:val="00401A63"/>
    <w:rsid w:val="004025A3"/>
    <w:rsid w:val="0040274B"/>
    <w:rsid w:val="00402D4F"/>
    <w:rsid w:val="0040377D"/>
    <w:rsid w:val="00403925"/>
    <w:rsid w:val="00403B36"/>
    <w:rsid w:val="0040440B"/>
    <w:rsid w:val="00404789"/>
    <w:rsid w:val="00404820"/>
    <w:rsid w:val="00404B2D"/>
    <w:rsid w:val="00406515"/>
    <w:rsid w:val="004066D9"/>
    <w:rsid w:val="00406A3F"/>
    <w:rsid w:val="00406DE9"/>
    <w:rsid w:val="00406F99"/>
    <w:rsid w:val="004072DB"/>
    <w:rsid w:val="00407349"/>
    <w:rsid w:val="0040789D"/>
    <w:rsid w:val="00407D44"/>
    <w:rsid w:val="00407F51"/>
    <w:rsid w:val="00410875"/>
    <w:rsid w:val="004109E7"/>
    <w:rsid w:val="00410FF4"/>
    <w:rsid w:val="00411BBB"/>
    <w:rsid w:val="004123E9"/>
    <w:rsid w:val="00412775"/>
    <w:rsid w:val="00412998"/>
    <w:rsid w:val="00412F51"/>
    <w:rsid w:val="00412FAA"/>
    <w:rsid w:val="0041366D"/>
    <w:rsid w:val="004136ED"/>
    <w:rsid w:val="00413720"/>
    <w:rsid w:val="004139F3"/>
    <w:rsid w:val="00413C07"/>
    <w:rsid w:val="00413CAD"/>
    <w:rsid w:val="00413E39"/>
    <w:rsid w:val="00414E81"/>
    <w:rsid w:val="00414EBF"/>
    <w:rsid w:val="00416204"/>
    <w:rsid w:val="004164B6"/>
    <w:rsid w:val="00416D85"/>
    <w:rsid w:val="00416D98"/>
    <w:rsid w:val="00417862"/>
    <w:rsid w:val="00417905"/>
    <w:rsid w:val="00417EC7"/>
    <w:rsid w:val="00420602"/>
    <w:rsid w:val="004208A2"/>
    <w:rsid w:val="00420F3D"/>
    <w:rsid w:val="00420F88"/>
    <w:rsid w:val="00421159"/>
    <w:rsid w:val="004212C9"/>
    <w:rsid w:val="004216A4"/>
    <w:rsid w:val="0042196D"/>
    <w:rsid w:val="00421FB4"/>
    <w:rsid w:val="0042200C"/>
    <w:rsid w:val="0042223C"/>
    <w:rsid w:val="004224FF"/>
    <w:rsid w:val="0042277E"/>
    <w:rsid w:val="0042282A"/>
    <w:rsid w:val="00422CEB"/>
    <w:rsid w:val="00423C07"/>
    <w:rsid w:val="00424B95"/>
    <w:rsid w:val="00424DBB"/>
    <w:rsid w:val="00424F92"/>
    <w:rsid w:val="00425169"/>
    <w:rsid w:val="00425DB0"/>
    <w:rsid w:val="004264C1"/>
    <w:rsid w:val="00426B15"/>
    <w:rsid w:val="00427319"/>
    <w:rsid w:val="004273F5"/>
    <w:rsid w:val="00427828"/>
    <w:rsid w:val="00427BA2"/>
    <w:rsid w:val="00427E55"/>
    <w:rsid w:val="00430700"/>
    <w:rsid w:val="00430AE1"/>
    <w:rsid w:val="00430CB0"/>
    <w:rsid w:val="00431C77"/>
    <w:rsid w:val="00431DEB"/>
    <w:rsid w:val="0043224E"/>
    <w:rsid w:val="00432734"/>
    <w:rsid w:val="00432944"/>
    <w:rsid w:val="00433AE7"/>
    <w:rsid w:val="00433E39"/>
    <w:rsid w:val="00433EE1"/>
    <w:rsid w:val="00433F90"/>
    <w:rsid w:val="0043472B"/>
    <w:rsid w:val="00434B72"/>
    <w:rsid w:val="0043522D"/>
    <w:rsid w:val="00435337"/>
    <w:rsid w:val="00435EA7"/>
    <w:rsid w:val="004362A7"/>
    <w:rsid w:val="00436656"/>
    <w:rsid w:val="0043682E"/>
    <w:rsid w:val="00436A2A"/>
    <w:rsid w:val="00437214"/>
    <w:rsid w:val="004372E4"/>
    <w:rsid w:val="00437CAF"/>
    <w:rsid w:val="00437DD1"/>
    <w:rsid w:val="0044031C"/>
    <w:rsid w:val="0044047F"/>
    <w:rsid w:val="00440B8E"/>
    <w:rsid w:val="00440FDD"/>
    <w:rsid w:val="004415A6"/>
    <w:rsid w:val="00441656"/>
    <w:rsid w:val="00441A6B"/>
    <w:rsid w:val="00441AD5"/>
    <w:rsid w:val="00442065"/>
    <w:rsid w:val="0044295A"/>
    <w:rsid w:val="0044340F"/>
    <w:rsid w:val="00443410"/>
    <w:rsid w:val="00444089"/>
    <w:rsid w:val="004442E2"/>
    <w:rsid w:val="0044431C"/>
    <w:rsid w:val="00444582"/>
    <w:rsid w:val="004447B4"/>
    <w:rsid w:val="004448FD"/>
    <w:rsid w:val="0044495A"/>
    <w:rsid w:val="00445153"/>
    <w:rsid w:val="00445426"/>
    <w:rsid w:val="00445FF5"/>
    <w:rsid w:val="004464F6"/>
    <w:rsid w:val="00446555"/>
    <w:rsid w:val="00446CB6"/>
    <w:rsid w:val="00446F3C"/>
    <w:rsid w:val="00447009"/>
    <w:rsid w:val="00447665"/>
    <w:rsid w:val="004476D7"/>
    <w:rsid w:val="00447970"/>
    <w:rsid w:val="00447D34"/>
    <w:rsid w:val="00450485"/>
    <w:rsid w:val="00450D51"/>
    <w:rsid w:val="00450FAE"/>
    <w:rsid w:val="0045184D"/>
    <w:rsid w:val="00451FB6"/>
    <w:rsid w:val="004522DA"/>
    <w:rsid w:val="00452335"/>
    <w:rsid w:val="00452AC4"/>
    <w:rsid w:val="00453234"/>
    <w:rsid w:val="00453678"/>
    <w:rsid w:val="004536E9"/>
    <w:rsid w:val="00453A6C"/>
    <w:rsid w:val="00453A92"/>
    <w:rsid w:val="00453C9D"/>
    <w:rsid w:val="00453DF6"/>
    <w:rsid w:val="004540E7"/>
    <w:rsid w:val="00454123"/>
    <w:rsid w:val="004548B3"/>
    <w:rsid w:val="00454E17"/>
    <w:rsid w:val="00454FAB"/>
    <w:rsid w:val="00455342"/>
    <w:rsid w:val="004557F6"/>
    <w:rsid w:val="0045584F"/>
    <w:rsid w:val="004563AE"/>
    <w:rsid w:val="004563F3"/>
    <w:rsid w:val="00456410"/>
    <w:rsid w:val="00456BF0"/>
    <w:rsid w:val="00456F43"/>
    <w:rsid w:val="004572DA"/>
    <w:rsid w:val="00457CEE"/>
    <w:rsid w:val="00457EB8"/>
    <w:rsid w:val="00460BBF"/>
    <w:rsid w:val="00461624"/>
    <w:rsid w:val="004624EC"/>
    <w:rsid w:val="00462E69"/>
    <w:rsid w:val="004631AF"/>
    <w:rsid w:val="0046343C"/>
    <w:rsid w:val="00463E28"/>
    <w:rsid w:val="0046443B"/>
    <w:rsid w:val="00464E0F"/>
    <w:rsid w:val="00465458"/>
    <w:rsid w:val="00466101"/>
    <w:rsid w:val="004669EE"/>
    <w:rsid w:val="0046733E"/>
    <w:rsid w:val="00467A21"/>
    <w:rsid w:val="00470048"/>
    <w:rsid w:val="00470ABB"/>
    <w:rsid w:val="0047106C"/>
    <w:rsid w:val="004711EA"/>
    <w:rsid w:val="004718FC"/>
    <w:rsid w:val="00471CF1"/>
    <w:rsid w:val="00471FD6"/>
    <w:rsid w:val="00472854"/>
    <w:rsid w:val="0047299E"/>
    <w:rsid w:val="004729B5"/>
    <w:rsid w:val="00472CC7"/>
    <w:rsid w:val="00472D4C"/>
    <w:rsid w:val="0047306E"/>
    <w:rsid w:val="00473596"/>
    <w:rsid w:val="00473B6E"/>
    <w:rsid w:val="0047481A"/>
    <w:rsid w:val="00474B6F"/>
    <w:rsid w:val="00474D7C"/>
    <w:rsid w:val="00475195"/>
    <w:rsid w:val="004755BA"/>
    <w:rsid w:val="00476AB0"/>
    <w:rsid w:val="00477364"/>
    <w:rsid w:val="004773DA"/>
    <w:rsid w:val="004778B1"/>
    <w:rsid w:val="00480413"/>
    <w:rsid w:val="00480585"/>
    <w:rsid w:val="00480758"/>
    <w:rsid w:val="00480836"/>
    <w:rsid w:val="00480A8B"/>
    <w:rsid w:val="00480CE2"/>
    <w:rsid w:val="004816DE"/>
    <w:rsid w:val="004818E4"/>
    <w:rsid w:val="00481C40"/>
    <w:rsid w:val="00481C95"/>
    <w:rsid w:val="004829C9"/>
    <w:rsid w:val="004830DD"/>
    <w:rsid w:val="00484266"/>
    <w:rsid w:val="004842AA"/>
    <w:rsid w:val="004843F4"/>
    <w:rsid w:val="0048484F"/>
    <w:rsid w:val="0048499F"/>
    <w:rsid w:val="004858D9"/>
    <w:rsid w:val="00486F98"/>
    <w:rsid w:val="00487234"/>
    <w:rsid w:val="00487A1A"/>
    <w:rsid w:val="00487FAD"/>
    <w:rsid w:val="00490013"/>
    <w:rsid w:val="00490771"/>
    <w:rsid w:val="0049098A"/>
    <w:rsid w:val="004912D9"/>
    <w:rsid w:val="004915F1"/>
    <w:rsid w:val="00491A3A"/>
    <w:rsid w:val="00491E42"/>
    <w:rsid w:val="004929B1"/>
    <w:rsid w:val="0049313D"/>
    <w:rsid w:val="0049342B"/>
    <w:rsid w:val="00493575"/>
    <w:rsid w:val="00493D48"/>
    <w:rsid w:val="0049417E"/>
    <w:rsid w:val="0049434F"/>
    <w:rsid w:val="0049455C"/>
    <w:rsid w:val="0049487A"/>
    <w:rsid w:val="00494A43"/>
    <w:rsid w:val="00495427"/>
    <w:rsid w:val="0049558F"/>
    <w:rsid w:val="0049571A"/>
    <w:rsid w:val="00496355"/>
    <w:rsid w:val="004964CA"/>
    <w:rsid w:val="00496588"/>
    <w:rsid w:val="00496668"/>
    <w:rsid w:val="0049685D"/>
    <w:rsid w:val="00496A3F"/>
    <w:rsid w:val="004970B2"/>
    <w:rsid w:val="004970CA"/>
    <w:rsid w:val="0049729A"/>
    <w:rsid w:val="004973A6"/>
    <w:rsid w:val="00497B68"/>
    <w:rsid w:val="00497E1C"/>
    <w:rsid w:val="00497ED9"/>
    <w:rsid w:val="004A042F"/>
    <w:rsid w:val="004A08AB"/>
    <w:rsid w:val="004A0E1B"/>
    <w:rsid w:val="004A0EFA"/>
    <w:rsid w:val="004A1BC3"/>
    <w:rsid w:val="004A1F2F"/>
    <w:rsid w:val="004A23E0"/>
    <w:rsid w:val="004A24B7"/>
    <w:rsid w:val="004A2E73"/>
    <w:rsid w:val="004A3731"/>
    <w:rsid w:val="004A3C10"/>
    <w:rsid w:val="004A412B"/>
    <w:rsid w:val="004A466C"/>
    <w:rsid w:val="004A46A0"/>
    <w:rsid w:val="004A53D7"/>
    <w:rsid w:val="004A5471"/>
    <w:rsid w:val="004A5693"/>
    <w:rsid w:val="004A5A0B"/>
    <w:rsid w:val="004A6094"/>
    <w:rsid w:val="004A6155"/>
    <w:rsid w:val="004A6C3D"/>
    <w:rsid w:val="004A6E47"/>
    <w:rsid w:val="004A7047"/>
    <w:rsid w:val="004A7301"/>
    <w:rsid w:val="004B05DD"/>
    <w:rsid w:val="004B062E"/>
    <w:rsid w:val="004B0766"/>
    <w:rsid w:val="004B0BD6"/>
    <w:rsid w:val="004B0C9A"/>
    <w:rsid w:val="004B0F7A"/>
    <w:rsid w:val="004B12BD"/>
    <w:rsid w:val="004B2395"/>
    <w:rsid w:val="004B2613"/>
    <w:rsid w:val="004B2670"/>
    <w:rsid w:val="004B2A1D"/>
    <w:rsid w:val="004B2DBD"/>
    <w:rsid w:val="004B36BA"/>
    <w:rsid w:val="004B3807"/>
    <w:rsid w:val="004B42E9"/>
    <w:rsid w:val="004B4A96"/>
    <w:rsid w:val="004B4D65"/>
    <w:rsid w:val="004B4E88"/>
    <w:rsid w:val="004B512C"/>
    <w:rsid w:val="004B517E"/>
    <w:rsid w:val="004B5C63"/>
    <w:rsid w:val="004B618D"/>
    <w:rsid w:val="004B6234"/>
    <w:rsid w:val="004B632F"/>
    <w:rsid w:val="004B6528"/>
    <w:rsid w:val="004B6B67"/>
    <w:rsid w:val="004B6DFE"/>
    <w:rsid w:val="004B6F7E"/>
    <w:rsid w:val="004B7F89"/>
    <w:rsid w:val="004C0074"/>
    <w:rsid w:val="004C0CE0"/>
    <w:rsid w:val="004C1289"/>
    <w:rsid w:val="004C1489"/>
    <w:rsid w:val="004C1C28"/>
    <w:rsid w:val="004C268F"/>
    <w:rsid w:val="004C2968"/>
    <w:rsid w:val="004C2D82"/>
    <w:rsid w:val="004C316C"/>
    <w:rsid w:val="004C37CE"/>
    <w:rsid w:val="004C38A5"/>
    <w:rsid w:val="004C3A60"/>
    <w:rsid w:val="004C3B52"/>
    <w:rsid w:val="004C3D9A"/>
    <w:rsid w:val="004C4171"/>
    <w:rsid w:val="004C4621"/>
    <w:rsid w:val="004C48F9"/>
    <w:rsid w:val="004C4F07"/>
    <w:rsid w:val="004C5B46"/>
    <w:rsid w:val="004C5BDD"/>
    <w:rsid w:val="004C5C01"/>
    <w:rsid w:val="004C62B3"/>
    <w:rsid w:val="004C68B7"/>
    <w:rsid w:val="004C69D7"/>
    <w:rsid w:val="004C6BAE"/>
    <w:rsid w:val="004C7690"/>
    <w:rsid w:val="004C7907"/>
    <w:rsid w:val="004C7D96"/>
    <w:rsid w:val="004D043A"/>
    <w:rsid w:val="004D0593"/>
    <w:rsid w:val="004D0841"/>
    <w:rsid w:val="004D0947"/>
    <w:rsid w:val="004D11AD"/>
    <w:rsid w:val="004D12AE"/>
    <w:rsid w:val="004D1597"/>
    <w:rsid w:val="004D1AA8"/>
    <w:rsid w:val="004D1B40"/>
    <w:rsid w:val="004D1C07"/>
    <w:rsid w:val="004D1FBE"/>
    <w:rsid w:val="004D2280"/>
    <w:rsid w:val="004D2600"/>
    <w:rsid w:val="004D263E"/>
    <w:rsid w:val="004D26A0"/>
    <w:rsid w:val="004D2913"/>
    <w:rsid w:val="004D2BF0"/>
    <w:rsid w:val="004D2F2E"/>
    <w:rsid w:val="004D43B9"/>
    <w:rsid w:val="004D5740"/>
    <w:rsid w:val="004D5E8C"/>
    <w:rsid w:val="004D6700"/>
    <w:rsid w:val="004D695D"/>
    <w:rsid w:val="004D6A69"/>
    <w:rsid w:val="004D77BF"/>
    <w:rsid w:val="004D7AB9"/>
    <w:rsid w:val="004E0035"/>
    <w:rsid w:val="004E025A"/>
    <w:rsid w:val="004E0A3A"/>
    <w:rsid w:val="004E136F"/>
    <w:rsid w:val="004E1388"/>
    <w:rsid w:val="004E297D"/>
    <w:rsid w:val="004E2DB6"/>
    <w:rsid w:val="004E3548"/>
    <w:rsid w:val="004E3DC7"/>
    <w:rsid w:val="004E4664"/>
    <w:rsid w:val="004E47F9"/>
    <w:rsid w:val="004E489F"/>
    <w:rsid w:val="004E4A0D"/>
    <w:rsid w:val="004E4AF2"/>
    <w:rsid w:val="004E4C2A"/>
    <w:rsid w:val="004E4CC9"/>
    <w:rsid w:val="004E4F08"/>
    <w:rsid w:val="004E5378"/>
    <w:rsid w:val="004E5851"/>
    <w:rsid w:val="004E5B2F"/>
    <w:rsid w:val="004E761D"/>
    <w:rsid w:val="004F0174"/>
    <w:rsid w:val="004F03AB"/>
    <w:rsid w:val="004F0965"/>
    <w:rsid w:val="004F1231"/>
    <w:rsid w:val="004F1C04"/>
    <w:rsid w:val="004F1C87"/>
    <w:rsid w:val="004F1D97"/>
    <w:rsid w:val="004F22F0"/>
    <w:rsid w:val="004F2932"/>
    <w:rsid w:val="004F386C"/>
    <w:rsid w:val="004F424B"/>
    <w:rsid w:val="004F4605"/>
    <w:rsid w:val="004F4F98"/>
    <w:rsid w:val="004F73CE"/>
    <w:rsid w:val="00500115"/>
    <w:rsid w:val="00500302"/>
    <w:rsid w:val="005008D6"/>
    <w:rsid w:val="00500A60"/>
    <w:rsid w:val="00500ED7"/>
    <w:rsid w:val="005011F4"/>
    <w:rsid w:val="005013C1"/>
    <w:rsid w:val="0050182E"/>
    <w:rsid w:val="00501A92"/>
    <w:rsid w:val="00501C46"/>
    <w:rsid w:val="00501CB2"/>
    <w:rsid w:val="005020F9"/>
    <w:rsid w:val="00502AFE"/>
    <w:rsid w:val="00502C86"/>
    <w:rsid w:val="00502D52"/>
    <w:rsid w:val="005038F9"/>
    <w:rsid w:val="00503B8F"/>
    <w:rsid w:val="00503C8A"/>
    <w:rsid w:val="00504530"/>
    <w:rsid w:val="00504557"/>
    <w:rsid w:val="00504CF4"/>
    <w:rsid w:val="00504CF6"/>
    <w:rsid w:val="00504E01"/>
    <w:rsid w:val="005053F6"/>
    <w:rsid w:val="005058F8"/>
    <w:rsid w:val="005065FF"/>
    <w:rsid w:val="005068C2"/>
    <w:rsid w:val="005069B2"/>
    <w:rsid w:val="00506B49"/>
    <w:rsid w:val="005076DF"/>
    <w:rsid w:val="0050778A"/>
    <w:rsid w:val="00507858"/>
    <w:rsid w:val="0050797A"/>
    <w:rsid w:val="00507AC6"/>
    <w:rsid w:val="0051053E"/>
    <w:rsid w:val="00510748"/>
    <w:rsid w:val="00510A8C"/>
    <w:rsid w:val="00511403"/>
    <w:rsid w:val="005116AC"/>
    <w:rsid w:val="0051198B"/>
    <w:rsid w:val="005119C9"/>
    <w:rsid w:val="00511B3E"/>
    <w:rsid w:val="00511F47"/>
    <w:rsid w:val="005122BA"/>
    <w:rsid w:val="00512B67"/>
    <w:rsid w:val="0051347A"/>
    <w:rsid w:val="00513658"/>
    <w:rsid w:val="00513F8A"/>
    <w:rsid w:val="0051430A"/>
    <w:rsid w:val="00514533"/>
    <w:rsid w:val="0051474D"/>
    <w:rsid w:val="00514780"/>
    <w:rsid w:val="00514900"/>
    <w:rsid w:val="00514CCA"/>
    <w:rsid w:val="00514D57"/>
    <w:rsid w:val="0051506A"/>
    <w:rsid w:val="00516535"/>
    <w:rsid w:val="00516987"/>
    <w:rsid w:val="0051770A"/>
    <w:rsid w:val="00517993"/>
    <w:rsid w:val="00517F1D"/>
    <w:rsid w:val="00520871"/>
    <w:rsid w:val="005211FD"/>
    <w:rsid w:val="00521271"/>
    <w:rsid w:val="00521955"/>
    <w:rsid w:val="00521A94"/>
    <w:rsid w:val="0052268C"/>
    <w:rsid w:val="00522BCC"/>
    <w:rsid w:val="00522D56"/>
    <w:rsid w:val="00522E15"/>
    <w:rsid w:val="00523803"/>
    <w:rsid w:val="005249FA"/>
    <w:rsid w:val="00524BE9"/>
    <w:rsid w:val="00524E85"/>
    <w:rsid w:val="00524FFD"/>
    <w:rsid w:val="005250D3"/>
    <w:rsid w:val="00525547"/>
    <w:rsid w:val="0052598E"/>
    <w:rsid w:val="00525FE9"/>
    <w:rsid w:val="0052605C"/>
    <w:rsid w:val="00526163"/>
    <w:rsid w:val="00526431"/>
    <w:rsid w:val="00526584"/>
    <w:rsid w:val="005268E4"/>
    <w:rsid w:val="00526A2B"/>
    <w:rsid w:val="00526B4F"/>
    <w:rsid w:val="005274B8"/>
    <w:rsid w:val="0052761A"/>
    <w:rsid w:val="00527634"/>
    <w:rsid w:val="00527F59"/>
    <w:rsid w:val="00530025"/>
    <w:rsid w:val="0053007D"/>
    <w:rsid w:val="00530115"/>
    <w:rsid w:val="005306F1"/>
    <w:rsid w:val="00530B23"/>
    <w:rsid w:val="005312AC"/>
    <w:rsid w:val="0053159B"/>
    <w:rsid w:val="00531683"/>
    <w:rsid w:val="005318F1"/>
    <w:rsid w:val="00531928"/>
    <w:rsid w:val="00531ABD"/>
    <w:rsid w:val="00531B5E"/>
    <w:rsid w:val="00533286"/>
    <w:rsid w:val="0053396F"/>
    <w:rsid w:val="00533D7B"/>
    <w:rsid w:val="00533FFB"/>
    <w:rsid w:val="005343B5"/>
    <w:rsid w:val="00534515"/>
    <w:rsid w:val="005349C3"/>
    <w:rsid w:val="00535171"/>
    <w:rsid w:val="005352A5"/>
    <w:rsid w:val="00535E79"/>
    <w:rsid w:val="0053676E"/>
    <w:rsid w:val="00536900"/>
    <w:rsid w:val="00537A36"/>
    <w:rsid w:val="00540294"/>
    <w:rsid w:val="005405AF"/>
    <w:rsid w:val="005407FB"/>
    <w:rsid w:val="00540BF0"/>
    <w:rsid w:val="00540CDA"/>
    <w:rsid w:val="005419FB"/>
    <w:rsid w:val="00541E07"/>
    <w:rsid w:val="005427EF"/>
    <w:rsid w:val="00542C9D"/>
    <w:rsid w:val="00542DDC"/>
    <w:rsid w:val="00542F5B"/>
    <w:rsid w:val="00542F80"/>
    <w:rsid w:val="0054323C"/>
    <w:rsid w:val="005434F3"/>
    <w:rsid w:val="00543B7F"/>
    <w:rsid w:val="005448D8"/>
    <w:rsid w:val="00544DB6"/>
    <w:rsid w:val="00546419"/>
    <w:rsid w:val="00546F1E"/>
    <w:rsid w:val="00547378"/>
    <w:rsid w:val="00547623"/>
    <w:rsid w:val="00547681"/>
    <w:rsid w:val="00550971"/>
    <w:rsid w:val="00550C0E"/>
    <w:rsid w:val="00550F3E"/>
    <w:rsid w:val="005516E3"/>
    <w:rsid w:val="00552506"/>
    <w:rsid w:val="00552EDD"/>
    <w:rsid w:val="00552FD3"/>
    <w:rsid w:val="00553CFE"/>
    <w:rsid w:val="005545EF"/>
    <w:rsid w:val="005549DB"/>
    <w:rsid w:val="00554D4B"/>
    <w:rsid w:val="0055588C"/>
    <w:rsid w:val="00555F6D"/>
    <w:rsid w:val="00556951"/>
    <w:rsid w:val="00556FE0"/>
    <w:rsid w:val="005570B4"/>
    <w:rsid w:val="005572DC"/>
    <w:rsid w:val="0055793B"/>
    <w:rsid w:val="00557C54"/>
    <w:rsid w:val="00557EED"/>
    <w:rsid w:val="00561951"/>
    <w:rsid w:val="00561CCD"/>
    <w:rsid w:val="00562126"/>
    <w:rsid w:val="0056220A"/>
    <w:rsid w:val="00562690"/>
    <w:rsid w:val="0056300D"/>
    <w:rsid w:val="0056308F"/>
    <w:rsid w:val="00563120"/>
    <w:rsid w:val="005633FB"/>
    <w:rsid w:val="00563895"/>
    <w:rsid w:val="005639CF"/>
    <w:rsid w:val="00563A37"/>
    <w:rsid w:val="00563BEF"/>
    <w:rsid w:val="00563E34"/>
    <w:rsid w:val="00563E97"/>
    <w:rsid w:val="005646C6"/>
    <w:rsid w:val="00564F55"/>
    <w:rsid w:val="00565890"/>
    <w:rsid w:val="00565D44"/>
    <w:rsid w:val="00566C00"/>
    <w:rsid w:val="005676C0"/>
    <w:rsid w:val="00567EAD"/>
    <w:rsid w:val="00570465"/>
    <w:rsid w:val="0057094D"/>
    <w:rsid w:val="00570E0E"/>
    <w:rsid w:val="005710C6"/>
    <w:rsid w:val="0057147E"/>
    <w:rsid w:val="00571D4B"/>
    <w:rsid w:val="00571E94"/>
    <w:rsid w:val="005721D0"/>
    <w:rsid w:val="005727B2"/>
    <w:rsid w:val="00572A9C"/>
    <w:rsid w:val="00572BBE"/>
    <w:rsid w:val="00572C07"/>
    <w:rsid w:val="00573048"/>
    <w:rsid w:val="00573442"/>
    <w:rsid w:val="0057374E"/>
    <w:rsid w:val="00573C17"/>
    <w:rsid w:val="0057435D"/>
    <w:rsid w:val="0057439C"/>
    <w:rsid w:val="00574723"/>
    <w:rsid w:val="00574914"/>
    <w:rsid w:val="00574A69"/>
    <w:rsid w:val="00574B5F"/>
    <w:rsid w:val="00574C97"/>
    <w:rsid w:val="00574D17"/>
    <w:rsid w:val="00574FC7"/>
    <w:rsid w:val="00575C1D"/>
    <w:rsid w:val="00576110"/>
    <w:rsid w:val="00576130"/>
    <w:rsid w:val="005762DA"/>
    <w:rsid w:val="005762EF"/>
    <w:rsid w:val="005764A3"/>
    <w:rsid w:val="005764D0"/>
    <w:rsid w:val="00576D09"/>
    <w:rsid w:val="00576D62"/>
    <w:rsid w:val="005776D8"/>
    <w:rsid w:val="00577C88"/>
    <w:rsid w:val="005802B0"/>
    <w:rsid w:val="00580882"/>
    <w:rsid w:val="00580BE4"/>
    <w:rsid w:val="005810BF"/>
    <w:rsid w:val="00581291"/>
    <w:rsid w:val="005813AE"/>
    <w:rsid w:val="00582AA4"/>
    <w:rsid w:val="00582DA5"/>
    <w:rsid w:val="00582FC2"/>
    <w:rsid w:val="005831FE"/>
    <w:rsid w:val="0058366E"/>
    <w:rsid w:val="00584108"/>
    <w:rsid w:val="00584389"/>
    <w:rsid w:val="00584466"/>
    <w:rsid w:val="005848F8"/>
    <w:rsid w:val="00585132"/>
    <w:rsid w:val="00585DFB"/>
    <w:rsid w:val="00585FF0"/>
    <w:rsid w:val="00586479"/>
    <w:rsid w:val="005868C3"/>
    <w:rsid w:val="005868D5"/>
    <w:rsid w:val="005868F7"/>
    <w:rsid w:val="00586CC2"/>
    <w:rsid w:val="00586D93"/>
    <w:rsid w:val="005873D8"/>
    <w:rsid w:val="0058771F"/>
    <w:rsid w:val="0059040D"/>
    <w:rsid w:val="00590C2E"/>
    <w:rsid w:val="00590EB0"/>
    <w:rsid w:val="00591062"/>
    <w:rsid w:val="00591602"/>
    <w:rsid w:val="00592502"/>
    <w:rsid w:val="0059272A"/>
    <w:rsid w:val="00593705"/>
    <w:rsid w:val="005938B0"/>
    <w:rsid w:val="00594188"/>
    <w:rsid w:val="0059470E"/>
    <w:rsid w:val="00594A9D"/>
    <w:rsid w:val="005952F5"/>
    <w:rsid w:val="005956A6"/>
    <w:rsid w:val="00595B46"/>
    <w:rsid w:val="00596587"/>
    <w:rsid w:val="0059687D"/>
    <w:rsid w:val="00596B39"/>
    <w:rsid w:val="00596E06"/>
    <w:rsid w:val="0059711F"/>
    <w:rsid w:val="00597F73"/>
    <w:rsid w:val="005A064E"/>
    <w:rsid w:val="005A097B"/>
    <w:rsid w:val="005A11E6"/>
    <w:rsid w:val="005A1646"/>
    <w:rsid w:val="005A20A4"/>
    <w:rsid w:val="005A2181"/>
    <w:rsid w:val="005A276D"/>
    <w:rsid w:val="005A27D8"/>
    <w:rsid w:val="005A2CEE"/>
    <w:rsid w:val="005A2D1D"/>
    <w:rsid w:val="005A335B"/>
    <w:rsid w:val="005A34EA"/>
    <w:rsid w:val="005A4563"/>
    <w:rsid w:val="005A51A4"/>
    <w:rsid w:val="005A5214"/>
    <w:rsid w:val="005A534B"/>
    <w:rsid w:val="005A53D0"/>
    <w:rsid w:val="005A550A"/>
    <w:rsid w:val="005A630E"/>
    <w:rsid w:val="005A63F7"/>
    <w:rsid w:val="005A67FF"/>
    <w:rsid w:val="005A6DAD"/>
    <w:rsid w:val="005A75EE"/>
    <w:rsid w:val="005B0F75"/>
    <w:rsid w:val="005B0FD5"/>
    <w:rsid w:val="005B2134"/>
    <w:rsid w:val="005B278D"/>
    <w:rsid w:val="005B2B60"/>
    <w:rsid w:val="005B2BE9"/>
    <w:rsid w:val="005B2D78"/>
    <w:rsid w:val="005B3731"/>
    <w:rsid w:val="005B3AEE"/>
    <w:rsid w:val="005B3E84"/>
    <w:rsid w:val="005B3F23"/>
    <w:rsid w:val="005B3F28"/>
    <w:rsid w:val="005B426E"/>
    <w:rsid w:val="005B46DD"/>
    <w:rsid w:val="005B47D1"/>
    <w:rsid w:val="005B4846"/>
    <w:rsid w:val="005B4883"/>
    <w:rsid w:val="005B57F0"/>
    <w:rsid w:val="005B5FB9"/>
    <w:rsid w:val="005B61EA"/>
    <w:rsid w:val="005B6D26"/>
    <w:rsid w:val="005B7B06"/>
    <w:rsid w:val="005B7BC4"/>
    <w:rsid w:val="005B7CD2"/>
    <w:rsid w:val="005C03BA"/>
    <w:rsid w:val="005C11BF"/>
    <w:rsid w:val="005C134C"/>
    <w:rsid w:val="005C19AB"/>
    <w:rsid w:val="005C1A18"/>
    <w:rsid w:val="005C20C2"/>
    <w:rsid w:val="005C2417"/>
    <w:rsid w:val="005C25C9"/>
    <w:rsid w:val="005C29FB"/>
    <w:rsid w:val="005C2FE5"/>
    <w:rsid w:val="005C33BA"/>
    <w:rsid w:val="005C3A3A"/>
    <w:rsid w:val="005C40E0"/>
    <w:rsid w:val="005C4D43"/>
    <w:rsid w:val="005C5115"/>
    <w:rsid w:val="005C525F"/>
    <w:rsid w:val="005C55AF"/>
    <w:rsid w:val="005C55B6"/>
    <w:rsid w:val="005C5668"/>
    <w:rsid w:val="005C58B4"/>
    <w:rsid w:val="005C701F"/>
    <w:rsid w:val="005C70B8"/>
    <w:rsid w:val="005C7D09"/>
    <w:rsid w:val="005C7F5F"/>
    <w:rsid w:val="005D00BE"/>
    <w:rsid w:val="005D0909"/>
    <w:rsid w:val="005D0FD2"/>
    <w:rsid w:val="005D14BA"/>
    <w:rsid w:val="005D1797"/>
    <w:rsid w:val="005D1897"/>
    <w:rsid w:val="005D18C9"/>
    <w:rsid w:val="005D18D5"/>
    <w:rsid w:val="005D18EE"/>
    <w:rsid w:val="005D1A2A"/>
    <w:rsid w:val="005D2219"/>
    <w:rsid w:val="005D22B5"/>
    <w:rsid w:val="005D262D"/>
    <w:rsid w:val="005D2A8E"/>
    <w:rsid w:val="005D31D9"/>
    <w:rsid w:val="005D3428"/>
    <w:rsid w:val="005D3698"/>
    <w:rsid w:val="005D3AB9"/>
    <w:rsid w:val="005D3C1D"/>
    <w:rsid w:val="005D3D5E"/>
    <w:rsid w:val="005D3D67"/>
    <w:rsid w:val="005D5BCA"/>
    <w:rsid w:val="005D5FD4"/>
    <w:rsid w:val="005D6C68"/>
    <w:rsid w:val="005D71BB"/>
    <w:rsid w:val="005D7530"/>
    <w:rsid w:val="005D759F"/>
    <w:rsid w:val="005D7866"/>
    <w:rsid w:val="005E0C53"/>
    <w:rsid w:val="005E0DD1"/>
    <w:rsid w:val="005E0F38"/>
    <w:rsid w:val="005E1913"/>
    <w:rsid w:val="005E192E"/>
    <w:rsid w:val="005E197E"/>
    <w:rsid w:val="005E1AA4"/>
    <w:rsid w:val="005E2300"/>
    <w:rsid w:val="005E257D"/>
    <w:rsid w:val="005E25CA"/>
    <w:rsid w:val="005E2C78"/>
    <w:rsid w:val="005E42F7"/>
    <w:rsid w:val="005E440A"/>
    <w:rsid w:val="005E442F"/>
    <w:rsid w:val="005E614C"/>
    <w:rsid w:val="005E724D"/>
    <w:rsid w:val="005E7380"/>
    <w:rsid w:val="005E7395"/>
    <w:rsid w:val="005E7784"/>
    <w:rsid w:val="005E77D5"/>
    <w:rsid w:val="005E7F81"/>
    <w:rsid w:val="005F01A4"/>
    <w:rsid w:val="005F0205"/>
    <w:rsid w:val="005F0BD7"/>
    <w:rsid w:val="005F0CD1"/>
    <w:rsid w:val="005F116C"/>
    <w:rsid w:val="005F14FA"/>
    <w:rsid w:val="005F1A64"/>
    <w:rsid w:val="005F1E3D"/>
    <w:rsid w:val="005F278C"/>
    <w:rsid w:val="005F2956"/>
    <w:rsid w:val="005F2B12"/>
    <w:rsid w:val="005F2D20"/>
    <w:rsid w:val="005F2F0D"/>
    <w:rsid w:val="005F34DF"/>
    <w:rsid w:val="005F3955"/>
    <w:rsid w:val="005F3E45"/>
    <w:rsid w:val="005F412D"/>
    <w:rsid w:val="005F52E1"/>
    <w:rsid w:val="005F550F"/>
    <w:rsid w:val="005F5B36"/>
    <w:rsid w:val="005F6A6E"/>
    <w:rsid w:val="005F6AEE"/>
    <w:rsid w:val="005F732E"/>
    <w:rsid w:val="005F74DA"/>
    <w:rsid w:val="005F74EA"/>
    <w:rsid w:val="005F76F8"/>
    <w:rsid w:val="00600299"/>
    <w:rsid w:val="006010F8"/>
    <w:rsid w:val="00601398"/>
    <w:rsid w:val="00601AA9"/>
    <w:rsid w:val="006026A0"/>
    <w:rsid w:val="00602D30"/>
    <w:rsid w:val="00602E4D"/>
    <w:rsid w:val="00603789"/>
    <w:rsid w:val="00603BC8"/>
    <w:rsid w:val="00603BCB"/>
    <w:rsid w:val="00604199"/>
    <w:rsid w:val="00604A47"/>
    <w:rsid w:val="00604EC9"/>
    <w:rsid w:val="00605092"/>
    <w:rsid w:val="006052AE"/>
    <w:rsid w:val="0060530E"/>
    <w:rsid w:val="00605A1B"/>
    <w:rsid w:val="00605BBA"/>
    <w:rsid w:val="00605DE2"/>
    <w:rsid w:val="00605F98"/>
    <w:rsid w:val="006067D5"/>
    <w:rsid w:val="00606831"/>
    <w:rsid w:val="00607118"/>
    <w:rsid w:val="00610276"/>
    <w:rsid w:val="006108E0"/>
    <w:rsid w:val="00610B94"/>
    <w:rsid w:val="0061139A"/>
    <w:rsid w:val="006119F2"/>
    <w:rsid w:val="00611CCF"/>
    <w:rsid w:val="006130AB"/>
    <w:rsid w:val="006130AE"/>
    <w:rsid w:val="00613AFE"/>
    <w:rsid w:val="0061431D"/>
    <w:rsid w:val="00614854"/>
    <w:rsid w:val="006149EE"/>
    <w:rsid w:val="00615002"/>
    <w:rsid w:val="00615769"/>
    <w:rsid w:val="00615D2B"/>
    <w:rsid w:val="006164C1"/>
    <w:rsid w:val="0061658F"/>
    <w:rsid w:val="006165DD"/>
    <w:rsid w:val="00616C4D"/>
    <w:rsid w:val="0061706F"/>
    <w:rsid w:val="00617102"/>
    <w:rsid w:val="00617360"/>
    <w:rsid w:val="006178BD"/>
    <w:rsid w:val="00617E5C"/>
    <w:rsid w:val="00620214"/>
    <w:rsid w:val="00620422"/>
    <w:rsid w:val="00620787"/>
    <w:rsid w:val="00620C75"/>
    <w:rsid w:val="00620C87"/>
    <w:rsid w:val="00620E69"/>
    <w:rsid w:val="006214EB"/>
    <w:rsid w:val="00621A20"/>
    <w:rsid w:val="0062216B"/>
    <w:rsid w:val="00622AFB"/>
    <w:rsid w:val="00622BC4"/>
    <w:rsid w:val="00622CAB"/>
    <w:rsid w:val="00622E97"/>
    <w:rsid w:val="0062477C"/>
    <w:rsid w:val="006249F7"/>
    <w:rsid w:val="006252ED"/>
    <w:rsid w:val="0062558D"/>
    <w:rsid w:val="00625595"/>
    <w:rsid w:val="00625657"/>
    <w:rsid w:val="00625D15"/>
    <w:rsid w:val="00625DAB"/>
    <w:rsid w:val="00625EB7"/>
    <w:rsid w:val="00626E29"/>
    <w:rsid w:val="006278ED"/>
    <w:rsid w:val="00627F6B"/>
    <w:rsid w:val="00630B97"/>
    <w:rsid w:val="00630F26"/>
    <w:rsid w:val="00630F78"/>
    <w:rsid w:val="00630FF9"/>
    <w:rsid w:val="006318A3"/>
    <w:rsid w:val="00631D39"/>
    <w:rsid w:val="00632155"/>
    <w:rsid w:val="0063279A"/>
    <w:rsid w:val="00632BE6"/>
    <w:rsid w:val="00633969"/>
    <w:rsid w:val="00633A89"/>
    <w:rsid w:val="00634BD7"/>
    <w:rsid w:val="00634C9B"/>
    <w:rsid w:val="006356F1"/>
    <w:rsid w:val="00635ED0"/>
    <w:rsid w:val="00636970"/>
    <w:rsid w:val="00636CC5"/>
    <w:rsid w:val="00636F28"/>
    <w:rsid w:val="00637764"/>
    <w:rsid w:val="006378D9"/>
    <w:rsid w:val="00637B2C"/>
    <w:rsid w:val="006405C7"/>
    <w:rsid w:val="00640DE1"/>
    <w:rsid w:val="00640FE9"/>
    <w:rsid w:val="00641EC8"/>
    <w:rsid w:val="006424CE"/>
    <w:rsid w:val="00642689"/>
    <w:rsid w:val="006426E3"/>
    <w:rsid w:val="00642F32"/>
    <w:rsid w:val="006430B9"/>
    <w:rsid w:val="00643623"/>
    <w:rsid w:val="0064367E"/>
    <w:rsid w:val="00643D60"/>
    <w:rsid w:val="00643F0A"/>
    <w:rsid w:val="006448CD"/>
    <w:rsid w:val="00644A57"/>
    <w:rsid w:val="00645028"/>
    <w:rsid w:val="006452E3"/>
    <w:rsid w:val="00645524"/>
    <w:rsid w:val="006456AA"/>
    <w:rsid w:val="006457DF"/>
    <w:rsid w:val="00645B25"/>
    <w:rsid w:val="006463D8"/>
    <w:rsid w:val="00646F5F"/>
    <w:rsid w:val="00647102"/>
    <w:rsid w:val="0064731E"/>
    <w:rsid w:val="006479AB"/>
    <w:rsid w:val="00647A29"/>
    <w:rsid w:val="00647AA6"/>
    <w:rsid w:val="00647BBF"/>
    <w:rsid w:val="00650582"/>
    <w:rsid w:val="006508C9"/>
    <w:rsid w:val="00650A11"/>
    <w:rsid w:val="00650C95"/>
    <w:rsid w:val="00651DFD"/>
    <w:rsid w:val="006530FB"/>
    <w:rsid w:val="006531A8"/>
    <w:rsid w:val="006540A6"/>
    <w:rsid w:val="00654562"/>
    <w:rsid w:val="00654BEA"/>
    <w:rsid w:val="00655DC9"/>
    <w:rsid w:val="006564B4"/>
    <w:rsid w:val="006567B2"/>
    <w:rsid w:val="00656A6D"/>
    <w:rsid w:val="00656E12"/>
    <w:rsid w:val="00656EC2"/>
    <w:rsid w:val="00656F9F"/>
    <w:rsid w:val="00657383"/>
    <w:rsid w:val="00657644"/>
    <w:rsid w:val="006600BA"/>
    <w:rsid w:val="006600D4"/>
    <w:rsid w:val="00660355"/>
    <w:rsid w:val="006603F4"/>
    <w:rsid w:val="00660AEB"/>
    <w:rsid w:val="00660B2A"/>
    <w:rsid w:val="00660B49"/>
    <w:rsid w:val="00660ECF"/>
    <w:rsid w:val="00661931"/>
    <w:rsid w:val="00661DC1"/>
    <w:rsid w:val="00661DCD"/>
    <w:rsid w:val="0066208A"/>
    <w:rsid w:val="00662525"/>
    <w:rsid w:val="00662832"/>
    <w:rsid w:val="00662EB8"/>
    <w:rsid w:val="006630EB"/>
    <w:rsid w:val="0066347E"/>
    <w:rsid w:val="00663A70"/>
    <w:rsid w:val="00663E42"/>
    <w:rsid w:val="0066426C"/>
    <w:rsid w:val="00664585"/>
    <w:rsid w:val="00664989"/>
    <w:rsid w:val="006651EF"/>
    <w:rsid w:val="00665E6B"/>
    <w:rsid w:val="00666651"/>
    <w:rsid w:val="0066694D"/>
    <w:rsid w:val="00666AB1"/>
    <w:rsid w:val="00666B4E"/>
    <w:rsid w:val="00666C38"/>
    <w:rsid w:val="00666E26"/>
    <w:rsid w:val="006674E3"/>
    <w:rsid w:val="006677BF"/>
    <w:rsid w:val="00667F33"/>
    <w:rsid w:val="0067015E"/>
    <w:rsid w:val="006709B5"/>
    <w:rsid w:val="00670C43"/>
    <w:rsid w:val="00670D20"/>
    <w:rsid w:val="00670E04"/>
    <w:rsid w:val="006718F9"/>
    <w:rsid w:val="0067246B"/>
    <w:rsid w:val="00672AFE"/>
    <w:rsid w:val="00672B86"/>
    <w:rsid w:val="00672D54"/>
    <w:rsid w:val="00672F6A"/>
    <w:rsid w:val="00672FF7"/>
    <w:rsid w:val="0067384D"/>
    <w:rsid w:val="00673860"/>
    <w:rsid w:val="00674684"/>
    <w:rsid w:val="006757F1"/>
    <w:rsid w:val="00675A1A"/>
    <w:rsid w:val="00675AB2"/>
    <w:rsid w:val="00675AF3"/>
    <w:rsid w:val="0067628B"/>
    <w:rsid w:val="006769A5"/>
    <w:rsid w:val="00676E4F"/>
    <w:rsid w:val="00677068"/>
    <w:rsid w:val="006779E8"/>
    <w:rsid w:val="00680A59"/>
    <w:rsid w:val="00680E22"/>
    <w:rsid w:val="0068105B"/>
    <w:rsid w:val="006812CC"/>
    <w:rsid w:val="00681FDA"/>
    <w:rsid w:val="00682B83"/>
    <w:rsid w:val="00683601"/>
    <w:rsid w:val="00683608"/>
    <w:rsid w:val="00683CCB"/>
    <w:rsid w:val="00683E14"/>
    <w:rsid w:val="00684544"/>
    <w:rsid w:val="006847BE"/>
    <w:rsid w:val="0068487C"/>
    <w:rsid w:val="00684C3D"/>
    <w:rsid w:val="00684FBD"/>
    <w:rsid w:val="006868DB"/>
    <w:rsid w:val="00686CD5"/>
    <w:rsid w:val="00686FBD"/>
    <w:rsid w:val="00687452"/>
    <w:rsid w:val="00690028"/>
    <w:rsid w:val="006903B8"/>
    <w:rsid w:val="00690420"/>
    <w:rsid w:val="0069172C"/>
    <w:rsid w:val="00692572"/>
    <w:rsid w:val="006926A5"/>
    <w:rsid w:val="006926A7"/>
    <w:rsid w:val="00692A03"/>
    <w:rsid w:val="00692B61"/>
    <w:rsid w:val="00692E2A"/>
    <w:rsid w:val="00693190"/>
    <w:rsid w:val="0069357E"/>
    <w:rsid w:val="00693BE3"/>
    <w:rsid w:val="00693CB2"/>
    <w:rsid w:val="0069407E"/>
    <w:rsid w:val="006941B5"/>
    <w:rsid w:val="006944EE"/>
    <w:rsid w:val="006947A8"/>
    <w:rsid w:val="00695375"/>
    <w:rsid w:val="00695780"/>
    <w:rsid w:val="00695AD4"/>
    <w:rsid w:val="00695BEC"/>
    <w:rsid w:val="0069622B"/>
    <w:rsid w:val="00696287"/>
    <w:rsid w:val="006962EC"/>
    <w:rsid w:val="00696485"/>
    <w:rsid w:val="006967B9"/>
    <w:rsid w:val="00696ED4"/>
    <w:rsid w:val="0069769B"/>
    <w:rsid w:val="006A05DE"/>
    <w:rsid w:val="006A06C3"/>
    <w:rsid w:val="006A083F"/>
    <w:rsid w:val="006A0BE2"/>
    <w:rsid w:val="006A11BC"/>
    <w:rsid w:val="006A16BE"/>
    <w:rsid w:val="006A1E8D"/>
    <w:rsid w:val="006A1F2D"/>
    <w:rsid w:val="006A2277"/>
    <w:rsid w:val="006A256F"/>
    <w:rsid w:val="006A2BDF"/>
    <w:rsid w:val="006A2BFD"/>
    <w:rsid w:val="006A2DA7"/>
    <w:rsid w:val="006A31EB"/>
    <w:rsid w:val="006A35F4"/>
    <w:rsid w:val="006A3B5E"/>
    <w:rsid w:val="006A5527"/>
    <w:rsid w:val="006A58A8"/>
    <w:rsid w:val="006A5C62"/>
    <w:rsid w:val="006A5F3B"/>
    <w:rsid w:val="006A638E"/>
    <w:rsid w:val="006A6E6C"/>
    <w:rsid w:val="006A783E"/>
    <w:rsid w:val="006A798C"/>
    <w:rsid w:val="006B023E"/>
    <w:rsid w:val="006B0323"/>
    <w:rsid w:val="006B05F4"/>
    <w:rsid w:val="006B07B6"/>
    <w:rsid w:val="006B0BB5"/>
    <w:rsid w:val="006B11E6"/>
    <w:rsid w:val="006B167C"/>
    <w:rsid w:val="006B1BE6"/>
    <w:rsid w:val="006B1EF7"/>
    <w:rsid w:val="006B2173"/>
    <w:rsid w:val="006B26A8"/>
    <w:rsid w:val="006B26CF"/>
    <w:rsid w:val="006B29C0"/>
    <w:rsid w:val="006B33F4"/>
    <w:rsid w:val="006B38F9"/>
    <w:rsid w:val="006B3908"/>
    <w:rsid w:val="006B3BBE"/>
    <w:rsid w:val="006B4243"/>
    <w:rsid w:val="006B48B2"/>
    <w:rsid w:val="006B4E90"/>
    <w:rsid w:val="006B4EEB"/>
    <w:rsid w:val="006B527D"/>
    <w:rsid w:val="006B52FD"/>
    <w:rsid w:val="006B5A5F"/>
    <w:rsid w:val="006B5CC6"/>
    <w:rsid w:val="006B6B4F"/>
    <w:rsid w:val="006B6F96"/>
    <w:rsid w:val="006B7A3B"/>
    <w:rsid w:val="006B7C81"/>
    <w:rsid w:val="006C00B0"/>
    <w:rsid w:val="006C0737"/>
    <w:rsid w:val="006C07B9"/>
    <w:rsid w:val="006C08F9"/>
    <w:rsid w:val="006C15E5"/>
    <w:rsid w:val="006C1BA5"/>
    <w:rsid w:val="006C2060"/>
    <w:rsid w:val="006C209E"/>
    <w:rsid w:val="006C237B"/>
    <w:rsid w:val="006C2ADF"/>
    <w:rsid w:val="006C4318"/>
    <w:rsid w:val="006C4BE2"/>
    <w:rsid w:val="006C5CFD"/>
    <w:rsid w:val="006C5EDD"/>
    <w:rsid w:val="006C70C4"/>
    <w:rsid w:val="006C7320"/>
    <w:rsid w:val="006C75F8"/>
    <w:rsid w:val="006C7722"/>
    <w:rsid w:val="006C7CC6"/>
    <w:rsid w:val="006D02B9"/>
    <w:rsid w:val="006D0983"/>
    <w:rsid w:val="006D0E94"/>
    <w:rsid w:val="006D1334"/>
    <w:rsid w:val="006D2640"/>
    <w:rsid w:val="006D2BA1"/>
    <w:rsid w:val="006D36CC"/>
    <w:rsid w:val="006D3AAB"/>
    <w:rsid w:val="006D3C8F"/>
    <w:rsid w:val="006D4207"/>
    <w:rsid w:val="006D4AB6"/>
    <w:rsid w:val="006D5243"/>
    <w:rsid w:val="006D53D1"/>
    <w:rsid w:val="006D558F"/>
    <w:rsid w:val="006D5CF1"/>
    <w:rsid w:val="006D63BE"/>
    <w:rsid w:val="006D6A12"/>
    <w:rsid w:val="006D6DDF"/>
    <w:rsid w:val="006D6E79"/>
    <w:rsid w:val="006D71FC"/>
    <w:rsid w:val="006D72D9"/>
    <w:rsid w:val="006D7ADE"/>
    <w:rsid w:val="006E0512"/>
    <w:rsid w:val="006E085C"/>
    <w:rsid w:val="006E0AE5"/>
    <w:rsid w:val="006E21BD"/>
    <w:rsid w:val="006E26D0"/>
    <w:rsid w:val="006E2F37"/>
    <w:rsid w:val="006E2F47"/>
    <w:rsid w:val="006E3BB3"/>
    <w:rsid w:val="006E4219"/>
    <w:rsid w:val="006E4B41"/>
    <w:rsid w:val="006E5E2C"/>
    <w:rsid w:val="006E7A78"/>
    <w:rsid w:val="006E7B9B"/>
    <w:rsid w:val="006E7C95"/>
    <w:rsid w:val="006E7CD7"/>
    <w:rsid w:val="006F0183"/>
    <w:rsid w:val="006F0884"/>
    <w:rsid w:val="006F0E4F"/>
    <w:rsid w:val="006F1607"/>
    <w:rsid w:val="006F1BD3"/>
    <w:rsid w:val="006F21D4"/>
    <w:rsid w:val="006F2F8F"/>
    <w:rsid w:val="006F33B8"/>
    <w:rsid w:val="006F3703"/>
    <w:rsid w:val="006F3A22"/>
    <w:rsid w:val="006F3AA7"/>
    <w:rsid w:val="006F3F25"/>
    <w:rsid w:val="006F40EE"/>
    <w:rsid w:val="006F492E"/>
    <w:rsid w:val="006F515F"/>
    <w:rsid w:val="006F52C0"/>
    <w:rsid w:val="006F54F3"/>
    <w:rsid w:val="006F570A"/>
    <w:rsid w:val="006F654E"/>
    <w:rsid w:val="006F6830"/>
    <w:rsid w:val="006F6920"/>
    <w:rsid w:val="006F6FD7"/>
    <w:rsid w:val="006F7060"/>
    <w:rsid w:val="006F79BB"/>
    <w:rsid w:val="007005A1"/>
    <w:rsid w:val="0070064D"/>
    <w:rsid w:val="007007A5"/>
    <w:rsid w:val="00700A98"/>
    <w:rsid w:val="007010F0"/>
    <w:rsid w:val="00701551"/>
    <w:rsid w:val="007016C5"/>
    <w:rsid w:val="007018AC"/>
    <w:rsid w:val="00701D1D"/>
    <w:rsid w:val="00701E82"/>
    <w:rsid w:val="00702111"/>
    <w:rsid w:val="00702141"/>
    <w:rsid w:val="007026FA"/>
    <w:rsid w:val="00702E89"/>
    <w:rsid w:val="007035DA"/>
    <w:rsid w:val="00703DC7"/>
    <w:rsid w:val="00703DE0"/>
    <w:rsid w:val="007050D4"/>
    <w:rsid w:val="007053F8"/>
    <w:rsid w:val="00705BE4"/>
    <w:rsid w:val="007061D0"/>
    <w:rsid w:val="00706A4F"/>
    <w:rsid w:val="00706B5E"/>
    <w:rsid w:val="00706C3D"/>
    <w:rsid w:val="00707194"/>
    <w:rsid w:val="007073AE"/>
    <w:rsid w:val="0070777F"/>
    <w:rsid w:val="00707A87"/>
    <w:rsid w:val="00707B14"/>
    <w:rsid w:val="00707B6A"/>
    <w:rsid w:val="00711973"/>
    <w:rsid w:val="00711CA2"/>
    <w:rsid w:val="00712480"/>
    <w:rsid w:val="00712838"/>
    <w:rsid w:val="00713174"/>
    <w:rsid w:val="00713712"/>
    <w:rsid w:val="00714670"/>
    <w:rsid w:val="00714779"/>
    <w:rsid w:val="00714C84"/>
    <w:rsid w:val="00714FEC"/>
    <w:rsid w:val="007153C7"/>
    <w:rsid w:val="007155E6"/>
    <w:rsid w:val="0071562E"/>
    <w:rsid w:val="00716064"/>
    <w:rsid w:val="0071655F"/>
    <w:rsid w:val="00716B23"/>
    <w:rsid w:val="00716C12"/>
    <w:rsid w:val="007176B5"/>
    <w:rsid w:val="00717EC5"/>
    <w:rsid w:val="00720512"/>
    <w:rsid w:val="007205DF"/>
    <w:rsid w:val="007208EE"/>
    <w:rsid w:val="00720976"/>
    <w:rsid w:val="00720C8D"/>
    <w:rsid w:val="00721063"/>
    <w:rsid w:val="007210AB"/>
    <w:rsid w:val="007211BC"/>
    <w:rsid w:val="00721F8F"/>
    <w:rsid w:val="00722C20"/>
    <w:rsid w:val="00722EFA"/>
    <w:rsid w:val="007238FA"/>
    <w:rsid w:val="0072392B"/>
    <w:rsid w:val="00723B8F"/>
    <w:rsid w:val="00723C59"/>
    <w:rsid w:val="00723E61"/>
    <w:rsid w:val="00724091"/>
    <w:rsid w:val="00724127"/>
    <w:rsid w:val="00724978"/>
    <w:rsid w:val="00724E0D"/>
    <w:rsid w:val="007255E9"/>
    <w:rsid w:val="0072569B"/>
    <w:rsid w:val="007256A1"/>
    <w:rsid w:val="007267EF"/>
    <w:rsid w:val="007269E3"/>
    <w:rsid w:val="00726B5F"/>
    <w:rsid w:val="00726B65"/>
    <w:rsid w:val="007271E4"/>
    <w:rsid w:val="00730B4A"/>
    <w:rsid w:val="00730C37"/>
    <w:rsid w:val="0073106D"/>
    <w:rsid w:val="00731B5C"/>
    <w:rsid w:val="00731BF3"/>
    <w:rsid w:val="00731CE7"/>
    <w:rsid w:val="00732CE2"/>
    <w:rsid w:val="00732DB9"/>
    <w:rsid w:val="00732FFF"/>
    <w:rsid w:val="00733638"/>
    <w:rsid w:val="0073385F"/>
    <w:rsid w:val="00733C9C"/>
    <w:rsid w:val="00733D6E"/>
    <w:rsid w:val="0073425C"/>
    <w:rsid w:val="00734726"/>
    <w:rsid w:val="00735093"/>
    <w:rsid w:val="0073513F"/>
    <w:rsid w:val="00735C1F"/>
    <w:rsid w:val="00735E6A"/>
    <w:rsid w:val="0073682C"/>
    <w:rsid w:val="0073694D"/>
    <w:rsid w:val="007370EB"/>
    <w:rsid w:val="0073739A"/>
    <w:rsid w:val="00737666"/>
    <w:rsid w:val="007379BD"/>
    <w:rsid w:val="007379D8"/>
    <w:rsid w:val="00737DE8"/>
    <w:rsid w:val="00737E0F"/>
    <w:rsid w:val="0074008C"/>
    <w:rsid w:val="007402DB"/>
    <w:rsid w:val="007406C9"/>
    <w:rsid w:val="00740BF9"/>
    <w:rsid w:val="00740D1C"/>
    <w:rsid w:val="0074136D"/>
    <w:rsid w:val="0074153B"/>
    <w:rsid w:val="0074155E"/>
    <w:rsid w:val="00741A88"/>
    <w:rsid w:val="00741C40"/>
    <w:rsid w:val="00741E6C"/>
    <w:rsid w:val="007421DB"/>
    <w:rsid w:val="007424F7"/>
    <w:rsid w:val="00742B7F"/>
    <w:rsid w:val="00743646"/>
    <w:rsid w:val="0074377D"/>
    <w:rsid w:val="00743A4F"/>
    <w:rsid w:val="00743BC3"/>
    <w:rsid w:val="00744191"/>
    <w:rsid w:val="0074434F"/>
    <w:rsid w:val="007444E2"/>
    <w:rsid w:val="007445B4"/>
    <w:rsid w:val="0074481E"/>
    <w:rsid w:val="00745577"/>
    <w:rsid w:val="0074595B"/>
    <w:rsid w:val="00745E52"/>
    <w:rsid w:val="007461CA"/>
    <w:rsid w:val="007462D0"/>
    <w:rsid w:val="007468DE"/>
    <w:rsid w:val="00746E56"/>
    <w:rsid w:val="00747AD2"/>
    <w:rsid w:val="00747C81"/>
    <w:rsid w:val="00747D7E"/>
    <w:rsid w:val="007500F0"/>
    <w:rsid w:val="00750DD5"/>
    <w:rsid w:val="0075148C"/>
    <w:rsid w:val="007516D5"/>
    <w:rsid w:val="007518FC"/>
    <w:rsid w:val="00751CAC"/>
    <w:rsid w:val="00752553"/>
    <w:rsid w:val="00752675"/>
    <w:rsid w:val="00752CF7"/>
    <w:rsid w:val="00752DB1"/>
    <w:rsid w:val="00752FDD"/>
    <w:rsid w:val="007533C0"/>
    <w:rsid w:val="0075391B"/>
    <w:rsid w:val="00753C2D"/>
    <w:rsid w:val="00753F81"/>
    <w:rsid w:val="0075434E"/>
    <w:rsid w:val="00754742"/>
    <w:rsid w:val="00754BC1"/>
    <w:rsid w:val="00755E61"/>
    <w:rsid w:val="00755F4B"/>
    <w:rsid w:val="00756B64"/>
    <w:rsid w:val="00756C61"/>
    <w:rsid w:val="007570B1"/>
    <w:rsid w:val="00757E22"/>
    <w:rsid w:val="0076012E"/>
    <w:rsid w:val="00760B93"/>
    <w:rsid w:val="00760D97"/>
    <w:rsid w:val="00760F25"/>
    <w:rsid w:val="007611E7"/>
    <w:rsid w:val="00761547"/>
    <w:rsid w:val="00761605"/>
    <w:rsid w:val="0076206D"/>
    <w:rsid w:val="00762513"/>
    <w:rsid w:val="007630FA"/>
    <w:rsid w:val="007631D3"/>
    <w:rsid w:val="007639B5"/>
    <w:rsid w:val="00763DD7"/>
    <w:rsid w:val="007646F0"/>
    <w:rsid w:val="00764708"/>
    <w:rsid w:val="00764A40"/>
    <w:rsid w:val="00765230"/>
    <w:rsid w:val="007653D6"/>
    <w:rsid w:val="007658BC"/>
    <w:rsid w:val="007659DE"/>
    <w:rsid w:val="00766477"/>
    <w:rsid w:val="00766C69"/>
    <w:rsid w:val="0076758C"/>
    <w:rsid w:val="007676C2"/>
    <w:rsid w:val="00767D28"/>
    <w:rsid w:val="00767E29"/>
    <w:rsid w:val="00770E86"/>
    <w:rsid w:val="0077109B"/>
    <w:rsid w:val="00771354"/>
    <w:rsid w:val="00771976"/>
    <w:rsid w:val="00771FB7"/>
    <w:rsid w:val="007721F0"/>
    <w:rsid w:val="007722B2"/>
    <w:rsid w:val="00772911"/>
    <w:rsid w:val="00772B44"/>
    <w:rsid w:val="007730D9"/>
    <w:rsid w:val="00773773"/>
    <w:rsid w:val="007738E3"/>
    <w:rsid w:val="00773C3B"/>
    <w:rsid w:val="00773CE7"/>
    <w:rsid w:val="007740BB"/>
    <w:rsid w:val="00774137"/>
    <w:rsid w:val="007743C6"/>
    <w:rsid w:val="007747A4"/>
    <w:rsid w:val="00774EEB"/>
    <w:rsid w:val="00775026"/>
    <w:rsid w:val="007764D8"/>
    <w:rsid w:val="00777466"/>
    <w:rsid w:val="00777911"/>
    <w:rsid w:val="00777B13"/>
    <w:rsid w:val="00780C58"/>
    <w:rsid w:val="00780EA8"/>
    <w:rsid w:val="00781047"/>
    <w:rsid w:val="00781EDA"/>
    <w:rsid w:val="00782309"/>
    <w:rsid w:val="00782C7E"/>
    <w:rsid w:val="00783766"/>
    <w:rsid w:val="00783850"/>
    <w:rsid w:val="00784A46"/>
    <w:rsid w:val="00784B75"/>
    <w:rsid w:val="007851EA"/>
    <w:rsid w:val="0078543A"/>
    <w:rsid w:val="00785FBF"/>
    <w:rsid w:val="0078621E"/>
    <w:rsid w:val="007868CD"/>
    <w:rsid w:val="00786900"/>
    <w:rsid w:val="007869DC"/>
    <w:rsid w:val="00786CE6"/>
    <w:rsid w:val="00786D1A"/>
    <w:rsid w:val="00786ECD"/>
    <w:rsid w:val="00786FAC"/>
    <w:rsid w:val="007873EF"/>
    <w:rsid w:val="00787A4C"/>
    <w:rsid w:val="00790126"/>
    <w:rsid w:val="007901E8"/>
    <w:rsid w:val="0079086D"/>
    <w:rsid w:val="00790AFE"/>
    <w:rsid w:val="00790E3B"/>
    <w:rsid w:val="00790F13"/>
    <w:rsid w:val="00790FD5"/>
    <w:rsid w:val="007917A2"/>
    <w:rsid w:val="0079189F"/>
    <w:rsid w:val="00791A8B"/>
    <w:rsid w:val="00791F42"/>
    <w:rsid w:val="00792064"/>
    <w:rsid w:val="007920F8"/>
    <w:rsid w:val="00792580"/>
    <w:rsid w:val="00792972"/>
    <w:rsid w:val="00792A30"/>
    <w:rsid w:val="00792CAE"/>
    <w:rsid w:val="00792CE7"/>
    <w:rsid w:val="0079321B"/>
    <w:rsid w:val="00793EA5"/>
    <w:rsid w:val="007943BD"/>
    <w:rsid w:val="0079465A"/>
    <w:rsid w:val="00794A78"/>
    <w:rsid w:val="00794C0A"/>
    <w:rsid w:val="00794D81"/>
    <w:rsid w:val="00794FC7"/>
    <w:rsid w:val="00795BCA"/>
    <w:rsid w:val="00795BF9"/>
    <w:rsid w:val="00795C37"/>
    <w:rsid w:val="00795EE4"/>
    <w:rsid w:val="00796022"/>
    <w:rsid w:val="00797335"/>
    <w:rsid w:val="00797AAC"/>
    <w:rsid w:val="00797D20"/>
    <w:rsid w:val="00797E33"/>
    <w:rsid w:val="007A004F"/>
    <w:rsid w:val="007A036B"/>
    <w:rsid w:val="007A0552"/>
    <w:rsid w:val="007A0913"/>
    <w:rsid w:val="007A0B46"/>
    <w:rsid w:val="007A0EA6"/>
    <w:rsid w:val="007A163B"/>
    <w:rsid w:val="007A2045"/>
    <w:rsid w:val="007A219A"/>
    <w:rsid w:val="007A221A"/>
    <w:rsid w:val="007A352C"/>
    <w:rsid w:val="007A3A30"/>
    <w:rsid w:val="007A3E75"/>
    <w:rsid w:val="007A42C4"/>
    <w:rsid w:val="007A45E5"/>
    <w:rsid w:val="007A555D"/>
    <w:rsid w:val="007A55E3"/>
    <w:rsid w:val="007A5C6B"/>
    <w:rsid w:val="007A5F32"/>
    <w:rsid w:val="007A674D"/>
    <w:rsid w:val="007A7EAD"/>
    <w:rsid w:val="007A7F81"/>
    <w:rsid w:val="007B06BB"/>
    <w:rsid w:val="007B0C85"/>
    <w:rsid w:val="007B1330"/>
    <w:rsid w:val="007B143C"/>
    <w:rsid w:val="007B2894"/>
    <w:rsid w:val="007B2CEB"/>
    <w:rsid w:val="007B2F6C"/>
    <w:rsid w:val="007B2FB7"/>
    <w:rsid w:val="007B383E"/>
    <w:rsid w:val="007B3D18"/>
    <w:rsid w:val="007B3F76"/>
    <w:rsid w:val="007B402F"/>
    <w:rsid w:val="007B42F5"/>
    <w:rsid w:val="007B4488"/>
    <w:rsid w:val="007B5309"/>
    <w:rsid w:val="007B5AEB"/>
    <w:rsid w:val="007B5B90"/>
    <w:rsid w:val="007B5FBC"/>
    <w:rsid w:val="007B6287"/>
    <w:rsid w:val="007B6CA9"/>
    <w:rsid w:val="007B7532"/>
    <w:rsid w:val="007B7A84"/>
    <w:rsid w:val="007B7FD6"/>
    <w:rsid w:val="007C0775"/>
    <w:rsid w:val="007C0FA9"/>
    <w:rsid w:val="007C13A0"/>
    <w:rsid w:val="007C305E"/>
    <w:rsid w:val="007C3456"/>
    <w:rsid w:val="007C35DE"/>
    <w:rsid w:val="007C38FA"/>
    <w:rsid w:val="007C3CB6"/>
    <w:rsid w:val="007C3F8D"/>
    <w:rsid w:val="007C41EB"/>
    <w:rsid w:val="007C4479"/>
    <w:rsid w:val="007C48DE"/>
    <w:rsid w:val="007C4CAF"/>
    <w:rsid w:val="007C521D"/>
    <w:rsid w:val="007C5253"/>
    <w:rsid w:val="007C57CE"/>
    <w:rsid w:val="007C5BAD"/>
    <w:rsid w:val="007C5BED"/>
    <w:rsid w:val="007C64F6"/>
    <w:rsid w:val="007C6624"/>
    <w:rsid w:val="007C6F75"/>
    <w:rsid w:val="007C7F18"/>
    <w:rsid w:val="007D016F"/>
    <w:rsid w:val="007D138A"/>
    <w:rsid w:val="007D15F3"/>
    <w:rsid w:val="007D2E5E"/>
    <w:rsid w:val="007D365D"/>
    <w:rsid w:val="007D42E8"/>
    <w:rsid w:val="007D4D8D"/>
    <w:rsid w:val="007D5115"/>
    <w:rsid w:val="007D5A14"/>
    <w:rsid w:val="007D5D5D"/>
    <w:rsid w:val="007D5E86"/>
    <w:rsid w:val="007D6533"/>
    <w:rsid w:val="007D6884"/>
    <w:rsid w:val="007D6E54"/>
    <w:rsid w:val="007D6F8A"/>
    <w:rsid w:val="007D7494"/>
    <w:rsid w:val="007D7B52"/>
    <w:rsid w:val="007E0362"/>
    <w:rsid w:val="007E0545"/>
    <w:rsid w:val="007E0E2C"/>
    <w:rsid w:val="007E1408"/>
    <w:rsid w:val="007E1942"/>
    <w:rsid w:val="007E207D"/>
    <w:rsid w:val="007E315B"/>
    <w:rsid w:val="007E3F55"/>
    <w:rsid w:val="007E4204"/>
    <w:rsid w:val="007E4ACC"/>
    <w:rsid w:val="007E4CD3"/>
    <w:rsid w:val="007E4DF7"/>
    <w:rsid w:val="007E4FDC"/>
    <w:rsid w:val="007E52E2"/>
    <w:rsid w:val="007E58E4"/>
    <w:rsid w:val="007E5A46"/>
    <w:rsid w:val="007E6BCC"/>
    <w:rsid w:val="007E747A"/>
    <w:rsid w:val="007E7690"/>
    <w:rsid w:val="007E76A2"/>
    <w:rsid w:val="007E78FC"/>
    <w:rsid w:val="007F06F2"/>
    <w:rsid w:val="007F1009"/>
    <w:rsid w:val="007F113F"/>
    <w:rsid w:val="007F14AA"/>
    <w:rsid w:val="007F1750"/>
    <w:rsid w:val="007F17C4"/>
    <w:rsid w:val="007F1810"/>
    <w:rsid w:val="007F18D6"/>
    <w:rsid w:val="007F235A"/>
    <w:rsid w:val="007F2AE8"/>
    <w:rsid w:val="007F2EBD"/>
    <w:rsid w:val="007F3117"/>
    <w:rsid w:val="007F3136"/>
    <w:rsid w:val="007F3272"/>
    <w:rsid w:val="007F32BC"/>
    <w:rsid w:val="007F3FD2"/>
    <w:rsid w:val="007F42B6"/>
    <w:rsid w:val="007F4529"/>
    <w:rsid w:val="007F4E21"/>
    <w:rsid w:val="007F635D"/>
    <w:rsid w:val="007F6796"/>
    <w:rsid w:val="007F67E6"/>
    <w:rsid w:val="007F6A49"/>
    <w:rsid w:val="007F6BD0"/>
    <w:rsid w:val="0080019A"/>
    <w:rsid w:val="0080102C"/>
    <w:rsid w:val="00801183"/>
    <w:rsid w:val="00801912"/>
    <w:rsid w:val="0080195F"/>
    <w:rsid w:val="008021F0"/>
    <w:rsid w:val="0080265A"/>
    <w:rsid w:val="00803B90"/>
    <w:rsid w:val="0080493A"/>
    <w:rsid w:val="008049FC"/>
    <w:rsid w:val="0080553C"/>
    <w:rsid w:val="00805897"/>
    <w:rsid w:val="00805DFA"/>
    <w:rsid w:val="0080789E"/>
    <w:rsid w:val="00807BE5"/>
    <w:rsid w:val="00807BE9"/>
    <w:rsid w:val="0081003E"/>
    <w:rsid w:val="00810CF6"/>
    <w:rsid w:val="00810D12"/>
    <w:rsid w:val="00810D93"/>
    <w:rsid w:val="0081108C"/>
    <w:rsid w:val="008115AF"/>
    <w:rsid w:val="00811A77"/>
    <w:rsid w:val="00811DC6"/>
    <w:rsid w:val="00811EDA"/>
    <w:rsid w:val="00812BF2"/>
    <w:rsid w:val="00812FAF"/>
    <w:rsid w:val="00813172"/>
    <w:rsid w:val="008136CF"/>
    <w:rsid w:val="008136E3"/>
    <w:rsid w:val="00813E5B"/>
    <w:rsid w:val="00814A14"/>
    <w:rsid w:val="00814CF6"/>
    <w:rsid w:val="00814E7B"/>
    <w:rsid w:val="00815015"/>
    <w:rsid w:val="008152C0"/>
    <w:rsid w:val="008159AA"/>
    <w:rsid w:val="00815E65"/>
    <w:rsid w:val="00815E94"/>
    <w:rsid w:val="0081605B"/>
    <w:rsid w:val="008162C8"/>
    <w:rsid w:val="00816654"/>
    <w:rsid w:val="008166EC"/>
    <w:rsid w:val="00816DEF"/>
    <w:rsid w:val="00817448"/>
    <w:rsid w:val="008176D5"/>
    <w:rsid w:val="00817C82"/>
    <w:rsid w:val="00817EC3"/>
    <w:rsid w:val="008205F7"/>
    <w:rsid w:val="00820FD7"/>
    <w:rsid w:val="008215ED"/>
    <w:rsid w:val="00821650"/>
    <w:rsid w:val="00821A2A"/>
    <w:rsid w:val="00821FBA"/>
    <w:rsid w:val="0082292B"/>
    <w:rsid w:val="00822AC4"/>
    <w:rsid w:val="00823314"/>
    <w:rsid w:val="0082466E"/>
    <w:rsid w:val="00824BE7"/>
    <w:rsid w:val="008252C9"/>
    <w:rsid w:val="00825364"/>
    <w:rsid w:val="0082541A"/>
    <w:rsid w:val="00826215"/>
    <w:rsid w:val="008262EF"/>
    <w:rsid w:val="008267D5"/>
    <w:rsid w:val="00826CEC"/>
    <w:rsid w:val="0082734A"/>
    <w:rsid w:val="00827D42"/>
    <w:rsid w:val="00827E87"/>
    <w:rsid w:val="00827FC1"/>
    <w:rsid w:val="0083043B"/>
    <w:rsid w:val="00830A1D"/>
    <w:rsid w:val="00830CDD"/>
    <w:rsid w:val="008310BE"/>
    <w:rsid w:val="00831208"/>
    <w:rsid w:val="00831A51"/>
    <w:rsid w:val="008320A5"/>
    <w:rsid w:val="0083247F"/>
    <w:rsid w:val="008325CB"/>
    <w:rsid w:val="0083294A"/>
    <w:rsid w:val="008329FC"/>
    <w:rsid w:val="00832A36"/>
    <w:rsid w:val="00832E65"/>
    <w:rsid w:val="00832F64"/>
    <w:rsid w:val="00833088"/>
    <w:rsid w:val="00833491"/>
    <w:rsid w:val="00833FBD"/>
    <w:rsid w:val="00834D35"/>
    <w:rsid w:val="00834FBC"/>
    <w:rsid w:val="00835A1A"/>
    <w:rsid w:val="00835B60"/>
    <w:rsid w:val="00835D35"/>
    <w:rsid w:val="008362FF"/>
    <w:rsid w:val="00836966"/>
    <w:rsid w:val="00836999"/>
    <w:rsid w:val="00837B3A"/>
    <w:rsid w:val="00837D8E"/>
    <w:rsid w:val="00840A95"/>
    <w:rsid w:val="00840DC1"/>
    <w:rsid w:val="008414E1"/>
    <w:rsid w:val="00842466"/>
    <w:rsid w:val="0084252D"/>
    <w:rsid w:val="00842CAB"/>
    <w:rsid w:val="00842E99"/>
    <w:rsid w:val="00842F4A"/>
    <w:rsid w:val="00842FB6"/>
    <w:rsid w:val="0084339D"/>
    <w:rsid w:val="008438B9"/>
    <w:rsid w:val="008446C8"/>
    <w:rsid w:val="00845413"/>
    <w:rsid w:val="00845608"/>
    <w:rsid w:val="00846745"/>
    <w:rsid w:val="00846840"/>
    <w:rsid w:val="008468E8"/>
    <w:rsid w:val="0084769B"/>
    <w:rsid w:val="00847C23"/>
    <w:rsid w:val="00847C45"/>
    <w:rsid w:val="00847F13"/>
    <w:rsid w:val="00850386"/>
    <w:rsid w:val="00850A7F"/>
    <w:rsid w:val="00850B71"/>
    <w:rsid w:val="0085117F"/>
    <w:rsid w:val="008513BF"/>
    <w:rsid w:val="0085143A"/>
    <w:rsid w:val="00851524"/>
    <w:rsid w:val="00851B1B"/>
    <w:rsid w:val="00851BB9"/>
    <w:rsid w:val="00852117"/>
    <w:rsid w:val="00852199"/>
    <w:rsid w:val="00852E9E"/>
    <w:rsid w:val="00852FBE"/>
    <w:rsid w:val="00853709"/>
    <w:rsid w:val="00853FD4"/>
    <w:rsid w:val="0085460F"/>
    <w:rsid w:val="008548F0"/>
    <w:rsid w:val="00854CB2"/>
    <w:rsid w:val="00854F80"/>
    <w:rsid w:val="008555C3"/>
    <w:rsid w:val="00855C82"/>
    <w:rsid w:val="00855E0F"/>
    <w:rsid w:val="00856273"/>
    <w:rsid w:val="0085656C"/>
    <w:rsid w:val="00857C2A"/>
    <w:rsid w:val="00860377"/>
    <w:rsid w:val="00860F7B"/>
    <w:rsid w:val="0086138D"/>
    <w:rsid w:val="008617FB"/>
    <w:rsid w:val="00861AC4"/>
    <w:rsid w:val="00862883"/>
    <w:rsid w:val="008628AE"/>
    <w:rsid w:val="008628C9"/>
    <w:rsid w:val="008628EE"/>
    <w:rsid w:val="0086313D"/>
    <w:rsid w:val="00863A60"/>
    <w:rsid w:val="008644CC"/>
    <w:rsid w:val="00864505"/>
    <w:rsid w:val="00864662"/>
    <w:rsid w:val="0086499B"/>
    <w:rsid w:val="00864BC3"/>
    <w:rsid w:val="00864D07"/>
    <w:rsid w:val="00864EA8"/>
    <w:rsid w:val="00865674"/>
    <w:rsid w:val="008660F2"/>
    <w:rsid w:val="00866538"/>
    <w:rsid w:val="0086688A"/>
    <w:rsid w:val="008668DF"/>
    <w:rsid w:val="00866FED"/>
    <w:rsid w:val="0086787A"/>
    <w:rsid w:val="00867E0B"/>
    <w:rsid w:val="008706C0"/>
    <w:rsid w:val="00870895"/>
    <w:rsid w:val="00871681"/>
    <w:rsid w:val="00871833"/>
    <w:rsid w:val="00871AFA"/>
    <w:rsid w:val="00871F0B"/>
    <w:rsid w:val="008728FC"/>
    <w:rsid w:val="00872DBE"/>
    <w:rsid w:val="00873068"/>
    <w:rsid w:val="00873271"/>
    <w:rsid w:val="00873373"/>
    <w:rsid w:val="00873EE9"/>
    <w:rsid w:val="00874252"/>
    <w:rsid w:val="0087444B"/>
    <w:rsid w:val="0087450C"/>
    <w:rsid w:val="00874BF4"/>
    <w:rsid w:val="00874D01"/>
    <w:rsid w:val="00875BDE"/>
    <w:rsid w:val="00877006"/>
    <w:rsid w:val="0087768E"/>
    <w:rsid w:val="00877C58"/>
    <w:rsid w:val="00880B2D"/>
    <w:rsid w:val="00880BBD"/>
    <w:rsid w:val="0088118C"/>
    <w:rsid w:val="00881228"/>
    <w:rsid w:val="00881979"/>
    <w:rsid w:val="00881B23"/>
    <w:rsid w:val="00881DB4"/>
    <w:rsid w:val="0088236F"/>
    <w:rsid w:val="00882AFA"/>
    <w:rsid w:val="00882E94"/>
    <w:rsid w:val="00883194"/>
    <w:rsid w:val="00883AF9"/>
    <w:rsid w:val="00883D7B"/>
    <w:rsid w:val="00884246"/>
    <w:rsid w:val="0088545B"/>
    <w:rsid w:val="0088627F"/>
    <w:rsid w:val="00886580"/>
    <w:rsid w:val="00886DB7"/>
    <w:rsid w:val="00886DD5"/>
    <w:rsid w:val="00887110"/>
    <w:rsid w:val="008877B7"/>
    <w:rsid w:val="00890C8E"/>
    <w:rsid w:val="008917B6"/>
    <w:rsid w:val="0089185C"/>
    <w:rsid w:val="00891D36"/>
    <w:rsid w:val="00891E57"/>
    <w:rsid w:val="00891E7B"/>
    <w:rsid w:val="008921ED"/>
    <w:rsid w:val="00892529"/>
    <w:rsid w:val="00892F43"/>
    <w:rsid w:val="00892F5F"/>
    <w:rsid w:val="008938AF"/>
    <w:rsid w:val="00893C6D"/>
    <w:rsid w:val="00893E37"/>
    <w:rsid w:val="008942F3"/>
    <w:rsid w:val="008944F8"/>
    <w:rsid w:val="00894875"/>
    <w:rsid w:val="00894ABD"/>
    <w:rsid w:val="00894AF1"/>
    <w:rsid w:val="00894F35"/>
    <w:rsid w:val="0089532D"/>
    <w:rsid w:val="008956AE"/>
    <w:rsid w:val="00895A95"/>
    <w:rsid w:val="00895F68"/>
    <w:rsid w:val="00895FAB"/>
    <w:rsid w:val="0089654A"/>
    <w:rsid w:val="00896CD7"/>
    <w:rsid w:val="00897434"/>
    <w:rsid w:val="00897765"/>
    <w:rsid w:val="008A04DF"/>
    <w:rsid w:val="008A0604"/>
    <w:rsid w:val="008A070C"/>
    <w:rsid w:val="008A085B"/>
    <w:rsid w:val="008A0C02"/>
    <w:rsid w:val="008A1DF5"/>
    <w:rsid w:val="008A1E6C"/>
    <w:rsid w:val="008A2393"/>
    <w:rsid w:val="008A3BF3"/>
    <w:rsid w:val="008A437F"/>
    <w:rsid w:val="008A4CF6"/>
    <w:rsid w:val="008A5411"/>
    <w:rsid w:val="008A69E5"/>
    <w:rsid w:val="008A6A4D"/>
    <w:rsid w:val="008A6B3C"/>
    <w:rsid w:val="008A6DC3"/>
    <w:rsid w:val="008A7168"/>
    <w:rsid w:val="008A7766"/>
    <w:rsid w:val="008A77B5"/>
    <w:rsid w:val="008B0D81"/>
    <w:rsid w:val="008B1B0A"/>
    <w:rsid w:val="008B1DB6"/>
    <w:rsid w:val="008B1E43"/>
    <w:rsid w:val="008B1E56"/>
    <w:rsid w:val="008B31A0"/>
    <w:rsid w:val="008B3407"/>
    <w:rsid w:val="008B36AC"/>
    <w:rsid w:val="008B38EB"/>
    <w:rsid w:val="008B402C"/>
    <w:rsid w:val="008B43B0"/>
    <w:rsid w:val="008B46B1"/>
    <w:rsid w:val="008B5606"/>
    <w:rsid w:val="008B5679"/>
    <w:rsid w:val="008B581D"/>
    <w:rsid w:val="008B58A4"/>
    <w:rsid w:val="008B592D"/>
    <w:rsid w:val="008B5CAF"/>
    <w:rsid w:val="008B6207"/>
    <w:rsid w:val="008B63AF"/>
    <w:rsid w:val="008B6C18"/>
    <w:rsid w:val="008B6DF9"/>
    <w:rsid w:val="008B6ECE"/>
    <w:rsid w:val="008B7F3C"/>
    <w:rsid w:val="008C0542"/>
    <w:rsid w:val="008C0750"/>
    <w:rsid w:val="008C0AFD"/>
    <w:rsid w:val="008C0CBF"/>
    <w:rsid w:val="008C10D1"/>
    <w:rsid w:val="008C177F"/>
    <w:rsid w:val="008C202F"/>
    <w:rsid w:val="008C249C"/>
    <w:rsid w:val="008C273C"/>
    <w:rsid w:val="008C29D4"/>
    <w:rsid w:val="008C2B31"/>
    <w:rsid w:val="008C2D78"/>
    <w:rsid w:val="008C3565"/>
    <w:rsid w:val="008C3D88"/>
    <w:rsid w:val="008C3F3D"/>
    <w:rsid w:val="008C4167"/>
    <w:rsid w:val="008C4D19"/>
    <w:rsid w:val="008C4D6F"/>
    <w:rsid w:val="008C5E6D"/>
    <w:rsid w:val="008C6536"/>
    <w:rsid w:val="008C6966"/>
    <w:rsid w:val="008C7129"/>
    <w:rsid w:val="008C74CD"/>
    <w:rsid w:val="008C7974"/>
    <w:rsid w:val="008C79F7"/>
    <w:rsid w:val="008D08BB"/>
    <w:rsid w:val="008D0A56"/>
    <w:rsid w:val="008D0C6E"/>
    <w:rsid w:val="008D0ED5"/>
    <w:rsid w:val="008D0F60"/>
    <w:rsid w:val="008D1968"/>
    <w:rsid w:val="008D1DAC"/>
    <w:rsid w:val="008D25F9"/>
    <w:rsid w:val="008D26CE"/>
    <w:rsid w:val="008D2A35"/>
    <w:rsid w:val="008D3451"/>
    <w:rsid w:val="008D39E4"/>
    <w:rsid w:val="008D3E23"/>
    <w:rsid w:val="008D3FB6"/>
    <w:rsid w:val="008D41A5"/>
    <w:rsid w:val="008D42BD"/>
    <w:rsid w:val="008D492F"/>
    <w:rsid w:val="008D4B73"/>
    <w:rsid w:val="008D4D35"/>
    <w:rsid w:val="008D5293"/>
    <w:rsid w:val="008D547B"/>
    <w:rsid w:val="008D548E"/>
    <w:rsid w:val="008D5737"/>
    <w:rsid w:val="008D5B30"/>
    <w:rsid w:val="008D5EE7"/>
    <w:rsid w:val="008D6284"/>
    <w:rsid w:val="008D6B0B"/>
    <w:rsid w:val="008D723C"/>
    <w:rsid w:val="008D724B"/>
    <w:rsid w:val="008D724E"/>
    <w:rsid w:val="008D7272"/>
    <w:rsid w:val="008D7E8B"/>
    <w:rsid w:val="008E0BD5"/>
    <w:rsid w:val="008E10A4"/>
    <w:rsid w:val="008E1950"/>
    <w:rsid w:val="008E1A54"/>
    <w:rsid w:val="008E1B17"/>
    <w:rsid w:val="008E1D0D"/>
    <w:rsid w:val="008E2068"/>
    <w:rsid w:val="008E2F55"/>
    <w:rsid w:val="008E3098"/>
    <w:rsid w:val="008E3E92"/>
    <w:rsid w:val="008E40A7"/>
    <w:rsid w:val="008E42E7"/>
    <w:rsid w:val="008E4787"/>
    <w:rsid w:val="008E48D5"/>
    <w:rsid w:val="008E4CFF"/>
    <w:rsid w:val="008E4E1E"/>
    <w:rsid w:val="008E531A"/>
    <w:rsid w:val="008E5922"/>
    <w:rsid w:val="008E5F98"/>
    <w:rsid w:val="008E60FB"/>
    <w:rsid w:val="008E60FD"/>
    <w:rsid w:val="008E6264"/>
    <w:rsid w:val="008E6329"/>
    <w:rsid w:val="008E644D"/>
    <w:rsid w:val="008E6F4C"/>
    <w:rsid w:val="008E706A"/>
    <w:rsid w:val="008E70FB"/>
    <w:rsid w:val="008E75F3"/>
    <w:rsid w:val="008E76DE"/>
    <w:rsid w:val="008E77BF"/>
    <w:rsid w:val="008E77D6"/>
    <w:rsid w:val="008E7EB6"/>
    <w:rsid w:val="008F0000"/>
    <w:rsid w:val="008F01D9"/>
    <w:rsid w:val="008F25F8"/>
    <w:rsid w:val="008F2950"/>
    <w:rsid w:val="008F2DD8"/>
    <w:rsid w:val="008F33A3"/>
    <w:rsid w:val="008F3BE9"/>
    <w:rsid w:val="008F3C94"/>
    <w:rsid w:val="008F415D"/>
    <w:rsid w:val="008F4451"/>
    <w:rsid w:val="008F4630"/>
    <w:rsid w:val="008F506A"/>
    <w:rsid w:val="008F5340"/>
    <w:rsid w:val="008F6156"/>
    <w:rsid w:val="008F65F9"/>
    <w:rsid w:val="008F66B6"/>
    <w:rsid w:val="008F6EE5"/>
    <w:rsid w:val="008F7C62"/>
    <w:rsid w:val="008F7FC8"/>
    <w:rsid w:val="009002C9"/>
    <w:rsid w:val="009009A7"/>
    <w:rsid w:val="009014B5"/>
    <w:rsid w:val="00901E38"/>
    <w:rsid w:val="00901E3A"/>
    <w:rsid w:val="00901FF3"/>
    <w:rsid w:val="00902D55"/>
    <w:rsid w:val="00902FB1"/>
    <w:rsid w:val="009030D9"/>
    <w:rsid w:val="00903834"/>
    <w:rsid w:val="00903B91"/>
    <w:rsid w:val="0090496E"/>
    <w:rsid w:val="00904A6E"/>
    <w:rsid w:val="0090571A"/>
    <w:rsid w:val="00905CF1"/>
    <w:rsid w:val="00905D16"/>
    <w:rsid w:val="00905ECD"/>
    <w:rsid w:val="0090625C"/>
    <w:rsid w:val="00906B05"/>
    <w:rsid w:val="00907A7F"/>
    <w:rsid w:val="00907C64"/>
    <w:rsid w:val="00907D99"/>
    <w:rsid w:val="009104C8"/>
    <w:rsid w:val="00910A51"/>
    <w:rsid w:val="009111A8"/>
    <w:rsid w:val="00911CF7"/>
    <w:rsid w:val="00911E5C"/>
    <w:rsid w:val="0091221F"/>
    <w:rsid w:val="0091258D"/>
    <w:rsid w:val="00912BEC"/>
    <w:rsid w:val="009134C2"/>
    <w:rsid w:val="009139CE"/>
    <w:rsid w:val="00913C7A"/>
    <w:rsid w:val="0091441F"/>
    <w:rsid w:val="009150CB"/>
    <w:rsid w:val="0091539B"/>
    <w:rsid w:val="00915770"/>
    <w:rsid w:val="009157B0"/>
    <w:rsid w:val="00915990"/>
    <w:rsid w:val="00915A3C"/>
    <w:rsid w:val="00915F82"/>
    <w:rsid w:val="00916208"/>
    <w:rsid w:val="009163DB"/>
    <w:rsid w:val="00916C9D"/>
    <w:rsid w:val="009174B0"/>
    <w:rsid w:val="009203EC"/>
    <w:rsid w:val="0092070B"/>
    <w:rsid w:val="00921209"/>
    <w:rsid w:val="009212F6"/>
    <w:rsid w:val="0092162C"/>
    <w:rsid w:val="00921639"/>
    <w:rsid w:val="00921888"/>
    <w:rsid w:val="0092196D"/>
    <w:rsid w:val="00921C2B"/>
    <w:rsid w:val="00921EBE"/>
    <w:rsid w:val="0092211A"/>
    <w:rsid w:val="00922540"/>
    <w:rsid w:val="00922757"/>
    <w:rsid w:val="009227CB"/>
    <w:rsid w:val="00924652"/>
    <w:rsid w:val="00924E31"/>
    <w:rsid w:val="00925307"/>
    <w:rsid w:val="0092562C"/>
    <w:rsid w:val="00925907"/>
    <w:rsid w:val="00925F8E"/>
    <w:rsid w:val="009279CB"/>
    <w:rsid w:val="009307FA"/>
    <w:rsid w:val="00930A1F"/>
    <w:rsid w:val="00930AD2"/>
    <w:rsid w:val="00931298"/>
    <w:rsid w:val="009315EA"/>
    <w:rsid w:val="00931A89"/>
    <w:rsid w:val="0093242C"/>
    <w:rsid w:val="00933C10"/>
    <w:rsid w:val="00933F68"/>
    <w:rsid w:val="00934224"/>
    <w:rsid w:val="0093476C"/>
    <w:rsid w:val="00934A7D"/>
    <w:rsid w:val="009352EF"/>
    <w:rsid w:val="00935B36"/>
    <w:rsid w:val="009363D1"/>
    <w:rsid w:val="0093671C"/>
    <w:rsid w:val="009367DE"/>
    <w:rsid w:val="00936DF7"/>
    <w:rsid w:val="009375FD"/>
    <w:rsid w:val="00937E33"/>
    <w:rsid w:val="0094008C"/>
    <w:rsid w:val="009406F7"/>
    <w:rsid w:val="00940771"/>
    <w:rsid w:val="00941683"/>
    <w:rsid w:val="009417C7"/>
    <w:rsid w:val="0094259F"/>
    <w:rsid w:val="00942F87"/>
    <w:rsid w:val="00943045"/>
    <w:rsid w:val="009435A0"/>
    <w:rsid w:val="009435E3"/>
    <w:rsid w:val="00943C66"/>
    <w:rsid w:val="00943DC7"/>
    <w:rsid w:val="009440C1"/>
    <w:rsid w:val="00944117"/>
    <w:rsid w:val="009441EF"/>
    <w:rsid w:val="0094451F"/>
    <w:rsid w:val="00944C49"/>
    <w:rsid w:val="009454AB"/>
    <w:rsid w:val="0094559B"/>
    <w:rsid w:val="00945667"/>
    <w:rsid w:val="00946D81"/>
    <w:rsid w:val="00946EEE"/>
    <w:rsid w:val="00947CDE"/>
    <w:rsid w:val="00947D9E"/>
    <w:rsid w:val="009501BD"/>
    <w:rsid w:val="00950D58"/>
    <w:rsid w:val="0095232A"/>
    <w:rsid w:val="00952939"/>
    <w:rsid w:val="00953149"/>
    <w:rsid w:val="00953524"/>
    <w:rsid w:val="009538B2"/>
    <w:rsid w:val="00953E01"/>
    <w:rsid w:val="00953E14"/>
    <w:rsid w:val="00954649"/>
    <w:rsid w:val="0095538B"/>
    <w:rsid w:val="009553B5"/>
    <w:rsid w:val="009555EB"/>
    <w:rsid w:val="00956413"/>
    <w:rsid w:val="009568F3"/>
    <w:rsid w:val="00956EFF"/>
    <w:rsid w:val="009571B7"/>
    <w:rsid w:val="009572F5"/>
    <w:rsid w:val="0095768E"/>
    <w:rsid w:val="009602A8"/>
    <w:rsid w:val="0096068A"/>
    <w:rsid w:val="00960B41"/>
    <w:rsid w:val="00961104"/>
    <w:rsid w:val="009615E5"/>
    <w:rsid w:val="00961A42"/>
    <w:rsid w:val="00961C48"/>
    <w:rsid w:val="00961E87"/>
    <w:rsid w:val="00961F24"/>
    <w:rsid w:val="00962224"/>
    <w:rsid w:val="0096230A"/>
    <w:rsid w:val="0096291E"/>
    <w:rsid w:val="009633FC"/>
    <w:rsid w:val="00963670"/>
    <w:rsid w:val="00963FDD"/>
    <w:rsid w:val="00965AA0"/>
    <w:rsid w:val="00965DE0"/>
    <w:rsid w:val="0096625C"/>
    <w:rsid w:val="009665CC"/>
    <w:rsid w:val="009670F4"/>
    <w:rsid w:val="00967A76"/>
    <w:rsid w:val="00967B1A"/>
    <w:rsid w:val="00967DB8"/>
    <w:rsid w:val="0097007C"/>
    <w:rsid w:val="0097063D"/>
    <w:rsid w:val="00971835"/>
    <w:rsid w:val="009720E3"/>
    <w:rsid w:val="0097210D"/>
    <w:rsid w:val="00972176"/>
    <w:rsid w:val="009721C4"/>
    <w:rsid w:val="00972588"/>
    <w:rsid w:val="009728F1"/>
    <w:rsid w:val="00973393"/>
    <w:rsid w:val="009738C9"/>
    <w:rsid w:val="0097397D"/>
    <w:rsid w:val="0097420A"/>
    <w:rsid w:val="00974436"/>
    <w:rsid w:val="0097476B"/>
    <w:rsid w:val="009748EA"/>
    <w:rsid w:val="00975DFB"/>
    <w:rsid w:val="00976706"/>
    <w:rsid w:val="00976FEB"/>
    <w:rsid w:val="0097749F"/>
    <w:rsid w:val="0097762F"/>
    <w:rsid w:val="009778BC"/>
    <w:rsid w:val="009779B7"/>
    <w:rsid w:val="00977AE5"/>
    <w:rsid w:val="00977CCF"/>
    <w:rsid w:val="00977D26"/>
    <w:rsid w:val="009802E4"/>
    <w:rsid w:val="009803BE"/>
    <w:rsid w:val="00980549"/>
    <w:rsid w:val="00980F3F"/>
    <w:rsid w:val="00981DA3"/>
    <w:rsid w:val="00982040"/>
    <w:rsid w:val="0098333B"/>
    <w:rsid w:val="00984432"/>
    <w:rsid w:val="009844B0"/>
    <w:rsid w:val="009846D0"/>
    <w:rsid w:val="00984962"/>
    <w:rsid w:val="00984E6C"/>
    <w:rsid w:val="00985E97"/>
    <w:rsid w:val="00985FEE"/>
    <w:rsid w:val="00986031"/>
    <w:rsid w:val="009860BE"/>
    <w:rsid w:val="00986316"/>
    <w:rsid w:val="00986698"/>
    <w:rsid w:val="00986766"/>
    <w:rsid w:val="009901AD"/>
    <w:rsid w:val="00990769"/>
    <w:rsid w:val="00990809"/>
    <w:rsid w:val="00991189"/>
    <w:rsid w:val="00992D7D"/>
    <w:rsid w:val="00992EB1"/>
    <w:rsid w:val="00992F86"/>
    <w:rsid w:val="00993570"/>
    <w:rsid w:val="00993EDF"/>
    <w:rsid w:val="00994165"/>
    <w:rsid w:val="00994A80"/>
    <w:rsid w:val="00995A4B"/>
    <w:rsid w:val="00995B9F"/>
    <w:rsid w:val="00995CB0"/>
    <w:rsid w:val="00995E2F"/>
    <w:rsid w:val="00995FFF"/>
    <w:rsid w:val="00996162"/>
    <w:rsid w:val="00997166"/>
    <w:rsid w:val="009A0436"/>
    <w:rsid w:val="009A0CB1"/>
    <w:rsid w:val="009A1630"/>
    <w:rsid w:val="009A1778"/>
    <w:rsid w:val="009A1B36"/>
    <w:rsid w:val="009A28AC"/>
    <w:rsid w:val="009A30CF"/>
    <w:rsid w:val="009A3809"/>
    <w:rsid w:val="009A3836"/>
    <w:rsid w:val="009A3BCA"/>
    <w:rsid w:val="009A46BE"/>
    <w:rsid w:val="009A4966"/>
    <w:rsid w:val="009A4BE7"/>
    <w:rsid w:val="009A4F50"/>
    <w:rsid w:val="009A4F98"/>
    <w:rsid w:val="009A5133"/>
    <w:rsid w:val="009A5C08"/>
    <w:rsid w:val="009A65CB"/>
    <w:rsid w:val="009A6738"/>
    <w:rsid w:val="009A6FDB"/>
    <w:rsid w:val="009A7767"/>
    <w:rsid w:val="009A79ED"/>
    <w:rsid w:val="009A7C23"/>
    <w:rsid w:val="009B0324"/>
    <w:rsid w:val="009B0459"/>
    <w:rsid w:val="009B07BD"/>
    <w:rsid w:val="009B0CD2"/>
    <w:rsid w:val="009B1033"/>
    <w:rsid w:val="009B1576"/>
    <w:rsid w:val="009B1646"/>
    <w:rsid w:val="009B1929"/>
    <w:rsid w:val="009B198D"/>
    <w:rsid w:val="009B1EE7"/>
    <w:rsid w:val="009B2112"/>
    <w:rsid w:val="009B25E7"/>
    <w:rsid w:val="009B25F3"/>
    <w:rsid w:val="009B2609"/>
    <w:rsid w:val="009B34F6"/>
    <w:rsid w:val="009B3C84"/>
    <w:rsid w:val="009B3CE1"/>
    <w:rsid w:val="009B41B8"/>
    <w:rsid w:val="009B4B94"/>
    <w:rsid w:val="009B4FF3"/>
    <w:rsid w:val="009B5128"/>
    <w:rsid w:val="009B5375"/>
    <w:rsid w:val="009B5408"/>
    <w:rsid w:val="009B58AA"/>
    <w:rsid w:val="009B6016"/>
    <w:rsid w:val="009B644D"/>
    <w:rsid w:val="009B6EE2"/>
    <w:rsid w:val="009B76B2"/>
    <w:rsid w:val="009B7700"/>
    <w:rsid w:val="009B7C96"/>
    <w:rsid w:val="009B7E69"/>
    <w:rsid w:val="009B7F53"/>
    <w:rsid w:val="009C01AB"/>
    <w:rsid w:val="009C07C1"/>
    <w:rsid w:val="009C083F"/>
    <w:rsid w:val="009C0924"/>
    <w:rsid w:val="009C0D81"/>
    <w:rsid w:val="009C1BD2"/>
    <w:rsid w:val="009C1C4D"/>
    <w:rsid w:val="009C1ECA"/>
    <w:rsid w:val="009C1FCD"/>
    <w:rsid w:val="009C28F6"/>
    <w:rsid w:val="009C29A4"/>
    <w:rsid w:val="009C29D6"/>
    <w:rsid w:val="009C2DB7"/>
    <w:rsid w:val="009C3312"/>
    <w:rsid w:val="009C3A89"/>
    <w:rsid w:val="009C3D2A"/>
    <w:rsid w:val="009C483C"/>
    <w:rsid w:val="009C4B8F"/>
    <w:rsid w:val="009C586A"/>
    <w:rsid w:val="009C5C19"/>
    <w:rsid w:val="009C60BF"/>
    <w:rsid w:val="009C6602"/>
    <w:rsid w:val="009C68B1"/>
    <w:rsid w:val="009C6B39"/>
    <w:rsid w:val="009C73A7"/>
    <w:rsid w:val="009C76BA"/>
    <w:rsid w:val="009C7703"/>
    <w:rsid w:val="009C7B99"/>
    <w:rsid w:val="009C7D62"/>
    <w:rsid w:val="009D0E4F"/>
    <w:rsid w:val="009D0E7A"/>
    <w:rsid w:val="009D18A0"/>
    <w:rsid w:val="009D3027"/>
    <w:rsid w:val="009D38EC"/>
    <w:rsid w:val="009D4F16"/>
    <w:rsid w:val="009D56D8"/>
    <w:rsid w:val="009D599A"/>
    <w:rsid w:val="009D5A0D"/>
    <w:rsid w:val="009D6538"/>
    <w:rsid w:val="009D7423"/>
    <w:rsid w:val="009D75C7"/>
    <w:rsid w:val="009D792D"/>
    <w:rsid w:val="009D7AAC"/>
    <w:rsid w:val="009D7DA1"/>
    <w:rsid w:val="009D7EA2"/>
    <w:rsid w:val="009E0061"/>
    <w:rsid w:val="009E0C01"/>
    <w:rsid w:val="009E0EF8"/>
    <w:rsid w:val="009E2576"/>
    <w:rsid w:val="009E3570"/>
    <w:rsid w:val="009E452F"/>
    <w:rsid w:val="009E4611"/>
    <w:rsid w:val="009E4C93"/>
    <w:rsid w:val="009E4E74"/>
    <w:rsid w:val="009E538A"/>
    <w:rsid w:val="009E5605"/>
    <w:rsid w:val="009E5865"/>
    <w:rsid w:val="009E58AD"/>
    <w:rsid w:val="009E617D"/>
    <w:rsid w:val="009E6536"/>
    <w:rsid w:val="009E6551"/>
    <w:rsid w:val="009E688E"/>
    <w:rsid w:val="009E7054"/>
    <w:rsid w:val="009E7D3C"/>
    <w:rsid w:val="009F01A8"/>
    <w:rsid w:val="009F082D"/>
    <w:rsid w:val="009F29ED"/>
    <w:rsid w:val="009F313D"/>
    <w:rsid w:val="009F33F6"/>
    <w:rsid w:val="009F3446"/>
    <w:rsid w:val="009F36AA"/>
    <w:rsid w:val="009F3951"/>
    <w:rsid w:val="009F3A83"/>
    <w:rsid w:val="009F40FC"/>
    <w:rsid w:val="009F4419"/>
    <w:rsid w:val="009F44B5"/>
    <w:rsid w:val="009F46B9"/>
    <w:rsid w:val="009F4FE0"/>
    <w:rsid w:val="009F5346"/>
    <w:rsid w:val="009F5432"/>
    <w:rsid w:val="009F55B7"/>
    <w:rsid w:val="009F5AC6"/>
    <w:rsid w:val="009F5FCE"/>
    <w:rsid w:val="009F6329"/>
    <w:rsid w:val="009F6588"/>
    <w:rsid w:val="009F6597"/>
    <w:rsid w:val="009F6ADE"/>
    <w:rsid w:val="009F6C29"/>
    <w:rsid w:val="009F7174"/>
    <w:rsid w:val="009F7589"/>
    <w:rsid w:val="009F77FF"/>
    <w:rsid w:val="009F7EF1"/>
    <w:rsid w:val="00A001B8"/>
    <w:rsid w:val="00A002D9"/>
    <w:rsid w:val="00A0034D"/>
    <w:rsid w:val="00A0102F"/>
    <w:rsid w:val="00A01297"/>
    <w:rsid w:val="00A01347"/>
    <w:rsid w:val="00A018D4"/>
    <w:rsid w:val="00A01CCD"/>
    <w:rsid w:val="00A020C1"/>
    <w:rsid w:val="00A0217F"/>
    <w:rsid w:val="00A0218F"/>
    <w:rsid w:val="00A025D2"/>
    <w:rsid w:val="00A025D4"/>
    <w:rsid w:val="00A02A9F"/>
    <w:rsid w:val="00A02D78"/>
    <w:rsid w:val="00A02F05"/>
    <w:rsid w:val="00A03532"/>
    <w:rsid w:val="00A03672"/>
    <w:rsid w:val="00A036FA"/>
    <w:rsid w:val="00A03EA6"/>
    <w:rsid w:val="00A03ED3"/>
    <w:rsid w:val="00A04507"/>
    <w:rsid w:val="00A04763"/>
    <w:rsid w:val="00A047F0"/>
    <w:rsid w:val="00A04FB6"/>
    <w:rsid w:val="00A056CA"/>
    <w:rsid w:val="00A059B0"/>
    <w:rsid w:val="00A059FC"/>
    <w:rsid w:val="00A0634B"/>
    <w:rsid w:val="00A06FC0"/>
    <w:rsid w:val="00A06FD8"/>
    <w:rsid w:val="00A0710C"/>
    <w:rsid w:val="00A0783C"/>
    <w:rsid w:val="00A07DBB"/>
    <w:rsid w:val="00A1053A"/>
    <w:rsid w:val="00A105DD"/>
    <w:rsid w:val="00A10646"/>
    <w:rsid w:val="00A11275"/>
    <w:rsid w:val="00A112BF"/>
    <w:rsid w:val="00A11579"/>
    <w:rsid w:val="00A11BA2"/>
    <w:rsid w:val="00A12BDC"/>
    <w:rsid w:val="00A1347A"/>
    <w:rsid w:val="00A146E2"/>
    <w:rsid w:val="00A14960"/>
    <w:rsid w:val="00A15253"/>
    <w:rsid w:val="00A152AD"/>
    <w:rsid w:val="00A15401"/>
    <w:rsid w:val="00A156BC"/>
    <w:rsid w:val="00A15C3A"/>
    <w:rsid w:val="00A167E2"/>
    <w:rsid w:val="00A1681F"/>
    <w:rsid w:val="00A169B2"/>
    <w:rsid w:val="00A171D0"/>
    <w:rsid w:val="00A1749D"/>
    <w:rsid w:val="00A17842"/>
    <w:rsid w:val="00A17A26"/>
    <w:rsid w:val="00A206E6"/>
    <w:rsid w:val="00A20A2D"/>
    <w:rsid w:val="00A20B84"/>
    <w:rsid w:val="00A20F58"/>
    <w:rsid w:val="00A217B9"/>
    <w:rsid w:val="00A21A9C"/>
    <w:rsid w:val="00A21BC5"/>
    <w:rsid w:val="00A21C8F"/>
    <w:rsid w:val="00A22009"/>
    <w:rsid w:val="00A22101"/>
    <w:rsid w:val="00A22301"/>
    <w:rsid w:val="00A225BB"/>
    <w:rsid w:val="00A227B2"/>
    <w:rsid w:val="00A22BCE"/>
    <w:rsid w:val="00A23133"/>
    <w:rsid w:val="00A23179"/>
    <w:rsid w:val="00A231BC"/>
    <w:rsid w:val="00A23458"/>
    <w:rsid w:val="00A24373"/>
    <w:rsid w:val="00A249DE"/>
    <w:rsid w:val="00A2577C"/>
    <w:rsid w:val="00A25EC3"/>
    <w:rsid w:val="00A25FA8"/>
    <w:rsid w:val="00A265B9"/>
    <w:rsid w:val="00A26717"/>
    <w:rsid w:val="00A26B62"/>
    <w:rsid w:val="00A27384"/>
    <w:rsid w:val="00A27A5E"/>
    <w:rsid w:val="00A27B20"/>
    <w:rsid w:val="00A27ECD"/>
    <w:rsid w:val="00A3033F"/>
    <w:rsid w:val="00A303EF"/>
    <w:rsid w:val="00A30989"/>
    <w:rsid w:val="00A30A52"/>
    <w:rsid w:val="00A317D7"/>
    <w:rsid w:val="00A31972"/>
    <w:rsid w:val="00A31AA6"/>
    <w:rsid w:val="00A31FEA"/>
    <w:rsid w:val="00A320FA"/>
    <w:rsid w:val="00A320FB"/>
    <w:rsid w:val="00A32139"/>
    <w:rsid w:val="00A32442"/>
    <w:rsid w:val="00A32557"/>
    <w:rsid w:val="00A32858"/>
    <w:rsid w:val="00A32DA4"/>
    <w:rsid w:val="00A33845"/>
    <w:rsid w:val="00A33AD9"/>
    <w:rsid w:val="00A34028"/>
    <w:rsid w:val="00A344C5"/>
    <w:rsid w:val="00A34C64"/>
    <w:rsid w:val="00A34ED5"/>
    <w:rsid w:val="00A35374"/>
    <w:rsid w:val="00A35A2D"/>
    <w:rsid w:val="00A35B4F"/>
    <w:rsid w:val="00A36684"/>
    <w:rsid w:val="00A369ED"/>
    <w:rsid w:val="00A36AEB"/>
    <w:rsid w:val="00A36D15"/>
    <w:rsid w:val="00A36EF5"/>
    <w:rsid w:val="00A36F19"/>
    <w:rsid w:val="00A37259"/>
    <w:rsid w:val="00A37A20"/>
    <w:rsid w:val="00A37EE4"/>
    <w:rsid w:val="00A40059"/>
    <w:rsid w:val="00A40311"/>
    <w:rsid w:val="00A4059E"/>
    <w:rsid w:val="00A40785"/>
    <w:rsid w:val="00A409D3"/>
    <w:rsid w:val="00A40B92"/>
    <w:rsid w:val="00A414E1"/>
    <w:rsid w:val="00A418B0"/>
    <w:rsid w:val="00A41A90"/>
    <w:rsid w:val="00A41B06"/>
    <w:rsid w:val="00A42357"/>
    <w:rsid w:val="00A429A8"/>
    <w:rsid w:val="00A42E60"/>
    <w:rsid w:val="00A43274"/>
    <w:rsid w:val="00A43DB5"/>
    <w:rsid w:val="00A445BA"/>
    <w:rsid w:val="00A44B0C"/>
    <w:rsid w:val="00A44BA7"/>
    <w:rsid w:val="00A44E37"/>
    <w:rsid w:val="00A45617"/>
    <w:rsid w:val="00A4580F"/>
    <w:rsid w:val="00A4609A"/>
    <w:rsid w:val="00A4644E"/>
    <w:rsid w:val="00A46AAA"/>
    <w:rsid w:val="00A47116"/>
    <w:rsid w:val="00A47130"/>
    <w:rsid w:val="00A475AA"/>
    <w:rsid w:val="00A501D6"/>
    <w:rsid w:val="00A504F4"/>
    <w:rsid w:val="00A5093C"/>
    <w:rsid w:val="00A50AD0"/>
    <w:rsid w:val="00A50F13"/>
    <w:rsid w:val="00A51185"/>
    <w:rsid w:val="00A51351"/>
    <w:rsid w:val="00A51710"/>
    <w:rsid w:val="00A51BAE"/>
    <w:rsid w:val="00A52129"/>
    <w:rsid w:val="00A523AA"/>
    <w:rsid w:val="00A52AF7"/>
    <w:rsid w:val="00A52C39"/>
    <w:rsid w:val="00A5307D"/>
    <w:rsid w:val="00A53277"/>
    <w:rsid w:val="00A534B2"/>
    <w:rsid w:val="00A5375D"/>
    <w:rsid w:val="00A53C01"/>
    <w:rsid w:val="00A53F7E"/>
    <w:rsid w:val="00A547A4"/>
    <w:rsid w:val="00A54ACA"/>
    <w:rsid w:val="00A552DA"/>
    <w:rsid w:val="00A554AF"/>
    <w:rsid w:val="00A55E93"/>
    <w:rsid w:val="00A56293"/>
    <w:rsid w:val="00A565D0"/>
    <w:rsid w:val="00A56710"/>
    <w:rsid w:val="00A56D36"/>
    <w:rsid w:val="00A579D0"/>
    <w:rsid w:val="00A60057"/>
    <w:rsid w:val="00A60457"/>
    <w:rsid w:val="00A60865"/>
    <w:rsid w:val="00A60A30"/>
    <w:rsid w:val="00A60F6D"/>
    <w:rsid w:val="00A6158D"/>
    <w:rsid w:val="00A619D5"/>
    <w:rsid w:val="00A62003"/>
    <w:rsid w:val="00A62486"/>
    <w:rsid w:val="00A631E1"/>
    <w:rsid w:val="00A6349B"/>
    <w:rsid w:val="00A6359B"/>
    <w:rsid w:val="00A63F02"/>
    <w:rsid w:val="00A64463"/>
    <w:rsid w:val="00A649C9"/>
    <w:rsid w:val="00A64B6C"/>
    <w:rsid w:val="00A65044"/>
    <w:rsid w:val="00A654AE"/>
    <w:rsid w:val="00A656BA"/>
    <w:rsid w:val="00A6589B"/>
    <w:rsid w:val="00A65B60"/>
    <w:rsid w:val="00A6609E"/>
    <w:rsid w:val="00A66101"/>
    <w:rsid w:val="00A6714E"/>
    <w:rsid w:val="00A672DC"/>
    <w:rsid w:val="00A67708"/>
    <w:rsid w:val="00A6771E"/>
    <w:rsid w:val="00A679FF"/>
    <w:rsid w:val="00A70572"/>
    <w:rsid w:val="00A70F53"/>
    <w:rsid w:val="00A7111A"/>
    <w:rsid w:val="00A71245"/>
    <w:rsid w:val="00A7193A"/>
    <w:rsid w:val="00A722E5"/>
    <w:rsid w:val="00A72743"/>
    <w:rsid w:val="00A72A2F"/>
    <w:rsid w:val="00A72AB7"/>
    <w:rsid w:val="00A73D7A"/>
    <w:rsid w:val="00A74D0C"/>
    <w:rsid w:val="00A74FF7"/>
    <w:rsid w:val="00A75118"/>
    <w:rsid w:val="00A75DC2"/>
    <w:rsid w:val="00A760BE"/>
    <w:rsid w:val="00A7645A"/>
    <w:rsid w:val="00A7720F"/>
    <w:rsid w:val="00A77878"/>
    <w:rsid w:val="00A77AA5"/>
    <w:rsid w:val="00A77F00"/>
    <w:rsid w:val="00A80184"/>
    <w:rsid w:val="00A80661"/>
    <w:rsid w:val="00A80D94"/>
    <w:rsid w:val="00A80FDC"/>
    <w:rsid w:val="00A81A16"/>
    <w:rsid w:val="00A81BB1"/>
    <w:rsid w:val="00A81D11"/>
    <w:rsid w:val="00A81EDB"/>
    <w:rsid w:val="00A82FAF"/>
    <w:rsid w:val="00A83246"/>
    <w:rsid w:val="00A833CC"/>
    <w:rsid w:val="00A83937"/>
    <w:rsid w:val="00A8397F"/>
    <w:rsid w:val="00A83EE1"/>
    <w:rsid w:val="00A84386"/>
    <w:rsid w:val="00A8511B"/>
    <w:rsid w:val="00A8560F"/>
    <w:rsid w:val="00A85AA9"/>
    <w:rsid w:val="00A85BBF"/>
    <w:rsid w:val="00A86213"/>
    <w:rsid w:val="00A868BA"/>
    <w:rsid w:val="00A86E7E"/>
    <w:rsid w:val="00A87078"/>
    <w:rsid w:val="00A9011C"/>
    <w:rsid w:val="00A90B98"/>
    <w:rsid w:val="00A90E51"/>
    <w:rsid w:val="00A90F54"/>
    <w:rsid w:val="00A90FC2"/>
    <w:rsid w:val="00A91082"/>
    <w:rsid w:val="00A91375"/>
    <w:rsid w:val="00A914A0"/>
    <w:rsid w:val="00A9193C"/>
    <w:rsid w:val="00A9200F"/>
    <w:rsid w:val="00A92D76"/>
    <w:rsid w:val="00A92F0A"/>
    <w:rsid w:val="00A930DA"/>
    <w:rsid w:val="00A930F1"/>
    <w:rsid w:val="00A937E1"/>
    <w:rsid w:val="00A93B90"/>
    <w:rsid w:val="00A93F77"/>
    <w:rsid w:val="00A948CE"/>
    <w:rsid w:val="00A94D82"/>
    <w:rsid w:val="00A9502E"/>
    <w:rsid w:val="00A954AC"/>
    <w:rsid w:val="00A96141"/>
    <w:rsid w:val="00A96276"/>
    <w:rsid w:val="00A96A5F"/>
    <w:rsid w:val="00A96A8D"/>
    <w:rsid w:val="00A96C09"/>
    <w:rsid w:val="00A96DC4"/>
    <w:rsid w:val="00A977D4"/>
    <w:rsid w:val="00A97A7C"/>
    <w:rsid w:val="00AA0F8F"/>
    <w:rsid w:val="00AA0FD3"/>
    <w:rsid w:val="00AA14D5"/>
    <w:rsid w:val="00AA2244"/>
    <w:rsid w:val="00AA24BD"/>
    <w:rsid w:val="00AA26B5"/>
    <w:rsid w:val="00AA2D6A"/>
    <w:rsid w:val="00AA4036"/>
    <w:rsid w:val="00AA44BA"/>
    <w:rsid w:val="00AA453A"/>
    <w:rsid w:val="00AA4A90"/>
    <w:rsid w:val="00AA5390"/>
    <w:rsid w:val="00AA6272"/>
    <w:rsid w:val="00AA62EF"/>
    <w:rsid w:val="00AA66EA"/>
    <w:rsid w:val="00AA6D00"/>
    <w:rsid w:val="00AA6D16"/>
    <w:rsid w:val="00AA6D3D"/>
    <w:rsid w:val="00AA6F97"/>
    <w:rsid w:val="00AA71E7"/>
    <w:rsid w:val="00AA776A"/>
    <w:rsid w:val="00AB0D1C"/>
    <w:rsid w:val="00AB0F2F"/>
    <w:rsid w:val="00AB0F44"/>
    <w:rsid w:val="00AB13C5"/>
    <w:rsid w:val="00AB1E73"/>
    <w:rsid w:val="00AB2786"/>
    <w:rsid w:val="00AB2BF7"/>
    <w:rsid w:val="00AB3BB2"/>
    <w:rsid w:val="00AB40C7"/>
    <w:rsid w:val="00AB446A"/>
    <w:rsid w:val="00AB45F5"/>
    <w:rsid w:val="00AB64C0"/>
    <w:rsid w:val="00AB678F"/>
    <w:rsid w:val="00AB6866"/>
    <w:rsid w:val="00AB689C"/>
    <w:rsid w:val="00AB68B8"/>
    <w:rsid w:val="00AB7310"/>
    <w:rsid w:val="00AB74D3"/>
    <w:rsid w:val="00AB7A56"/>
    <w:rsid w:val="00AB7CA4"/>
    <w:rsid w:val="00AC0A19"/>
    <w:rsid w:val="00AC0F11"/>
    <w:rsid w:val="00AC133B"/>
    <w:rsid w:val="00AC184F"/>
    <w:rsid w:val="00AC2439"/>
    <w:rsid w:val="00AC29D7"/>
    <w:rsid w:val="00AC2C96"/>
    <w:rsid w:val="00AC39F0"/>
    <w:rsid w:val="00AC3CD5"/>
    <w:rsid w:val="00AC527F"/>
    <w:rsid w:val="00AC52ED"/>
    <w:rsid w:val="00AC531B"/>
    <w:rsid w:val="00AC55E4"/>
    <w:rsid w:val="00AC563E"/>
    <w:rsid w:val="00AC5704"/>
    <w:rsid w:val="00AC5CA6"/>
    <w:rsid w:val="00AC6414"/>
    <w:rsid w:val="00AC64E7"/>
    <w:rsid w:val="00AC6A26"/>
    <w:rsid w:val="00AC6BE7"/>
    <w:rsid w:val="00AC6DF3"/>
    <w:rsid w:val="00AC705F"/>
    <w:rsid w:val="00AC7850"/>
    <w:rsid w:val="00AC792A"/>
    <w:rsid w:val="00AC7E48"/>
    <w:rsid w:val="00AD025A"/>
    <w:rsid w:val="00AD037F"/>
    <w:rsid w:val="00AD06B4"/>
    <w:rsid w:val="00AD0837"/>
    <w:rsid w:val="00AD10B8"/>
    <w:rsid w:val="00AD13C1"/>
    <w:rsid w:val="00AD143C"/>
    <w:rsid w:val="00AD163C"/>
    <w:rsid w:val="00AD1728"/>
    <w:rsid w:val="00AD1B57"/>
    <w:rsid w:val="00AD1DAD"/>
    <w:rsid w:val="00AD1E74"/>
    <w:rsid w:val="00AD2144"/>
    <w:rsid w:val="00AD2155"/>
    <w:rsid w:val="00AD27EF"/>
    <w:rsid w:val="00AD29F3"/>
    <w:rsid w:val="00AD2EC9"/>
    <w:rsid w:val="00AD3187"/>
    <w:rsid w:val="00AD3853"/>
    <w:rsid w:val="00AD399F"/>
    <w:rsid w:val="00AD3DE5"/>
    <w:rsid w:val="00AD3ECD"/>
    <w:rsid w:val="00AD4133"/>
    <w:rsid w:val="00AD4256"/>
    <w:rsid w:val="00AD44A9"/>
    <w:rsid w:val="00AD585C"/>
    <w:rsid w:val="00AD5BA1"/>
    <w:rsid w:val="00AD5D3D"/>
    <w:rsid w:val="00AD60F3"/>
    <w:rsid w:val="00AD6C56"/>
    <w:rsid w:val="00AD707E"/>
    <w:rsid w:val="00AD7332"/>
    <w:rsid w:val="00AD7632"/>
    <w:rsid w:val="00AD76DE"/>
    <w:rsid w:val="00AE022A"/>
    <w:rsid w:val="00AE0C3D"/>
    <w:rsid w:val="00AE0C51"/>
    <w:rsid w:val="00AE0ED3"/>
    <w:rsid w:val="00AE2108"/>
    <w:rsid w:val="00AE2262"/>
    <w:rsid w:val="00AE2435"/>
    <w:rsid w:val="00AE24AF"/>
    <w:rsid w:val="00AE2FF7"/>
    <w:rsid w:val="00AE32A3"/>
    <w:rsid w:val="00AE3449"/>
    <w:rsid w:val="00AE3F5E"/>
    <w:rsid w:val="00AE3FBB"/>
    <w:rsid w:val="00AE4211"/>
    <w:rsid w:val="00AE434D"/>
    <w:rsid w:val="00AE449F"/>
    <w:rsid w:val="00AE48B4"/>
    <w:rsid w:val="00AE4902"/>
    <w:rsid w:val="00AE49EC"/>
    <w:rsid w:val="00AE4C09"/>
    <w:rsid w:val="00AE4DAC"/>
    <w:rsid w:val="00AE595A"/>
    <w:rsid w:val="00AE5DA1"/>
    <w:rsid w:val="00AE5EF9"/>
    <w:rsid w:val="00AE5F6C"/>
    <w:rsid w:val="00AE6321"/>
    <w:rsid w:val="00AE6515"/>
    <w:rsid w:val="00AE69BF"/>
    <w:rsid w:val="00AE71DB"/>
    <w:rsid w:val="00AE7439"/>
    <w:rsid w:val="00AE74A8"/>
    <w:rsid w:val="00AE79F4"/>
    <w:rsid w:val="00AF023F"/>
    <w:rsid w:val="00AF0693"/>
    <w:rsid w:val="00AF0B03"/>
    <w:rsid w:val="00AF0D2F"/>
    <w:rsid w:val="00AF0DEF"/>
    <w:rsid w:val="00AF0F46"/>
    <w:rsid w:val="00AF1129"/>
    <w:rsid w:val="00AF171A"/>
    <w:rsid w:val="00AF1AF4"/>
    <w:rsid w:val="00AF1F0F"/>
    <w:rsid w:val="00AF271C"/>
    <w:rsid w:val="00AF2C4D"/>
    <w:rsid w:val="00AF31B0"/>
    <w:rsid w:val="00AF3998"/>
    <w:rsid w:val="00AF3F86"/>
    <w:rsid w:val="00AF42CE"/>
    <w:rsid w:val="00AF4790"/>
    <w:rsid w:val="00AF49FD"/>
    <w:rsid w:val="00AF4A5D"/>
    <w:rsid w:val="00AF4B7F"/>
    <w:rsid w:val="00AF4D32"/>
    <w:rsid w:val="00AF514D"/>
    <w:rsid w:val="00AF5198"/>
    <w:rsid w:val="00AF5691"/>
    <w:rsid w:val="00AF5A17"/>
    <w:rsid w:val="00AF5BA6"/>
    <w:rsid w:val="00AF5D63"/>
    <w:rsid w:val="00AF5EBE"/>
    <w:rsid w:val="00AF60DF"/>
    <w:rsid w:val="00AF641F"/>
    <w:rsid w:val="00AF64DF"/>
    <w:rsid w:val="00AF6A48"/>
    <w:rsid w:val="00AF7263"/>
    <w:rsid w:val="00AF7584"/>
    <w:rsid w:val="00AF795C"/>
    <w:rsid w:val="00AF7FCA"/>
    <w:rsid w:val="00B0042F"/>
    <w:rsid w:val="00B00D18"/>
    <w:rsid w:val="00B010D2"/>
    <w:rsid w:val="00B018F2"/>
    <w:rsid w:val="00B01D19"/>
    <w:rsid w:val="00B01D5B"/>
    <w:rsid w:val="00B01F7D"/>
    <w:rsid w:val="00B02014"/>
    <w:rsid w:val="00B02172"/>
    <w:rsid w:val="00B0260B"/>
    <w:rsid w:val="00B0296F"/>
    <w:rsid w:val="00B02D49"/>
    <w:rsid w:val="00B02F60"/>
    <w:rsid w:val="00B031AF"/>
    <w:rsid w:val="00B033F8"/>
    <w:rsid w:val="00B034DD"/>
    <w:rsid w:val="00B036A5"/>
    <w:rsid w:val="00B03950"/>
    <w:rsid w:val="00B03CDF"/>
    <w:rsid w:val="00B03DAA"/>
    <w:rsid w:val="00B03FAC"/>
    <w:rsid w:val="00B045F9"/>
    <w:rsid w:val="00B04905"/>
    <w:rsid w:val="00B049F2"/>
    <w:rsid w:val="00B04A26"/>
    <w:rsid w:val="00B04A6C"/>
    <w:rsid w:val="00B04C27"/>
    <w:rsid w:val="00B05D31"/>
    <w:rsid w:val="00B05D71"/>
    <w:rsid w:val="00B064B4"/>
    <w:rsid w:val="00B07773"/>
    <w:rsid w:val="00B07C36"/>
    <w:rsid w:val="00B07DF7"/>
    <w:rsid w:val="00B10B6E"/>
    <w:rsid w:val="00B1132E"/>
    <w:rsid w:val="00B11ACB"/>
    <w:rsid w:val="00B11BA7"/>
    <w:rsid w:val="00B12416"/>
    <w:rsid w:val="00B1262D"/>
    <w:rsid w:val="00B12B0E"/>
    <w:rsid w:val="00B12B54"/>
    <w:rsid w:val="00B136A7"/>
    <w:rsid w:val="00B1377D"/>
    <w:rsid w:val="00B13A0D"/>
    <w:rsid w:val="00B13A42"/>
    <w:rsid w:val="00B13AD4"/>
    <w:rsid w:val="00B13C14"/>
    <w:rsid w:val="00B13F81"/>
    <w:rsid w:val="00B13FCB"/>
    <w:rsid w:val="00B145AB"/>
    <w:rsid w:val="00B14A87"/>
    <w:rsid w:val="00B14A95"/>
    <w:rsid w:val="00B14C09"/>
    <w:rsid w:val="00B14FAC"/>
    <w:rsid w:val="00B152E7"/>
    <w:rsid w:val="00B15558"/>
    <w:rsid w:val="00B155E7"/>
    <w:rsid w:val="00B15A4E"/>
    <w:rsid w:val="00B15FC7"/>
    <w:rsid w:val="00B16768"/>
    <w:rsid w:val="00B16AAD"/>
    <w:rsid w:val="00B16C34"/>
    <w:rsid w:val="00B16C9F"/>
    <w:rsid w:val="00B16DEB"/>
    <w:rsid w:val="00B16F06"/>
    <w:rsid w:val="00B17329"/>
    <w:rsid w:val="00B17B23"/>
    <w:rsid w:val="00B17BDE"/>
    <w:rsid w:val="00B20076"/>
    <w:rsid w:val="00B20262"/>
    <w:rsid w:val="00B20770"/>
    <w:rsid w:val="00B20DA2"/>
    <w:rsid w:val="00B21E81"/>
    <w:rsid w:val="00B224AB"/>
    <w:rsid w:val="00B227BA"/>
    <w:rsid w:val="00B2303B"/>
    <w:rsid w:val="00B230A7"/>
    <w:rsid w:val="00B23542"/>
    <w:rsid w:val="00B23E8C"/>
    <w:rsid w:val="00B24010"/>
    <w:rsid w:val="00B2437F"/>
    <w:rsid w:val="00B2449E"/>
    <w:rsid w:val="00B248DF"/>
    <w:rsid w:val="00B26714"/>
    <w:rsid w:val="00B26877"/>
    <w:rsid w:val="00B269BE"/>
    <w:rsid w:val="00B27C46"/>
    <w:rsid w:val="00B27F22"/>
    <w:rsid w:val="00B3025B"/>
    <w:rsid w:val="00B303D0"/>
    <w:rsid w:val="00B304DC"/>
    <w:rsid w:val="00B31226"/>
    <w:rsid w:val="00B315BA"/>
    <w:rsid w:val="00B3168A"/>
    <w:rsid w:val="00B319A8"/>
    <w:rsid w:val="00B33134"/>
    <w:rsid w:val="00B333FD"/>
    <w:rsid w:val="00B334CD"/>
    <w:rsid w:val="00B33547"/>
    <w:rsid w:val="00B3368E"/>
    <w:rsid w:val="00B33945"/>
    <w:rsid w:val="00B3395A"/>
    <w:rsid w:val="00B34D8B"/>
    <w:rsid w:val="00B34EA9"/>
    <w:rsid w:val="00B35C57"/>
    <w:rsid w:val="00B35D02"/>
    <w:rsid w:val="00B3608A"/>
    <w:rsid w:val="00B3764C"/>
    <w:rsid w:val="00B3767B"/>
    <w:rsid w:val="00B37AC0"/>
    <w:rsid w:val="00B37D6B"/>
    <w:rsid w:val="00B408E4"/>
    <w:rsid w:val="00B41134"/>
    <w:rsid w:val="00B4140A"/>
    <w:rsid w:val="00B41A5C"/>
    <w:rsid w:val="00B424C2"/>
    <w:rsid w:val="00B42941"/>
    <w:rsid w:val="00B42B59"/>
    <w:rsid w:val="00B42D39"/>
    <w:rsid w:val="00B42FCE"/>
    <w:rsid w:val="00B4347C"/>
    <w:rsid w:val="00B44447"/>
    <w:rsid w:val="00B45D2A"/>
    <w:rsid w:val="00B465CE"/>
    <w:rsid w:val="00B46B79"/>
    <w:rsid w:val="00B46C80"/>
    <w:rsid w:val="00B47851"/>
    <w:rsid w:val="00B47A1B"/>
    <w:rsid w:val="00B47CDE"/>
    <w:rsid w:val="00B50207"/>
    <w:rsid w:val="00B50565"/>
    <w:rsid w:val="00B50773"/>
    <w:rsid w:val="00B50891"/>
    <w:rsid w:val="00B51B1E"/>
    <w:rsid w:val="00B5249C"/>
    <w:rsid w:val="00B526E8"/>
    <w:rsid w:val="00B528E7"/>
    <w:rsid w:val="00B53F8D"/>
    <w:rsid w:val="00B54E89"/>
    <w:rsid w:val="00B555E2"/>
    <w:rsid w:val="00B56075"/>
    <w:rsid w:val="00B567ED"/>
    <w:rsid w:val="00B56AA2"/>
    <w:rsid w:val="00B56F95"/>
    <w:rsid w:val="00B574B2"/>
    <w:rsid w:val="00B574F6"/>
    <w:rsid w:val="00B576E1"/>
    <w:rsid w:val="00B576EB"/>
    <w:rsid w:val="00B578B9"/>
    <w:rsid w:val="00B57C09"/>
    <w:rsid w:val="00B57E9D"/>
    <w:rsid w:val="00B60302"/>
    <w:rsid w:val="00B607B9"/>
    <w:rsid w:val="00B60990"/>
    <w:rsid w:val="00B60D24"/>
    <w:rsid w:val="00B60F5F"/>
    <w:rsid w:val="00B610C0"/>
    <w:rsid w:val="00B61D30"/>
    <w:rsid w:val="00B61EFC"/>
    <w:rsid w:val="00B621C9"/>
    <w:rsid w:val="00B622D3"/>
    <w:rsid w:val="00B627F9"/>
    <w:rsid w:val="00B62AE1"/>
    <w:rsid w:val="00B62BF7"/>
    <w:rsid w:val="00B63172"/>
    <w:rsid w:val="00B63453"/>
    <w:rsid w:val="00B6380F"/>
    <w:rsid w:val="00B6409C"/>
    <w:rsid w:val="00B64918"/>
    <w:rsid w:val="00B651F7"/>
    <w:rsid w:val="00B654AD"/>
    <w:rsid w:val="00B654C4"/>
    <w:rsid w:val="00B65840"/>
    <w:rsid w:val="00B6586D"/>
    <w:rsid w:val="00B65CD6"/>
    <w:rsid w:val="00B660FB"/>
    <w:rsid w:val="00B66291"/>
    <w:rsid w:val="00B6633D"/>
    <w:rsid w:val="00B6685C"/>
    <w:rsid w:val="00B66B2F"/>
    <w:rsid w:val="00B66DBD"/>
    <w:rsid w:val="00B677D0"/>
    <w:rsid w:val="00B67CC4"/>
    <w:rsid w:val="00B67E26"/>
    <w:rsid w:val="00B7087B"/>
    <w:rsid w:val="00B71D57"/>
    <w:rsid w:val="00B71DCA"/>
    <w:rsid w:val="00B72035"/>
    <w:rsid w:val="00B72199"/>
    <w:rsid w:val="00B729F0"/>
    <w:rsid w:val="00B72B69"/>
    <w:rsid w:val="00B72B73"/>
    <w:rsid w:val="00B72C75"/>
    <w:rsid w:val="00B72D88"/>
    <w:rsid w:val="00B72E40"/>
    <w:rsid w:val="00B73D89"/>
    <w:rsid w:val="00B73E86"/>
    <w:rsid w:val="00B74ADE"/>
    <w:rsid w:val="00B75132"/>
    <w:rsid w:val="00B7521B"/>
    <w:rsid w:val="00B75224"/>
    <w:rsid w:val="00B755F8"/>
    <w:rsid w:val="00B75890"/>
    <w:rsid w:val="00B75CE6"/>
    <w:rsid w:val="00B75D8E"/>
    <w:rsid w:val="00B75E08"/>
    <w:rsid w:val="00B7608E"/>
    <w:rsid w:val="00B773EE"/>
    <w:rsid w:val="00B77405"/>
    <w:rsid w:val="00B80032"/>
    <w:rsid w:val="00B801FE"/>
    <w:rsid w:val="00B8045C"/>
    <w:rsid w:val="00B80C0B"/>
    <w:rsid w:val="00B80F40"/>
    <w:rsid w:val="00B8111D"/>
    <w:rsid w:val="00B81123"/>
    <w:rsid w:val="00B81221"/>
    <w:rsid w:val="00B8181A"/>
    <w:rsid w:val="00B81FBD"/>
    <w:rsid w:val="00B82DCC"/>
    <w:rsid w:val="00B82F24"/>
    <w:rsid w:val="00B82F9B"/>
    <w:rsid w:val="00B835AD"/>
    <w:rsid w:val="00B8366B"/>
    <w:rsid w:val="00B83AA1"/>
    <w:rsid w:val="00B83AF8"/>
    <w:rsid w:val="00B83F61"/>
    <w:rsid w:val="00B849C4"/>
    <w:rsid w:val="00B85F40"/>
    <w:rsid w:val="00B86470"/>
    <w:rsid w:val="00B8688D"/>
    <w:rsid w:val="00B86911"/>
    <w:rsid w:val="00B8759A"/>
    <w:rsid w:val="00B91178"/>
    <w:rsid w:val="00B91F4D"/>
    <w:rsid w:val="00B91FC8"/>
    <w:rsid w:val="00B92499"/>
    <w:rsid w:val="00B93622"/>
    <w:rsid w:val="00B952ED"/>
    <w:rsid w:val="00B969DB"/>
    <w:rsid w:val="00B96BF0"/>
    <w:rsid w:val="00B96C17"/>
    <w:rsid w:val="00B96C57"/>
    <w:rsid w:val="00B9736D"/>
    <w:rsid w:val="00B977B2"/>
    <w:rsid w:val="00B97C89"/>
    <w:rsid w:val="00BA0AE8"/>
    <w:rsid w:val="00BA103F"/>
    <w:rsid w:val="00BA10E9"/>
    <w:rsid w:val="00BA1504"/>
    <w:rsid w:val="00BA16CF"/>
    <w:rsid w:val="00BA16F0"/>
    <w:rsid w:val="00BA1B0E"/>
    <w:rsid w:val="00BA1B43"/>
    <w:rsid w:val="00BA2A1B"/>
    <w:rsid w:val="00BA2A98"/>
    <w:rsid w:val="00BA2D48"/>
    <w:rsid w:val="00BA33BD"/>
    <w:rsid w:val="00BA3481"/>
    <w:rsid w:val="00BA3A2B"/>
    <w:rsid w:val="00BA3A5D"/>
    <w:rsid w:val="00BA4151"/>
    <w:rsid w:val="00BA45AD"/>
    <w:rsid w:val="00BA4A1B"/>
    <w:rsid w:val="00BA4A7C"/>
    <w:rsid w:val="00BA4A8C"/>
    <w:rsid w:val="00BA4CA5"/>
    <w:rsid w:val="00BA4D9E"/>
    <w:rsid w:val="00BA4DFF"/>
    <w:rsid w:val="00BA5021"/>
    <w:rsid w:val="00BA535A"/>
    <w:rsid w:val="00BA5BB3"/>
    <w:rsid w:val="00BA5C85"/>
    <w:rsid w:val="00BA5F28"/>
    <w:rsid w:val="00BA5F78"/>
    <w:rsid w:val="00BA6083"/>
    <w:rsid w:val="00BA6194"/>
    <w:rsid w:val="00BA61BE"/>
    <w:rsid w:val="00BA6880"/>
    <w:rsid w:val="00BA75CB"/>
    <w:rsid w:val="00BB059A"/>
    <w:rsid w:val="00BB08AC"/>
    <w:rsid w:val="00BB0AA0"/>
    <w:rsid w:val="00BB0CEE"/>
    <w:rsid w:val="00BB1724"/>
    <w:rsid w:val="00BB1804"/>
    <w:rsid w:val="00BB1884"/>
    <w:rsid w:val="00BB197C"/>
    <w:rsid w:val="00BB1D0C"/>
    <w:rsid w:val="00BB223F"/>
    <w:rsid w:val="00BB2308"/>
    <w:rsid w:val="00BB2A63"/>
    <w:rsid w:val="00BB2BA8"/>
    <w:rsid w:val="00BB3191"/>
    <w:rsid w:val="00BB32C6"/>
    <w:rsid w:val="00BB32EC"/>
    <w:rsid w:val="00BB3433"/>
    <w:rsid w:val="00BB3CB2"/>
    <w:rsid w:val="00BB40C9"/>
    <w:rsid w:val="00BB445C"/>
    <w:rsid w:val="00BB46CB"/>
    <w:rsid w:val="00BB4C31"/>
    <w:rsid w:val="00BB584A"/>
    <w:rsid w:val="00BB619F"/>
    <w:rsid w:val="00BB66CC"/>
    <w:rsid w:val="00BB6A98"/>
    <w:rsid w:val="00BB70E4"/>
    <w:rsid w:val="00BB7346"/>
    <w:rsid w:val="00BB7B8A"/>
    <w:rsid w:val="00BB7BE2"/>
    <w:rsid w:val="00BB7BED"/>
    <w:rsid w:val="00BC0C4C"/>
    <w:rsid w:val="00BC0D8B"/>
    <w:rsid w:val="00BC1169"/>
    <w:rsid w:val="00BC11C5"/>
    <w:rsid w:val="00BC26BF"/>
    <w:rsid w:val="00BC2778"/>
    <w:rsid w:val="00BC2A15"/>
    <w:rsid w:val="00BC2E97"/>
    <w:rsid w:val="00BC35F4"/>
    <w:rsid w:val="00BC36CF"/>
    <w:rsid w:val="00BC4047"/>
    <w:rsid w:val="00BC4B06"/>
    <w:rsid w:val="00BC5581"/>
    <w:rsid w:val="00BC59FC"/>
    <w:rsid w:val="00BC5A3E"/>
    <w:rsid w:val="00BC5AEA"/>
    <w:rsid w:val="00BC5B23"/>
    <w:rsid w:val="00BC5D14"/>
    <w:rsid w:val="00BC5FA3"/>
    <w:rsid w:val="00BC6568"/>
    <w:rsid w:val="00BC677B"/>
    <w:rsid w:val="00BC6A66"/>
    <w:rsid w:val="00BC7136"/>
    <w:rsid w:val="00BC7511"/>
    <w:rsid w:val="00BC7553"/>
    <w:rsid w:val="00BD006A"/>
    <w:rsid w:val="00BD0173"/>
    <w:rsid w:val="00BD022B"/>
    <w:rsid w:val="00BD0302"/>
    <w:rsid w:val="00BD0E34"/>
    <w:rsid w:val="00BD18D1"/>
    <w:rsid w:val="00BD2177"/>
    <w:rsid w:val="00BD2C5A"/>
    <w:rsid w:val="00BD3A0E"/>
    <w:rsid w:val="00BD3AEA"/>
    <w:rsid w:val="00BD3FA1"/>
    <w:rsid w:val="00BD46E9"/>
    <w:rsid w:val="00BD47DE"/>
    <w:rsid w:val="00BD4A72"/>
    <w:rsid w:val="00BD4BD4"/>
    <w:rsid w:val="00BD5A27"/>
    <w:rsid w:val="00BD5E69"/>
    <w:rsid w:val="00BD6021"/>
    <w:rsid w:val="00BD6179"/>
    <w:rsid w:val="00BD6619"/>
    <w:rsid w:val="00BD6774"/>
    <w:rsid w:val="00BD68A3"/>
    <w:rsid w:val="00BD7E24"/>
    <w:rsid w:val="00BE0045"/>
    <w:rsid w:val="00BE0DE4"/>
    <w:rsid w:val="00BE142A"/>
    <w:rsid w:val="00BE16CA"/>
    <w:rsid w:val="00BE184F"/>
    <w:rsid w:val="00BE185A"/>
    <w:rsid w:val="00BE215E"/>
    <w:rsid w:val="00BE2234"/>
    <w:rsid w:val="00BE3790"/>
    <w:rsid w:val="00BE3927"/>
    <w:rsid w:val="00BE3946"/>
    <w:rsid w:val="00BE40D9"/>
    <w:rsid w:val="00BE59E4"/>
    <w:rsid w:val="00BE5D73"/>
    <w:rsid w:val="00BE5E1A"/>
    <w:rsid w:val="00BE5FFB"/>
    <w:rsid w:val="00BE605F"/>
    <w:rsid w:val="00BE71CA"/>
    <w:rsid w:val="00BE71D7"/>
    <w:rsid w:val="00BE7299"/>
    <w:rsid w:val="00BE745F"/>
    <w:rsid w:val="00BE7BC8"/>
    <w:rsid w:val="00BF0550"/>
    <w:rsid w:val="00BF06E5"/>
    <w:rsid w:val="00BF092D"/>
    <w:rsid w:val="00BF0AC7"/>
    <w:rsid w:val="00BF0E2D"/>
    <w:rsid w:val="00BF1064"/>
    <w:rsid w:val="00BF14E9"/>
    <w:rsid w:val="00BF18DD"/>
    <w:rsid w:val="00BF2924"/>
    <w:rsid w:val="00BF29C0"/>
    <w:rsid w:val="00BF2D13"/>
    <w:rsid w:val="00BF32CB"/>
    <w:rsid w:val="00BF47CB"/>
    <w:rsid w:val="00BF490B"/>
    <w:rsid w:val="00BF4B48"/>
    <w:rsid w:val="00BF50B1"/>
    <w:rsid w:val="00BF5634"/>
    <w:rsid w:val="00BF5D6B"/>
    <w:rsid w:val="00BF5E8B"/>
    <w:rsid w:val="00BF6268"/>
    <w:rsid w:val="00BF6698"/>
    <w:rsid w:val="00BF6B3B"/>
    <w:rsid w:val="00BF6C73"/>
    <w:rsid w:val="00BF6F11"/>
    <w:rsid w:val="00BF76B8"/>
    <w:rsid w:val="00C00039"/>
    <w:rsid w:val="00C003BC"/>
    <w:rsid w:val="00C00660"/>
    <w:rsid w:val="00C00AFE"/>
    <w:rsid w:val="00C00FDD"/>
    <w:rsid w:val="00C010E4"/>
    <w:rsid w:val="00C01A28"/>
    <w:rsid w:val="00C0212C"/>
    <w:rsid w:val="00C022E2"/>
    <w:rsid w:val="00C02C27"/>
    <w:rsid w:val="00C0389A"/>
    <w:rsid w:val="00C03B16"/>
    <w:rsid w:val="00C03DFE"/>
    <w:rsid w:val="00C042E2"/>
    <w:rsid w:val="00C0476D"/>
    <w:rsid w:val="00C04DFE"/>
    <w:rsid w:val="00C057DA"/>
    <w:rsid w:val="00C05A57"/>
    <w:rsid w:val="00C05C24"/>
    <w:rsid w:val="00C0790B"/>
    <w:rsid w:val="00C100AE"/>
    <w:rsid w:val="00C10B6F"/>
    <w:rsid w:val="00C10C35"/>
    <w:rsid w:val="00C10E45"/>
    <w:rsid w:val="00C1106A"/>
    <w:rsid w:val="00C111C5"/>
    <w:rsid w:val="00C1182D"/>
    <w:rsid w:val="00C123C7"/>
    <w:rsid w:val="00C127D8"/>
    <w:rsid w:val="00C12B03"/>
    <w:rsid w:val="00C132D1"/>
    <w:rsid w:val="00C13476"/>
    <w:rsid w:val="00C134D6"/>
    <w:rsid w:val="00C13CA4"/>
    <w:rsid w:val="00C14846"/>
    <w:rsid w:val="00C1525F"/>
    <w:rsid w:val="00C15EB1"/>
    <w:rsid w:val="00C16917"/>
    <w:rsid w:val="00C16D54"/>
    <w:rsid w:val="00C170FA"/>
    <w:rsid w:val="00C17DB3"/>
    <w:rsid w:val="00C201D9"/>
    <w:rsid w:val="00C20797"/>
    <w:rsid w:val="00C20CBE"/>
    <w:rsid w:val="00C20D69"/>
    <w:rsid w:val="00C21092"/>
    <w:rsid w:val="00C2124A"/>
    <w:rsid w:val="00C21420"/>
    <w:rsid w:val="00C2157C"/>
    <w:rsid w:val="00C21BBF"/>
    <w:rsid w:val="00C22168"/>
    <w:rsid w:val="00C2261A"/>
    <w:rsid w:val="00C22BFC"/>
    <w:rsid w:val="00C22CC2"/>
    <w:rsid w:val="00C23530"/>
    <w:rsid w:val="00C23B0B"/>
    <w:rsid w:val="00C241B3"/>
    <w:rsid w:val="00C24658"/>
    <w:rsid w:val="00C24B54"/>
    <w:rsid w:val="00C25458"/>
    <w:rsid w:val="00C261E9"/>
    <w:rsid w:val="00C2628A"/>
    <w:rsid w:val="00C26445"/>
    <w:rsid w:val="00C2657C"/>
    <w:rsid w:val="00C27935"/>
    <w:rsid w:val="00C27979"/>
    <w:rsid w:val="00C27E72"/>
    <w:rsid w:val="00C3056C"/>
    <w:rsid w:val="00C306DC"/>
    <w:rsid w:val="00C3086F"/>
    <w:rsid w:val="00C311A0"/>
    <w:rsid w:val="00C3140C"/>
    <w:rsid w:val="00C31445"/>
    <w:rsid w:val="00C3161C"/>
    <w:rsid w:val="00C31898"/>
    <w:rsid w:val="00C31AD6"/>
    <w:rsid w:val="00C31CFA"/>
    <w:rsid w:val="00C328AA"/>
    <w:rsid w:val="00C3292C"/>
    <w:rsid w:val="00C32B4B"/>
    <w:rsid w:val="00C336EF"/>
    <w:rsid w:val="00C33E55"/>
    <w:rsid w:val="00C33EAF"/>
    <w:rsid w:val="00C3407B"/>
    <w:rsid w:val="00C34542"/>
    <w:rsid w:val="00C34770"/>
    <w:rsid w:val="00C34789"/>
    <w:rsid w:val="00C34F38"/>
    <w:rsid w:val="00C355F7"/>
    <w:rsid w:val="00C3598E"/>
    <w:rsid w:val="00C359E8"/>
    <w:rsid w:val="00C3616C"/>
    <w:rsid w:val="00C362EF"/>
    <w:rsid w:val="00C36E1A"/>
    <w:rsid w:val="00C37502"/>
    <w:rsid w:val="00C37F87"/>
    <w:rsid w:val="00C40029"/>
    <w:rsid w:val="00C40706"/>
    <w:rsid w:val="00C41100"/>
    <w:rsid w:val="00C42CA6"/>
    <w:rsid w:val="00C42E06"/>
    <w:rsid w:val="00C43801"/>
    <w:rsid w:val="00C4420E"/>
    <w:rsid w:val="00C443A0"/>
    <w:rsid w:val="00C44A4C"/>
    <w:rsid w:val="00C44FF7"/>
    <w:rsid w:val="00C45827"/>
    <w:rsid w:val="00C460E5"/>
    <w:rsid w:val="00C46E01"/>
    <w:rsid w:val="00C47214"/>
    <w:rsid w:val="00C47982"/>
    <w:rsid w:val="00C47AAE"/>
    <w:rsid w:val="00C5013D"/>
    <w:rsid w:val="00C502D1"/>
    <w:rsid w:val="00C50D52"/>
    <w:rsid w:val="00C51543"/>
    <w:rsid w:val="00C52D1D"/>
    <w:rsid w:val="00C53218"/>
    <w:rsid w:val="00C533EB"/>
    <w:rsid w:val="00C53BF0"/>
    <w:rsid w:val="00C5423E"/>
    <w:rsid w:val="00C54A84"/>
    <w:rsid w:val="00C54AB8"/>
    <w:rsid w:val="00C558CC"/>
    <w:rsid w:val="00C55C5C"/>
    <w:rsid w:val="00C55F1E"/>
    <w:rsid w:val="00C56862"/>
    <w:rsid w:val="00C56B63"/>
    <w:rsid w:val="00C60128"/>
    <w:rsid w:val="00C602AC"/>
    <w:rsid w:val="00C61564"/>
    <w:rsid w:val="00C62423"/>
    <w:rsid w:val="00C63A5B"/>
    <w:rsid w:val="00C63E66"/>
    <w:rsid w:val="00C640E8"/>
    <w:rsid w:val="00C64137"/>
    <w:rsid w:val="00C64491"/>
    <w:rsid w:val="00C64AC1"/>
    <w:rsid w:val="00C64DDB"/>
    <w:rsid w:val="00C653A9"/>
    <w:rsid w:val="00C658A2"/>
    <w:rsid w:val="00C659BA"/>
    <w:rsid w:val="00C659DD"/>
    <w:rsid w:val="00C66569"/>
    <w:rsid w:val="00C66848"/>
    <w:rsid w:val="00C6736A"/>
    <w:rsid w:val="00C67AE2"/>
    <w:rsid w:val="00C67EBF"/>
    <w:rsid w:val="00C700E2"/>
    <w:rsid w:val="00C709E7"/>
    <w:rsid w:val="00C71143"/>
    <w:rsid w:val="00C7149B"/>
    <w:rsid w:val="00C71795"/>
    <w:rsid w:val="00C7197D"/>
    <w:rsid w:val="00C71E12"/>
    <w:rsid w:val="00C736E8"/>
    <w:rsid w:val="00C73B0A"/>
    <w:rsid w:val="00C73C2B"/>
    <w:rsid w:val="00C73DA1"/>
    <w:rsid w:val="00C73F4D"/>
    <w:rsid w:val="00C74113"/>
    <w:rsid w:val="00C74609"/>
    <w:rsid w:val="00C747E4"/>
    <w:rsid w:val="00C757A4"/>
    <w:rsid w:val="00C75FDF"/>
    <w:rsid w:val="00C7642E"/>
    <w:rsid w:val="00C77458"/>
    <w:rsid w:val="00C77AEB"/>
    <w:rsid w:val="00C801A1"/>
    <w:rsid w:val="00C80988"/>
    <w:rsid w:val="00C80FB2"/>
    <w:rsid w:val="00C8105E"/>
    <w:rsid w:val="00C81995"/>
    <w:rsid w:val="00C823D0"/>
    <w:rsid w:val="00C827BF"/>
    <w:rsid w:val="00C82CD0"/>
    <w:rsid w:val="00C82F69"/>
    <w:rsid w:val="00C83239"/>
    <w:rsid w:val="00C832DE"/>
    <w:rsid w:val="00C83BE4"/>
    <w:rsid w:val="00C83D1E"/>
    <w:rsid w:val="00C8400A"/>
    <w:rsid w:val="00C843B9"/>
    <w:rsid w:val="00C843EC"/>
    <w:rsid w:val="00C8453A"/>
    <w:rsid w:val="00C84D9F"/>
    <w:rsid w:val="00C85093"/>
    <w:rsid w:val="00C85675"/>
    <w:rsid w:val="00C856F9"/>
    <w:rsid w:val="00C85AFB"/>
    <w:rsid w:val="00C85E9C"/>
    <w:rsid w:val="00C8628A"/>
    <w:rsid w:val="00C863E2"/>
    <w:rsid w:val="00C8690C"/>
    <w:rsid w:val="00C86FF1"/>
    <w:rsid w:val="00C87281"/>
    <w:rsid w:val="00C8760D"/>
    <w:rsid w:val="00C87CEC"/>
    <w:rsid w:val="00C87EB0"/>
    <w:rsid w:val="00C91606"/>
    <w:rsid w:val="00C91B1A"/>
    <w:rsid w:val="00C91EBA"/>
    <w:rsid w:val="00C9228B"/>
    <w:rsid w:val="00C923A4"/>
    <w:rsid w:val="00C9262F"/>
    <w:rsid w:val="00C92B46"/>
    <w:rsid w:val="00C932AB"/>
    <w:rsid w:val="00C9384C"/>
    <w:rsid w:val="00C93983"/>
    <w:rsid w:val="00C93A1D"/>
    <w:rsid w:val="00C93A70"/>
    <w:rsid w:val="00C93CC8"/>
    <w:rsid w:val="00C93E59"/>
    <w:rsid w:val="00C94A19"/>
    <w:rsid w:val="00C9513B"/>
    <w:rsid w:val="00C956EB"/>
    <w:rsid w:val="00C95C62"/>
    <w:rsid w:val="00C96187"/>
    <w:rsid w:val="00C96458"/>
    <w:rsid w:val="00C964B0"/>
    <w:rsid w:val="00C96F4D"/>
    <w:rsid w:val="00C97245"/>
    <w:rsid w:val="00C978A7"/>
    <w:rsid w:val="00C97CCC"/>
    <w:rsid w:val="00CA01AC"/>
    <w:rsid w:val="00CA080F"/>
    <w:rsid w:val="00CA088F"/>
    <w:rsid w:val="00CA0BA2"/>
    <w:rsid w:val="00CA0DD6"/>
    <w:rsid w:val="00CA1384"/>
    <w:rsid w:val="00CA1640"/>
    <w:rsid w:val="00CA26C2"/>
    <w:rsid w:val="00CA275F"/>
    <w:rsid w:val="00CA2D12"/>
    <w:rsid w:val="00CA52EA"/>
    <w:rsid w:val="00CA590C"/>
    <w:rsid w:val="00CA5917"/>
    <w:rsid w:val="00CA63B5"/>
    <w:rsid w:val="00CA646E"/>
    <w:rsid w:val="00CA7459"/>
    <w:rsid w:val="00CA746C"/>
    <w:rsid w:val="00CA7736"/>
    <w:rsid w:val="00CB00D1"/>
    <w:rsid w:val="00CB05F9"/>
    <w:rsid w:val="00CB0AA1"/>
    <w:rsid w:val="00CB0EBD"/>
    <w:rsid w:val="00CB11BD"/>
    <w:rsid w:val="00CB1ABA"/>
    <w:rsid w:val="00CB1EA8"/>
    <w:rsid w:val="00CB20D8"/>
    <w:rsid w:val="00CB233C"/>
    <w:rsid w:val="00CB275E"/>
    <w:rsid w:val="00CB368C"/>
    <w:rsid w:val="00CB403C"/>
    <w:rsid w:val="00CB44ED"/>
    <w:rsid w:val="00CB4B32"/>
    <w:rsid w:val="00CB50C3"/>
    <w:rsid w:val="00CB5105"/>
    <w:rsid w:val="00CB5450"/>
    <w:rsid w:val="00CB5A33"/>
    <w:rsid w:val="00CB5E76"/>
    <w:rsid w:val="00CB6953"/>
    <w:rsid w:val="00CB731B"/>
    <w:rsid w:val="00CB7560"/>
    <w:rsid w:val="00CB7F51"/>
    <w:rsid w:val="00CC036F"/>
    <w:rsid w:val="00CC0517"/>
    <w:rsid w:val="00CC0C25"/>
    <w:rsid w:val="00CC12CE"/>
    <w:rsid w:val="00CC1464"/>
    <w:rsid w:val="00CC2285"/>
    <w:rsid w:val="00CC22C3"/>
    <w:rsid w:val="00CC2A29"/>
    <w:rsid w:val="00CC3450"/>
    <w:rsid w:val="00CC3DD5"/>
    <w:rsid w:val="00CC3FF5"/>
    <w:rsid w:val="00CC48A9"/>
    <w:rsid w:val="00CC4FC5"/>
    <w:rsid w:val="00CC5A00"/>
    <w:rsid w:val="00CC5D58"/>
    <w:rsid w:val="00CC62A6"/>
    <w:rsid w:val="00CC6AAC"/>
    <w:rsid w:val="00CC6EFE"/>
    <w:rsid w:val="00CC71A5"/>
    <w:rsid w:val="00CC74B7"/>
    <w:rsid w:val="00CC756E"/>
    <w:rsid w:val="00CC75AF"/>
    <w:rsid w:val="00CD06FF"/>
    <w:rsid w:val="00CD0789"/>
    <w:rsid w:val="00CD07C1"/>
    <w:rsid w:val="00CD0DC3"/>
    <w:rsid w:val="00CD1832"/>
    <w:rsid w:val="00CD1E51"/>
    <w:rsid w:val="00CD2BA7"/>
    <w:rsid w:val="00CD3253"/>
    <w:rsid w:val="00CD3956"/>
    <w:rsid w:val="00CD40DE"/>
    <w:rsid w:val="00CD475C"/>
    <w:rsid w:val="00CD494D"/>
    <w:rsid w:val="00CD4D09"/>
    <w:rsid w:val="00CD574C"/>
    <w:rsid w:val="00CD691D"/>
    <w:rsid w:val="00CD6E4B"/>
    <w:rsid w:val="00CD769C"/>
    <w:rsid w:val="00CD775F"/>
    <w:rsid w:val="00CD7CAA"/>
    <w:rsid w:val="00CE08F5"/>
    <w:rsid w:val="00CE120A"/>
    <w:rsid w:val="00CE15EB"/>
    <w:rsid w:val="00CE1A3F"/>
    <w:rsid w:val="00CE1E1E"/>
    <w:rsid w:val="00CE21C6"/>
    <w:rsid w:val="00CE2342"/>
    <w:rsid w:val="00CE2725"/>
    <w:rsid w:val="00CE281F"/>
    <w:rsid w:val="00CE337E"/>
    <w:rsid w:val="00CE3B87"/>
    <w:rsid w:val="00CE3D6D"/>
    <w:rsid w:val="00CE3DE2"/>
    <w:rsid w:val="00CE42B1"/>
    <w:rsid w:val="00CE49E5"/>
    <w:rsid w:val="00CE5F53"/>
    <w:rsid w:val="00CE6A64"/>
    <w:rsid w:val="00CE6AF1"/>
    <w:rsid w:val="00CE6C74"/>
    <w:rsid w:val="00CE73D9"/>
    <w:rsid w:val="00CE7A29"/>
    <w:rsid w:val="00CE7C85"/>
    <w:rsid w:val="00CF1379"/>
    <w:rsid w:val="00CF1574"/>
    <w:rsid w:val="00CF35B3"/>
    <w:rsid w:val="00CF3A65"/>
    <w:rsid w:val="00CF45E0"/>
    <w:rsid w:val="00CF4CD5"/>
    <w:rsid w:val="00CF4D9E"/>
    <w:rsid w:val="00CF593A"/>
    <w:rsid w:val="00CF6419"/>
    <w:rsid w:val="00CF674A"/>
    <w:rsid w:val="00CF6D29"/>
    <w:rsid w:val="00CF704D"/>
    <w:rsid w:val="00CF725C"/>
    <w:rsid w:val="00CF7AED"/>
    <w:rsid w:val="00D005F5"/>
    <w:rsid w:val="00D00920"/>
    <w:rsid w:val="00D00BDF"/>
    <w:rsid w:val="00D01A7D"/>
    <w:rsid w:val="00D01BB6"/>
    <w:rsid w:val="00D02070"/>
    <w:rsid w:val="00D021EC"/>
    <w:rsid w:val="00D0224B"/>
    <w:rsid w:val="00D02267"/>
    <w:rsid w:val="00D02A37"/>
    <w:rsid w:val="00D03955"/>
    <w:rsid w:val="00D041BF"/>
    <w:rsid w:val="00D04302"/>
    <w:rsid w:val="00D04C83"/>
    <w:rsid w:val="00D05D50"/>
    <w:rsid w:val="00D06A96"/>
    <w:rsid w:val="00D07132"/>
    <w:rsid w:val="00D07133"/>
    <w:rsid w:val="00D10200"/>
    <w:rsid w:val="00D1047C"/>
    <w:rsid w:val="00D1055E"/>
    <w:rsid w:val="00D10850"/>
    <w:rsid w:val="00D109BF"/>
    <w:rsid w:val="00D11294"/>
    <w:rsid w:val="00D118A0"/>
    <w:rsid w:val="00D124CC"/>
    <w:rsid w:val="00D12678"/>
    <w:rsid w:val="00D1315C"/>
    <w:rsid w:val="00D13303"/>
    <w:rsid w:val="00D138A0"/>
    <w:rsid w:val="00D138FE"/>
    <w:rsid w:val="00D143DC"/>
    <w:rsid w:val="00D143E5"/>
    <w:rsid w:val="00D145B8"/>
    <w:rsid w:val="00D1478B"/>
    <w:rsid w:val="00D14B89"/>
    <w:rsid w:val="00D14EED"/>
    <w:rsid w:val="00D1552F"/>
    <w:rsid w:val="00D15C87"/>
    <w:rsid w:val="00D16B05"/>
    <w:rsid w:val="00D2003D"/>
    <w:rsid w:val="00D200FE"/>
    <w:rsid w:val="00D20125"/>
    <w:rsid w:val="00D2043A"/>
    <w:rsid w:val="00D20820"/>
    <w:rsid w:val="00D213E5"/>
    <w:rsid w:val="00D21707"/>
    <w:rsid w:val="00D21844"/>
    <w:rsid w:val="00D21B9F"/>
    <w:rsid w:val="00D223E0"/>
    <w:rsid w:val="00D23400"/>
    <w:rsid w:val="00D23420"/>
    <w:rsid w:val="00D23425"/>
    <w:rsid w:val="00D23959"/>
    <w:rsid w:val="00D24261"/>
    <w:rsid w:val="00D24A74"/>
    <w:rsid w:val="00D24BA5"/>
    <w:rsid w:val="00D25235"/>
    <w:rsid w:val="00D2531B"/>
    <w:rsid w:val="00D255F7"/>
    <w:rsid w:val="00D256E8"/>
    <w:rsid w:val="00D2590B"/>
    <w:rsid w:val="00D25DF1"/>
    <w:rsid w:val="00D269E2"/>
    <w:rsid w:val="00D26B3B"/>
    <w:rsid w:val="00D26CAD"/>
    <w:rsid w:val="00D274A9"/>
    <w:rsid w:val="00D27B26"/>
    <w:rsid w:val="00D27CC9"/>
    <w:rsid w:val="00D27EF8"/>
    <w:rsid w:val="00D30B79"/>
    <w:rsid w:val="00D3171B"/>
    <w:rsid w:val="00D32014"/>
    <w:rsid w:val="00D3205C"/>
    <w:rsid w:val="00D326FB"/>
    <w:rsid w:val="00D33553"/>
    <w:rsid w:val="00D33789"/>
    <w:rsid w:val="00D33C0B"/>
    <w:rsid w:val="00D33E45"/>
    <w:rsid w:val="00D358B3"/>
    <w:rsid w:val="00D36014"/>
    <w:rsid w:val="00D3631B"/>
    <w:rsid w:val="00D36569"/>
    <w:rsid w:val="00D36780"/>
    <w:rsid w:val="00D3694B"/>
    <w:rsid w:val="00D36DA5"/>
    <w:rsid w:val="00D37C49"/>
    <w:rsid w:val="00D40154"/>
    <w:rsid w:val="00D4048A"/>
    <w:rsid w:val="00D4068D"/>
    <w:rsid w:val="00D407D5"/>
    <w:rsid w:val="00D407FC"/>
    <w:rsid w:val="00D40854"/>
    <w:rsid w:val="00D40E23"/>
    <w:rsid w:val="00D41118"/>
    <w:rsid w:val="00D417D5"/>
    <w:rsid w:val="00D41A78"/>
    <w:rsid w:val="00D42650"/>
    <w:rsid w:val="00D42956"/>
    <w:rsid w:val="00D42961"/>
    <w:rsid w:val="00D42EA3"/>
    <w:rsid w:val="00D43A00"/>
    <w:rsid w:val="00D43CD7"/>
    <w:rsid w:val="00D43E65"/>
    <w:rsid w:val="00D44061"/>
    <w:rsid w:val="00D44436"/>
    <w:rsid w:val="00D44F76"/>
    <w:rsid w:val="00D4552E"/>
    <w:rsid w:val="00D45E67"/>
    <w:rsid w:val="00D46381"/>
    <w:rsid w:val="00D465AB"/>
    <w:rsid w:val="00D46B6F"/>
    <w:rsid w:val="00D470AD"/>
    <w:rsid w:val="00D47596"/>
    <w:rsid w:val="00D477D0"/>
    <w:rsid w:val="00D509C3"/>
    <w:rsid w:val="00D50BB2"/>
    <w:rsid w:val="00D50CAD"/>
    <w:rsid w:val="00D5179F"/>
    <w:rsid w:val="00D518A4"/>
    <w:rsid w:val="00D51A6C"/>
    <w:rsid w:val="00D51E8F"/>
    <w:rsid w:val="00D51F20"/>
    <w:rsid w:val="00D5235C"/>
    <w:rsid w:val="00D52755"/>
    <w:rsid w:val="00D52967"/>
    <w:rsid w:val="00D52DC9"/>
    <w:rsid w:val="00D52E91"/>
    <w:rsid w:val="00D52E99"/>
    <w:rsid w:val="00D52F60"/>
    <w:rsid w:val="00D532AF"/>
    <w:rsid w:val="00D5394C"/>
    <w:rsid w:val="00D539F1"/>
    <w:rsid w:val="00D53E1B"/>
    <w:rsid w:val="00D53E61"/>
    <w:rsid w:val="00D54549"/>
    <w:rsid w:val="00D54C95"/>
    <w:rsid w:val="00D55970"/>
    <w:rsid w:val="00D55A91"/>
    <w:rsid w:val="00D5642A"/>
    <w:rsid w:val="00D565F0"/>
    <w:rsid w:val="00D56C80"/>
    <w:rsid w:val="00D56CDE"/>
    <w:rsid w:val="00D576FE"/>
    <w:rsid w:val="00D57FE2"/>
    <w:rsid w:val="00D60200"/>
    <w:rsid w:val="00D60283"/>
    <w:rsid w:val="00D60325"/>
    <w:rsid w:val="00D608E1"/>
    <w:rsid w:val="00D6098E"/>
    <w:rsid w:val="00D60DAD"/>
    <w:rsid w:val="00D61135"/>
    <w:rsid w:val="00D618EF"/>
    <w:rsid w:val="00D61990"/>
    <w:rsid w:val="00D61D34"/>
    <w:rsid w:val="00D6218E"/>
    <w:rsid w:val="00D6242B"/>
    <w:rsid w:val="00D62470"/>
    <w:rsid w:val="00D626C9"/>
    <w:rsid w:val="00D6275D"/>
    <w:rsid w:val="00D62815"/>
    <w:rsid w:val="00D6324D"/>
    <w:rsid w:val="00D6376D"/>
    <w:rsid w:val="00D63C4F"/>
    <w:rsid w:val="00D64078"/>
    <w:rsid w:val="00D64B09"/>
    <w:rsid w:val="00D64F22"/>
    <w:rsid w:val="00D6510C"/>
    <w:rsid w:val="00D6536F"/>
    <w:rsid w:val="00D65B05"/>
    <w:rsid w:val="00D65D40"/>
    <w:rsid w:val="00D65FBB"/>
    <w:rsid w:val="00D66A76"/>
    <w:rsid w:val="00D6711B"/>
    <w:rsid w:val="00D6751E"/>
    <w:rsid w:val="00D67544"/>
    <w:rsid w:val="00D6768A"/>
    <w:rsid w:val="00D67742"/>
    <w:rsid w:val="00D67818"/>
    <w:rsid w:val="00D67E04"/>
    <w:rsid w:val="00D70131"/>
    <w:rsid w:val="00D7027C"/>
    <w:rsid w:val="00D703D7"/>
    <w:rsid w:val="00D70E84"/>
    <w:rsid w:val="00D713FB"/>
    <w:rsid w:val="00D71867"/>
    <w:rsid w:val="00D7290E"/>
    <w:rsid w:val="00D72985"/>
    <w:rsid w:val="00D73002"/>
    <w:rsid w:val="00D732DD"/>
    <w:rsid w:val="00D73536"/>
    <w:rsid w:val="00D73CCD"/>
    <w:rsid w:val="00D74084"/>
    <w:rsid w:val="00D7437E"/>
    <w:rsid w:val="00D74E1D"/>
    <w:rsid w:val="00D74FF3"/>
    <w:rsid w:val="00D75337"/>
    <w:rsid w:val="00D75BFA"/>
    <w:rsid w:val="00D75F0B"/>
    <w:rsid w:val="00D76445"/>
    <w:rsid w:val="00D766AB"/>
    <w:rsid w:val="00D7777A"/>
    <w:rsid w:val="00D77866"/>
    <w:rsid w:val="00D8007F"/>
    <w:rsid w:val="00D811A5"/>
    <w:rsid w:val="00D81443"/>
    <w:rsid w:val="00D816E2"/>
    <w:rsid w:val="00D81A06"/>
    <w:rsid w:val="00D81D87"/>
    <w:rsid w:val="00D81F81"/>
    <w:rsid w:val="00D8230D"/>
    <w:rsid w:val="00D829BF"/>
    <w:rsid w:val="00D82B1B"/>
    <w:rsid w:val="00D832E9"/>
    <w:rsid w:val="00D844D6"/>
    <w:rsid w:val="00D84689"/>
    <w:rsid w:val="00D84C13"/>
    <w:rsid w:val="00D84D97"/>
    <w:rsid w:val="00D84E10"/>
    <w:rsid w:val="00D84EC3"/>
    <w:rsid w:val="00D8555D"/>
    <w:rsid w:val="00D859B9"/>
    <w:rsid w:val="00D86CA1"/>
    <w:rsid w:val="00D86D0B"/>
    <w:rsid w:val="00D87193"/>
    <w:rsid w:val="00D87421"/>
    <w:rsid w:val="00D87C05"/>
    <w:rsid w:val="00D907AE"/>
    <w:rsid w:val="00D907B2"/>
    <w:rsid w:val="00D90B3B"/>
    <w:rsid w:val="00D90DD5"/>
    <w:rsid w:val="00D90DF8"/>
    <w:rsid w:val="00D910FC"/>
    <w:rsid w:val="00D9120C"/>
    <w:rsid w:val="00D913D9"/>
    <w:rsid w:val="00D91967"/>
    <w:rsid w:val="00D91D03"/>
    <w:rsid w:val="00D92841"/>
    <w:rsid w:val="00D929A2"/>
    <w:rsid w:val="00D9345A"/>
    <w:rsid w:val="00D93B5F"/>
    <w:rsid w:val="00D94072"/>
    <w:rsid w:val="00D94AC5"/>
    <w:rsid w:val="00D94CF1"/>
    <w:rsid w:val="00D94FBA"/>
    <w:rsid w:val="00D950F0"/>
    <w:rsid w:val="00D96870"/>
    <w:rsid w:val="00D96E84"/>
    <w:rsid w:val="00D972CB"/>
    <w:rsid w:val="00D978C9"/>
    <w:rsid w:val="00D97976"/>
    <w:rsid w:val="00DA0565"/>
    <w:rsid w:val="00DA11CF"/>
    <w:rsid w:val="00DA20DE"/>
    <w:rsid w:val="00DA2586"/>
    <w:rsid w:val="00DA2AD7"/>
    <w:rsid w:val="00DA3578"/>
    <w:rsid w:val="00DA3ADA"/>
    <w:rsid w:val="00DA3FB5"/>
    <w:rsid w:val="00DA498D"/>
    <w:rsid w:val="00DA5721"/>
    <w:rsid w:val="00DA59B3"/>
    <w:rsid w:val="00DA5C44"/>
    <w:rsid w:val="00DA5DF9"/>
    <w:rsid w:val="00DA6803"/>
    <w:rsid w:val="00DA689E"/>
    <w:rsid w:val="00DA6FE2"/>
    <w:rsid w:val="00DA7F16"/>
    <w:rsid w:val="00DA7F83"/>
    <w:rsid w:val="00DB012D"/>
    <w:rsid w:val="00DB031C"/>
    <w:rsid w:val="00DB0903"/>
    <w:rsid w:val="00DB0945"/>
    <w:rsid w:val="00DB0B82"/>
    <w:rsid w:val="00DB1241"/>
    <w:rsid w:val="00DB1378"/>
    <w:rsid w:val="00DB18FB"/>
    <w:rsid w:val="00DB192C"/>
    <w:rsid w:val="00DB2372"/>
    <w:rsid w:val="00DB2EC6"/>
    <w:rsid w:val="00DB3188"/>
    <w:rsid w:val="00DB33A7"/>
    <w:rsid w:val="00DB35FB"/>
    <w:rsid w:val="00DB3D01"/>
    <w:rsid w:val="00DB442E"/>
    <w:rsid w:val="00DB4ABA"/>
    <w:rsid w:val="00DB4CB2"/>
    <w:rsid w:val="00DB5E7F"/>
    <w:rsid w:val="00DB62E7"/>
    <w:rsid w:val="00DB6C3A"/>
    <w:rsid w:val="00DB7389"/>
    <w:rsid w:val="00DB7919"/>
    <w:rsid w:val="00DB7DA0"/>
    <w:rsid w:val="00DB7DCC"/>
    <w:rsid w:val="00DB7ED1"/>
    <w:rsid w:val="00DC0F93"/>
    <w:rsid w:val="00DC1366"/>
    <w:rsid w:val="00DC13FE"/>
    <w:rsid w:val="00DC1485"/>
    <w:rsid w:val="00DC1AAF"/>
    <w:rsid w:val="00DC21D6"/>
    <w:rsid w:val="00DC2954"/>
    <w:rsid w:val="00DC313E"/>
    <w:rsid w:val="00DC3D2F"/>
    <w:rsid w:val="00DC3E77"/>
    <w:rsid w:val="00DC5717"/>
    <w:rsid w:val="00DC59B2"/>
    <w:rsid w:val="00DC600C"/>
    <w:rsid w:val="00DC66E7"/>
    <w:rsid w:val="00DC6B8C"/>
    <w:rsid w:val="00DC7134"/>
    <w:rsid w:val="00DC71AC"/>
    <w:rsid w:val="00DC73CB"/>
    <w:rsid w:val="00DC7542"/>
    <w:rsid w:val="00DC76DA"/>
    <w:rsid w:val="00DC7920"/>
    <w:rsid w:val="00DC79C1"/>
    <w:rsid w:val="00DC7E4F"/>
    <w:rsid w:val="00DC7FE4"/>
    <w:rsid w:val="00DD01DA"/>
    <w:rsid w:val="00DD06B5"/>
    <w:rsid w:val="00DD07EF"/>
    <w:rsid w:val="00DD16D0"/>
    <w:rsid w:val="00DD17E8"/>
    <w:rsid w:val="00DD18AF"/>
    <w:rsid w:val="00DD1FD0"/>
    <w:rsid w:val="00DD243E"/>
    <w:rsid w:val="00DD2A85"/>
    <w:rsid w:val="00DD2B1E"/>
    <w:rsid w:val="00DD2CE0"/>
    <w:rsid w:val="00DD30B3"/>
    <w:rsid w:val="00DD34B7"/>
    <w:rsid w:val="00DD38BA"/>
    <w:rsid w:val="00DD3F1F"/>
    <w:rsid w:val="00DD3F7E"/>
    <w:rsid w:val="00DD4213"/>
    <w:rsid w:val="00DD532B"/>
    <w:rsid w:val="00DD5EE1"/>
    <w:rsid w:val="00DD5F10"/>
    <w:rsid w:val="00DD6174"/>
    <w:rsid w:val="00DD62BA"/>
    <w:rsid w:val="00DD6638"/>
    <w:rsid w:val="00DD752D"/>
    <w:rsid w:val="00DD7884"/>
    <w:rsid w:val="00DE0D33"/>
    <w:rsid w:val="00DE0E7E"/>
    <w:rsid w:val="00DE0EE4"/>
    <w:rsid w:val="00DE165A"/>
    <w:rsid w:val="00DE185A"/>
    <w:rsid w:val="00DE18D8"/>
    <w:rsid w:val="00DE1A2F"/>
    <w:rsid w:val="00DE2054"/>
    <w:rsid w:val="00DE2C80"/>
    <w:rsid w:val="00DE3A10"/>
    <w:rsid w:val="00DE3A31"/>
    <w:rsid w:val="00DE3E2C"/>
    <w:rsid w:val="00DE3F4D"/>
    <w:rsid w:val="00DE4656"/>
    <w:rsid w:val="00DE479F"/>
    <w:rsid w:val="00DE4A53"/>
    <w:rsid w:val="00DE4BBB"/>
    <w:rsid w:val="00DE4EC4"/>
    <w:rsid w:val="00DE59CA"/>
    <w:rsid w:val="00DE6171"/>
    <w:rsid w:val="00DE61A9"/>
    <w:rsid w:val="00DE6287"/>
    <w:rsid w:val="00DE67A5"/>
    <w:rsid w:val="00DE6948"/>
    <w:rsid w:val="00DE6A2C"/>
    <w:rsid w:val="00DE6DAA"/>
    <w:rsid w:val="00DE7850"/>
    <w:rsid w:val="00DE78EF"/>
    <w:rsid w:val="00DE7F1F"/>
    <w:rsid w:val="00DE7F22"/>
    <w:rsid w:val="00DF04EF"/>
    <w:rsid w:val="00DF0643"/>
    <w:rsid w:val="00DF07AD"/>
    <w:rsid w:val="00DF09FA"/>
    <w:rsid w:val="00DF1857"/>
    <w:rsid w:val="00DF196D"/>
    <w:rsid w:val="00DF1A8F"/>
    <w:rsid w:val="00DF1B6A"/>
    <w:rsid w:val="00DF22FE"/>
    <w:rsid w:val="00DF26BD"/>
    <w:rsid w:val="00DF2A15"/>
    <w:rsid w:val="00DF2A3D"/>
    <w:rsid w:val="00DF2C3E"/>
    <w:rsid w:val="00DF2C4A"/>
    <w:rsid w:val="00DF39A8"/>
    <w:rsid w:val="00DF3F7F"/>
    <w:rsid w:val="00DF4A55"/>
    <w:rsid w:val="00DF5494"/>
    <w:rsid w:val="00DF54F3"/>
    <w:rsid w:val="00DF572B"/>
    <w:rsid w:val="00DF5773"/>
    <w:rsid w:val="00DF57E7"/>
    <w:rsid w:val="00DF5EB1"/>
    <w:rsid w:val="00DF661E"/>
    <w:rsid w:val="00DF6826"/>
    <w:rsid w:val="00DF6927"/>
    <w:rsid w:val="00DF6F82"/>
    <w:rsid w:val="00DF7064"/>
    <w:rsid w:val="00DF73CB"/>
    <w:rsid w:val="00DF7936"/>
    <w:rsid w:val="00DF7A39"/>
    <w:rsid w:val="00DF7A7C"/>
    <w:rsid w:val="00DF7C10"/>
    <w:rsid w:val="00E004A3"/>
    <w:rsid w:val="00E005B0"/>
    <w:rsid w:val="00E00D84"/>
    <w:rsid w:val="00E00DF0"/>
    <w:rsid w:val="00E0143A"/>
    <w:rsid w:val="00E017C3"/>
    <w:rsid w:val="00E01B06"/>
    <w:rsid w:val="00E0233E"/>
    <w:rsid w:val="00E0241C"/>
    <w:rsid w:val="00E029DE"/>
    <w:rsid w:val="00E029F2"/>
    <w:rsid w:val="00E02BDE"/>
    <w:rsid w:val="00E02DBB"/>
    <w:rsid w:val="00E03555"/>
    <w:rsid w:val="00E0372F"/>
    <w:rsid w:val="00E03931"/>
    <w:rsid w:val="00E043ED"/>
    <w:rsid w:val="00E04B1B"/>
    <w:rsid w:val="00E04B38"/>
    <w:rsid w:val="00E04B75"/>
    <w:rsid w:val="00E05085"/>
    <w:rsid w:val="00E05613"/>
    <w:rsid w:val="00E05812"/>
    <w:rsid w:val="00E05852"/>
    <w:rsid w:val="00E05D93"/>
    <w:rsid w:val="00E05F65"/>
    <w:rsid w:val="00E074FD"/>
    <w:rsid w:val="00E07557"/>
    <w:rsid w:val="00E1060C"/>
    <w:rsid w:val="00E12614"/>
    <w:rsid w:val="00E127BA"/>
    <w:rsid w:val="00E12C76"/>
    <w:rsid w:val="00E13125"/>
    <w:rsid w:val="00E1374E"/>
    <w:rsid w:val="00E1393F"/>
    <w:rsid w:val="00E139AC"/>
    <w:rsid w:val="00E14327"/>
    <w:rsid w:val="00E14B59"/>
    <w:rsid w:val="00E14BC9"/>
    <w:rsid w:val="00E14F30"/>
    <w:rsid w:val="00E1641E"/>
    <w:rsid w:val="00E166FE"/>
    <w:rsid w:val="00E16C7B"/>
    <w:rsid w:val="00E17A5F"/>
    <w:rsid w:val="00E2014E"/>
    <w:rsid w:val="00E204CB"/>
    <w:rsid w:val="00E207E4"/>
    <w:rsid w:val="00E20E85"/>
    <w:rsid w:val="00E21162"/>
    <w:rsid w:val="00E21684"/>
    <w:rsid w:val="00E21898"/>
    <w:rsid w:val="00E21DAF"/>
    <w:rsid w:val="00E21E57"/>
    <w:rsid w:val="00E22460"/>
    <w:rsid w:val="00E224D9"/>
    <w:rsid w:val="00E22CEE"/>
    <w:rsid w:val="00E22D00"/>
    <w:rsid w:val="00E23724"/>
    <w:rsid w:val="00E23A02"/>
    <w:rsid w:val="00E24415"/>
    <w:rsid w:val="00E246AF"/>
    <w:rsid w:val="00E249DC"/>
    <w:rsid w:val="00E256FD"/>
    <w:rsid w:val="00E25AD3"/>
    <w:rsid w:val="00E25C01"/>
    <w:rsid w:val="00E264D3"/>
    <w:rsid w:val="00E26637"/>
    <w:rsid w:val="00E26A81"/>
    <w:rsid w:val="00E271E9"/>
    <w:rsid w:val="00E27256"/>
    <w:rsid w:val="00E27455"/>
    <w:rsid w:val="00E275C1"/>
    <w:rsid w:val="00E27A63"/>
    <w:rsid w:val="00E27D18"/>
    <w:rsid w:val="00E27E81"/>
    <w:rsid w:val="00E3095C"/>
    <w:rsid w:val="00E30DE8"/>
    <w:rsid w:val="00E31A0B"/>
    <w:rsid w:val="00E3203B"/>
    <w:rsid w:val="00E3248B"/>
    <w:rsid w:val="00E325E7"/>
    <w:rsid w:val="00E33030"/>
    <w:rsid w:val="00E3324F"/>
    <w:rsid w:val="00E33311"/>
    <w:rsid w:val="00E33994"/>
    <w:rsid w:val="00E33C06"/>
    <w:rsid w:val="00E34291"/>
    <w:rsid w:val="00E3450E"/>
    <w:rsid w:val="00E34777"/>
    <w:rsid w:val="00E3539D"/>
    <w:rsid w:val="00E357E6"/>
    <w:rsid w:val="00E35A28"/>
    <w:rsid w:val="00E36099"/>
    <w:rsid w:val="00E366CA"/>
    <w:rsid w:val="00E366E6"/>
    <w:rsid w:val="00E367D1"/>
    <w:rsid w:val="00E37510"/>
    <w:rsid w:val="00E37F4A"/>
    <w:rsid w:val="00E40322"/>
    <w:rsid w:val="00E403E3"/>
    <w:rsid w:val="00E407C3"/>
    <w:rsid w:val="00E4088D"/>
    <w:rsid w:val="00E40D51"/>
    <w:rsid w:val="00E40F68"/>
    <w:rsid w:val="00E40FBE"/>
    <w:rsid w:val="00E41A03"/>
    <w:rsid w:val="00E41A43"/>
    <w:rsid w:val="00E42005"/>
    <w:rsid w:val="00E422D0"/>
    <w:rsid w:val="00E42341"/>
    <w:rsid w:val="00E428C4"/>
    <w:rsid w:val="00E42BE7"/>
    <w:rsid w:val="00E42FEB"/>
    <w:rsid w:val="00E43B93"/>
    <w:rsid w:val="00E44716"/>
    <w:rsid w:val="00E44E94"/>
    <w:rsid w:val="00E452EB"/>
    <w:rsid w:val="00E45333"/>
    <w:rsid w:val="00E456E6"/>
    <w:rsid w:val="00E45BDE"/>
    <w:rsid w:val="00E468E3"/>
    <w:rsid w:val="00E46A8D"/>
    <w:rsid w:val="00E46D34"/>
    <w:rsid w:val="00E46FED"/>
    <w:rsid w:val="00E476A8"/>
    <w:rsid w:val="00E477D9"/>
    <w:rsid w:val="00E4794D"/>
    <w:rsid w:val="00E47C32"/>
    <w:rsid w:val="00E50888"/>
    <w:rsid w:val="00E50992"/>
    <w:rsid w:val="00E50EF6"/>
    <w:rsid w:val="00E51BE9"/>
    <w:rsid w:val="00E51DD9"/>
    <w:rsid w:val="00E51FD6"/>
    <w:rsid w:val="00E52549"/>
    <w:rsid w:val="00E52FEA"/>
    <w:rsid w:val="00E53128"/>
    <w:rsid w:val="00E535F6"/>
    <w:rsid w:val="00E53C27"/>
    <w:rsid w:val="00E53D77"/>
    <w:rsid w:val="00E54A61"/>
    <w:rsid w:val="00E54AAD"/>
    <w:rsid w:val="00E553F6"/>
    <w:rsid w:val="00E555B7"/>
    <w:rsid w:val="00E55602"/>
    <w:rsid w:val="00E55FE3"/>
    <w:rsid w:val="00E564BC"/>
    <w:rsid w:val="00E56916"/>
    <w:rsid w:val="00E56A2E"/>
    <w:rsid w:val="00E571A5"/>
    <w:rsid w:val="00E57895"/>
    <w:rsid w:val="00E57EA7"/>
    <w:rsid w:val="00E6008D"/>
    <w:rsid w:val="00E6037B"/>
    <w:rsid w:val="00E606A5"/>
    <w:rsid w:val="00E60773"/>
    <w:rsid w:val="00E62344"/>
    <w:rsid w:val="00E626C7"/>
    <w:rsid w:val="00E62B7D"/>
    <w:rsid w:val="00E62B9A"/>
    <w:rsid w:val="00E62CBF"/>
    <w:rsid w:val="00E6352C"/>
    <w:rsid w:val="00E63AA0"/>
    <w:rsid w:val="00E6431B"/>
    <w:rsid w:val="00E6462E"/>
    <w:rsid w:val="00E649A5"/>
    <w:rsid w:val="00E65124"/>
    <w:rsid w:val="00E651DB"/>
    <w:rsid w:val="00E6551E"/>
    <w:rsid w:val="00E65520"/>
    <w:rsid w:val="00E656F5"/>
    <w:rsid w:val="00E66160"/>
    <w:rsid w:val="00E662C1"/>
    <w:rsid w:val="00E66F5D"/>
    <w:rsid w:val="00E67004"/>
    <w:rsid w:val="00E67034"/>
    <w:rsid w:val="00E67FC4"/>
    <w:rsid w:val="00E710B9"/>
    <w:rsid w:val="00E71809"/>
    <w:rsid w:val="00E72166"/>
    <w:rsid w:val="00E72BB8"/>
    <w:rsid w:val="00E72D4E"/>
    <w:rsid w:val="00E73AA5"/>
    <w:rsid w:val="00E741EF"/>
    <w:rsid w:val="00E7505C"/>
    <w:rsid w:val="00E753E9"/>
    <w:rsid w:val="00E7641C"/>
    <w:rsid w:val="00E76577"/>
    <w:rsid w:val="00E76DBC"/>
    <w:rsid w:val="00E77375"/>
    <w:rsid w:val="00E80985"/>
    <w:rsid w:val="00E80B33"/>
    <w:rsid w:val="00E80B47"/>
    <w:rsid w:val="00E80C81"/>
    <w:rsid w:val="00E8111E"/>
    <w:rsid w:val="00E81625"/>
    <w:rsid w:val="00E81759"/>
    <w:rsid w:val="00E81ACD"/>
    <w:rsid w:val="00E81D5A"/>
    <w:rsid w:val="00E81F4A"/>
    <w:rsid w:val="00E81F86"/>
    <w:rsid w:val="00E82275"/>
    <w:rsid w:val="00E823A8"/>
    <w:rsid w:val="00E825BD"/>
    <w:rsid w:val="00E82614"/>
    <w:rsid w:val="00E82712"/>
    <w:rsid w:val="00E831F1"/>
    <w:rsid w:val="00E83893"/>
    <w:rsid w:val="00E83A9E"/>
    <w:rsid w:val="00E83BBC"/>
    <w:rsid w:val="00E83CF5"/>
    <w:rsid w:val="00E845FA"/>
    <w:rsid w:val="00E84AAE"/>
    <w:rsid w:val="00E85569"/>
    <w:rsid w:val="00E85A11"/>
    <w:rsid w:val="00E85B2B"/>
    <w:rsid w:val="00E85DB9"/>
    <w:rsid w:val="00E86248"/>
    <w:rsid w:val="00E875D3"/>
    <w:rsid w:val="00E87656"/>
    <w:rsid w:val="00E87844"/>
    <w:rsid w:val="00E911D1"/>
    <w:rsid w:val="00E9194D"/>
    <w:rsid w:val="00E91FF3"/>
    <w:rsid w:val="00E93541"/>
    <w:rsid w:val="00E93751"/>
    <w:rsid w:val="00E94AFC"/>
    <w:rsid w:val="00E95DF7"/>
    <w:rsid w:val="00E95EA6"/>
    <w:rsid w:val="00E964A5"/>
    <w:rsid w:val="00E96902"/>
    <w:rsid w:val="00E96EAA"/>
    <w:rsid w:val="00E97083"/>
    <w:rsid w:val="00E971F7"/>
    <w:rsid w:val="00E977BD"/>
    <w:rsid w:val="00E9792E"/>
    <w:rsid w:val="00EA0259"/>
    <w:rsid w:val="00EA073D"/>
    <w:rsid w:val="00EA0CF2"/>
    <w:rsid w:val="00EA12FD"/>
    <w:rsid w:val="00EA1324"/>
    <w:rsid w:val="00EA1590"/>
    <w:rsid w:val="00EA18A3"/>
    <w:rsid w:val="00EA19EC"/>
    <w:rsid w:val="00EA1ED1"/>
    <w:rsid w:val="00EA25DD"/>
    <w:rsid w:val="00EA26D4"/>
    <w:rsid w:val="00EA2C3A"/>
    <w:rsid w:val="00EA3099"/>
    <w:rsid w:val="00EA3819"/>
    <w:rsid w:val="00EA445B"/>
    <w:rsid w:val="00EA4DA2"/>
    <w:rsid w:val="00EA521C"/>
    <w:rsid w:val="00EA573C"/>
    <w:rsid w:val="00EA5D82"/>
    <w:rsid w:val="00EA6364"/>
    <w:rsid w:val="00EA6387"/>
    <w:rsid w:val="00EA6EF7"/>
    <w:rsid w:val="00EA7930"/>
    <w:rsid w:val="00EB0030"/>
    <w:rsid w:val="00EB0069"/>
    <w:rsid w:val="00EB0813"/>
    <w:rsid w:val="00EB095C"/>
    <w:rsid w:val="00EB0BE0"/>
    <w:rsid w:val="00EB0FA8"/>
    <w:rsid w:val="00EB1E1F"/>
    <w:rsid w:val="00EB1F80"/>
    <w:rsid w:val="00EB20DC"/>
    <w:rsid w:val="00EB216A"/>
    <w:rsid w:val="00EB232F"/>
    <w:rsid w:val="00EB2D09"/>
    <w:rsid w:val="00EB3387"/>
    <w:rsid w:val="00EB36D2"/>
    <w:rsid w:val="00EB38AF"/>
    <w:rsid w:val="00EB4221"/>
    <w:rsid w:val="00EB4399"/>
    <w:rsid w:val="00EB4427"/>
    <w:rsid w:val="00EB4433"/>
    <w:rsid w:val="00EB48D1"/>
    <w:rsid w:val="00EB4A6E"/>
    <w:rsid w:val="00EB4FA7"/>
    <w:rsid w:val="00EB559D"/>
    <w:rsid w:val="00EB56D9"/>
    <w:rsid w:val="00EB5B98"/>
    <w:rsid w:val="00EB5DDA"/>
    <w:rsid w:val="00EB5F06"/>
    <w:rsid w:val="00EB6424"/>
    <w:rsid w:val="00EB6DEE"/>
    <w:rsid w:val="00EB6F71"/>
    <w:rsid w:val="00EB74A2"/>
    <w:rsid w:val="00EB7BDD"/>
    <w:rsid w:val="00EB7DC6"/>
    <w:rsid w:val="00EB7F6C"/>
    <w:rsid w:val="00EB7F83"/>
    <w:rsid w:val="00EC005A"/>
    <w:rsid w:val="00EC020A"/>
    <w:rsid w:val="00EC0214"/>
    <w:rsid w:val="00EC0879"/>
    <w:rsid w:val="00EC0ED9"/>
    <w:rsid w:val="00EC131A"/>
    <w:rsid w:val="00EC1D72"/>
    <w:rsid w:val="00EC20D4"/>
    <w:rsid w:val="00EC3837"/>
    <w:rsid w:val="00EC3872"/>
    <w:rsid w:val="00EC3986"/>
    <w:rsid w:val="00EC3B00"/>
    <w:rsid w:val="00EC4459"/>
    <w:rsid w:val="00EC4567"/>
    <w:rsid w:val="00EC48BA"/>
    <w:rsid w:val="00EC4A31"/>
    <w:rsid w:val="00EC4CFA"/>
    <w:rsid w:val="00EC53BC"/>
    <w:rsid w:val="00EC58BA"/>
    <w:rsid w:val="00EC5B06"/>
    <w:rsid w:val="00EC5BC8"/>
    <w:rsid w:val="00EC5BCA"/>
    <w:rsid w:val="00EC5C84"/>
    <w:rsid w:val="00EC5DFF"/>
    <w:rsid w:val="00EC5F17"/>
    <w:rsid w:val="00EC6688"/>
    <w:rsid w:val="00EC6B1A"/>
    <w:rsid w:val="00EC6C1F"/>
    <w:rsid w:val="00EC6DD0"/>
    <w:rsid w:val="00EC7F1B"/>
    <w:rsid w:val="00ED04AF"/>
    <w:rsid w:val="00ED0677"/>
    <w:rsid w:val="00ED0D3B"/>
    <w:rsid w:val="00ED0F66"/>
    <w:rsid w:val="00ED161E"/>
    <w:rsid w:val="00ED1626"/>
    <w:rsid w:val="00ED1C0A"/>
    <w:rsid w:val="00ED28C6"/>
    <w:rsid w:val="00ED4818"/>
    <w:rsid w:val="00ED4BA7"/>
    <w:rsid w:val="00ED5A5C"/>
    <w:rsid w:val="00ED5A8B"/>
    <w:rsid w:val="00ED5BF2"/>
    <w:rsid w:val="00ED5C24"/>
    <w:rsid w:val="00ED5EF9"/>
    <w:rsid w:val="00ED678D"/>
    <w:rsid w:val="00ED6B01"/>
    <w:rsid w:val="00ED6D16"/>
    <w:rsid w:val="00ED6D98"/>
    <w:rsid w:val="00ED7925"/>
    <w:rsid w:val="00EE027B"/>
    <w:rsid w:val="00EE093C"/>
    <w:rsid w:val="00EE0E8F"/>
    <w:rsid w:val="00EE1438"/>
    <w:rsid w:val="00EE1932"/>
    <w:rsid w:val="00EE1B9C"/>
    <w:rsid w:val="00EE1D01"/>
    <w:rsid w:val="00EE1D22"/>
    <w:rsid w:val="00EE2924"/>
    <w:rsid w:val="00EE30CC"/>
    <w:rsid w:val="00EE32E1"/>
    <w:rsid w:val="00EE3F1E"/>
    <w:rsid w:val="00EE4237"/>
    <w:rsid w:val="00EE43AD"/>
    <w:rsid w:val="00EE4637"/>
    <w:rsid w:val="00EE4D09"/>
    <w:rsid w:val="00EE552D"/>
    <w:rsid w:val="00EE5CB5"/>
    <w:rsid w:val="00EE6265"/>
    <w:rsid w:val="00EE6F0B"/>
    <w:rsid w:val="00EE6F3F"/>
    <w:rsid w:val="00EE7785"/>
    <w:rsid w:val="00EE7986"/>
    <w:rsid w:val="00EF0D24"/>
    <w:rsid w:val="00EF12C8"/>
    <w:rsid w:val="00EF2135"/>
    <w:rsid w:val="00EF24F9"/>
    <w:rsid w:val="00EF2840"/>
    <w:rsid w:val="00EF2CFA"/>
    <w:rsid w:val="00EF36C9"/>
    <w:rsid w:val="00EF379E"/>
    <w:rsid w:val="00EF3C93"/>
    <w:rsid w:val="00EF4480"/>
    <w:rsid w:val="00EF461E"/>
    <w:rsid w:val="00EF472F"/>
    <w:rsid w:val="00EF4942"/>
    <w:rsid w:val="00EF4B98"/>
    <w:rsid w:val="00EF4D3D"/>
    <w:rsid w:val="00EF4EE1"/>
    <w:rsid w:val="00EF67E5"/>
    <w:rsid w:val="00EF6B13"/>
    <w:rsid w:val="00EF6B18"/>
    <w:rsid w:val="00F003AF"/>
    <w:rsid w:val="00F003CC"/>
    <w:rsid w:val="00F01C8E"/>
    <w:rsid w:val="00F02D7D"/>
    <w:rsid w:val="00F0333D"/>
    <w:rsid w:val="00F03879"/>
    <w:rsid w:val="00F039B0"/>
    <w:rsid w:val="00F03DDF"/>
    <w:rsid w:val="00F04198"/>
    <w:rsid w:val="00F043A1"/>
    <w:rsid w:val="00F04F43"/>
    <w:rsid w:val="00F050CC"/>
    <w:rsid w:val="00F05211"/>
    <w:rsid w:val="00F05F23"/>
    <w:rsid w:val="00F075C5"/>
    <w:rsid w:val="00F078AA"/>
    <w:rsid w:val="00F10B27"/>
    <w:rsid w:val="00F11484"/>
    <w:rsid w:val="00F1177E"/>
    <w:rsid w:val="00F12402"/>
    <w:rsid w:val="00F128E5"/>
    <w:rsid w:val="00F1303B"/>
    <w:rsid w:val="00F1326A"/>
    <w:rsid w:val="00F13323"/>
    <w:rsid w:val="00F13FCA"/>
    <w:rsid w:val="00F1402C"/>
    <w:rsid w:val="00F1464A"/>
    <w:rsid w:val="00F14A88"/>
    <w:rsid w:val="00F156F2"/>
    <w:rsid w:val="00F157B4"/>
    <w:rsid w:val="00F16325"/>
    <w:rsid w:val="00F16615"/>
    <w:rsid w:val="00F2059D"/>
    <w:rsid w:val="00F21464"/>
    <w:rsid w:val="00F21535"/>
    <w:rsid w:val="00F2181F"/>
    <w:rsid w:val="00F21F42"/>
    <w:rsid w:val="00F2222F"/>
    <w:rsid w:val="00F22431"/>
    <w:rsid w:val="00F225D0"/>
    <w:rsid w:val="00F22EDA"/>
    <w:rsid w:val="00F23A8A"/>
    <w:rsid w:val="00F242CB"/>
    <w:rsid w:val="00F2432E"/>
    <w:rsid w:val="00F243F8"/>
    <w:rsid w:val="00F24B20"/>
    <w:rsid w:val="00F24F2B"/>
    <w:rsid w:val="00F2530E"/>
    <w:rsid w:val="00F25655"/>
    <w:rsid w:val="00F25B13"/>
    <w:rsid w:val="00F25FF8"/>
    <w:rsid w:val="00F26086"/>
    <w:rsid w:val="00F261D0"/>
    <w:rsid w:val="00F27470"/>
    <w:rsid w:val="00F2771B"/>
    <w:rsid w:val="00F303AD"/>
    <w:rsid w:val="00F305DC"/>
    <w:rsid w:val="00F306A8"/>
    <w:rsid w:val="00F3083D"/>
    <w:rsid w:val="00F30D62"/>
    <w:rsid w:val="00F3129F"/>
    <w:rsid w:val="00F315E6"/>
    <w:rsid w:val="00F31BE1"/>
    <w:rsid w:val="00F32768"/>
    <w:rsid w:val="00F3311F"/>
    <w:rsid w:val="00F33BA9"/>
    <w:rsid w:val="00F33CC6"/>
    <w:rsid w:val="00F34097"/>
    <w:rsid w:val="00F340CA"/>
    <w:rsid w:val="00F348B7"/>
    <w:rsid w:val="00F34D87"/>
    <w:rsid w:val="00F34F90"/>
    <w:rsid w:val="00F352DC"/>
    <w:rsid w:val="00F35E88"/>
    <w:rsid w:val="00F3659D"/>
    <w:rsid w:val="00F36A1A"/>
    <w:rsid w:val="00F3729D"/>
    <w:rsid w:val="00F37445"/>
    <w:rsid w:val="00F374CB"/>
    <w:rsid w:val="00F3764A"/>
    <w:rsid w:val="00F378B8"/>
    <w:rsid w:val="00F40B2F"/>
    <w:rsid w:val="00F41089"/>
    <w:rsid w:val="00F411D1"/>
    <w:rsid w:val="00F41740"/>
    <w:rsid w:val="00F41CFD"/>
    <w:rsid w:val="00F41DC9"/>
    <w:rsid w:val="00F41E92"/>
    <w:rsid w:val="00F41FE8"/>
    <w:rsid w:val="00F42105"/>
    <w:rsid w:val="00F421BF"/>
    <w:rsid w:val="00F427B6"/>
    <w:rsid w:val="00F42B59"/>
    <w:rsid w:val="00F433EE"/>
    <w:rsid w:val="00F4345F"/>
    <w:rsid w:val="00F438D8"/>
    <w:rsid w:val="00F43FA2"/>
    <w:rsid w:val="00F43FA5"/>
    <w:rsid w:val="00F4413D"/>
    <w:rsid w:val="00F4429D"/>
    <w:rsid w:val="00F4445D"/>
    <w:rsid w:val="00F44550"/>
    <w:rsid w:val="00F44882"/>
    <w:rsid w:val="00F44DB1"/>
    <w:rsid w:val="00F45039"/>
    <w:rsid w:val="00F4523B"/>
    <w:rsid w:val="00F4596B"/>
    <w:rsid w:val="00F45A2E"/>
    <w:rsid w:val="00F45B28"/>
    <w:rsid w:val="00F46006"/>
    <w:rsid w:val="00F461DA"/>
    <w:rsid w:val="00F46EB8"/>
    <w:rsid w:val="00F47262"/>
    <w:rsid w:val="00F503A3"/>
    <w:rsid w:val="00F51131"/>
    <w:rsid w:val="00F51206"/>
    <w:rsid w:val="00F5121E"/>
    <w:rsid w:val="00F516F7"/>
    <w:rsid w:val="00F51927"/>
    <w:rsid w:val="00F52751"/>
    <w:rsid w:val="00F528C0"/>
    <w:rsid w:val="00F52B5C"/>
    <w:rsid w:val="00F52E8D"/>
    <w:rsid w:val="00F52EAD"/>
    <w:rsid w:val="00F530A5"/>
    <w:rsid w:val="00F5438D"/>
    <w:rsid w:val="00F54579"/>
    <w:rsid w:val="00F547A8"/>
    <w:rsid w:val="00F54878"/>
    <w:rsid w:val="00F54CE8"/>
    <w:rsid w:val="00F551A5"/>
    <w:rsid w:val="00F5524B"/>
    <w:rsid w:val="00F554F7"/>
    <w:rsid w:val="00F55745"/>
    <w:rsid w:val="00F55E94"/>
    <w:rsid w:val="00F55EA1"/>
    <w:rsid w:val="00F56A9C"/>
    <w:rsid w:val="00F57228"/>
    <w:rsid w:val="00F573EB"/>
    <w:rsid w:val="00F5781E"/>
    <w:rsid w:val="00F60C9F"/>
    <w:rsid w:val="00F61449"/>
    <w:rsid w:val="00F61C70"/>
    <w:rsid w:val="00F61E6B"/>
    <w:rsid w:val="00F63150"/>
    <w:rsid w:val="00F634B6"/>
    <w:rsid w:val="00F63588"/>
    <w:rsid w:val="00F6359F"/>
    <w:rsid w:val="00F635D0"/>
    <w:rsid w:val="00F636DB"/>
    <w:rsid w:val="00F63B9B"/>
    <w:rsid w:val="00F63E9A"/>
    <w:rsid w:val="00F63EF0"/>
    <w:rsid w:val="00F64AEC"/>
    <w:rsid w:val="00F64FB7"/>
    <w:rsid w:val="00F64FCE"/>
    <w:rsid w:val="00F653C1"/>
    <w:rsid w:val="00F6562B"/>
    <w:rsid w:val="00F656B1"/>
    <w:rsid w:val="00F65712"/>
    <w:rsid w:val="00F65AC6"/>
    <w:rsid w:val="00F664ED"/>
    <w:rsid w:val="00F6660D"/>
    <w:rsid w:val="00F666CB"/>
    <w:rsid w:val="00F66AA6"/>
    <w:rsid w:val="00F67208"/>
    <w:rsid w:val="00F674CF"/>
    <w:rsid w:val="00F67651"/>
    <w:rsid w:val="00F701FA"/>
    <w:rsid w:val="00F70257"/>
    <w:rsid w:val="00F704FD"/>
    <w:rsid w:val="00F7068F"/>
    <w:rsid w:val="00F70A66"/>
    <w:rsid w:val="00F70C12"/>
    <w:rsid w:val="00F72913"/>
    <w:rsid w:val="00F72C63"/>
    <w:rsid w:val="00F72C64"/>
    <w:rsid w:val="00F72F32"/>
    <w:rsid w:val="00F72FD0"/>
    <w:rsid w:val="00F730F2"/>
    <w:rsid w:val="00F73773"/>
    <w:rsid w:val="00F740E1"/>
    <w:rsid w:val="00F7496B"/>
    <w:rsid w:val="00F757C5"/>
    <w:rsid w:val="00F76020"/>
    <w:rsid w:val="00F7658A"/>
    <w:rsid w:val="00F768C1"/>
    <w:rsid w:val="00F76E49"/>
    <w:rsid w:val="00F76FB5"/>
    <w:rsid w:val="00F779A5"/>
    <w:rsid w:val="00F77C6E"/>
    <w:rsid w:val="00F80096"/>
    <w:rsid w:val="00F804D2"/>
    <w:rsid w:val="00F81645"/>
    <w:rsid w:val="00F829E9"/>
    <w:rsid w:val="00F83011"/>
    <w:rsid w:val="00F83050"/>
    <w:rsid w:val="00F832AC"/>
    <w:rsid w:val="00F833E0"/>
    <w:rsid w:val="00F843D5"/>
    <w:rsid w:val="00F8471B"/>
    <w:rsid w:val="00F84EF2"/>
    <w:rsid w:val="00F8596F"/>
    <w:rsid w:val="00F85B2A"/>
    <w:rsid w:val="00F8617D"/>
    <w:rsid w:val="00F87324"/>
    <w:rsid w:val="00F87EC8"/>
    <w:rsid w:val="00F9036D"/>
    <w:rsid w:val="00F903A1"/>
    <w:rsid w:val="00F90436"/>
    <w:rsid w:val="00F9085F"/>
    <w:rsid w:val="00F90E47"/>
    <w:rsid w:val="00F90F85"/>
    <w:rsid w:val="00F91015"/>
    <w:rsid w:val="00F91247"/>
    <w:rsid w:val="00F91250"/>
    <w:rsid w:val="00F91AD4"/>
    <w:rsid w:val="00F91DEF"/>
    <w:rsid w:val="00F922E3"/>
    <w:rsid w:val="00F9322E"/>
    <w:rsid w:val="00F93544"/>
    <w:rsid w:val="00F93B6A"/>
    <w:rsid w:val="00F9502B"/>
    <w:rsid w:val="00F955C0"/>
    <w:rsid w:val="00F959F8"/>
    <w:rsid w:val="00F96B6A"/>
    <w:rsid w:val="00F96EFC"/>
    <w:rsid w:val="00F9758B"/>
    <w:rsid w:val="00F9763E"/>
    <w:rsid w:val="00F97C1C"/>
    <w:rsid w:val="00FA0157"/>
    <w:rsid w:val="00FA0A8C"/>
    <w:rsid w:val="00FA0D4C"/>
    <w:rsid w:val="00FA16CB"/>
    <w:rsid w:val="00FA1B79"/>
    <w:rsid w:val="00FA1F63"/>
    <w:rsid w:val="00FA20CF"/>
    <w:rsid w:val="00FA2207"/>
    <w:rsid w:val="00FA2284"/>
    <w:rsid w:val="00FA262E"/>
    <w:rsid w:val="00FA2B69"/>
    <w:rsid w:val="00FA2BE9"/>
    <w:rsid w:val="00FA3C28"/>
    <w:rsid w:val="00FA4432"/>
    <w:rsid w:val="00FA4799"/>
    <w:rsid w:val="00FA508B"/>
    <w:rsid w:val="00FA6239"/>
    <w:rsid w:val="00FA764D"/>
    <w:rsid w:val="00FA7BF7"/>
    <w:rsid w:val="00FB06E6"/>
    <w:rsid w:val="00FB11FE"/>
    <w:rsid w:val="00FB14DA"/>
    <w:rsid w:val="00FB17B4"/>
    <w:rsid w:val="00FB258F"/>
    <w:rsid w:val="00FB2642"/>
    <w:rsid w:val="00FB2919"/>
    <w:rsid w:val="00FB2E7A"/>
    <w:rsid w:val="00FB326F"/>
    <w:rsid w:val="00FB3636"/>
    <w:rsid w:val="00FB3E4D"/>
    <w:rsid w:val="00FB45A8"/>
    <w:rsid w:val="00FB5D6B"/>
    <w:rsid w:val="00FB5E98"/>
    <w:rsid w:val="00FB6036"/>
    <w:rsid w:val="00FB6594"/>
    <w:rsid w:val="00FB661D"/>
    <w:rsid w:val="00FB6C51"/>
    <w:rsid w:val="00FB6EBD"/>
    <w:rsid w:val="00FB6EC6"/>
    <w:rsid w:val="00FB76F2"/>
    <w:rsid w:val="00FB7981"/>
    <w:rsid w:val="00FB7E1A"/>
    <w:rsid w:val="00FC0313"/>
    <w:rsid w:val="00FC05EE"/>
    <w:rsid w:val="00FC07F9"/>
    <w:rsid w:val="00FC0F07"/>
    <w:rsid w:val="00FC1B63"/>
    <w:rsid w:val="00FC218A"/>
    <w:rsid w:val="00FC224F"/>
    <w:rsid w:val="00FC27F0"/>
    <w:rsid w:val="00FC2893"/>
    <w:rsid w:val="00FC2933"/>
    <w:rsid w:val="00FC2E57"/>
    <w:rsid w:val="00FC2E8E"/>
    <w:rsid w:val="00FC319F"/>
    <w:rsid w:val="00FC3A6F"/>
    <w:rsid w:val="00FC3BB4"/>
    <w:rsid w:val="00FC460D"/>
    <w:rsid w:val="00FC66A4"/>
    <w:rsid w:val="00FC6855"/>
    <w:rsid w:val="00FC6A86"/>
    <w:rsid w:val="00FC6BE3"/>
    <w:rsid w:val="00FC734D"/>
    <w:rsid w:val="00FC756C"/>
    <w:rsid w:val="00FC761C"/>
    <w:rsid w:val="00FC7CC5"/>
    <w:rsid w:val="00FD04AA"/>
    <w:rsid w:val="00FD0914"/>
    <w:rsid w:val="00FD176B"/>
    <w:rsid w:val="00FD1DC4"/>
    <w:rsid w:val="00FD27A8"/>
    <w:rsid w:val="00FD2CBC"/>
    <w:rsid w:val="00FD2D03"/>
    <w:rsid w:val="00FD35BA"/>
    <w:rsid w:val="00FD3FF2"/>
    <w:rsid w:val="00FD40FD"/>
    <w:rsid w:val="00FD4D1A"/>
    <w:rsid w:val="00FD5010"/>
    <w:rsid w:val="00FD52FD"/>
    <w:rsid w:val="00FD53EF"/>
    <w:rsid w:val="00FD5755"/>
    <w:rsid w:val="00FD5F53"/>
    <w:rsid w:val="00FD69AC"/>
    <w:rsid w:val="00FD6B2D"/>
    <w:rsid w:val="00FD6EDC"/>
    <w:rsid w:val="00FD70CE"/>
    <w:rsid w:val="00FD7913"/>
    <w:rsid w:val="00FE0071"/>
    <w:rsid w:val="00FE00E0"/>
    <w:rsid w:val="00FE0E13"/>
    <w:rsid w:val="00FE0E6E"/>
    <w:rsid w:val="00FE1200"/>
    <w:rsid w:val="00FE1482"/>
    <w:rsid w:val="00FE1625"/>
    <w:rsid w:val="00FE18F9"/>
    <w:rsid w:val="00FE2072"/>
    <w:rsid w:val="00FE2845"/>
    <w:rsid w:val="00FE2F90"/>
    <w:rsid w:val="00FE302C"/>
    <w:rsid w:val="00FE34DD"/>
    <w:rsid w:val="00FE4A32"/>
    <w:rsid w:val="00FE4D50"/>
    <w:rsid w:val="00FE51FB"/>
    <w:rsid w:val="00FE529A"/>
    <w:rsid w:val="00FE5CE1"/>
    <w:rsid w:val="00FE5D7E"/>
    <w:rsid w:val="00FE60C1"/>
    <w:rsid w:val="00FE625E"/>
    <w:rsid w:val="00FE6F81"/>
    <w:rsid w:val="00FE75AE"/>
    <w:rsid w:val="00FE78A5"/>
    <w:rsid w:val="00FE79FA"/>
    <w:rsid w:val="00FE7AC2"/>
    <w:rsid w:val="00FE7DE5"/>
    <w:rsid w:val="00FF0884"/>
    <w:rsid w:val="00FF0F54"/>
    <w:rsid w:val="00FF0FF1"/>
    <w:rsid w:val="00FF126A"/>
    <w:rsid w:val="00FF1540"/>
    <w:rsid w:val="00FF1DBC"/>
    <w:rsid w:val="00FF2ABB"/>
    <w:rsid w:val="00FF2C11"/>
    <w:rsid w:val="00FF3256"/>
    <w:rsid w:val="00FF34D0"/>
    <w:rsid w:val="00FF39B8"/>
    <w:rsid w:val="00FF3E8A"/>
    <w:rsid w:val="00FF47ED"/>
    <w:rsid w:val="00FF583F"/>
    <w:rsid w:val="00FF58AE"/>
    <w:rsid w:val="00FF5DBE"/>
    <w:rsid w:val="00FF71A3"/>
    <w:rsid w:val="00FF7C07"/>
    <w:rsid w:val="00FF7E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11282"/>
  <w15:chartTrackingRefBased/>
  <w15:docId w15:val="{BD239EBD-01D1-4800-ADB8-B6D6C1525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B48"/>
  </w:style>
  <w:style w:type="paragraph" w:styleId="Heading1">
    <w:name w:val="heading 1"/>
    <w:basedOn w:val="Normal"/>
    <w:next w:val="Normal"/>
    <w:link w:val="Heading1Char"/>
    <w:uiPriority w:val="9"/>
    <w:qFormat/>
    <w:rsid w:val="00C9513B"/>
    <w:pPr>
      <w:numPr>
        <w:numId w:val="18"/>
      </w:numPr>
      <w:spacing w:before="240" w:after="0" w:line="276" w:lineRule="auto"/>
      <w:ind w:left="360"/>
      <w:jc w:val="both"/>
      <w:outlineLvl w:val="0"/>
    </w:pPr>
    <w:rPr>
      <w:rFonts w:ascii="Times New Roman" w:hAnsi="Times New Roman" w:cs="Times New Roman"/>
      <w:b/>
      <w:bCs/>
      <w:szCs w:val="28"/>
    </w:rPr>
  </w:style>
  <w:style w:type="paragraph" w:styleId="Heading2">
    <w:name w:val="heading 2"/>
    <w:basedOn w:val="Normal"/>
    <w:next w:val="Normal"/>
    <w:link w:val="Heading2Char"/>
    <w:uiPriority w:val="9"/>
    <w:unhideWhenUsed/>
    <w:qFormat/>
    <w:rsid w:val="00D04302"/>
    <w:pPr>
      <w:numPr>
        <w:ilvl w:val="1"/>
        <w:numId w:val="18"/>
      </w:numPr>
      <w:spacing w:after="0" w:line="240" w:lineRule="auto"/>
      <w:ind w:left="360"/>
      <w:jc w:val="both"/>
      <w:outlineLvl w:val="1"/>
    </w:pPr>
    <w:rPr>
      <w:rFonts w:ascii="Times New Roman" w:hAnsi="Times New Roman" w:cs="Times New Roman"/>
      <w:b/>
      <w:bCs/>
    </w:rPr>
  </w:style>
  <w:style w:type="paragraph" w:styleId="Heading3">
    <w:name w:val="heading 3"/>
    <w:basedOn w:val="Normal"/>
    <w:next w:val="Normal"/>
    <w:link w:val="Heading3Char"/>
    <w:uiPriority w:val="9"/>
    <w:unhideWhenUsed/>
    <w:qFormat/>
    <w:rsid w:val="00252729"/>
    <w:pPr>
      <w:numPr>
        <w:ilvl w:val="2"/>
        <w:numId w:val="18"/>
      </w:numPr>
      <w:spacing w:line="276" w:lineRule="auto"/>
      <w:outlineLvl w:val="2"/>
    </w:pPr>
    <w:rPr>
      <w:rFonts w:ascii="Times New Roman" w:hAnsi="Times New Roman" w:cs="Times New Roman"/>
      <w:b/>
      <w:bCs/>
      <w:i/>
      <w:iCs/>
    </w:rPr>
  </w:style>
  <w:style w:type="paragraph" w:styleId="Heading4">
    <w:name w:val="heading 4"/>
    <w:basedOn w:val="Normal"/>
    <w:next w:val="Normal"/>
    <w:link w:val="Heading4Char"/>
    <w:uiPriority w:val="9"/>
    <w:semiHidden/>
    <w:unhideWhenUsed/>
    <w:qFormat/>
    <w:rsid w:val="009B41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41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41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41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41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41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13B"/>
    <w:rPr>
      <w:rFonts w:ascii="Times New Roman" w:hAnsi="Times New Roman" w:cs="Times New Roman"/>
      <w:b/>
      <w:bCs/>
      <w:szCs w:val="28"/>
    </w:rPr>
  </w:style>
  <w:style w:type="character" w:customStyle="1" w:styleId="Heading2Char">
    <w:name w:val="Heading 2 Char"/>
    <w:basedOn w:val="DefaultParagraphFont"/>
    <w:link w:val="Heading2"/>
    <w:uiPriority w:val="9"/>
    <w:rsid w:val="00D04302"/>
    <w:rPr>
      <w:rFonts w:ascii="Times New Roman" w:hAnsi="Times New Roman" w:cs="Times New Roman"/>
      <w:b/>
      <w:bCs/>
    </w:rPr>
  </w:style>
  <w:style w:type="character" w:customStyle="1" w:styleId="Heading3Char">
    <w:name w:val="Heading 3 Char"/>
    <w:basedOn w:val="DefaultParagraphFont"/>
    <w:link w:val="Heading3"/>
    <w:uiPriority w:val="9"/>
    <w:rsid w:val="00252729"/>
    <w:rPr>
      <w:rFonts w:ascii="Times New Roman" w:hAnsi="Times New Roman" w:cs="Times New Roman"/>
      <w:b/>
      <w:bCs/>
      <w:i/>
      <w:iCs/>
    </w:rPr>
  </w:style>
  <w:style w:type="character" w:customStyle="1" w:styleId="Heading4Char">
    <w:name w:val="Heading 4 Char"/>
    <w:basedOn w:val="DefaultParagraphFont"/>
    <w:link w:val="Heading4"/>
    <w:uiPriority w:val="9"/>
    <w:semiHidden/>
    <w:rsid w:val="009B4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1B8"/>
    <w:rPr>
      <w:rFonts w:eastAsiaTheme="majorEastAsia" w:cstheme="majorBidi"/>
      <w:color w:val="272727" w:themeColor="text1" w:themeTint="D8"/>
    </w:rPr>
  </w:style>
  <w:style w:type="paragraph" w:styleId="Title">
    <w:name w:val="Title"/>
    <w:basedOn w:val="Normal"/>
    <w:next w:val="Normal"/>
    <w:link w:val="TitleChar"/>
    <w:uiPriority w:val="10"/>
    <w:qFormat/>
    <w:rsid w:val="009B41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4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1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4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1B8"/>
    <w:pPr>
      <w:spacing w:before="160"/>
      <w:jc w:val="center"/>
    </w:pPr>
    <w:rPr>
      <w:i/>
      <w:iCs/>
      <w:color w:val="404040" w:themeColor="text1" w:themeTint="BF"/>
    </w:rPr>
  </w:style>
  <w:style w:type="character" w:customStyle="1" w:styleId="QuoteChar">
    <w:name w:val="Quote Char"/>
    <w:basedOn w:val="DefaultParagraphFont"/>
    <w:link w:val="Quote"/>
    <w:uiPriority w:val="29"/>
    <w:rsid w:val="009B41B8"/>
    <w:rPr>
      <w:i/>
      <w:iCs/>
      <w:color w:val="404040" w:themeColor="text1" w:themeTint="BF"/>
    </w:rPr>
  </w:style>
  <w:style w:type="paragraph" w:styleId="ListParagraph">
    <w:name w:val="List Paragraph"/>
    <w:basedOn w:val="Normal"/>
    <w:uiPriority w:val="34"/>
    <w:qFormat/>
    <w:rsid w:val="009B41B8"/>
    <w:pPr>
      <w:ind w:left="720"/>
      <w:contextualSpacing/>
    </w:pPr>
  </w:style>
  <w:style w:type="character" w:styleId="IntenseEmphasis">
    <w:name w:val="Intense Emphasis"/>
    <w:basedOn w:val="DefaultParagraphFont"/>
    <w:uiPriority w:val="21"/>
    <w:qFormat/>
    <w:rsid w:val="009B41B8"/>
    <w:rPr>
      <w:i/>
      <w:iCs/>
      <w:color w:val="0F4761" w:themeColor="accent1" w:themeShade="BF"/>
    </w:rPr>
  </w:style>
  <w:style w:type="paragraph" w:styleId="IntenseQuote">
    <w:name w:val="Intense Quote"/>
    <w:basedOn w:val="Normal"/>
    <w:next w:val="Normal"/>
    <w:link w:val="IntenseQuoteChar"/>
    <w:uiPriority w:val="30"/>
    <w:qFormat/>
    <w:rsid w:val="009B41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41B8"/>
    <w:rPr>
      <w:i/>
      <w:iCs/>
      <w:color w:val="0F4761" w:themeColor="accent1" w:themeShade="BF"/>
    </w:rPr>
  </w:style>
  <w:style w:type="character" w:styleId="IntenseReference">
    <w:name w:val="Intense Reference"/>
    <w:basedOn w:val="DefaultParagraphFont"/>
    <w:uiPriority w:val="32"/>
    <w:qFormat/>
    <w:rsid w:val="009B41B8"/>
    <w:rPr>
      <w:b/>
      <w:bCs/>
      <w:smallCaps/>
      <w:color w:val="0F4761" w:themeColor="accent1" w:themeShade="BF"/>
      <w:spacing w:val="5"/>
    </w:rPr>
  </w:style>
  <w:style w:type="paragraph" w:styleId="Header">
    <w:name w:val="header"/>
    <w:basedOn w:val="Normal"/>
    <w:link w:val="HeaderChar"/>
    <w:uiPriority w:val="99"/>
    <w:unhideWhenUsed/>
    <w:rsid w:val="004F1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C87"/>
  </w:style>
  <w:style w:type="paragraph" w:styleId="Footer">
    <w:name w:val="footer"/>
    <w:basedOn w:val="Normal"/>
    <w:link w:val="FooterChar"/>
    <w:uiPriority w:val="99"/>
    <w:unhideWhenUsed/>
    <w:rsid w:val="004F1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C87"/>
  </w:style>
  <w:style w:type="paragraph" w:styleId="Bibliography">
    <w:name w:val="Bibliography"/>
    <w:basedOn w:val="Normal"/>
    <w:next w:val="Normal"/>
    <w:uiPriority w:val="37"/>
    <w:unhideWhenUsed/>
    <w:rsid w:val="00A112BF"/>
    <w:pPr>
      <w:spacing w:after="0" w:line="480" w:lineRule="auto"/>
      <w:ind w:left="720" w:hanging="720"/>
    </w:pPr>
    <w:rPr>
      <w:rFonts w:ascii="Times New Roman" w:hAnsi="Times New Roman"/>
      <w:sz w:val="20"/>
    </w:rPr>
  </w:style>
  <w:style w:type="character" w:styleId="CommentReference">
    <w:name w:val="annotation reference"/>
    <w:basedOn w:val="DefaultParagraphFont"/>
    <w:uiPriority w:val="99"/>
    <w:semiHidden/>
    <w:unhideWhenUsed/>
    <w:rsid w:val="000A70C8"/>
    <w:rPr>
      <w:sz w:val="16"/>
      <w:szCs w:val="16"/>
    </w:rPr>
  </w:style>
  <w:style w:type="paragraph" w:styleId="CommentText">
    <w:name w:val="annotation text"/>
    <w:basedOn w:val="Normal"/>
    <w:link w:val="CommentTextChar"/>
    <w:uiPriority w:val="99"/>
    <w:unhideWhenUsed/>
    <w:rsid w:val="000A70C8"/>
    <w:pPr>
      <w:spacing w:line="240" w:lineRule="auto"/>
    </w:pPr>
    <w:rPr>
      <w:sz w:val="20"/>
      <w:szCs w:val="20"/>
    </w:rPr>
  </w:style>
  <w:style w:type="character" w:customStyle="1" w:styleId="CommentTextChar">
    <w:name w:val="Comment Text Char"/>
    <w:basedOn w:val="DefaultParagraphFont"/>
    <w:link w:val="CommentText"/>
    <w:uiPriority w:val="99"/>
    <w:rsid w:val="000A70C8"/>
    <w:rPr>
      <w:sz w:val="20"/>
      <w:szCs w:val="20"/>
    </w:rPr>
  </w:style>
  <w:style w:type="paragraph" w:styleId="CommentSubject">
    <w:name w:val="annotation subject"/>
    <w:basedOn w:val="CommentText"/>
    <w:next w:val="CommentText"/>
    <w:link w:val="CommentSubjectChar"/>
    <w:uiPriority w:val="99"/>
    <w:semiHidden/>
    <w:unhideWhenUsed/>
    <w:rsid w:val="000A70C8"/>
    <w:rPr>
      <w:b/>
      <w:bCs/>
    </w:rPr>
  </w:style>
  <w:style w:type="character" w:customStyle="1" w:styleId="CommentSubjectChar">
    <w:name w:val="Comment Subject Char"/>
    <w:basedOn w:val="CommentTextChar"/>
    <w:link w:val="CommentSubject"/>
    <w:uiPriority w:val="99"/>
    <w:semiHidden/>
    <w:rsid w:val="000A70C8"/>
    <w:rPr>
      <w:b/>
      <w:bCs/>
      <w:sz w:val="20"/>
      <w:szCs w:val="20"/>
    </w:rPr>
  </w:style>
  <w:style w:type="character" w:styleId="Hyperlink">
    <w:name w:val="Hyperlink"/>
    <w:basedOn w:val="DefaultParagraphFont"/>
    <w:uiPriority w:val="99"/>
    <w:unhideWhenUsed/>
    <w:rsid w:val="006531A8"/>
    <w:rPr>
      <w:color w:val="467886" w:themeColor="hyperlink"/>
      <w:u w:val="single"/>
    </w:rPr>
  </w:style>
  <w:style w:type="character" w:styleId="UnresolvedMention">
    <w:name w:val="Unresolved Mention"/>
    <w:basedOn w:val="DefaultParagraphFont"/>
    <w:uiPriority w:val="99"/>
    <w:semiHidden/>
    <w:unhideWhenUsed/>
    <w:rsid w:val="006531A8"/>
    <w:rPr>
      <w:color w:val="605E5C"/>
      <w:shd w:val="clear" w:color="auto" w:fill="E1DFDD"/>
    </w:rPr>
  </w:style>
  <w:style w:type="paragraph" w:styleId="NormalWeb">
    <w:name w:val="Normal (Web)"/>
    <w:basedOn w:val="Normal"/>
    <w:uiPriority w:val="99"/>
    <w:unhideWhenUsed/>
    <w:rsid w:val="00851BB9"/>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39"/>
    <w:rsid w:val="00C05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333B5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TMLPreformatted">
    <w:name w:val="HTML Preformatted"/>
    <w:basedOn w:val="Normal"/>
    <w:link w:val="HTMLPreformattedChar"/>
    <w:uiPriority w:val="99"/>
    <w:unhideWhenUsed/>
    <w:rsid w:val="00350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350D8B"/>
    <w:rPr>
      <w:rFonts w:ascii="Courier New" w:eastAsia="Times New Roman" w:hAnsi="Courier New" w:cs="Courier New"/>
      <w:kern w:val="0"/>
      <w:sz w:val="20"/>
      <w:szCs w:val="20"/>
      <w14:ligatures w14:val="none"/>
    </w:rPr>
  </w:style>
  <w:style w:type="character" w:customStyle="1" w:styleId="gntyacmbo3b">
    <w:name w:val="gntyacmbo3b"/>
    <w:basedOn w:val="DefaultParagraphFont"/>
    <w:rsid w:val="00350D8B"/>
  </w:style>
  <w:style w:type="character" w:styleId="FollowedHyperlink">
    <w:name w:val="FollowedHyperlink"/>
    <w:basedOn w:val="DefaultParagraphFont"/>
    <w:uiPriority w:val="99"/>
    <w:semiHidden/>
    <w:unhideWhenUsed/>
    <w:rsid w:val="005676C0"/>
    <w:rPr>
      <w:color w:val="96607D" w:themeColor="followedHyperlink"/>
      <w:u w:val="single"/>
    </w:rPr>
  </w:style>
  <w:style w:type="paragraph" w:styleId="Caption">
    <w:name w:val="caption"/>
    <w:basedOn w:val="Normal"/>
    <w:next w:val="Normal"/>
    <w:uiPriority w:val="35"/>
    <w:unhideWhenUsed/>
    <w:qFormat/>
    <w:rsid w:val="008F3BE9"/>
    <w:pPr>
      <w:spacing w:after="200" w:line="240" w:lineRule="auto"/>
    </w:pPr>
    <w:rPr>
      <w:i/>
      <w:iCs/>
      <w:color w:val="0E2841" w:themeColor="text2"/>
      <w:sz w:val="18"/>
      <w:szCs w:val="18"/>
    </w:rPr>
  </w:style>
  <w:style w:type="paragraph" w:styleId="Revision">
    <w:name w:val="Revision"/>
    <w:hidden/>
    <w:uiPriority w:val="99"/>
    <w:semiHidden/>
    <w:rsid w:val="005549DB"/>
    <w:pPr>
      <w:spacing w:after="0" w:line="240" w:lineRule="auto"/>
    </w:pPr>
  </w:style>
  <w:style w:type="character" w:customStyle="1" w:styleId="fontstyle01">
    <w:name w:val="fontstyle01"/>
    <w:basedOn w:val="DefaultParagraphFont"/>
    <w:rsid w:val="00620422"/>
    <w:rPr>
      <w:rFonts w:ascii="TimesNewRomanPS-BoldMT" w:hAnsi="TimesNewRomanPS-BoldMT" w:hint="default"/>
      <w:b/>
      <w:bCs/>
      <w:i w:val="0"/>
      <w:iCs w:val="0"/>
      <w:color w:val="000000"/>
      <w:sz w:val="20"/>
      <w:szCs w:val="20"/>
    </w:rPr>
  </w:style>
  <w:style w:type="character" w:customStyle="1" w:styleId="katex-mathml">
    <w:name w:val="katex-mathml"/>
    <w:basedOn w:val="DefaultParagraphFont"/>
    <w:rsid w:val="00FE5D7E"/>
  </w:style>
  <w:style w:type="character" w:customStyle="1" w:styleId="mord">
    <w:name w:val="mord"/>
    <w:basedOn w:val="DefaultParagraphFont"/>
    <w:rsid w:val="00FE5D7E"/>
  </w:style>
  <w:style w:type="character" w:customStyle="1" w:styleId="vlist-s">
    <w:name w:val="vlist-s"/>
    <w:basedOn w:val="DefaultParagraphFont"/>
    <w:rsid w:val="00FE5D7E"/>
  </w:style>
  <w:style w:type="character" w:customStyle="1" w:styleId="mrel">
    <w:name w:val="mrel"/>
    <w:basedOn w:val="DefaultParagraphFont"/>
    <w:rsid w:val="00FE5D7E"/>
  </w:style>
  <w:style w:type="character" w:customStyle="1" w:styleId="mbin">
    <w:name w:val="mbin"/>
    <w:basedOn w:val="DefaultParagraphFont"/>
    <w:rsid w:val="00FE5D7E"/>
  </w:style>
  <w:style w:type="character" w:styleId="HTMLCode">
    <w:name w:val="HTML Code"/>
    <w:basedOn w:val="DefaultParagraphFont"/>
    <w:uiPriority w:val="99"/>
    <w:semiHidden/>
    <w:unhideWhenUsed/>
    <w:rsid w:val="00FE5D7E"/>
    <w:rPr>
      <w:rFonts w:ascii="Courier New" w:eastAsia="Times New Roman" w:hAnsi="Courier New" w:cs="Courier New"/>
      <w:sz w:val="20"/>
      <w:szCs w:val="20"/>
    </w:rPr>
  </w:style>
  <w:style w:type="character" w:styleId="PlaceholderText">
    <w:name w:val="Placeholder Text"/>
    <w:basedOn w:val="DefaultParagraphFont"/>
    <w:uiPriority w:val="99"/>
    <w:semiHidden/>
    <w:rsid w:val="0013414D"/>
    <w:rPr>
      <w:color w:val="808080"/>
    </w:rPr>
  </w:style>
  <w:style w:type="character" w:styleId="Strong">
    <w:name w:val="Strong"/>
    <w:basedOn w:val="DefaultParagraphFont"/>
    <w:uiPriority w:val="22"/>
    <w:qFormat/>
    <w:rsid w:val="003160C0"/>
    <w:rPr>
      <w:b/>
      <w:bCs/>
    </w:rPr>
  </w:style>
  <w:style w:type="character" w:customStyle="1" w:styleId="mopen">
    <w:name w:val="mopen"/>
    <w:basedOn w:val="DefaultParagraphFont"/>
    <w:rsid w:val="00B03CDF"/>
  </w:style>
  <w:style w:type="character" w:customStyle="1" w:styleId="mclose">
    <w:name w:val="mclose"/>
    <w:basedOn w:val="DefaultParagraphFont"/>
    <w:rsid w:val="00B03CDF"/>
  </w:style>
  <w:style w:type="character" w:customStyle="1" w:styleId="mpunct">
    <w:name w:val="mpunct"/>
    <w:basedOn w:val="DefaultParagraphFont"/>
    <w:rsid w:val="002F73FC"/>
  </w:style>
  <w:style w:type="character" w:customStyle="1" w:styleId="MTEquationSection">
    <w:name w:val="MTEquationSection"/>
    <w:basedOn w:val="DefaultParagraphFont"/>
    <w:rsid w:val="00A303EF"/>
    <w:rPr>
      <w:vanish/>
      <w:color w:val="FF0000"/>
    </w:rPr>
  </w:style>
  <w:style w:type="paragraph" w:customStyle="1" w:styleId="MTDisplayEquation">
    <w:name w:val="MTDisplayEquation"/>
    <w:basedOn w:val="Normal"/>
    <w:next w:val="Normal"/>
    <w:link w:val="MTDisplayEquationChar"/>
    <w:rsid w:val="00A303EF"/>
    <w:pPr>
      <w:tabs>
        <w:tab w:val="center" w:pos="4680"/>
        <w:tab w:val="right" w:pos="9360"/>
      </w:tabs>
      <w:spacing w:before="100" w:beforeAutospacing="1" w:after="100" w:afterAutospacing="1" w:line="276" w:lineRule="auto"/>
      <w:jc w:val="both"/>
    </w:pPr>
    <w:rPr>
      <w:rFonts w:ascii="Times New Roman" w:hAnsi="Times New Roman" w:cs="Times New Roman"/>
    </w:rPr>
  </w:style>
  <w:style w:type="character" w:customStyle="1" w:styleId="MTDisplayEquationChar">
    <w:name w:val="MTDisplayEquation Char"/>
    <w:basedOn w:val="DefaultParagraphFont"/>
    <w:link w:val="MTDisplayEquation"/>
    <w:rsid w:val="00A303EF"/>
    <w:rPr>
      <w:rFonts w:ascii="Times New Roman" w:hAnsi="Times New Roman" w:cs="Times New Roman"/>
    </w:rPr>
  </w:style>
  <w:style w:type="paragraph" w:customStyle="1" w:styleId="paragraph">
    <w:name w:val="paragraph"/>
    <w:basedOn w:val="Normal"/>
    <w:rsid w:val="0067706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77068"/>
  </w:style>
  <w:style w:type="character" w:customStyle="1" w:styleId="eop">
    <w:name w:val="eop"/>
    <w:basedOn w:val="DefaultParagraphFont"/>
    <w:rsid w:val="00677068"/>
  </w:style>
  <w:style w:type="paragraph" w:styleId="FootnoteText">
    <w:name w:val="footnote text"/>
    <w:basedOn w:val="Normal"/>
    <w:link w:val="FootnoteTextChar"/>
    <w:uiPriority w:val="99"/>
    <w:semiHidden/>
    <w:unhideWhenUsed/>
    <w:rsid w:val="004E4C2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4C2A"/>
    <w:rPr>
      <w:sz w:val="20"/>
      <w:szCs w:val="20"/>
    </w:rPr>
  </w:style>
  <w:style w:type="character" w:styleId="FootnoteReference">
    <w:name w:val="footnote reference"/>
    <w:basedOn w:val="DefaultParagraphFont"/>
    <w:uiPriority w:val="99"/>
    <w:semiHidden/>
    <w:unhideWhenUsed/>
    <w:rsid w:val="004E4C2A"/>
    <w:rPr>
      <w:vertAlign w:val="superscript"/>
    </w:rPr>
  </w:style>
  <w:style w:type="table" w:styleId="PlainTable4">
    <w:name w:val="Plain Table 4"/>
    <w:basedOn w:val="TableNormal"/>
    <w:uiPriority w:val="44"/>
    <w:rsid w:val="005D3D5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D3D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41">
    <w:name w:val="Plain Table 41"/>
    <w:basedOn w:val="TableNormal"/>
    <w:next w:val="PlainTable4"/>
    <w:uiPriority w:val="44"/>
    <w:rsid w:val="00563E97"/>
    <w:pPr>
      <w:spacing w:after="0" w:line="240" w:lineRule="auto"/>
    </w:pPr>
    <w:rPr>
      <w:kern w:val="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Emphasis">
    <w:name w:val="Emphasis"/>
    <w:basedOn w:val="DefaultParagraphFont"/>
    <w:uiPriority w:val="20"/>
    <w:qFormat/>
    <w:rsid w:val="00FF58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3677">
      <w:bodyDiv w:val="1"/>
      <w:marLeft w:val="0"/>
      <w:marRight w:val="0"/>
      <w:marTop w:val="0"/>
      <w:marBottom w:val="0"/>
      <w:divBdr>
        <w:top w:val="none" w:sz="0" w:space="0" w:color="auto"/>
        <w:left w:val="none" w:sz="0" w:space="0" w:color="auto"/>
        <w:bottom w:val="none" w:sz="0" w:space="0" w:color="auto"/>
        <w:right w:val="none" w:sz="0" w:space="0" w:color="auto"/>
      </w:divBdr>
    </w:div>
    <w:div w:id="22487653">
      <w:bodyDiv w:val="1"/>
      <w:marLeft w:val="0"/>
      <w:marRight w:val="0"/>
      <w:marTop w:val="0"/>
      <w:marBottom w:val="0"/>
      <w:divBdr>
        <w:top w:val="none" w:sz="0" w:space="0" w:color="auto"/>
        <w:left w:val="none" w:sz="0" w:space="0" w:color="auto"/>
        <w:bottom w:val="none" w:sz="0" w:space="0" w:color="auto"/>
        <w:right w:val="none" w:sz="0" w:space="0" w:color="auto"/>
      </w:divBdr>
    </w:div>
    <w:div w:id="33774341">
      <w:bodyDiv w:val="1"/>
      <w:marLeft w:val="0"/>
      <w:marRight w:val="0"/>
      <w:marTop w:val="0"/>
      <w:marBottom w:val="0"/>
      <w:divBdr>
        <w:top w:val="none" w:sz="0" w:space="0" w:color="auto"/>
        <w:left w:val="none" w:sz="0" w:space="0" w:color="auto"/>
        <w:bottom w:val="none" w:sz="0" w:space="0" w:color="auto"/>
        <w:right w:val="none" w:sz="0" w:space="0" w:color="auto"/>
      </w:divBdr>
    </w:div>
    <w:div w:id="34889501">
      <w:bodyDiv w:val="1"/>
      <w:marLeft w:val="0"/>
      <w:marRight w:val="0"/>
      <w:marTop w:val="0"/>
      <w:marBottom w:val="0"/>
      <w:divBdr>
        <w:top w:val="none" w:sz="0" w:space="0" w:color="auto"/>
        <w:left w:val="none" w:sz="0" w:space="0" w:color="auto"/>
        <w:bottom w:val="none" w:sz="0" w:space="0" w:color="auto"/>
        <w:right w:val="none" w:sz="0" w:space="0" w:color="auto"/>
      </w:divBdr>
    </w:div>
    <w:div w:id="35203540">
      <w:bodyDiv w:val="1"/>
      <w:marLeft w:val="0"/>
      <w:marRight w:val="0"/>
      <w:marTop w:val="0"/>
      <w:marBottom w:val="0"/>
      <w:divBdr>
        <w:top w:val="none" w:sz="0" w:space="0" w:color="auto"/>
        <w:left w:val="none" w:sz="0" w:space="0" w:color="auto"/>
        <w:bottom w:val="none" w:sz="0" w:space="0" w:color="auto"/>
        <w:right w:val="none" w:sz="0" w:space="0" w:color="auto"/>
      </w:divBdr>
    </w:div>
    <w:div w:id="59525636">
      <w:bodyDiv w:val="1"/>
      <w:marLeft w:val="0"/>
      <w:marRight w:val="0"/>
      <w:marTop w:val="0"/>
      <w:marBottom w:val="0"/>
      <w:divBdr>
        <w:top w:val="none" w:sz="0" w:space="0" w:color="auto"/>
        <w:left w:val="none" w:sz="0" w:space="0" w:color="auto"/>
        <w:bottom w:val="none" w:sz="0" w:space="0" w:color="auto"/>
        <w:right w:val="none" w:sz="0" w:space="0" w:color="auto"/>
      </w:divBdr>
      <w:divsChild>
        <w:div w:id="792166162">
          <w:marLeft w:val="0"/>
          <w:marRight w:val="0"/>
          <w:marTop w:val="0"/>
          <w:marBottom w:val="0"/>
          <w:divBdr>
            <w:top w:val="none" w:sz="0" w:space="0" w:color="auto"/>
            <w:left w:val="none" w:sz="0" w:space="0" w:color="auto"/>
            <w:bottom w:val="none" w:sz="0" w:space="0" w:color="auto"/>
            <w:right w:val="none" w:sz="0" w:space="0" w:color="auto"/>
          </w:divBdr>
          <w:divsChild>
            <w:div w:id="22633800">
              <w:marLeft w:val="0"/>
              <w:marRight w:val="0"/>
              <w:marTop w:val="0"/>
              <w:marBottom w:val="0"/>
              <w:divBdr>
                <w:top w:val="none" w:sz="0" w:space="0" w:color="auto"/>
                <w:left w:val="none" w:sz="0" w:space="0" w:color="auto"/>
                <w:bottom w:val="none" w:sz="0" w:space="0" w:color="auto"/>
                <w:right w:val="none" w:sz="0" w:space="0" w:color="auto"/>
              </w:divBdr>
              <w:divsChild>
                <w:div w:id="1689020266">
                  <w:marLeft w:val="0"/>
                  <w:marRight w:val="0"/>
                  <w:marTop w:val="0"/>
                  <w:marBottom w:val="0"/>
                  <w:divBdr>
                    <w:top w:val="none" w:sz="0" w:space="0" w:color="auto"/>
                    <w:left w:val="none" w:sz="0" w:space="0" w:color="auto"/>
                    <w:bottom w:val="none" w:sz="0" w:space="0" w:color="auto"/>
                    <w:right w:val="none" w:sz="0" w:space="0" w:color="auto"/>
                  </w:divBdr>
                  <w:divsChild>
                    <w:div w:id="1178351572">
                      <w:marLeft w:val="0"/>
                      <w:marRight w:val="0"/>
                      <w:marTop w:val="0"/>
                      <w:marBottom w:val="0"/>
                      <w:divBdr>
                        <w:top w:val="none" w:sz="0" w:space="0" w:color="auto"/>
                        <w:left w:val="none" w:sz="0" w:space="0" w:color="auto"/>
                        <w:bottom w:val="none" w:sz="0" w:space="0" w:color="auto"/>
                        <w:right w:val="none" w:sz="0" w:space="0" w:color="auto"/>
                      </w:divBdr>
                      <w:divsChild>
                        <w:div w:id="851721352">
                          <w:marLeft w:val="0"/>
                          <w:marRight w:val="0"/>
                          <w:marTop w:val="0"/>
                          <w:marBottom w:val="0"/>
                          <w:divBdr>
                            <w:top w:val="none" w:sz="0" w:space="0" w:color="auto"/>
                            <w:left w:val="none" w:sz="0" w:space="0" w:color="auto"/>
                            <w:bottom w:val="none" w:sz="0" w:space="0" w:color="auto"/>
                            <w:right w:val="none" w:sz="0" w:space="0" w:color="auto"/>
                          </w:divBdr>
                          <w:divsChild>
                            <w:div w:id="284625345">
                              <w:marLeft w:val="0"/>
                              <w:marRight w:val="0"/>
                              <w:marTop w:val="0"/>
                              <w:marBottom w:val="0"/>
                              <w:divBdr>
                                <w:top w:val="none" w:sz="0" w:space="0" w:color="auto"/>
                                <w:left w:val="none" w:sz="0" w:space="0" w:color="auto"/>
                                <w:bottom w:val="none" w:sz="0" w:space="0" w:color="auto"/>
                                <w:right w:val="none" w:sz="0" w:space="0" w:color="auto"/>
                              </w:divBdr>
                              <w:divsChild>
                                <w:div w:id="1623069501">
                                  <w:marLeft w:val="0"/>
                                  <w:marRight w:val="0"/>
                                  <w:marTop w:val="0"/>
                                  <w:marBottom w:val="0"/>
                                  <w:divBdr>
                                    <w:top w:val="none" w:sz="0" w:space="0" w:color="auto"/>
                                    <w:left w:val="none" w:sz="0" w:space="0" w:color="auto"/>
                                    <w:bottom w:val="none" w:sz="0" w:space="0" w:color="auto"/>
                                    <w:right w:val="none" w:sz="0" w:space="0" w:color="auto"/>
                                  </w:divBdr>
                                  <w:divsChild>
                                    <w:div w:id="1182548632">
                                      <w:marLeft w:val="0"/>
                                      <w:marRight w:val="0"/>
                                      <w:marTop w:val="0"/>
                                      <w:marBottom w:val="0"/>
                                      <w:divBdr>
                                        <w:top w:val="none" w:sz="0" w:space="0" w:color="auto"/>
                                        <w:left w:val="none" w:sz="0" w:space="0" w:color="auto"/>
                                        <w:bottom w:val="none" w:sz="0" w:space="0" w:color="auto"/>
                                        <w:right w:val="none" w:sz="0" w:space="0" w:color="auto"/>
                                      </w:divBdr>
                                      <w:divsChild>
                                        <w:div w:id="65877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596910">
      <w:bodyDiv w:val="1"/>
      <w:marLeft w:val="0"/>
      <w:marRight w:val="0"/>
      <w:marTop w:val="0"/>
      <w:marBottom w:val="0"/>
      <w:divBdr>
        <w:top w:val="none" w:sz="0" w:space="0" w:color="auto"/>
        <w:left w:val="none" w:sz="0" w:space="0" w:color="auto"/>
        <w:bottom w:val="none" w:sz="0" w:space="0" w:color="auto"/>
        <w:right w:val="none" w:sz="0" w:space="0" w:color="auto"/>
      </w:divBdr>
    </w:div>
    <w:div w:id="81534603">
      <w:bodyDiv w:val="1"/>
      <w:marLeft w:val="0"/>
      <w:marRight w:val="0"/>
      <w:marTop w:val="0"/>
      <w:marBottom w:val="0"/>
      <w:divBdr>
        <w:top w:val="none" w:sz="0" w:space="0" w:color="auto"/>
        <w:left w:val="none" w:sz="0" w:space="0" w:color="auto"/>
        <w:bottom w:val="none" w:sz="0" w:space="0" w:color="auto"/>
        <w:right w:val="none" w:sz="0" w:space="0" w:color="auto"/>
      </w:divBdr>
    </w:div>
    <w:div w:id="105857941">
      <w:bodyDiv w:val="1"/>
      <w:marLeft w:val="0"/>
      <w:marRight w:val="0"/>
      <w:marTop w:val="0"/>
      <w:marBottom w:val="0"/>
      <w:divBdr>
        <w:top w:val="none" w:sz="0" w:space="0" w:color="auto"/>
        <w:left w:val="none" w:sz="0" w:space="0" w:color="auto"/>
        <w:bottom w:val="none" w:sz="0" w:space="0" w:color="auto"/>
        <w:right w:val="none" w:sz="0" w:space="0" w:color="auto"/>
      </w:divBdr>
    </w:div>
    <w:div w:id="109126719">
      <w:bodyDiv w:val="1"/>
      <w:marLeft w:val="0"/>
      <w:marRight w:val="0"/>
      <w:marTop w:val="0"/>
      <w:marBottom w:val="0"/>
      <w:divBdr>
        <w:top w:val="none" w:sz="0" w:space="0" w:color="auto"/>
        <w:left w:val="none" w:sz="0" w:space="0" w:color="auto"/>
        <w:bottom w:val="none" w:sz="0" w:space="0" w:color="auto"/>
        <w:right w:val="none" w:sz="0" w:space="0" w:color="auto"/>
      </w:divBdr>
    </w:div>
    <w:div w:id="113718027">
      <w:bodyDiv w:val="1"/>
      <w:marLeft w:val="0"/>
      <w:marRight w:val="0"/>
      <w:marTop w:val="0"/>
      <w:marBottom w:val="0"/>
      <w:divBdr>
        <w:top w:val="none" w:sz="0" w:space="0" w:color="auto"/>
        <w:left w:val="none" w:sz="0" w:space="0" w:color="auto"/>
        <w:bottom w:val="none" w:sz="0" w:space="0" w:color="auto"/>
        <w:right w:val="none" w:sz="0" w:space="0" w:color="auto"/>
      </w:divBdr>
    </w:div>
    <w:div w:id="116022942">
      <w:bodyDiv w:val="1"/>
      <w:marLeft w:val="0"/>
      <w:marRight w:val="0"/>
      <w:marTop w:val="0"/>
      <w:marBottom w:val="0"/>
      <w:divBdr>
        <w:top w:val="none" w:sz="0" w:space="0" w:color="auto"/>
        <w:left w:val="none" w:sz="0" w:space="0" w:color="auto"/>
        <w:bottom w:val="none" w:sz="0" w:space="0" w:color="auto"/>
        <w:right w:val="none" w:sz="0" w:space="0" w:color="auto"/>
      </w:divBdr>
    </w:div>
    <w:div w:id="118575476">
      <w:bodyDiv w:val="1"/>
      <w:marLeft w:val="0"/>
      <w:marRight w:val="0"/>
      <w:marTop w:val="0"/>
      <w:marBottom w:val="0"/>
      <w:divBdr>
        <w:top w:val="none" w:sz="0" w:space="0" w:color="auto"/>
        <w:left w:val="none" w:sz="0" w:space="0" w:color="auto"/>
        <w:bottom w:val="none" w:sz="0" w:space="0" w:color="auto"/>
        <w:right w:val="none" w:sz="0" w:space="0" w:color="auto"/>
      </w:divBdr>
    </w:div>
    <w:div w:id="125896410">
      <w:bodyDiv w:val="1"/>
      <w:marLeft w:val="0"/>
      <w:marRight w:val="0"/>
      <w:marTop w:val="0"/>
      <w:marBottom w:val="0"/>
      <w:divBdr>
        <w:top w:val="none" w:sz="0" w:space="0" w:color="auto"/>
        <w:left w:val="none" w:sz="0" w:space="0" w:color="auto"/>
        <w:bottom w:val="none" w:sz="0" w:space="0" w:color="auto"/>
        <w:right w:val="none" w:sz="0" w:space="0" w:color="auto"/>
      </w:divBdr>
    </w:div>
    <w:div w:id="126317250">
      <w:bodyDiv w:val="1"/>
      <w:marLeft w:val="0"/>
      <w:marRight w:val="0"/>
      <w:marTop w:val="0"/>
      <w:marBottom w:val="0"/>
      <w:divBdr>
        <w:top w:val="none" w:sz="0" w:space="0" w:color="auto"/>
        <w:left w:val="none" w:sz="0" w:space="0" w:color="auto"/>
        <w:bottom w:val="none" w:sz="0" w:space="0" w:color="auto"/>
        <w:right w:val="none" w:sz="0" w:space="0" w:color="auto"/>
      </w:divBdr>
    </w:div>
    <w:div w:id="127626092">
      <w:bodyDiv w:val="1"/>
      <w:marLeft w:val="0"/>
      <w:marRight w:val="0"/>
      <w:marTop w:val="0"/>
      <w:marBottom w:val="0"/>
      <w:divBdr>
        <w:top w:val="none" w:sz="0" w:space="0" w:color="auto"/>
        <w:left w:val="none" w:sz="0" w:space="0" w:color="auto"/>
        <w:bottom w:val="none" w:sz="0" w:space="0" w:color="auto"/>
        <w:right w:val="none" w:sz="0" w:space="0" w:color="auto"/>
      </w:divBdr>
    </w:div>
    <w:div w:id="130175909">
      <w:bodyDiv w:val="1"/>
      <w:marLeft w:val="0"/>
      <w:marRight w:val="0"/>
      <w:marTop w:val="0"/>
      <w:marBottom w:val="0"/>
      <w:divBdr>
        <w:top w:val="none" w:sz="0" w:space="0" w:color="auto"/>
        <w:left w:val="none" w:sz="0" w:space="0" w:color="auto"/>
        <w:bottom w:val="none" w:sz="0" w:space="0" w:color="auto"/>
        <w:right w:val="none" w:sz="0" w:space="0" w:color="auto"/>
      </w:divBdr>
    </w:div>
    <w:div w:id="145175001">
      <w:bodyDiv w:val="1"/>
      <w:marLeft w:val="0"/>
      <w:marRight w:val="0"/>
      <w:marTop w:val="0"/>
      <w:marBottom w:val="0"/>
      <w:divBdr>
        <w:top w:val="none" w:sz="0" w:space="0" w:color="auto"/>
        <w:left w:val="none" w:sz="0" w:space="0" w:color="auto"/>
        <w:bottom w:val="none" w:sz="0" w:space="0" w:color="auto"/>
        <w:right w:val="none" w:sz="0" w:space="0" w:color="auto"/>
      </w:divBdr>
    </w:div>
    <w:div w:id="157618381">
      <w:bodyDiv w:val="1"/>
      <w:marLeft w:val="0"/>
      <w:marRight w:val="0"/>
      <w:marTop w:val="0"/>
      <w:marBottom w:val="0"/>
      <w:divBdr>
        <w:top w:val="none" w:sz="0" w:space="0" w:color="auto"/>
        <w:left w:val="none" w:sz="0" w:space="0" w:color="auto"/>
        <w:bottom w:val="none" w:sz="0" w:space="0" w:color="auto"/>
        <w:right w:val="none" w:sz="0" w:space="0" w:color="auto"/>
      </w:divBdr>
    </w:div>
    <w:div w:id="159544804">
      <w:bodyDiv w:val="1"/>
      <w:marLeft w:val="0"/>
      <w:marRight w:val="0"/>
      <w:marTop w:val="0"/>
      <w:marBottom w:val="0"/>
      <w:divBdr>
        <w:top w:val="none" w:sz="0" w:space="0" w:color="auto"/>
        <w:left w:val="none" w:sz="0" w:space="0" w:color="auto"/>
        <w:bottom w:val="none" w:sz="0" w:space="0" w:color="auto"/>
        <w:right w:val="none" w:sz="0" w:space="0" w:color="auto"/>
      </w:divBdr>
    </w:div>
    <w:div w:id="161742889">
      <w:bodyDiv w:val="1"/>
      <w:marLeft w:val="0"/>
      <w:marRight w:val="0"/>
      <w:marTop w:val="0"/>
      <w:marBottom w:val="0"/>
      <w:divBdr>
        <w:top w:val="none" w:sz="0" w:space="0" w:color="auto"/>
        <w:left w:val="none" w:sz="0" w:space="0" w:color="auto"/>
        <w:bottom w:val="none" w:sz="0" w:space="0" w:color="auto"/>
        <w:right w:val="none" w:sz="0" w:space="0" w:color="auto"/>
      </w:divBdr>
    </w:div>
    <w:div w:id="166870257">
      <w:bodyDiv w:val="1"/>
      <w:marLeft w:val="0"/>
      <w:marRight w:val="0"/>
      <w:marTop w:val="0"/>
      <w:marBottom w:val="0"/>
      <w:divBdr>
        <w:top w:val="none" w:sz="0" w:space="0" w:color="auto"/>
        <w:left w:val="none" w:sz="0" w:space="0" w:color="auto"/>
        <w:bottom w:val="none" w:sz="0" w:space="0" w:color="auto"/>
        <w:right w:val="none" w:sz="0" w:space="0" w:color="auto"/>
      </w:divBdr>
    </w:div>
    <w:div w:id="172187155">
      <w:bodyDiv w:val="1"/>
      <w:marLeft w:val="0"/>
      <w:marRight w:val="0"/>
      <w:marTop w:val="0"/>
      <w:marBottom w:val="0"/>
      <w:divBdr>
        <w:top w:val="none" w:sz="0" w:space="0" w:color="auto"/>
        <w:left w:val="none" w:sz="0" w:space="0" w:color="auto"/>
        <w:bottom w:val="none" w:sz="0" w:space="0" w:color="auto"/>
        <w:right w:val="none" w:sz="0" w:space="0" w:color="auto"/>
      </w:divBdr>
    </w:div>
    <w:div w:id="184101953">
      <w:bodyDiv w:val="1"/>
      <w:marLeft w:val="0"/>
      <w:marRight w:val="0"/>
      <w:marTop w:val="0"/>
      <w:marBottom w:val="0"/>
      <w:divBdr>
        <w:top w:val="none" w:sz="0" w:space="0" w:color="auto"/>
        <w:left w:val="none" w:sz="0" w:space="0" w:color="auto"/>
        <w:bottom w:val="none" w:sz="0" w:space="0" w:color="auto"/>
        <w:right w:val="none" w:sz="0" w:space="0" w:color="auto"/>
      </w:divBdr>
      <w:divsChild>
        <w:div w:id="1080713687">
          <w:marLeft w:val="0"/>
          <w:marRight w:val="0"/>
          <w:marTop w:val="0"/>
          <w:marBottom w:val="0"/>
          <w:divBdr>
            <w:top w:val="none" w:sz="0" w:space="0" w:color="auto"/>
            <w:left w:val="none" w:sz="0" w:space="0" w:color="auto"/>
            <w:bottom w:val="none" w:sz="0" w:space="0" w:color="auto"/>
            <w:right w:val="none" w:sz="0" w:space="0" w:color="auto"/>
          </w:divBdr>
          <w:divsChild>
            <w:div w:id="1591114138">
              <w:marLeft w:val="0"/>
              <w:marRight w:val="0"/>
              <w:marTop w:val="0"/>
              <w:marBottom w:val="0"/>
              <w:divBdr>
                <w:top w:val="none" w:sz="0" w:space="0" w:color="auto"/>
                <w:left w:val="none" w:sz="0" w:space="0" w:color="auto"/>
                <w:bottom w:val="none" w:sz="0" w:space="0" w:color="auto"/>
                <w:right w:val="none" w:sz="0" w:space="0" w:color="auto"/>
              </w:divBdr>
              <w:divsChild>
                <w:div w:id="419104257">
                  <w:marLeft w:val="0"/>
                  <w:marRight w:val="0"/>
                  <w:marTop w:val="0"/>
                  <w:marBottom w:val="0"/>
                  <w:divBdr>
                    <w:top w:val="none" w:sz="0" w:space="0" w:color="auto"/>
                    <w:left w:val="none" w:sz="0" w:space="0" w:color="auto"/>
                    <w:bottom w:val="none" w:sz="0" w:space="0" w:color="auto"/>
                    <w:right w:val="none" w:sz="0" w:space="0" w:color="auto"/>
                  </w:divBdr>
                  <w:divsChild>
                    <w:div w:id="704329235">
                      <w:marLeft w:val="0"/>
                      <w:marRight w:val="0"/>
                      <w:marTop w:val="0"/>
                      <w:marBottom w:val="0"/>
                      <w:divBdr>
                        <w:top w:val="none" w:sz="0" w:space="0" w:color="auto"/>
                        <w:left w:val="none" w:sz="0" w:space="0" w:color="auto"/>
                        <w:bottom w:val="none" w:sz="0" w:space="0" w:color="auto"/>
                        <w:right w:val="none" w:sz="0" w:space="0" w:color="auto"/>
                      </w:divBdr>
                      <w:divsChild>
                        <w:div w:id="170027363">
                          <w:marLeft w:val="0"/>
                          <w:marRight w:val="0"/>
                          <w:marTop w:val="0"/>
                          <w:marBottom w:val="0"/>
                          <w:divBdr>
                            <w:top w:val="none" w:sz="0" w:space="0" w:color="auto"/>
                            <w:left w:val="none" w:sz="0" w:space="0" w:color="auto"/>
                            <w:bottom w:val="none" w:sz="0" w:space="0" w:color="auto"/>
                            <w:right w:val="none" w:sz="0" w:space="0" w:color="auto"/>
                          </w:divBdr>
                          <w:divsChild>
                            <w:div w:id="1464084116">
                              <w:marLeft w:val="0"/>
                              <w:marRight w:val="0"/>
                              <w:marTop w:val="0"/>
                              <w:marBottom w:val="0"/>
                              <w:divBdr>
                                <w:top w:val="none" w:sz="0" w:space="0" w:color="auto"/>
                                <w:left w:val="none" w:sz="0" w:space="0" w:color="auto"/>
                                <w:bottom w:val="none" w:sz="0" w:space="0" w:color="auto"/>
                                <w:right w:val="none" w:sz="0" w:space="0" w:color="auto"/>
                              </w:divBdr>
                              <w:divsChild>
                                <w:div w:id="1425027057">
                                  <w:marLeft w:val="0"/>
                                  <w:marRight w:val="0"/>
                                  <w:marTop w:val="0"/>
                                  <w:marBottom w:val="0"/>
                                  <w:divBdr>
                                    <w:top w:val="none" w:sz="0" w:space="0" w:color="auto"/>
                                    <w:left w:val="none" w:sz="0" w:space="0" w:color="auto"/>
                                    <w:bottom w:val="none" w:sz="0" w:space="0" w:color="auto"/>
                                    <w:right w:val="none" w:sz="0" w:space="0" w:color="auto"/>
                                  </w:divBdr>
                                  <w:divsChild>
                                    <w:div w:id="39282214">
                                      <w:marLeft w:val="0"/>
                                      <w:marRight w:val="0"/>
                                      <w:marTop w:val="0"/>
                                      <w:marBottom w:val="0"/>
                                      <w:divBdr>
                                        <w:top w:val="none" w:sz="0" w:space="0" w:color="auto"/>
                                        <w:left w:val="none" w:sz="0" w:space="0" w:color="auto"/>
                                        <w:bottom w:val="none" w:sz="0" w:space="0" w:color="auto"/>
                                        <w:right w:val="none" w:sz="0" w:space="0" w:color="auto"/>
                                      </w:divBdr>
                                      <w:divsChild>
                                        <w:div w:id="1387946868">
                                          <w:marLeft w:val="0"/>
                                          <w:marRight w:val="0"/>
                                          <w:marTop w:val="0"/>
                                          <w:marBottom w:val="0"/>
                                          <w:divBdr>
                                            <w:top w:val="none" w:sz="0" w:space="0" w:color="auto"/>
                                            <w:left w:val="none" w:sz="0" w:space="0" w:color="auto"/>
                                            <w:bottom w:val="none" w:sz="0" w:space="0" w:color="auto"/>
                                            <w:right w:val="none" w:sz="0" w:space="0" w:color="auto"/>
                                          </w:divBdr>
                                          <w:divsChild>
                                            <w:div w:id="303586656">
                                              <w:marLeft w:val="0"/>
                                              <w:marRight w:val="0"/>
                                              <w:marTop w:val="0"/>
                                              <w:marBottom w:val="0"/>
                                              <w:divBdr>
                                                <w:top w:val="none" w:sz="0" w:space="0" w:color="auto"/>
                                                <w:left w:val="none" w:sz="0" w:space="0" w:color="auto"/>
                                                <w:bottom w:val="none" w:sz="0" w:space="0" w:color="auto"/>
                                                <w:right w:val="none" w:sz="0" w:space="0" w:color="auto"/>
                                              </w:divBdr>
                                              <w:divsChild>
                                                <w:div w:id="179197625">
                                                  <w:marLeft w:val="0"/>
                                                  <w:marRight w:val="0"/>
                                                  <w:marTop w:val="0"/>
                                                  <w:marBottom w:val="0"/>
                                                  <w:divBdr>
                                                    <w:top w:val="none" w:sz="0" w:space="0" w:color="auto"/>
                                                    <w:left w:val="none" w:sz="0" w:space="0" w:color="auto"/>
                                                    <w:bottom w:val="none" w:sz="0" w:space="0" w:color="auto"/>
                                                    <w:right w:val="none" w:sz="0" w:space="0" w:color="auto"/>
                                                  </w:divBdr>
                                                  <w:divsChild>
                                                    <w:div w:id="11851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087313">
          <w:marLeft w:val="0"/>
          <w:marRight w:val="0"/>
          <w:marTop w:val="0"/>
          <w:marBottom w:val="0"/>
          <w:divBdr>
            <w:top w:val="none" w:sz="0" w:space="0" w:color="auto"/>
            <w:left w:val="none" w:sz="0" w:space="0" w:color="auto"/>
            <w:bottom w:val="none" w:sz="0" w:space="0" w:color="auto"/>
            <w:right w:val="none" w:sz="0" w:space="0" w:color="auto"/>
          </w:divBdr>
          <w:divsChild>
            <w:div w:id="463697727">
              <w:marLeft w:val="0"/>
              <w:marRight w:val="0"/>
              <w:marTop w:val="0"/>
              <w:marBottom w:val="0"/>
              <w:divBdr>
                <w:top w:val="none" w:sz="0" w:space="0" w:color="auto"/>
                <w:left w:val="none" w:sz="0" w:space="0" w:color="auto"/>
                <w:bottom w:val="none" w:sz="0" w:space="0" w:color="auto"/>
                <w:right w:val="none" w:sz="0" w:space="0" w:color="auto"/>
              </w:divBdr>
              <w:divsChild>
                <w:div w:id="1785804978">
                  <w:marLeft w:val="0"/>
                  <w:marRight w:val="0"/>
                  <w:marTop w:val="0"/>
                  <w:marBottom w:val="0"/>
                  <w:divBdr>
                    <w:top w:val="none" w:sz="0" w:space="0" w:color="auto"/>
                    <w:left w:val="none" w:sz="0" w:space="0" w:color="auto"/>
                    <w:bottom w:val="none" w:sz="0" w:space="0" w:color="auto"/>
                    <w:right w:val="none" w:sz="0" w:space="0" w:color="auto"/>
                  </w:divBdr>
                  <w:divsChild>
                    <w:div w:id="1024556474">
                      <w:marLeft w:val="0"/>
                      <w:marRight w:val="0"/>
                      <w:marTop w:val="0"/>
                      <w:marBottom w:val="0"/>
                      <w:divBdr>
                        <w:top w:val="none" w:sz="0" w:space="0" w:color="auto"/>
                        <w:left w:val="none" w:sz="0" w:space="0" w:color="auto"/>
                        <w:bottom w:val="none" w:sz="0" w:space="0" w:color="auto"/>
                        <w:right w:val="none" w:sz="0" w:space="0" w:color="auto"/>
                      </w:divBdr>
                      <w:divsChild>
                        <w:div w:id="1749227523">
                          <w:marLeft w:val="0"/>
                          <w:marRight w:val="0"/>
                          <w:marTop w:val="0"/>
                          <w:marBottom w:val="0"/>
                          <w:divBdr>
                            <w:top w:val="none" w:sz="0" w:space="0" w:color="auto"/>
                            <w:left w:val="none" w:sz="0" w:space="0" w:color="auto"/>
                            <w:bottom w:val="none" w:sz="0" w:space="0" w:color="auto"/>
                            <w:right w:val="none" w:sz="0" w:space="0" w:color="auto"/>
                          </w:divBdr>
                          <w:divsChild>
                            <w:div w:id="1308895951">
                              <w:marLeft w:val="0"/>
                              <w:marRight w:val="0"/>
                              <w:marTop w:val="0"/>
                              <w:marBottom w:val="0"/>
                              <w:divBdr>
                                <w:top w:val="none" w:sz="0" w:space="0" w:color="auto"/>
                                <w:left w:val="none" w:sz="0" w:space="0" w:color="auto"/>
                                <w:bottom w:val="none" w:sz="0" w:space="0" w:color="auto"/>
                                <w:right w:val="none" w:sz="0" w:space="0" w:color="auto"/>
                              </w:divBdr>
                              <w:divsChild>
                                <w:div w:id="654723706">
                                  <w:marLeft w:val="0"/>
                                  <w:marRight w:val="0"/>
                                  <w:marTop w:val="0"/>
                                  <w:marBottom w:val="0"/>
                                  <w:divBdr>
                                    <w:top w:val="none" w:sz="0" w:space="0" w:color="auto"/>
                                    <w:left w:val="none" w:sz="0" w:space="0" w:color="auto"/>
                                    <w:bottom w:val="none" w:sz="0" w:space="0" w:color="auto"/>
                                    <w:right w:val="none" w:sz="0" w:space="0" w:color="auto"/>
                                  </w:divBdr>
                                  <w:divsChild>
                                    <w:div w:id="1539202883">
                                      <w:marLeft w:val="0"/>
                                      <w:marRight w:val="0"/>
                                      <w:marTop w:val="0"/>
                                      <w:marBottom w:val="0"/>
                                      <w:divBdr>
                                        <w:top w:val="none" w:sz="0" w:space="0" w:color="auto"/>
                                        <w:left w:val="none" w:sz="0" w:space="0" w:color="auto"/>
                                        <w:bottom w:val="none" w:sz="0" w:space="0" w:color="auto"/>
                                        <w:right w:val="none" w:sz="0" w:space="0" w:color="auto"/>
                                      </w:divBdr>
                                      <w:divsChild>
                                        <w:div w:id="1341157356">
                                          <w:marLeft w:val="0"/>
                                          <w:marRight w:val="0"/>
                                          <w:marTop w:val="0"/>
                                          <w:marBottom w:val="0"/>
                                          <w:divBdr>
                                            <w:top w:val="none" w:sz="0" w:space="0" w:color="auto"/>
                                            <w:left w:val="none" w:sz="0" w:space="0" w:color="auto"/>
                                            <w:bottom w:val="none" w:sz="0" w:space="0" w:color="auto"/>
                                            <w:right w:val="none" w:sz="0" w:space="0" w:color="auto"/>
                                          </w:divBdr>
                                          <w:divsChild>
                                            <w:div w:id="285010">
                                              <w:marLeft w:val="0"/>
                                              <w:marRight w:val="0"/>
                                              <w:marTop w:val="0"/>
                                              <w:marBottom w:val="0"/>
                                              <w:divBdr>
                                                <w:top w:val="none" w:sz="0" w:space="0" w:color="auto"/>
                                                <w:left w:val="none" w:sz="0" w:space="0" w:color="auto"/>
                                                <w:bottom w:val="none" w:sz="0" w:space="0" w:color="auto"/>
                                                <w:right w:val="none" w:sz="0" w:space="0" w:color="auto"/>
                                              </w:divBdr>
                                              <w:divsChild>
                                                <w:div w:id="1183742648">
                                                  <w:marLeft w:val="0"/>
                                                  <w:marRight w:val="0"/>
                                                  <w:marTop w:val="0"/>
                                                  <w:marBottom w:val="0"/>
                                                  <w:divBdr>
                                                    <w:top w:val="none" w:sz="0" w:space="0" w:color="auto"/>
                                                    <w:left w:val="none" w:sz="0" w:space="0" w:color="auto"/>
                                                    <w:bottom w:val="none" w:sz="0" w:space="0" w:color="auto"/>
                                                    <w:right w:val="none" w:sz="0" w:space="0" w:color="auto"/>
                                                  </w:divBdr>
                                                  <w:divsChild>
                                                    <w:div w:id="14937932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377891">
      <w:bodyDiv w:val="1"/>
      <w:marLeft w:val="0"/>
      <w:marRight w:val="0"/>
      <w:marTop w:val="0"/>
      <w:marBottom w:val="0"/>
      <w:divBdr>
        <w:top w:val="none" w:sz="0" w:space="0" w:color="auto"/>
        <w:left w:val="none" w:sz="0" w:space="0" w:color="auto"/>
        <w:bottom w:val="none" w:sz="0" w:space="0" w:color="auto"/>
        <w:right w:val="none" w:sz="0" w:space="0" w:color="auto"/>
      </w:divBdr>
    </w:div>
    <w:div w:id="208806136">
      <w:bodyDiv w:val="1"/>
      <w:marLeft w:val="0"/>
      <w:marRight w:val="0"/>
      <w:marTop w:val="0"/>
      <w:marBottom w:val="0"/>
      <w:divBdr>
        <w:top w:val="none" w:sz="0" w:space="0" w:color="auto"/>
        <w:left w:val="none" w:sz="0" w:space="0" w:color="auto"/>
        <w:bottom w:val="none" w:sz="0" w:space="0" w:color="auto"/>
        <w:right w:val="none" w:sz="0" w:space="0" w:color="auto"/>
      </w:divBdr>
    </w:div>
    <w:div w:id="219633536">
      <w:bodyDiv w:val="1"/>
      <w:marLeft w:val="0"/>
      <w:marRight w:val="0"/>
      <w:marTop w:val="0"/>
      <w:marBottom w:val="0"/>
      <w:divBdr>
        <w:top w:val="none" w:sz="0" w:space="0" w:color="auto"/>
        <w:left w:val="none" w:sz="0" w:space="0" w:color="auto"/>
        <w:bottom w:val="none" w:sz="0" w:space="0" w:color="auto"/>
        <w:right w:val="none" w:sz="0" w:space="0" w:color="auto"/>
      </w:divBdr>
    </w:div>
    <w:div w:id="238297659">
      <w:bodyDiv w:val="1"/>
      <w:marLeft w:val="0"/>
      <w:marRight w:val="0"/>
      <w:marTop w:val="0"/>
      <w:marBottom w:val="0"/>
      <w:divBdr>
        <w:top w:val="none" w:sz="0" w:space="0" w:color="auto"/>
        <w:left w:val="none" w:sz="0" w:space="0" w:color="auto"/>
        <w:bottom w:val="none" w:sz="0" w:space="0" w:color="auto"/>
        <w:right w:val="none" w:sz="0" w:space="0" w:color="auto"/>
      </w:divBdr>
    </w:div>
    <w:div w:id="239289428">
      <w:bodyDiv w:val="1"/>
      <w:marLeft w:val="0"/>
      <w:marRight w:val="0"/>
      <w:marTop w:val="0"/>
      <w:marBottom w:val="0"/>
      <w:divBdr>
        <w:top w:val="none" w:sz="0" w:space="0" w:color="auto"/>
        <w:left w:val="none" w:sz="0" w:space="0" w:color="auto"/>
        <w:bottom w:val="none" w:sz="0" w:space="0" w:color="auto"/>
        <w:right w:val="none" w:sz="0" w:space="0" w:color="auto"/>
      </w:divBdr>
    </w:div>
    <w:div w:id="239368861">
      <w:bodyDiv w:val="1"/>
      <w:marLeft w:val="0"/>
      <w:marRight w:val="0"/>
      <w:marTop w:val="0"/>
      <w:marBottom w:val="0"/>
      <w:divBdr>
        <w:top w:val="none" w:sz="0" w:space="0" w:color="auto"/>
        <w:left w:val="none" w:sz="0" w:space="0" w:color="auto"/>
        <w:bottom w:val="none" w:sz="0" w:space="0" w:color="auto"/>
        <w:right w:val="none" w:sz="0" w:space="0" w:color="auto"/>
      </w:divBdr>
    </w:div>
    <w:div w:id="244145148">
      <w:bodyDiv w:val="1"/>
      <w:marLeft w:val="0"/>
      <w:marRight w:val="0"/>
      <w:marTop w:val="0"/>
      <w:marBottom w:val="0"/>
      <w:divBdr>
        <w:top w:val="none" w:sz="0" w:space="0" w:color="auto"/>
        <w:left w:val="none" w:sz="0" w:space="0" w:color="auto"/>
        <w:bottom w:val="none" w:sz="0" w:space="0" w:color="auto"/>
        <w:right w:val="none" w:sz="0" w:space="0" w:color="auto"/>
      </w:divBdr>
    </w:div>
    <w:div w:id="246808933">
      <w:bodyDiv w:val="1"/>
      <w:marLeft w:val="0"/>
      <w:marRight w:val="0"/>
      <w:marTop w:val="0"/>
      <w:marBottom w:val="0"/>
      <w:divBdr>
        <w:top w:val="none" w:sz="0" w:space="0" w:color="auto"/>
        <w:left w:val="none" w:sz="0" w:space="0" w:color="auto"/>
        <w:bottom w:val="none" w:sz="0" w:space="0" w:color="auto"/>
        <w:right w:val="none" w:sz="0" w:space="0" w:color="auto"/>
      </w:divBdr>
    </w:div>
    <w:div w:id="261229790">
      <w:bodyDiv w:val="1"/>
      <w:marLeft w:val="0"/>
      <w:marRight w:val="0"/>
      <w:marTop w:val="0"/>
      <w:marBottom w:val="0"/>
      <w:divBdr>
        <w:top w:val="none" w:sz="0" w:space="0" w:color="auto"/>
        <w:left w:val="none" w:sz="0" w:space="0" w:color="auto"/>
        <w:bottom w:val="none" w:sz="0" w:space="0" w:color="auto"/>
        <w:right w:val="none" w:sz="0" w:space="0" w:color="auto"/>
      </w:divBdr>
    </w:div>
    <w:div w:id="262538582">
      <w:bodyDiv w:val="1"/>
      <w:marLeft w:val="0"/>
      <w:marRight w:val="0"/>
      <w:marTop w:val="0"/>
      <w:marBottom w:val="0"/>
      <w:divBdr>
        <w:top w:val="none" w:sz="0" w:space="0" w:color="auto"/>
        <w:left w:val="none" w:sz="0" w:space="0" w:color="auto"/>
        <w:bottom w:val="none" w:sz="0" w:space="0" w:color="auto"/>
        <w:right w:val="none" w:sz="0" w:space="0" w:color="auto"/>
      </w:divBdr>
    </w:div>
    <w:div w:id="275528694">
      <w:bodyDiv w:val="1"/>
      <w:marLeft w:val="0"/>
      <w:marRight w:val="0"/>
      <w:marTop w:val="0"/>
      <w:marBottom w:val="0"/>
      <w:divBdr>
        <w:top w:val="none" w:sz="0" w:space="0" w:color="auto"/>
        <w:left w:val="none" w:sz="0" w:space="0" w:color="auto"/>
        <w:bottom w:val="none" w:sz="0" w:space="0" w:color="auto"/>
        <w:right w:val="none" w:sz="0" w:space="0" w:color="auto"/>
      </w:divBdr>
    </w:div>
    <w:div w:id="289947048">
      <w:bodyDiv w:val="1"/>
      <w:marLeft w:val="0"/>
      <w:marRight w:val="0"/>
      <w:marTop w:val="0"/>
      <w:marBottom w:val="0"/>
      <w:divBdr>
        <w:top w:val="none" w:sz="0" w:space="0" w:color="auto"/>
        <w:left w:val="none" w:sz="0" w:space="0" w:color="auto"/>
        <w:bottom w:val="none" w:sz="0" w:space="0" w:color="auto"/>
        <w:right w:val="none" w:sz="0" w:space="0" w:color="auto"/>
      </w:divBdr>
    </w:div>
    <w:div w:id="298608333">
      <w:bodyDiv w:val="1"/>
      <w:marLeft w:val="0"/>
      <w:marRight w:val="0"/>
      <w:marTop w:val="0"/>
      <w:marBottom w:val="0"/>
      <w:divBdr>
        <w:top w:val="none" w:sz="0" w:space="0" w:color="auto"/>
        <w:left w:val="none" w:sz="0" w:space="0" w:color="auto"/>
        <w:bottom w:val="none" w:sz="0" w:space="0" w:color="auto"/>
        <w:right w:val="none" w:sz="0" w:space="0" w:color="auto"/>
      </w:divBdr>
    </w:div>
    <w:div w:id="299922735">
      <w:bodyDiv w:val="1"/>
      <w:marLeft w:val="0"/>
      <w:marRight w:val="0"/>
      <w:marTop w:val="0"/>
      <w:marBottom w:val="0"/>
      <w:divBdr>
        <w:top w:val="none" w:sz="0" w:space="0" w:color="auto"/>
        <w:left w:val="none" w:sz="0" w:space="0" w:color="auto"/>
        <w:bottom w:val="none" w:sz="0" w:space="0" w:color="auto"/>
        <w:right w:val="none" w:sz="0" w:space="0" w:color="auto"/>
      </w:divBdr>
    </w:div>
    <w:div w:id="303391924">
      <w:bodyDiv w:val="1"/>
      <w:marLeft w:val="0"/>
      <w:marRight w:val="0"/>
      <w:marTop w:val="0"/>
      <w:marBottom w:val="0"/>
      <w:divBdr>
        <w:top w:val="none" w:sz="0" w:space="0" w:color="auto"/>
        <w:left w:val="none" w:sz="0" w:space="0" w:color="auto"/>
        <w:bottom w:val="none" w:sz="0" w:space="0" w:color="auto"/>
        <w:right w:val="none" w:sz="0" w:space="0" w:color="auto"/>
      </w:divBdr>
    </w:div>
    <w:div w:id="319237658">
      <w:bodyDiv w:val="1"/>
      <w:marLeft w:val="0"/>
      <w:marRight w:val="0"/>
      <w:marTop w:val="0"/>
      <w:marBottom w:val="0"/>
      <w:divBdr>
        <w:top w:val="none" w:sz="0" w:space="0" w:color="auto"/>
        <w:left w:val="none" w:sz="0" w:space="0" w:color="auto"/>
        <w:bottom w:val="none" w:sz="0" w:space="0" w:color="auto"/>
        <w:right w:val="none" w:sz="0" w:space="0" w:color="auto"/>
      </w:divBdr>
    </w:div>
    <w:div w:id="343435066">
      <w:bodyDiv w:val="1"/>
      <w:marLeft w:val="0"/>
      <w:marRight w:val="0"/>
      <w:marTop w:val="0"/>
      <w:marBottom w:val="0"/>
      <w:divBdr>
        <w:top w:val="none" w:sz="0" w:space="0" w:color="auto"/>
        <w:left w:val="none" w:sz="0" w:space="0" w:color="auto"/>
        <w:bottom w:val="none" w:sz="0" w:space="0" w:color="auto"/>
        <w:right w:val="none" w:sz="0" w:space="0" w:color="auto"/>
      </w:divBdr>
    </w:div>
    <w:div w:id="363795239">
      <w:bodyDiv w:val="1"/>
      <w:marLeft w:val="0"/>
      <w:marRight w:val="0"/>
      <w:marTop w:val="0"/>
      <w:marBottom w:val="0"/>
      <w:divBdr>
        <w:top w:val="none" w:sz="0" w:space="0" w:color="auto"/>
        <w:left w:val="none" w:sz="0" w:space="0" w:color="auto"/>
        <w:bottom w:val="none" w:sz="0" w:space="0" w:color="auto"/>
        <w:right w:val="none" w:sz="0" w:space="0" w:color="auto"/>
      </w:divBdr>
    </w:div>
    <w:div w:id="368456688">
      <w:bodyDiv w:val="1"/>
      <w:marLeft w:val="0"/>
      <w:marRight w:val="0"/>
      <w:marTop w:val="0"/>
      <w:marBottom w:val="0"/>
      <w:divBdr>
        <w:top w:val="none" w:sz="0" w:space="0" w:color="auto"/>
        <w:left w:val="none" w:sz="0" w:space="0" w:color="auto"/>
        <w:bottom w:val="none" w:sz="0" w:space="0" w:color="auto"/>
        <w:right w:val="none" w:sz="0" w:space="0" w:color="auto"/>
      </w:divBdr>
    </w:div>
    <w:div w:id="388266790">
      <w:bodyDiv w:val="1"/>
      <w:marLeft w:val="0"/>
      <w:marRight w:val="0"/>
      <w:marTop w:val="0"/>
      <w:marBottom w:val="0"/>
      <w:divBdr>
        <w:top w:val="none" w:sz="0" w:space="0" w:color="auto"/>
        <w:left w:val="none" w:sz="0" w:space="0" w:color="auto"/>
        <w:bottom w:val="none" w:sz="0" w:space="0" w:color="auto"/>
        <w:right w:val="none" w:sz="0" w:space="0" w:color="auto"/>
      </w:divBdr>
    </w:div>
    <w:div w:id="390352070">
      <w:bodyDiv w:val="1"/>
      <w:marLeft w:val="0"/>
      <w:marRight w:val="0"/>
      <w:marTop w:val="0"/>
      <w:marBottom w:val="0"/>
      <w:divBdr>
        <w:top w:val="none" w:sz="0" w:space="0" w:color="auto"/>
        <w:left w:val="none" w:sz="0" w:space="0" w:color="auto"/>
        <w:bottom w:val="none" w:sz="0" w:space="0" w:color="auto"/>
        <w:right w:val="none" w:sz="0" w:space="0" w:color="auto"/>
      </w:divBdr>
    </w:div>
    <w:div w:id="395209317">
      <w:bodyDiv w:val="1"/>
      <w:marLeft w:val="0"/>
      <w:marRight w:val="0"/>
      <w:marTop w:val="0"/>
      <w:marBottom w:val="0"/>
      <w:divBdr>
        <w:top w:val="none" w:sz="0" w:space="0" w:color="auto"/>
        <w:left w:val="none" w:sz="0" w:space="0" w:color="auto"/>
        <w:bottom w:val="none" w:sz="0" w:space="0" w:color="auto"/>
        <w:right w:val="none" w:sz="0" w:space="0" w:color="auto"/>
      </w:divBdr>
    </w:div>
    <w:div w:id="404961080">
      <w:bodyDiv w:val="1"/>
      <w:marLeft w:val="0"/>
      <w:marRight w:val="0"/>
      <w:marTop w:val="0"/>
      <w:marBottom w:val="0"/>
      <w:divBdr>
        <w:top w:val="none" w:sz="0" w:space="0" w:color="auto"/>
        <w:left w:val="none" w:sz="0" w:space="0" w:color="auto"/>
        <w:bottom w:val="none" w:sz="0" w:space="0" w:color="auto"/>
        <w:right w:val="none" w:sz="0" w:space="0" w:color="auto"/>
      </w:divBdr>
    </w:div>
    <w:div w:id="435448626">
      <w:bodyDiv w:val="1"/>
      <w:marLeft w:val="0"/>
      <w:marRight w:val="0"/>
      <w:marTop w:val="0"/>
      <w:marBottom w:val="0"/>
      <w:divBdr>
        <w:top w:val="none" w:sz="0" w:space="0" w:color="auto"/>
        <w:left w:val="none" w:sz="0" w:space="0" w:color="auto"/>
        <w:bottom w:val="none" w:sz="0" w:space="0" w:color="auto"/>
        <w:right w:val="none" w:sz="0" w:space="0" w:color="auto"/>
      </w:divBdr>
    </w:div>
    <w:div w:id="440303207">
      <w:bodyDiv w:val="1"/>
      <w:marLeft w:val="0"/>
      <w:marRight w:val="0"/>
      <w:marTop w:val="0"/>
      <w:marBottom w:val="0"/>
      <w:divBdr>
        <w:top w:val="none" w:sz="0" w:space="0" w:color="auto"/>
        <w:left w:val="none" w:sz="0" w:space="0" w:color="auto"/>
        <w:bottom w:val="none" w:sz="0" w:space="0" w:color="auto"/>
        <w:right w:val="none" w:sz="0" w:space="0" w:color="auto"/>
      </w:divBdr>
    </w:div>
    <w:div w:id="447430182">
      <w:bodyDiv w:val="1"/>
      <w:marLeft w:val="0"/>
      <w:marRight w:val="0"/>
      <w:marTop w:val="0"/>
      <w:marBottom w:val="0"/>
      <w:divBdr>
        <w:top w:val="none" w:sz="0" w:space="0" w:color="auto"/>
        <w:left w:val="none" w:sz="0" w:space="0" w:color="auto"/>
        <w:bottom w:val="none" w:sz="0" w:space="0" w:color="auto"/>
        <w:right w:val="none" w:sz="0" w:space="0" w:color="auto"/>
      </w:divBdr>
    </w:div>
    <w:div w:id="454101694">
      <w:bodyDiv w:val="1"/>
      <w:marLeft w:val="0"/>
      <w:marRight w:val="0"/>
      <w:marTop w:val="0"/>
      <w:marBottom w:val="0"/>
      <w:divBdr>
        <w:top w:val="none" w:sz="0" w:space="0" w:color="auto"/>
        <w:left w:val="none" w:sz="0" w:space="0" w:color="auto"/>
        <w:bottom w:val="none" w:sz="0" w:space="0" w:color="auto"/>
        <w:right w:val="none" w:sz="0" w:space="0" w:color="auto"/>
      </w:divBdr>
    </w:div>
    <w:div w:id="455291569">
      <w:bodyDiv w:val="1"/>
      <w:marLeft w:val="0"/>
      <w:marRight w:val="0"/>
      <w:marTop w:val="0"/>
      <w:marBottom w:val="0"/>
      <w:divBdr>
        <w:top w:val="none" w:sz="0" w:space="0" w:color="auto"/>
        <w:left w:val="none" w:sz="0" w:space="0" w:color="auto"/>
        <w:bottom w:val="none" w:sz="0" w:space="0" w:color="auto"/>
        <w:right w:val="none" w:sz="0" w:space="0" w:color="auto"/>
      </w:divBdr>
    </w:div>
    <w:div w:id="459804432">
      <w:bodyDiv w:val="1"/>
      <w:marLeft w:val="0"/>
      <w:marRight w:val="0"/>
      <w:marTop w:val="0"/>
      <w:marBottom w:val="0"/>
      <w:divBdr>
        <w:top w:val="none" w:sz="0" w:space="0" w:color="auto"/>
        <w:left w:val="none" w:sz="0" w:space="0" w:color="auto"/>
        <w:bottom w:val="none" w:sz="0" w:space="0" w:color="auto"/>
        <w:right w:val="none" w:sz="0" w:space="0" w:color="auto"/>
      </w:divBdr>
    </w:div>
    <w:div w:id="536434129">
      <w:bodyDiv w:val="1"/>
      <w:marLeft w:val="0"/>
      <w:marRight w:val="0"/>
      <w:marTop w:val="0"/>
      <w:marBottom w:val="0"/>
      <w:divBdr>
        <w:top w:val="none" w:sz="0" w:space="0" w:color="auto"/>
        <w:left w:val="none" w:sz="0" w:space="0" w:color="auto"/>
        <w:bottom w:val="none" w:sz="0" w:space="0" w:color="auto"/>
        <w:right w:val="none" w:sz="0" w:space="0" w:color="auto"/>
      </w:divBdr>
      <w:divsChild>
        <w:div w:id="227496973">
          <w:marLeft w:val="0"/>
          <w:marRight w:val="0"/>
          <w:marTop w:val="0"/>
          <w:marBottom w:val="0"/>
          <w:divBdr>
            <w:top w:val="none" w:sz="0" w:space="0" w:color="auto"/>
            <w:left w:val="none" w:sz="0" w:space="0" w:color="auto"/>
            <w:bottom w:val="none" w:sz="0" w:space="0" w:color="auto"/>
            <w:right w:val="none" w:sz="0" w:space="0" w:color="auto"/>
          </w:divBdr>
        </w:div>
        <w:div w:id="379599930">
          <w:marLeft w:val="0"/>
          <w:marRight w:val="0"/>
          <w:marTop w:val="0"/>
          <w:marBottom w:val="0"/>
          <w:divBdr>
            <w:top w:val="none" w:sz="0" w:space="0" w:color="auto"/>
            <w:left w:val="none" w:sz="0" w:space="0" w:color="auto"/>
            <w:bottom w:val="none" w:sz="0" w:space="0" w:color="auto"/>
            <w:right w:val="none" w:sz="0" w:space="0" w:color="auto"/>
          </w:divBdr>
        </w:div>
        <w:div w:id="642349120">
          <w:marLeft w:val="0"/>
          <w:marRight w:val="0"/>
          <w:marTop w:val="0"/>
          <w:marBottom w:val="0"/>
          <w:divBdr>
            <w:top w:val="none" w:sz="0" w:space="0" w:color="auto"/>
            <w:left w:val="none" w:sz="0" w:space="0" w:color="auto"/>
            <w:bottom w:val="none" w:sz="0" w:space="0" w:color="auto"/>
            <w:right w:val="none" w:sz="0" w:space="0" w:color="auto"/>
          </w:divBdr>
        </w:div>
        <w:div w:id="1639216784">
          <w:marLeft w:val="0"/>
          <w:marRight w:val="0"/>
          <w:marTop w:val="0"/>
          <w:marBottom w:val="0"/>
          <w:divBdr>
            <w:top w:val="none" w:sz="0" w:space="0" w:color="auto"/>
            <w:left w:val="none" w:sz="0" w:space="0" w:color="auto"/>
            <w:bottom w:val="none" w:sz="0" w:space="0" w:color="auto"/>
            <w:right w:val="none" w:sz="0" w:space="0" w:color="auto"/>
          </w:divBdr>
        </w:div>
      </w:divsChild>
    </w:div>
    <w:div w:id="536552901">
      <w:bodyDiv w:val="1"/>
      <w:marLeft w:val="0"/>
      <w:marRight w:val="0"/>
      <w:marTop w:val="0"/>
      <w:marBottom w:val="0"/>
      <w:divBdr>
        <w:top w:val="none" w:sz="0" w:space="0" w:color="auto"/>
        <w:left w:val="none" w:sz="0" w:space="0" w:color="auto"/>
        <w:bottom w:val="none" w:sz="0" w:space="0" w:color="auto"/>
        <w:right w:val="none" w:sz="0" w:space="0" w:color="auto"/>
      </w:divBdr>
    </w:div>
    <w:div w:id="545869163">
      <w:bodyDiv w:val="1"/>
      <w:marLeft w:val="0"/>
      <w:marRight w:val="0"/>
      <w:marTop w:val="0"/>
      <w:marBottom w:val="0"/>
      <w:divBdr>
        <w:top w:val="none" w:sz="0" w:space="0" w:color="auto"/>
        <w:left w:val="none" w:sz="0" w:space="0" w:color="auto"/>
        <w:bottom w:val="none" w:sz="0" w:space="0" w:color="auto"/>
        <w:right w:val="none" w:sz="0" w:space="0" w:color="auto"/>
      </w:divBdr>
    </w:div>
    <w:div w:id="554241290">
      <w:bodyDiv w:val="1"/>
      <w:marLeft w:val="0"/>
      <w:marRight w:val="0"/>
      <w:marTop w:val="0"/>
      <w:marBottom w:val="0"/>
      <w:divBdr>
        <w:top w:val="none" w:sz="0" w:space="0" w:color="auto"/>
        <w:left w:val="none" w:sz="0" w:space="0" w:color="auto"/>
        <w:bottom w:val="none" w:sz="0" w:space="0" w:color="auto"/>
        <w:right w:val="none" w:sz="0" w:space="0" w:color="auto"/>
      </w:divBdr>
    </w:div>
    <w:div w:id="557131264">
      <w:bodyDiv w:val="1"/>
      <w:marLeft w:val="0"/>
      <w:marRight w:val="0"/>
      <w:marTop w:val="0"/>
      <w:marBottom w:val="0"/>
      <w:divBdr>
        <w:top w:val="none" w:sz="0" w:space="0" w:color="auto"/>
        <w:left w:val="none" w:sz="0" w:space="0" w:color="auto"/>
        <w:bottom w:val="none" w:sz="0" w:space="0" w:color="auto"/>
        <w:right w:val="none" w:sz="0" w:space="0" w:color="auto"/>
      </w:divBdr>
    </w:div>
    <w:div w:id="567766675">
      <w:bodyDiv w:val="1"/>
      <w:marLeft w:val="0"/>
      <w:marRight w:val="0"/>
      <w:marTop w:val="0"/>
      <w:marBottom w:val="0"/>
      <w:divBdr>
        <w:top w:val="none" w:sz="0" w:space="0" w:color="auto"/>
        <w:left w:val="none" w:sz="0" w:space="0" w:color="auto"/>
        <w:bottom w:val="none" w:sz="0" w:space="0" w:color="auto"/>
        <w:right w:val="none" w:sz="0" w:space="0" w:color="auto"/>
      </w:divBdr>
    </w:div>
    <w:div w:id="616450324">
      <w:bodyDiv w:val="1"/>
      <w:marLeft w:val="0"/>
      <w:marRight w:val="0"/>
      <w:marTop w:val="0"/>
      <w:marBottom w:val="0"/>
      <w:divBdr>
        <w:top w:val="none" w:sz="0" w:space="0" w:color="auto"/>
        <w:left w:val="none" w:sz="0" w:space="0" w:color="auto"/>
        <w:bottom w:val="none" w:sz="0" w:space="0" w:color="auto"/>
        <w:right w:val="none" w:sz="0" w:space="0" w:color="auto"/>
      </w:divBdr>
    </w:div>
    <w:div w:id="619458642">
      <w:bodyDiv w:val="1"/>
      <w:marLeft w:val="0"/>
      <w:marRight w:val="0"/>
      <w:marTop w:val="0"/>
      <w:marBottom w:val="0"/>
      <w:divBdr>
        <w:top w:val="none" w:sz="0" w:space="0" w:color="auto"/>
        <w:left w:val="none" w:sz="0" w:space="0" w:color="auto"/>
        <w:bottom w:val="none" w:sz="0" w:space="0" w:color="auto"/>
        <w:right w:val="none" w:sz="0" w:space="0" w:color="auto"/>
      </w:divBdr>
    </w:div>
    <w:div w:id="623316325">
      <w:bodyDiv w:val="1"/>
      <w:marLeft w:val="0"/>
      <w:marRight w:val="0"/>
      <w:marTop w:val="0"/>
      <w:marBottom w:val="0"/>
      <w:divBdr>
        <w:top w:val="none" w:sz="0" w:space="0" w:color="auto"/>
        <w:left w:val="none" w:sz="0" w:space="0" w:color="auto"/>
        <w:bottom w:val="none" w:sz="0" w:space="0" w:color="auto"/>
        <w:right w:val="none" w:sz="0" w:space="0" w:color="auto"/>
      </w:divBdr>
    </w:div>
    <w:div w:id="624386167">
      <w:bodyDiv w:val="1"/>
      <w:marLeft w:val="0"/>
      <w:marRight w:val="0"/>
      <w:marTop w:val="0"/>
      <w:marBottom w:val="0"/>
      <w:divBdr>
        <w:top w:val="none" w:sz="0" w:space="0" w:color="auto"/>
        <w:left w:val="none" w:sz="0" w:space="0" w:color="auto"/>
        <w:bottom w:val="none" w:sz="0" w:space="0" w:color="auto"/>
        <w:right w:val="none" w:sz="0" w:space="0" w:color="auto"/>
      </w:divBdr>
    </w:div>
    <w:div w:id="639459865">
      <w:bodyDiv w:val="1"/>
      <w:marLeft w:val="0"/>
      <w:marRight w:val="0"/>
      <w:marTop w:val="0"/>
      <w:marBottom w:val="0"/>
      <w:divBdr>
        <w:top w:val="none" w:sz="0" w:space="0" w:color="auto"/>
        <w:left w:val="none" w:sz="0" w:space="0" w:color="auto"/>
        <w:bottom w:val="none" w:sz="0" w:space="0" w:color="auto"/>
        <w:right w:val="none" w:sz="0" w:space="0" w:color="auto"/>
      </w:divBdr>
    </w:div>
    <w:div w:id="652762732">
      <w:bodyDiv w:val="1"/>
      <w:marLeft w:val="0"/>
      <w:marRight w:val="0"/>
      <w:marTop w:val="0"/>
      <w:marBottom w:val="0"/>
      <w:divBdr>
        <w:top w:val="none" w:sz="0" w:space="0" w:color="auto"/>
        <w:left w:val="none" w:sz="0" w:space="0" w:color="auto"/>
        <w:bottom w:val="none" w:sz="0" w:space="0" w:color="auto"/>
        <w:right w:val="none" w:sz="0" w:space="0" w:color="auto"/>
      </w:divBdr>
    </w:div>
    <w:div w:id="683165274">
      <w:bodyDiv w:val="1"/>
      <w:marLeft w:val="0"/>
      <w:marRight w:val="0"/>
      <w:marTop w:val="0"/>
      <w:marBottom w:val="0"/>
      <w:divBdr>
        <w:top w:val="none" w:sz="0" w:space="0" w:color="auto"/>
        <w:left w:val="none" w:sz="0" w:space="0" w:color="auto"/>
        <w:bottom w:val="none" w:sz="0" w:space="0" w:color="auto"/>
        <w:right w:val="none" w:sz="0" w:space="0" w:color="auto"/>
      </w:divBdr>
    </w:div>
    <w:div w:id="696808458">
      <w:bodyDiv w:val="1"/>
      <w:marLeft w:val="0"/>
      <w:marRight w:val="0"/>
      <w:marTop w:val="0"/>
      <w:marBottom w:val="0"/>
      <w:divBdr>
        <w:top w:val="none" w:sz="0" w:space="0" w:color="auto"/>
        <w:left w:val="none" w:sz="0" w:space="0" w:color="auto"/>
        <w:bottom w:val="none" w:sz="0" w:space="0" w:color="auto"/>
        <w:right w:val="none" w:sz="0" w:space="0" w:color="auto"/>
      </w:divBdr>
    </w:div>
    <w:div w:id="703871176">
      <w:bodyDiv w:val="1"/>
      <w:marLeft w:val="0"/>
      <w:marRight w:val="0"/>
      <w:marTop w:val="0"/>
      <w:marBottom w:val="0"/>
      <w:divBdr>
        <w:top w:val="none" w:sz="0" w:space="0" w:color="auto"/>
        <w:left w:val="none" w:sz="0" w:space="0" w:color="auto"/>
        <w:bottom w:val="none" w:sz="0" w:space="0" w:color="auto"/>
        <w:right w:val="none" w:sz="0" w:space="0" w:color="auto"/>
      </w:divBdr>
    </w:div>
    <w:div w:id="704521219">
      <w:bodyDiv w:val="1"/>
      <w:marLeft w:val="0"/>
      <w:marRight w:val="0"/>
      <w:marTop w:val="0"/>
      <w:marBottom w:val="0"/>
      <w:divBdr>
        <w:top w:val="none" w:sz="0" w:space="0" w:color="auto"/>
        <w:left w:val="none" w:sz="0" w:space="0" w:color="auto"/>
        <w:bottom w:val="none" w:sz="0" w:space="0" w:color="auto"/>
        <w:right w:val="none" w:sz="0" w:space="0" w:color="auto"/>
      </w:divBdr>
    </w:div>
    <w:div w:id="718162347">
      <w:bodyDiv w:val="1"/>
      <w:marLeft w:val="0"/>
      <w:marRight w:val="0"/>
      <w:marTop w:val="0"/>
      <w:marBottom w:val="0"/>
      <w:divBdr>
        <w:top w:val="none" w:sz="0" w:space="0" w:color="auto"/>
        <w:left w:val="none" w:sz="0" w:space="0" w:color="auto"/>
        <w:bottom w:val="none" w:sz="0" w:space="0" w:color="auto"/>
        <w:right w:val="none" w:sz="0" w:space="0" w:color="auto"/>
      </w:divBdr>
    </w:div>
    <w:div w:id="731389330">
      <w:bodyDiv w:val="1"/>
      <w:marLeft w:val="0"/>
      <w:marRight w:val="0"/>
      <w:marTop w:val="0"/>
      <w:marBottom w:val="0"/>
      <w:divBdr>
        <w:top w:val="none" w:sz="0" w:space="0" w:color="auto"/>
        <w:left w:val="none" w:sz="0" w:space="0" w:color="auto"/>
        <w:bottom w:val="none" w:sz="0" w:space="0" w:color="auto"/>
        <w:right w:val="none" w:sz="0" w:space="0" w:color="auto"/>
      </w:divBdr>
    </w:div>
    <w:div w:id="743452627">
      <w:bodyDiv w:val="1"/>
      <w:marLeft w:val="0"/>
      <w:marRight w:val="0"/>
      <w:marTop w:val="0"/>
      <w:marBottom w:val="0"/>
      <w:divBdr>
        <w:top w:val="none" w:sz="0" w:space="0" w:color="auto"/>
        <w:left w:val="none" w:sz="0" w:space="0" w:color="auto"/>
        <w:bottom w:val="none" w:sz="0" w:space="0" w:color="auto"/>
        <w:right w:val="none" w:sz="0" w:space="0" w:color="auto"/>
      </w:divBdr>
    </w:div>
    <w:div w:id="772439704">
      <w:bodyDiv w:val="1"/>
      <w:marLeft w:val="0"/>
      <w:marRight w:val="0"/>
      <w:marTop w:val="0"/>
      <w:marBottom w:val="0"/>
      <w:divBdr>
        <w:top w:val="none" w:sz="0" w:space="0" w:color="auto"/>
        <w:left w:val="none" w:sz="0" w:space="0" w:color="auto"/>
        <w:bottom w:val="none" w:sz="0" w:space="0" w:color="auto"/>
        <w:right w:val="none" w:sz="0" w:space="0" w:color="auto"/>
      </w:divBdr>
    </w:div>
    <w:div w:id="784663024">
      <w:bodyDiv w:val="1"/>
      <w:marLeft w:val="0"/>
      <w:marRight w:val="0"/>
      <w:marTop w:val="0"/>
      <w:marBottom w:val="0"/>
      <w:divBdr>
        <w:top w:val="none" w:sz="0" w:space="0" w:color="auto"/>
        <w:left w:val="none" w:sz="0" w:space="0" w:color="auto"/>
        <w:bottom w:val="none" w:sz="0" w:space="0" w:color="auto"/>
        <w:right w:val="none" w:sz="0" w:space="0" w:color="auto"/>
      </w:divBdr>
    </w:div>
    <w:div w:id="789057690">
      <w:bodyDiv w:val="1"/>
      <w:marLeft w:val="0"/>
      <w:marRight w:val="0"/>
      <w:marTop w:val="0"/>
      <w:marBottom w:val="0"/>
      <w:divBdr>
        <w:top w:val="none" w:sz="0" w:space="0" w:color="auto"/>
        <w:left w:val="none" w:sz="0" w:space="0" w:color="auto"/>
        <w:bottom w:val="none" w:sz="0" w:space="0" w:color="auto"/>
        <w:right w:val="none" w:sz="0" w:space="0" w:color="auto"/>
      </w:divBdr>
    </w:div>
    <w:div w:id="791903451">
      <w:bodyDiv w:val="1"/>
      <w:marLeft w:val="0"/>
      <w:marRight w:val="0"/>
      <w:marTop w:val="0"/>
      <w:marBottom w:val="0"/>
      <w:divBdr>
        <w:top w:val="none" w:sz="0" w:space="0" w:color="auto"/>
        <w:left w:val="none" w:sz="0" w:space="0" w:color="auto"/>
        <w:bottom w:val="none" w:sz="0" w:space="0" w:color="auto"/>
        <w:right w:val="none" w:sz="0" w:space="0" w:color="auto"/>
      </w:divBdr>
    </w:div>
    <w:div w:id="813445886">
      <w:bodyDiv w:val="1"/>
      <w:marLeft w:val="0"/>
      <w:marRight w:val="0"/>
      <w:marTop w:val="0"/>
      <w:marBottom w:val="0"/>
      <w:divBdr>
        <w:top w:val="none" w:sz="0" w:space="0" w:color="auto"/>
        <w:left w:val="none" w:sz="0" w:space="0" w:color="auto"/>
        <w:bottom w:val="none" w:sz="0" w:space="0" w:color="auto"/>
        <w:right w:val="none" w:sz="0" w:space="0" w:color="auto"/>
      </w:divBdr>
    </w:div>
    <w:div w:id="847211919">
      <w:bodyDiv w:val="1"/>
      <w:marLeft w:val="0"/>
      <w:marRight w:val="0"/>
      <w:marTop w:val="0"/>
      <w:marBottom w:val="0"/>
      <w:divBdr>
        <w:top w:val="none" w:sz="0" w:space="0" w:color="auto"/>
        <w:left w:val="none" w:sz="0" w:space="0" w:color="auto"/>
        <w:bottom w:val="none" w:sz="0" w:space="0" w:color="auto"/>
        <w:right w:val="none" w:sz="0" w:space="0" w:color="auto"/>
      </w:divBdr>
    </w:div>
    <w:div w:id="857699926">
      <w:bodyDiv w:val="1"/>
      <w:marLeft w:val="0"/>
      <w:marRight w:val="0"/>
      <w:marTop w:val="0"/>
      <w:marBottom w:val="0"/>
      <w:divBdr>
        <w:top w:val="none" w:sz="0" w:space="0" w:color="auto"/>
        <w:left w:val="none" w:sz="0" w:space="0" w:color="auto"/>
        <w:bottom w:val="none" w:sz="0" w:space="0" w:color="auto"/>
        <w:right w:val="none" w:sz="0" w:space="0" w:color="auto"/>
      </w:divBdr>
    </w:div>
    <w:div w:id="862091008">
      <w:bodyDiv w:val="1"/>
      <w:marLeft w:val="0"/>
      <w:marRight w:val="0"/>
      <w:marTop w:val="0"/>
      <w:marBottom w:val="0"/>
      <w:divBdr>
        <w:top w:val="none" w:sz="0" w:space="0" w:color="auto"/>
        <w:left w:val="none" w:sz="0" w:space="0" w:color="auto"/>
        <w:bottom w:val="none" w:sz="0" w:space="0" w:color="auto"/>
        <w:right w:val="none" w:sz="0" w:space="0" w:color="auto"/>
      </w:divBdr>
    </w:div>
    <w:div w:id="872688671">
      <w:bodyDiv w:val="1"/>
      <w:marLeft w:val="0"/>
      <w:marRight w:val="0"/>
      <w:marTop w:val="0"/>
      <w:marBottom w:val="0"/>
      <w:divBdr>
        <w:top w:val="none" w:sz="0" w:space="0" w:color="auto"/>
        <w:left w:val="none" w:sz="0" w:space="0" w:color="auto"/>
        <w:bottom w:val="none" w:sz="0" w:space="0" w:color="auto"/>
        <w:right w:val="none" w:sz="0" w:space="0" w:color="auto"/>
      </w:divBdr>
    </w:div>
    <w:div w:id="884098980">
      <w:bodyDiv w:val="1"/>
      <w:marLeft w:val="0"/>
      <w:marRight w:val="0"/>
      <w:marTop w:val="0"/>
      <w:marBottom w:val="0"/>
      <w:divBdr>
        <w:top w:val="none" w:sz="0" w:space="0" w:color="auto"/>
        <w:left w:val="none" w:sz="0" w:space="0" w:color="auto"/>
        <w:bottom w:val="none" w:sz="0" w:space="0" w:color="auto"/>
        <w:right w:val="none" w:sz="0" w:space="0" w:color="auto"/>
      </w:divBdr>
    </w:div>
    <w:div w:id="887182375">
      <w:bodyDiv w:val="1"/>
      <w:marLeft w:val="0"/>
      <w:marRight w:val="0"/>
      <w:marTop w:val="0"/>
      <w:marBottom w:val="0"/>
      <w:divBdr>
        <w:top w:val="none" w:sz="0" w:space="0" w:color="auto"/>
        <w:left w:val="none" w:sz="0" w:space="0" w:color="auto"/>
        <w:bottom w:val="none" w:sz="0" w:space="0" w:color="auto"/>
        <w:right w:val="none" w:sz="0" w:space="0" w:color="auto"/>
      </w:divBdr>
    </w:div>
    <w:div w:id="892959486">
      <w:bodyDiv w:val="1"/>
      <w:marLeft w:val="0"/>
      <w:marRight w:val="0"/>
      <w:marTop w:val="0"/>
      <w:marBottom w:val="0"/>
      <w:divBdr>
        <w:top w:val="none" w:sz="0" w:space="0" w:color="auto"/>
        <w:left w:val="none" w:sz="0" w:space="0" w:color="auto"/>
        <w:bottom w:val="none" w:sz="0" w:space="0" w:color="auto"/>
        <w:right w:val="none" w:sz="0" w:space="0" w:color="auto"/>
      </w:divBdr>
    </w:div>
    <w:div w:id="900753019">
      <w:bodyDiv w:val="1"/>
      <w:marLeft w:val="0"/>
      <w:marRight w:val="0"/>
      <w:marTop w:val="0"/>
      <w:marBottom w:val="0"/>
      <w:divBdr>
        <w:top w:val="none" w:sz="0" w:space="0" w:color="auto"/>
        <w:left w:val="none" w:sz="0" w:space="0" w:color="auto"/>
        <w:bottom w:val="none" w:sz="0" w:space="0" w:color="auto"/>
        <w:right w:val="none" w:sz="0" w:space="0" w:color="auto"/>
      </w:divBdr>
    </w:div>
    <w:div w:id="905190824">
      <w:bodyDiv w:val="1"/>
      <w:marLeft w:val="0"/>
      <w:marRight w:val="0"/>
      <w:marTop w:val="0"/>
      <w:marBottom w:val="0"/>
      <w:divBdr>
        <w:top w:val="none" w:sz="0" w:space="0" w:color="auto"/>
        <w:left w:val="none" w:sz="0" w:space="0" w:color="auto"/>
        <w:bottom w:val="none" w:sz="0" w:space="0" w:color="auto"/>
        <w:right w:val="none" w:sz="0" w:space="0" w:color="auto"/>
      </w:divBdr>
    </w:div>
    <w:div w:id="911230852">
      <w:bodyDiv w:val="1"/>
      <w:marLeft w:val="0"/>
      <w:marRight w:val="0"/>
      <w:marTop w:val="0"/>
      <w:marBottom w:val="0"/>
      <w:divBdr>
        <w:top w:val="none" w:sz="0" w:space="0" w:color="auto"/>
        <w:left w:val="none" w:sz="0" w:space="0" w:color="auto"/>
        <w:bottom w:val="none" w:sz="0" w:space="0" w:color="auto"/>
        <w:right w:val="none" w:sz="0" w:space="0" w:color="auto"/>
      </w:divBdr>
    </w:div>
    <w:div w:id="927931139">
      <w:bodyDiv w:val="1"/>
      <w:marLeft w:val="0"/>
      <w:marRight w:val="0"/>
      <w:marTop w:val="0"/>
      <w:marBottom w:val="0"/>
      <w:divBdr>
        <w:top w:val="none" w:sz="0" w:space="0" w:color="auto"/>
        <w:left w:val="none" w:sz="0" w:space="0" w:color="auto"/>
        <w:bottom w:val="none" w:sz="0" w:space="0" w:color="auto"/>
        <w:right w:val="none" w:sz="0" w:space="0" w:color="auto"/>
      </w:divBdr>
    </w:div>
    <w:div w:id="933198995">
      <w:bodyDiv w:val="1"/>
      <w:marLeft w:val="0"/>
      <w:marRight w:val="0"/>
      <w:marTop w:val="0"/>
      <w:marBottom w:val="0"/>
      <w:divBdr>
        <w:top w:val="none" w:sz="0" w:space="0" w:color="auto"/>
        <w:left w:val="none" w:sz="0" w:space="0" w:color="auto"/>
        <w:bottom w:val="none" w:sz="0" w:space="0" w:color="auto"/>
        <w:right w:val="none" w:sz="0" w:space="0" w:color="auto"/>
      </w:divBdr>
    </w:div>
    <w:div w:id="934899699">
      <w:bodyDiv w:val="1"/>
      <w:marLeft w:val="0"/>
      <w:marRight w:val="0"/>
      <w:marTop w:val="0"/>
      <w:marBottom w:val="0"/>
      <w:divBdr>
        <w:top w:val="none" w:sz="0" w:space="0" w:color="auto"/>
        <w:left w:val="none" w:sz="0" w:space="0" w:color="auto"/>
        <w:bottom w:val="none" w:sz="0" w:space="0" w:color="auto"/>
        <w:right w:val="none" w:sz="0" w:space="0" w:color="auto"/>
      </w:divBdr>
    </w:div>
    <w:div w:id="936062516">
      <w:bodyDiv w:val="1"/>
      <w:marLeft w:val="0"/>
      <w:marRight w:val="0"/>
      <w:marTop w:val="0"/>
      <w:marBottom w:val="0"/>
      <w:divBdr>
        <w:top w:val="none" w:sz="0" w:space="0" w:color="auto"/>
        <w:left w:val="none" w:sz="0" w:space="0" w:color="auto"/>
        <w:bottom w:val="none" w:sz="0" w:space="0" w:color="auto"/>
        <w:right w:val="none" w:sz="0" w:space="0" w:color="auto"/>
      </w:divBdr>
    </w:div>
    <w:div w:id="959413519">
      <w:bodyDiv w:val="1"/>
      <w:marLeft w:val="0"/>
      <w:marRight w:val="0"/>
      <w:marTop w:val="0"/>
      <w:marBottom w:val="0"/>
      <w:divBdr>
        <w:top w:val="none" w:sz="0" w:space="0" w:color="auto"/>
        <w:left w:val="none" w:sz="0" w:space="0" w:color="auto"/>
        <w:bottom w:val="none" w:sz="0" w:space="0" w:color="auto"/>
        <w:right w:val="none" w:sz="0" w:space="0" w:color="auto"/>
      </w:divBdr>
    </w:div>
    <w:div w:id="994261462">
      <w:bodyDiv w:val="1"/>
      <w:marLeft w:val="0"/>
      <w:marRight w:val="0"/>
      <w:marTop w:val="0"/>
      <w:marBottom w:val="0"/>
      <w:divBdr>
        <w:top w:val="none" w:sz="0" w:space="0" w:color="auto"/>
        <w:left w:val="none" w:sz="0" w:space="0" w:color="auto"/>
        <w:bottom w:val="none" w:sz="0" w:space="0" w:color="auto"/>
        <w:right w:val="none" w:sz="0" w:space="0" w:color="auto"/>
      </w:divBdr>
    </w:div>
    <w:div w:id="997687055">
      <w:bodyDiv w:val="1"/>
      <w:marLeft w:val="0"/>
      <w:marRight w:val="0"/>
      <w:marTop w:val="0"/>
      <w:marBottom w:val="0"/>
      <w:divBdr>
        <w:top w:val="none" w:sz="0" w:space="0" w:color="auto"/>
        <w:left w:val="none" w:sz="0" w:space="0" w:color="auto"/>
        <w:bottom w:val="none" w:sz="0" w:space="0" w:color="auto"/>
        <w:right w:val="none" w:sz="0" w:space="0" w:color="auto"/>
      </w:divBdr>
    </w:div>
    <w:div w:id="1016033147">
      <w:bodyDiv w:val="1"/>
      <w:marLeft w:val="0"/>
      <w:marRight w:val="0"/>
      <w:marTop w:val="0"/>
      <w:marBottom w:val="0"/>
      <w:divBdr>
        <w:top w:val="none" w:sz="0" w:space="0" w:color="auto"/>
        <w:left w:val="none" w:sz="0" w:space="0" w:color="auto"/>
        <w:bottom w:val="none" w:sz="0" w:space="0" w:color="auto"/>
        <w:right w:val="none" w:sz="0" w:space="0" w:color="auto"/>
      </w:divBdr>
    </w:div>
    <w:div w:id="1022901691">
      <w:bodyDiv w:val="1"/>
      <w:marLeft w:val="0"/>
      <w:marRight w:val="0"/>
      <w:marTop w:val="0"/>
      <w:marBottom w:val="0"/>
      <w:divBdr>
        <w:top w:val="none" w:sz="0" w:space="0" w:color="auto"/>
        <w:left w:val="none" w:sz="0" w:space="0" w:color="auto"/>
        <w:bottom w:val="none" w:sz="0" w:space="0" w:color="auto"/>
        <w:right w:val="none" w:sz="0" w:space="0" w:color="auto"/>
      </w:divBdr>
    </w:div>
    <w:div w:id="1025014696">
      <w:bodyDiv w:val="1"/>
      <w:marLeft w:val="0"/>
      <w:marRight w:val="0"/>
      <w:marTop w:val="0"/>
      <w:marBottom w:val="0"/>
      <w:divBdr>
        <w:top w:val="none" w:sz="0" w:space="0" w:color="auto"/>
        <w:left w:val="none" w:sz="0" w:space="0" w:color="auto"/>
        <w:bottom w:val="none" w:sz="0" w:space="0" w:color="auto"/>
        <w:right w:val="none" w:sz="0" w:space="0" w:color="auto"/>
      </w:divBdr>
    </w:div>
    <w:div w:id="1034379048">
      <w:bodyDiv w:val="1"/>
      <w:marLeft w:val="0"/>
      <w:marRight w:val="0"/>
      <w:marTop w:val="0"/>
      <w:marBottom w:val="0"/>
      <w:divBdr>
        <w:top w:val="none" w:sz="0" w:space="0" w:color="auto"/>
        <w:left w:val="none" w:sz="0" w:space="0" w:color="auto"/>
        <w:bottom w:val="none" w:sz="0" w:space="0" w:color="auto"/>
        <w:right w:val="none" w:sz="0" w:space="0" w:color="auto"/>
      </w:divBdr>
    </w:div>
    <w:div w:id="1041201169">
      <w:bodyDiv w:val="1"/>
      <w:marLeft w:val="0"/>
      <w:marRight w:val="0"/>
      <w:marTop w:val="0"/>
      <w:marBottom w:val="0"/>
      <w:divBdr>
        <w:top w:val="none" w:sz="0" w:space="0" w:color="auto"/>
        <w:left w:val="none" w:sz="0" w:space="0" w:color="auto"/>
        <w:bottom w:val="none" w:sz="0" w:space="0" w:color="auto"/>
        <w:right w:val="none" w:sz="0" w:space="0" w:color="auto"/>
      </w:divBdr>
    </w:div>
    <w:div w:id="1044985678">
      <w:bodyDiv w:val="1"/>
      <w:marLeft w:val="0"/>
      <w:marRight w:val="0"/>
      <w:marTop w:val="0"/>
      <w:marBottom w:val="0"/>
      <w:divBdr>
        <w:top w:val="none" w:sz="0" w:space="0" w:color="auto"/>
        <w:left w:val="none" w:sz="0" w:space="0" w:color="auto"/>
        <w:bottom w:val="none" w:sz="0" w:space="0" w:color="auto"/>
        <w:right w:val="none" w:sz="0" w:space="0" w:color="auto"/>
      </w:divBdr>
    </w:div>
    <w:div w:id="1046829482">
      <w:bodyDiv w:val="1"/>
      <w:marLeft w:val="0"/>
      <w:marRight w:val="0"/>
      <w:marTop w:val="0"/>
      <w:marBottom w:val="0"/>
      <w:divBdr>
        <w:top w:val="none" w:sz="0" w:space="0" w:color="auto"/>
        <w:left w:val="none" w:sz="0" w:space="0" w:color="auto"/>
        <w:bottom w:val="none" w:sz="0" w:space="0" w:color="auto"/>
        <w:right w:val="none" w:sz="0" w:space="0" w:color="auto"/>
      </w:divBdr>
    </w:div>
    <w:div w:id="1047800241">
      <w:bodyDiv w:val="1"/>
      <w:marLeft w:val="0"/>
      <w:marRight w:val="0"/>
      <w:marTop w:val="0"/>
      <w:marBottom w:val="0"/>
      <w:divBdr>
        <w:top w:val="none" w:sz="0" w:space="0" w:color="auto"/>
        <w:left w:val="none" w:sz="0" w:space="0" w:color="auto"/>
        <w:bottom w:val="none" w:sz="0" w:space="0" w:color="auto"/>
        <w:right w:val="none" w:sz="0" w:space="0" w:color="auto"/>
      </w:divBdr>
    </w:div>
    <w:div w:id="1049375080">
      <w:bodyDiv w:val="1"/>
      <w:marLeft w:val="0"/>
      <w:marRight w:val="0"/>
      <w:marTop w:val="0"/>
      <w:marBottom w:val="0"/>
      <w:divBdr>
        <w:top w:val="none" w:sz="0" w:space="0" w:color="auto"/>
        <w:left w:val="none" w:sz="0" w:space="0" w:color="auto"/>
        <w:bottom w:val="none" w:sz="0" w:space="0" w:color="auto"/>
        <w:right w:val="none" w:sz="0" w:space="0" w:color="auto"/>
      </w:divBdr>
    </w:div>
    <w:div w:id="1074550149">
      <w:bodyDiv w:val="1"/>
      <w:marLeft w:val="0"/>
      <w:marRight w:val="0"/>
      <w:marTop w:val="0"/>
      <w:marBottom w:val="0"/>
      <w:divBdr>
        <w:top w:val="none" w:sz="0" w:space="0" w:color="auto"/>
        <w:left w:val="none" w:sz="0" w:space="0" w:color="auto"/>
        <w:bottom w:val="none" w:sz="0" w:space="0" w:color="auto"/>
        <w:right w:val="none" w:sz="0" w:space="0" w:color="auto"/>
      </w:divBdr>
      <w:divsChild>
        <w:div w:id="132454190">
          <w:marLeft w:val="0"/>
          <w:marRight w:val="0"/>
          <w:marTop w:val="0"/>
          <w:marBottom w:val="0"/>
          <w:divBdr>
            <w:top w:val="none" w:sz="0" w:space="0" w:color="auto"/>
            <w:left w:val="none" w:sz="0" w:space="0" w:color="auto"/>
            <w:bottom w:val="none" w:sz="0" w:space="0" w:color="auto"/>
            <w:right w:val="none" w:sz="0" w:space="0" w:color="auto"/>
          </w:divBdr>
          <w:divsChild>
            <w:div w:id="2043438274">
              <w:marLeft w:val="0"/>
              <w:marRight w:val="0"/>
              <w:marTop w:val="0"/>
              <w:marBottom w:val="0"/>
              <w:divBdr>
                <w:top w:val="none" w:sz="0" w:space="0" w:color="auto"/>
                <w:left w:val="none" w:sz="0" w:space="0" w:color="auto"/>
                <w:bottom w:val="none" w:sz="0" w:space="0" w:color="auto"/>
                <w:right w:val="none" w:sz="0" w:space="0" w:color="auto"/>
              </w:divBdr>
              <w:divsChild>
                <w:div w:id="137959926">
                  <w:marLeft w:val="0"/>
                  <w:marRight w:val="0"/>
                  <w:marTop w:val="0"/>
                  <w:marBottom w:val="0"/>
                  <w:divBdr>
                    <w:top w:val="none" w:sz="0" w:space="0" w:color="auto"/>
                    <w:left w:val="none" w:sz="0" w:space="0" w:color="auto"/>
                    <w:bottom w:val="none" w:sz="0" w:space="0" w:color="auto"/>
                    <w:right w:val="none" w:sz="0" w:space="0" w:color="auto"/>
                  </w:divBdr>
                  <w:divsChild>
                    <w:div w:id="970861057">
                      <w:marLeft w:val="0"/>
                      <w:marRight w:val="0"/>
                      <w:marTop w:val="0"/>
                      <w:marBottom w:val="0"/>
                      <w:divBdr>
                        <w:top w:val="none" w:sz="0" w:space="0" w:color="auto"/>
                        <w:left w:val="none" w:sz="0" w:space="0" w:color="auto"/>
                        <w:bottom w:val="none" w:sz="0" w:space="0" w:color="auto"/>
                        <w:right w:val="none" w:sz="0" w:space="0" w:color="auto"/>
                      </w:divBdr>
                      <w:divsChild>
                        <w:div w:id="1508445957">
                          <w:marLeft w:val="0"/>
                          <w:marRight w:val="0"/>
                          <w:marTop w:val="0"/>
                          <w:marBottom w:val="0"/>
                          <w:divBdr>
                            <w:top w:val="none" w:sz="0" w:space="0" w:color="auto"/>
                            <w:left w:val="none" w:sz="0" w:space="0" w:color="auto"/>
                            <w:bottom w:val="none" w:sz="0" w:space="0" w:color="auto"/>
                            <w:right w:val="none" w:sz="0" w:space="0" w:color="auto"/>
                          </w:divBdr>
                          <w:divsChild>
                            <w:div w:id="162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2531665">
      <w:bodyDiv w:val="1"/>
      <w:marLeft w:val="0"/>
      <w:marRight w:val="0"/>
      <w:marTop w:val="0"/>
      <w:marBottom w:val="0"/>
      <w:divBdr>
        <w:top w:val="none" w:sz="0" w:space="0" w:color="auto"/>
        <w:left w:val="none" w:sz="0" w:space="0" w:color="auto"/>
        <w:bottom w:val="none" w:sz="0" w:space="0" w:color="auto"/>
        <w:right w:val="none" w:sz="0" w:space="0" w:color="auto"/>
      </w:divBdr>
    </w:div>
    <w:div w:id="1087002498">
      <w:bodyDiv w:val="1"/>
      <w:marLeft w:val="0"/>
      <w:marRight w:val="0"/>
      <w:marTop w:val="0"/>
      <w:marBottom w:val="0"/>
      <w:divBdr>
        <w:top w:val="none" w:sz="0" w:space="0" w:color="auto"/>
        <w:left w:val="none" w:sz="0" w:space="0" w:color="auto"/>
        <w:bottom w:val="none" w:sz="0" w:space="0" w:color="auto"/>
        <w:right w:val="none" w:sz="0" w:space="0" w:color="auto"/>
      </w:divBdr>
    </w:div>
    <w:div w:id="1090198345">
      <w:bodyDiv w:val="1"/>
      <w:marLeft w:val="0"/>
      <w:marRight w:val="0"/>
      <w:marTop w:val="0"/>
      <w:marBottom w:val="0"/>
      <w:divBdr>
        <w:top w:val="none" w:sz="0" w:space="0" w:color="auto"/>
        <w:left w:val="none" w:sz="0" w:space="0" w:color="auto"/>
        <w:bottom w:val="none" w:sz="0" w:space="0" w:color="auto"/>
        <w:right w:val="none" w:sz="0" w:space="0" w:color="auto"/>
      </w:divBdr>
    </w:div>
    <w:div w:id="1099594366">
      <w:bodyDiv w:val="1"/>
      <w:marLeft w:val="0"/>
      <w:marRight w:val="0"/>
      <w:marTop w:val="0"/>
      <w:marBottom w:val="0"/>
      <w:divBdr>
        <w:top w:val="none" w:sz="0" w:space="0" w:color="auto"/>
        <w:left w:val="none" w:sz="0" w:space="0" w:color="auto"/>
        <w:bottom w:val="none" w:sz="0" w:space="0" w:color="auto"/>
        <w:right w:val="none" w:sz="0" w:space="0" w:color="auto"/>
      </w:divBdr>
    </w:div>
    <w:div w:id="1104423678">
      <w:bodyDiv w:val="1"/>
      <w:marLeft w:val="0"/>
      <w:marRight w:val="0"/>
      <w:marTop w:val="0"/>
      <w:marBottom w:val="0"/>
      <w:divBdr>
        <w:top w:val="none" w:sz="0" w:space="0" w:color="auto"/>
        <w:left w:val="none" w:sz="0" w:space="0" w:color="auto"/>
        <w:bottom w:val="none" w:sz="0" w:space="0" w:color="auto"/>
        <w:right w:val="none" w:sz="0" w:space="0" w:color="auto"/>
      </w:divBdr>
    </w:div>
    <w:div w:id="1122378026">
      <w:bodyDiv w:val="1"/>
      <w:marLeft w:val="0"/>
      <w:marRight w:val="0"/>
      <w:marTop w:val="0"/>
      <w:marBottom w:val="0"/>
      <w:divBdr>
        <w:top w:val="none" w:sz="0" w:space="0" w:color="auto"/>
        <w:left w:val="none" w:sz="0" w:space="0" w:color="auto"/>
        <w:bottom w:val="none" w:sz="0" w:space="0" w:color="auto"/>
        <w:right w:val="none" w:sz="0" w:space="0" w:color="auto"/>
      </w:divBdr>
    </w:div>
    <w:div w:id="1126653800">
      <w:bodyDiv w:val="1"/>
      <w:marLeft w:val="0"/>
      <w:marRight w:val="0"/>
      <w:marTop w:val="0"/>
      <w:marBottom w:val="0"/>
      <w:divBdr>
        <w:top w:val="none" w:sz="0" w:space="0" w:color="auto"/>
        <w:left w:val="none" w:sz="0" w:space="0" w:color="auto"/>
        <w:bottom w:val="none" w:sz="0" w:space="0" w:color="auto"/>
        <w:right w:val="none" w:sz="0" w:space="0" w:color="auto"/>
      </w:divBdr>
    </w:div>
    <w:div w:id="1150174364">
      <w:bodyDiv w:val="1"/>
      <w:marLeft w:val="0"/>
      <w:marRight w:val="0"/>
      <w:marTop w:val="0"/>
      <w:marBottom w:val="0"/>
      <w:divBdr>
        <w:top w:val="none" w:sz="0" w:space="0" w:color="auto"/>
        <w:left w:val="none" w:sz="0" w:space="0" w:color="auto"/>
        <w:bottom w:val="none" w:sz="0" w:space="0" w:color="auto"/>
        <w:right w:val="none" w:sz="0" w:space="0" w:color="auto"/>
      </w:divBdr>
    </w:div>
    <w:div w:id="1154299591">
      <w:bodyDiv w:val="1"/>
      <w:marLeft w:val="0"/>
      <w:marRight w:val="0"/>
      <w:marTop w:val="0"/>
      <w:marBottom w:val="0"/>
      <w:divBdr>
        <w:top w:val="none" w:sz="0" w:space="0" w:color="auto"/>
        <w:left w:val="none" w:sz="0" w:space="0" w:color="auto"/>
        <w:bottom w:val="none" w:sz="0" w:space="0" w:color="auto"/>
        <w:right w:val="none" w:sz="0" w:space="0" w:color="auto"/>
      </w:divBdr>
    </w:div>
    <w:div w:id="1156411110">
      <w:bodyDiv w:val="1"/>
      <w:marLeft w:val="0"/>
      <w:marRight w:val="0"/>
      <w:marTop w:val="0"/>
      <w:marBottom w:val="0"/>
      <w:divBdr>
        <w:top w:val="none" w:sz="0" w:space="0" w:color="auto"/>
        <w:left w:val="none" w:sz="0" w:space="0" w:color="auto"/>
        <w:bottom w:val="none" w:sz="0" w:space="0" w:color="auto"/>
        <w:right w:val="none" w:sz="0" w:space="0" w:color="auto"/>
      </w:divBdr>
    </w:div>
    <w:div w:id="1156921904">
      <w:bodyDiv w:val="1"/>
      <w:marLeft w:val="0"/>
      <w:marRight w:val="0"/>
      <w:marTop w:val="0"/>
      <w:marBottom w:val="0"/>
      <w:divBdr>
        <w:top w:val="none" w:sz="0" w:space="0" w:color="auto"/>
        <w:left w:val="none" w:sz="0" w:space="0" w:color="auto"/>
        <w:bottom w:val="none" w:sz="0" w:space="0" w:color="auto"/>
        <w:right w:val="none" w:sz="0" w:space="0" w:color="auto"/>
      </w:divBdr>
    </w:div>
    <w:div w:id="1159149805">
      <w:bodyDiv w:val="1"/>
      <w:marLeft w:val="0"/>
      <w:marRight w:val="0"/>
      <w:marTop w:val="0"/>
      <w:marBottom w:val="0"/>
      <w:divBdr>
        <w:top w:val="none" w:sz="0" w:space="0" w:color="auto"/>
        <w:left w:val="none" w:sz="0" w:space="0" w:color="auto"/>
        <w:bottom w:val="none" w:sz="0" w:space="0" w:color="auto"/>
        <w:right w:val="none" w:sz="0" w:space="0" w:color="auto"/>
      </w:divBdr>
    </w:div>
    <w:div w:id="1161583252">
      <w:bodyDiv w:val="1"/>
      <w:marLeft w:val="0"/>
      <w:marRight w:val="0"/>
      <w:marTop w:val="0"/>
      <w:marBottom w:val="0"/>
      <w:divBdr>
        <w:top w:val="none" w:sz="0" w:space="0" w:color="auto"/>
        <w:left w:val="none" w:sz="0" w:space="0" w:color="auto"/>
        <w:bottom w:val="none" w:sz="0" w:space="0" w:color="auto"/>
        <w:right w:val="none" w:sz="0" w:space="0" w:color="auto"/>
      </w:divBdr>
    </w:div>
    <w:div w:id="1172648276">
      <w:bodyDiv w:val="1"/>
      <w:marLeft w:val="0"/>
      <w:marRight w:val="0"/>
      <w:marTop w:val="0"/>
      <w:marBottom w:val="0"/>
      <w:divBdr>
        <w:top w:val="none" w:sz="0" w:space="0" w:color="auto"/>
        <w:left w:val="none" w:sz="0" w:space="0" w:color="auto"/>
        <w:bottom w:val="none" w:sz="0" w:space="0" w:color="auto"/>
        <w:right w:val="none" w:sz="0" w:space="0" w:color="auto"/>
      </w:divBdr>
    </w:div>
    <w:div w:id="1180663359">
      <w:bodyDiv w:val="1"/>
      <w:marLeft w:val="0"/>
      <w:marRight w:val="0"/>
      <w:marTop w:val="0"/>
      <w:marBottom w:val="0"/>
      <w:divBdr>
        <w:top w:val="none" w:sz="0" w:space="0" w:color="auto"/>
        <w:left w:val="none" w:sz="0" w:space="0" w:color="auto"/>
        <w:bottom w:val="none" w:sz="0" w:space="0" w:color="auto"/>
        <w:right w:val="none" w:sz="0" w:space="0" w:color="auto"/>
      </w:divBdr>
    </w:div>
    <w:div w:id="1184171457">
      <w:bodyDiv w:val="1"/>
      <w:marLeft w:val="0"/>
      <w:marRight w:val="0"/>
      <w:marTop w:val="0"/>
      <w:marBottom w:val="0"/>
      <w:divBdr>
        <w:top w:val="none" w:sz="0" w:space="0" w:color="auto"/>
        <w:left w:val="none" w:sz="0" w:space="0" w:color="auto"/>
        <w:bottom w:val="none" w:sz="0" w:space="0" w:color="auto"/>
        <w:right w:val="none" w:sz="0" w:space="0" w:color="auto"/>
      </w:divBdr>
    </w:div>
    <w:div w:id="1214348637">
      <w:bodyDiv w:val="1"/>
      <w:marLeft w:val="0"/>
      <w:marRight w:val="0"/>
      <w:marTop w:val="0"/>
      <w:marBottom w:val="0"/>
      <w:divBdr>
        <w:top w:val="none" w:sz="0" w:space="0" w:color="auto"/>
        <w:left w:val="none" w:sz="0" w:space="0" w:color="auto"/>
        <w:bottom w:val="none" w:sz="0" w:space="0" w:color="auto"/>
        <w:right w:val="none" w:sz="0" w:space="0" w:color="auto"/>
      </w:divBdr>
    </w:div>
    <w:div w:id="1221399638">
      <w:bodyDiv w:val="1"/>
      <w:marLeft w:val="0"/>
      <w:marRight w:val="0"/>
      <w:marTop w:val="0"/>
      <w:marBottom w:val="0"/>
      <w:divBdr>
        <w:top w:val="none" w:sz="0" w:space="0" w:color="auto"/>
        <w:left w:val="none" w:sz="0" w:space="0" w:color="auto"/>
        <w:bottom w:val="none" w:sz="0" w:space="0" w:color="auto"/>
        <w:right w:val="none" w:sz="0" w:space="0" w:color="auto"/>
      </w:divBdr>
    </w:div>
    <w:div w:id="1223298641">
      <w:bodyDiv w:val="1"/>
      <w:marLeft w:val="0"/>
      <w:marRight w:val="0"/>
      <w:marTop w:val="0"/>
      <w:marBottom w:val="0"/>
      <w:divBdr>
        <w:top w:val="none" w:sz="0" w:space="0" w:color="auto"/>
        <w:left w:val="none" w:sz="0" w:space="0" w:color="auto"/>
        <w:bottom w:val="none" w:sz="0" w:space="0" w:color="auto"/>
        <w:right w:val="none" w:sz="0" w:space="0" w:color="auto"/>
      </w:divBdr>
    </w:div>
    <w:div w:id="1224756758">
      <w:bodyDiv w:val="1"/>
      <w:marLeft w:val="0"/>
      <w:marRight w:val="0"/>
      <w:marTop w:val="0"/>
      <w:marBottom w:val="0"/>
      <w:divBdr>
        <w:top w:val="none" w:sz="0" w:space="0" w:color="auto"/>
        <w:left w:val="none" w:sz="0" w:space="0" w:color="auto"/>
        <w:bottom w:val="none" w:sz="0" w:space="0" w:color="auto"/>
        <w:right w:val="none" w:sz="0" w:space="0" w:color="auto"/>
      </w:divBdr>
    </w:div>
    <w:div w:id="1233851503">
      <w:bodyDiv w:val="1"/>
      <w:marLeft w:val="0"/>
      <w:marRight w:val="0"/>
      <w:marTop w:val="0"/>
      <w:marBottom w:val="0"/>
      <w:divBdr>
        <w:top w:val="none" w:sz="0" w:space="0" w:color="auto"/>
        <w:left w:val="none" w:sz="0" w:space="0" w:color="auto"/>
        <w:bottom w:val="none" w:sz="0" w:space="0" w:color="auto"/>
        <w:right w:val="none" w:sz="0" w:space="0" w:color="auto"/>
      </w:divBdr>
    </w:div>
    <w:div w:id="1240677405">
      <w:bodyDiv w:val="1"/>
      <w:marLeft w:val="0"/>
      <w:marRight w:val="0"/>
      <w:marTop w:val="0"/>
      <w:marBottom w:val="0"/>
      <w:divBdr>
        <w:top w:val="none" w:sz="0" w:space="0" w:color="auto"/>
        <w:left w:val="none" w:sz="0" w:space="0" w:color="auto"/>
        <w:bottom w:val="none" w:sz="0" w:space="0" w:color="auto"/>
        <w:right w:val="none" w:sz="0" w:space="0" w:color="auto"/>
      </w:divBdr>
    </w:div>
    <w:div w:id="1243683218">
      <w:bodyDiv w:val="1"/>
      <w:marLeft w:val="0"/>
      <w:marRight w:val="0"/>
      <w:marTop w:val="0"/>
      <w:marBottom w:val="0"/>
      <w:divBdr>
        <w:top w:val="none" w:sz="0" w:space="0" w:color="auto"/>
        <w:left w:val="none" w:sz="0" w:space="0" w:color="auto"/>
        <w:bottom w:val="none" w:sz="0" w:space="0" w:color="auto"/>
        <w:right w:val="none" w:sz="0" w:space="0" w:color="auto"/>
      </w:divBdr>
    </w:div>
    <w:div w:id="1252005558">
      <w:bodyDiv w:val="1"/>
      <w:marLeft w:val="0"/>
      <w:marRight w:val="0"/>
      <w:marTop w:val="0"/>
      <w:marBottom w:val="0"/>
      <w:divBdr>
        <w:top w:val="none" w:sz="0" w:space="0" w:color="auto"/>
        <w:left w:val="none" w:sz="0" w:space="0" w:color="auto"/>
        <w:bottom w:val="none" w:sz="0" w:space="0" w:color="auto"/>
        <w:right w:val="none" w:sz="0" w:space="0" w:color="auto"/>
      </w:divBdr>
    </w:div>
    <w:div w:id="1258052193">
      <w:bodyDiv w:val="1"/>
      <w:marLeft w:val="0"/>
      <w:marRight w:val="0"/>
      <w:marTop w:val="0"/>
      <w:marBottom w:val="0"/>
      <w:divBdr>
        <w:top w:val="none" w:sz="0" w:space="0" w:color="auto"/>
        <w:left w:val="none" w:sz="0" w:space="0" w:color="auto"/>
        <w:bottom w:val="none" w:sz="0" w:space="0" w:color="auto"/>
        <w:right w:val="none" w:sz="0" w:space="0" w:color="auto"/>
      </w:divBdr>
    </w:div>
    <w:div w:id="1265528370">
      <w:bodyDiv w:val="1"/>
      <w:marLeft w:val="0"/>
      <w:marRight w:val="0"/>
      <w:marTop w:val="0"/>
      <w:marBottom w:val="0"/>
      <w:divBdr>
        <w:top w:val="none" w:sz="0" w:space="0" w:color="auto"/>
        <w:left w:val="none" w:sz="0" w:space="0" w:color="auto"/>
        <w:bottom w:val="none" w:sz="0" w:space="0" w:color="auto"/>
        <w:right w:val="none" w:sz="0" w:space="0" w:color="auto"/>
      </w:divBdr>
    </w:div>
    <w:div w:id="1275215174">
      <w:bodyDiv w:val="1"/>
      <w:marLeft w:val="0"/>
      <w:marRight w:val="0"/>
      <w:marTop w:val="0"/>
      <w:marBottom w:val="0"/>
      <w:divBdr>
        <w:top w:val="none" w:sz="0" w:space="0" w:color="auto"/>
        <w:left w:val="none" w:sz="0" w:space="0" w:color="auto"/>
        <w:bottom w:val="none" w:sz="0" w:space="0" w:color="auto"/>
        <w:right w:val="none" w:sz="0" w:space="0" w:color="auto"/>
      </w:divBdr>
    </w:div>
    <w:div w:id="1304888265">
      <w:bodyDiv w:val="1"/>
      <w:marLeft w:val="0"/>
      <w:marRight w:val="0"/>
      <w:marTop w:val="0"/>
      <w:marBottom w:val="0"/>
      <w:divBdr>
        <w:top w:val="none" w:sz="0" w:space="0" w:color="auto"/>
        <w:left w:val="none" w:sz="0" w:space="0" w:color="auto"/>
        <w:bottom w:val="none" w:sz="0" w:space="0" w:color="auto"/>
        <w:right w:val="none" w:sz="0" w:space="0" w:color="auto"/>
      </w:divBdr>
    </w:div>
    <w:div w:id="1316957579">
      <w:bodyDiv w:val="1"/>
      <w:marLeft w:val="0"/>
      <w:marRight w:val="0"/>
      <w:marTop w:val="0"/>
      <w:marBottom w:val="0"/>
      <w:divBdr>
        <w:top w:val="none" w:sz="0" w:space="0" w:color="auto"/>
        <w:left w:val="none" w:sz="0" w:space="0" w:color="auto"/>
        <w:bottom w:val="none" w:sz="0" w:space="0" w:color="auto"/>
        <w:right w:val="none" w:sz="0" w:space="0" w:color="auto"/>
      </w:divBdr>
    </w:div>
    <w:div w:id="1332679543">
      <w:bodyDiv w:val="1"/>
      <w:marLeft w:val="0"/>
      <w:marRight w:val="0"/>
      <w:marTop w:val="0"/>
      <w:marBottom w:val="0"/>
      <w:divBdr>
        <w:top w:val="none" w:sz="0" w:space="0" w:color="auto"/>
        <w:left w:val="none" w:sz="0" w:space="0" w:color="auto"/>
        <w:bottom w:val="none" w:sz="0" w:space="0" w:color="auto"/>
        <w:right w:val="none" w:sz="0" w:space="0" w:color="auto"/>
      </w:divBdr>
    </w:div>
    <w:div w:id="1334185276">
      <w:bodyDiv w:val="1"/>
      <w:marLeft w:val="0"/>
      <w:marRight w:val="0"/>
      <w:marTop w:val="0"/>
      <w:marBottom w:val="0"/>
      <w:divBdr>
        <w:top w:val="none" w:sz="0" w:space="0" w:color="auto"/>
        <w:left w:val="none" w:sz="0" w:space="0" w:color="auto"/>
        <w:bottom w:val="none" w:sz="0" w:space="0" w:color="auto"/>
        <w:right w:val="none" w:sz="0" w:space="0" w:color="auto"/>
      </w:divBdr>
    </w:div>
    <w:div w:id="1338341695">
      <w:bodyDiv w:val="1"/>
      <w:marLeft w:val="0"/>
      <w:marRight w:val="0"/>
      <w:marTop w:val="0"/>
      <w:marBottom w:val="0"/>
      <w:divBdr>
        <w:top w:val="none" w:sz="0" w:space="0" w:color="auto"/>
        <w:left w:val="none" w:sz="0" w:space="0" w:color="auto"/>
        <w:bottom w:val="none" w:sz="0" w:space="0" w:color="auto"/>
        <w:right w:val="none" w:sz="0" w:space="0" w:color="auto"/>
      </w:divBdr>
    </w:div>
    <w:div w:id="1352299504">
      <w:bodyDiv w:val="1"/>
      <w:marLeft w:val="0"/>
      <w:marRight w:val="0"/>
      <w:marTop w:val="0"/>
      <w:marBottom w:val="0"/>
      <w:divBdr>
        <w:top w:val="none" w:sz="0" w:space="0" w:color="auto"/>
        <w:left w:val="none" w:sz="0" w:space="0" w:color="auto"/>
        <w:bottom w:val="none" w:sz="0" w:space="0" w:color="auto"/>
        <w:right w:val="none" w:sz="0" w:space="0" w:color="auto"/>
      </w:divBdr>
    </w:div>
    <w:div w:id="1357584559">
      <w:bodyDiv w:val="1"/>
      <w:marLeft w:val="0"/>
      <w:marRight w:val="0"/>
      <w:marTop w:val="0"/>
      <w:marBottom w:val="0"/>
      <w:divBdr>
        <w:top w:val="none" w:sz="0" w:space="0" w:color="auto"/>
        <w:left w:val="none" w:sz="0" w:space="0" w:color="auto"/>
        <w:bottom w:val="none" w:sz="0" w:space="0" w:color="auto"/>
        <w:right w:val="none" w:sz="0" w:space="0" w:color="auto"/>
      </w:divBdr>
    </w:div>
    <w:div w:id="1362706024">
      <w:bodyDiv w:val="1"/>
      <w:marLeft w:val="0"/>
      <w:marRight w:val="0"/>
      <w:marTop w:val="0"/>
      <w:marBottom w:val="0"/>
      <w:divBdr>
        <w:top w:val="none" w:sz="0" w:space="0" w:color="auto"/>
        <w:left w:val="none" w:sz="0" w:space="0" w:color="auto"/>
        <w:bottom w:val="none" w:sz="0" w:space="0" w:color="auto"/>
        <w:right w:val="none" w:sz="0" w:space="0" w:color="auto"/>
      </w:divBdr>
    </w:div>
    <w:div w:id="1408842611">
      <w:bodyDiv w:val="1"/>
      <w:marLeft w:val="0"/>
      <w:marRight w:val="0"/>
      <w:marTop w:val="0"/>
      <w:marBottom w:val="0"/>
      <w:divBdr>
        <w:top w:val="none" w:sz="0" w:space="0" w:color="auto"/>
        <w:left w:val="none" w:sz="0" w:space="0" w:color="auto"/>
        <w:bottom w:val="none" w:sz="0" w:space="0" w:color="auto"/>
        <w:right w:val="none" w:sz="0" w:space="0" w:color="auto"/>
      </w:divBdr>
    </w:div>
    <w:div w:id="1425759800">
      <w:bodyDiv w:val="1"/>
      <w:marLeft w:val="0"/>
      <w:marRight w:val="0"/>
      <w:marTop w:val="0"/>
      <w:marBottom w:val="0"/>
      <w:divBdr>
        <w:top w:val="none" w:sz="0" w:space="0" w:color="auto"/>
        <w:left w:val="none" w:sz="0" w:space="0" w:color="auto"/>
        <w:bottom w:val="none" w:sz="0" w:space="0" w:color="auto"/>
        <w:right w:val="none" w:sz="0" w:space="0" w:color="auto"/>
      </w:divBdr>
    </w:div>
    <w:div w:id="1438527119">
      <w:bodyDiv w:val="1"/>
      <w:marLeft w:val="0"/>
      <w:marRight w:val="0"/>
      <w:marTop w:val="0"/>
      <w:marBottom w:val="0"/>
      <w:divBdr>
        <w:top w:val="none" w:sz="0" w:space="0" w:color="auto"/>
        <w:left w:val="none" w:sz="0" w:space="0" w:color="auto"/>
        <w:bottom w:val="none" w:sz="0" w:space="0" w:color="auto"/>
        <w:right w:val="none" w:sz="0" w:space="0" w:color="auto"/>
      </w:divBdr>
    </w:div>
    <w:div w:id="1438796205">
      <w:bodyDiv w:val="1"/>
      <w:marLeft w:val="0"/>
      <w:marRight w:val="0"/>
      <w:marTop w:val="0"/>
      <w:marBottom w:val="0"/>
      <w:divBdr>
        <w:top w:val="none" w:sz="0" w:space="0" w:color="auto"/>
        <w:left w:val="none" w:sz="0" w:space="0" w:color="auto"/>
        <w:bottom w:val="none" w:sz="0" w:space="0" w:color="auto"/>
        <w:right w:val="none" w:sz="0" w:space="0" w:color="auto"/>
      </w:divBdr>
    </w:div>
    <w:div w:id="1440687380">
      <w:bodyDiv w:val="1"/>
      <w:marLeft w:val="0"/>
      <w:marRight w:val="0"/>
      <w:marTop w:val="0"/>
      <w:marBottom w:val="0"/>
      <w:divBdr>
        <w:top w:val="none" w:sz="0" w:space="0" w:color="auto"/>
        <w:left w:val="none" w:sz="0" w:space="0" w:color="auto"/>
        <w:bottom w:val="none" w:sz="0" w:space="0" w:color="auto"/>
        <w:right w:val="none" w:sz="0" w:space="0" w:color="auto"/>
      </w:divBdr>
    </w:div>
    <w:div w:id="1443264964">
      <w:bodyDiv w:val="1"/>
      <w:marLeft w:val="0"/>
      <w:marRight w:val="0"/>
      <w:marTop w:val="0"/>
      <w:marBottom w:val="0"/>
      <w:divBdr>
        <w:top w:val="none" w:sz="0" w:space="0" w:color="auto"/>
        <w:left w:val="none" w:sz="0" w:space="0" w:color="auto"/>
        <w:bottom w:val="none" w:sz="0" w:space="0" w:color="auto"/>
        <w:right w:val="none" w:sz="0" w:space="0" w:color="auto"/>
      </w:divBdr>
    </w:div>
    <w:div w:id="1470437690">
      <w:bodyDiv w:val="1"/>
      <w:marLeft w:val="0"/>
      <w:marRight w:val="0"/>
      <w:marTop w:val="0"/>
      <w:marBottom w:val="0"/>
      <w:divBdr>
        <w:top w:val="none" w:sz="0" w:space="0" w:color="auto"/>
        <w:left w:val="none" w:sz="0" w:space="0" w:color="auto"/>
        <w:bottom w:val="none" w:sz="0" w:space="0" w:color="auto"/>
        <w:right w:val="none" w:sz="0" w:space="0" w:color="auto"/>
      </w:divBdr>
    </w:div>
    <w:div w:id="1479376366">
      <w:bodyDiv w:val="1"/>
      <w:marLeft w:val="0"/>
      <w:marRight w:val="0"/>
      <w:marTop w:val="0"/>
      <w:marBottom w:val="0"/>
      <w:divBdr>
        <w:top w:val="none" w:sz="0" w:space="0" w:color="auto"/>
        <w:left w:val="none" w:sz="0" w:space="0" w:color="auto"/>
        <w:bottom w:val="none" w:sz="0" w:space="0" w:color="auto"/>
        <w:right w:val="none" w:sz="0" w:space="0" w:color="auto"/>
      </w:divBdr>
    </w:div>
    <w:div w:id="1485973693">
      <w:bodyDiv w:val="1"/>
      <w:marLeft w:val="0"/>
      <w:marRight w:val="0"/>
      <w:marTop w:val="0"/>
      <w:marBottom w:val="0"/>
      <w:divBdr>
        <w:top w:val="none" w:sz="0" w:space="0" w:color="auto"/>
        <w:left w:val="none" w:sz="0" w:space="0" w:color="auto"/>
        <w:bottom w:val="none" w:sz="0" w:space="0" w:color="auto"/>
        <w:right w:val="none" w:sz="0" w:space="0" w:color="auto"/>
      </w:divBdr>
    </w:div>
    <w:div w:id="1488016990">
      <w:bodyDiv w:val="1"/>
      <w:marLeft w:val="0"/>
      <w:marRight w:val="0"/>
      <w:marTop w:val="0"/>
      <w:marBottom w:val="0"/>
      <w:divBdr>
        <w:top w:val="none" w:sz="0" w:space="0" w:color="auto"/>
        <w:left w:val="none" w:sz="0" w:space="0" w:color="auto"/>
        <w:bottom w:val="none" w:sz="0" w:space="0" w:color="auto"/>
        <w:right w:val="none" w:sz="0" w:space="0" w:color="auto"/>
      </w:divBdr>
    </w:div>
    <w:div w:id="1500071776">
      <w:bodyDiv w:val="1"/>
      <w:marLeft w:val="0"/>
      <w:marRight w:val="0"/>
      <w:marTop w:val="0"/>
      <w:marBottom w:val="0"/>
      <w:divBdr>
        <w:top w:val="none" w:sz="0" w:space="0" w:color="auto"/>
        <w:left w:val="none" w:sz="0" w:space="0" w:color="auto"/>
        <w:bottom w:val="none" w:sz="0" w:space="0" w:color="auto"/>
        <w:right w:val="none" w:sz="0" w:space="0" w:color="auto"/>
      </w:divBdr>
    </w:div>
    <w:div w:id="1506090604">
      <w:bodyDiv w:val="1"/>
      <w:marLeft w:val="0"/>
      <w:marRight w:val="0"/>
      <w:marTop w:val="0"/>
      <w:marBottom w:val="0"/>
      <w:divBdr>
        <w:top w:val="none" w:sz="0" w:space="0" w:color="auto"/>
        <w:left w:val="none" w:sz="0" w:space="0" w:color="auto"/>
        <w:bottom w:val="none" w:sz="0" w:space="0" w:color="auto"/>
        <w:right w:val="none" w:sz="0" w:space="0" w:color="auto"/>
      </w:divBdr>
    </w:div>
    <w:div w:id="1516992846">
      <w:bodyDiv w:val="1"/>
      <w:marLeft w:val="0"/>
      <w:marRight w:val="0"/>
      <w:marTop w:val="0"/>
      <w:marBottom w:val="0"/>
      <w:divBdr>
        <w:top w:val="none" w:sz="0" w:space="0" w:color="auto"/>
        <w:left w:val="none" w:sz="0" w:space="0" w:color="auto"/>
        <w:bottom w:val="none" w:sz="0" w:space="0" w:color="auto"/>
        <w:right w:val="none" w:sz="0" w:space="0" w:color="auto"/>
      </w:divBdr>
    </w:div>
    <w:div w:id="1522165945">
      <w:bodyDiv w:val="1"/>
      <w:marLeft w:val="0"/>
      <w:marRight w:val="0"/>
      <w:marTop w:val="0"/>
      <w:marBottom w:val="0"/>
      <w:divBdr>
        <w:top w:val="none" w:sz="0" w:space="0" w:color="auto"/>
        <w:left w:val="none" w:sz="0" w:space="0" w:color="auto"/>
        <w:bottom w:val="none" w:sz="0" w:space="0" w:color="auto"/>
        <w:right w:val="none" w:sz="0" w:space="0" w:color="auto"/>
      </w:divBdr>
    </w:div>
    <w:div w:id="1532452083">
      <w:bodyDiv w:val="1"/>
      <w:marLeft w:val="0"/>
      <w:marRight w:val="0"/>
      <w:marTop w:val="0"/>
      <w:marBottom w:val="0"/>
      <w:divBdr>
        <w:top w:val="none" w:sz="0" w:space="0" w:color="auto"/>
        <w:left w:val="none" w:sz="0" w:space="0" w:color="auto"/>
        <w:bottom w:val="none" w:sz="0" w:space="0" w:color="auto"/>
        <w:right w:val="none" w:sz="0" w:space="0" w:color="auto"/>
      </w:divBdr>
    </w:div>
    <w:div w:id="1547597283">
      <w:bodyDiv w:val="1"/>
      <w:marLeft w:val="0"/>
      <w:marRight w:val="0"/>
      <w:marTop w:val="0"/>
      <w:marBottom w:val="0"/>
      <w:divBdr>
        <w:top w:val="none" w:sz="0" w:space="0" w:color="auto"/>
        <w:left w:val="none" w:sz="0" w:space="0" w:color="auto"/>
        <w:bottom w:val="none" w:sz="0" w:space="0" w:color="auto"/>
        <w:right w:val="none" w:sz="0" w:space="0" w:color="auto"/>
      </w:divBdr>
    </w:div>
    <w:div w:id="1570338690">
      <w:bodyDiv w:val="1"/>
      <w:marLeft w:val="0"/>
      <w:marRight w:val="0"/>
      <w:marTop w:val="0"/>
      <w:marBottom w:val="0"/>
      <w:divBdr>
        <w:top w:val="none" w:sz="0" w:space="0" w:color="auto"/>
        <w:left w:val="none" w:sz="0" w:space="0" w:color="auto"/>
        <w:bottom w:val="none" w:sz="0" w:space="0" w:color="auto"/>
        <w:right w:val="none" w:sz="0" w:space="0" w:color="auto"/>
      </w:divBdr>
    </w:div>
    <w:div w:id="1571647645">
      <w:bodyDiv w:val="1"/>
      <w:marLeft w:val="0"/>
      <w:marRight w:val="0"/>
      <w:marTop w:val="0"/>
      <w:marBottom w:val="0"/>
      <w:divBdr>
        <w:top w:val="none" w:sz="0" w:space="0" w:color="auto"/>
        <w:left w:val="none" w:sz="0" w:space="0" w:color="auto"/>
        <w:bottom w:val="none" w:sz="0" w:space="0" w:color="auto"/>
        <w:right w:val="none" w:sz="0" w:space="0" w:color="auto"/>
      </w:divBdr>
    </w:div>
    <w:div w:id="1572932894">
      <w:bodyDiv w:val="1"/>
      <w:marLeft w:val="0"/>
      <w:marRight w:val="0"/>
      <w:marTop w:val="0"/>
      <w:marBottom w:val="0"/>
      <w:divBdr>
        <w:top w:val="none" w:sz="0" w:space="0" w:color="auto"/>
        <w:left w:val="none" w:sz="0" w:space="0" w:color="auto"/>
        <w:bottom w:val="none" w:sz="0" w:space="0" w:color="auto"/>
        <w:right w:val="none" w:sz="0" w:space="0" w:color="auto"/>
      </w:divBdr>
    </w:div>
    <w:div w:id="1579318606">
      <w:bodyDiv w:val="1"/>
      <w:marLeft w:val="0"/>
      <w:marRight w:val="0"/>
      <w:marTop w:val="0"/>
      <w:marBottom w:val="0"/>
      <w:divBdr>
        <w:top w:val="none" w:sz="0" w:space="0" w:color="auto"/>
        <w:left w:val="none" w:sz="0" w:space="0" w:color="auto"/>
        <w:bottom w:val="none" w:sz="0" w:space="0" w:color="auto"/>
        <w:right w:val="none" w:sz="0" w:space="0" w:color="auto"/>
      </w:divBdr>
    </w:div>
    <w:div w:id="1592852699">
      <w:bodyDiv w:val="1"/>
      <w:marLeft w:val="0"/>
      <w:marRight w:val="0"/>
      <w:marTop w:val="0"/>
      <w:marBottom w:val="0"/>
      <w:divBdr>
        <w:top w:val="none" w:sz="0" w:space="0" w:color="auto"/>
        <w:left w:val="none" w:sz="0" w:space="0" w:color="auto"/>
        <w:bottom w:val="none" w:sz="0" w:space="0" w:color="auto"/>
        <w:right w:val="none" w:sz="0" w:space="0" w:color="auto"/>
      </w:divBdr>
    </w:div>
    <w:div w:id="1597907577">
      <w:bodyDiv w:val="1"/>
      <w:marLeft w:val="0"/>
      <w:marRight w:val="0"/>
      <w:marTop w:val="0"/>
      <w:marBottom w:val="0"/>
      <w:divBdr>
        <w:top w:val="none" w:sz="0" w:space="0" w:color="auto"/>
        <w:left w:val="none" w:sz="0" w:space="0" w:color="auto"/>
        <w:bottom w:val="none" w:sz="0" w:space="0" w:color="auto"/>
        <w:right w:val="none" w:sz="0" w:space="0" w:color="auto"/>
      </w:divBdr>
    </w:div>
    <w:div w:id="1598097534">
      <w:bodyDiv w:val="1"/>
      <w:marLeft w:val="0"/>
      <w:marRight w:val="0"/>
      <w:marTop w:val="0"/>
      <w:marBottom w:val="0"/>
      <w:divBdr>
        <w:top w:val="none" w:sz="0" w:space="0" w:color="auto"/>
        <w:left w:val="none" w:sz="0" w:space="0" w:color="auto"/>
        <w:bottom w:val="none" w:sz="0" w:space="0" w:color="auto"/>
        <w:right w:val="none" w:sz="0" w:space="0" w:color="auto"/>
      </w:divBdr>
    </w:div>
    <w:div w:id="1599220160">
      <w:bodyDiv w:val="1"/>
      <w:marLeft w:val="0"/>
      <w:marRight w:val="0"/>
      <w:marTop w:val="0"/>
      <w:marBottom w:val="0"/>
      <w:divBdr>
        <w:top w:val="none" w:sz="0" w:space="0" w:color="auto"/>
        <w:left w:val="none" w:sz="0" w:space="0" w:color="auto"/>
        <w:bottom w:val="none" w:sz="0" w:space="0" w:color="auto"/>
        <w:right w:val="none" w:sz="0" w:space="0" w:color="auto"/>
      </w:divBdr>
    </w:div>
    <w:div w:id="1607733587">
      <w:bodyDiv w:val="1"/>
      <w:marLeft w:val="0"/>
      <w:marRight w:val="0"/>
      <w:marTop w:val="0"/>
      <w:marBottom w:val="0"/>
      <w:divBdr>
        <w:top w:val="none" w:sz="0" w:space="0" w:color="auto"/>
        <w:left w:val="none" w:sz="0" w:space="0" w:color="auto"/>
        <w:bottom w:val="none" w:sz="0" w:space="0" w:color="auto"/>
        <w:right w:val="none" w:sz="0" w:space="0" w:color="auto"/>
      </w:divBdr>
    </w:div>
    <w:div w:id="1615017242">
      <w:bodyDiv w:val="1"/>
      <w:marLeft w:val="0"/>
      <w:marRight w:val="0"/>
      <w:marTop w:val="0"/>
      <w:marBottom w:val="0"/>
      <w:divBdr>
        <w:top w:val="none" w:sz="0" w:space="0" w:color="auto"/>
        <w:left w:val="none" w:sz="0" w:space="0" w:color="auto"/>
        <w:bottom w:val="none" w:sz="0" w:space="0" w:color="auto"/>
        <w:right w:val="none" w:sz="0" w:space="0" w:color="auto"/>
      </w:divBdr>
    </w:div>
    <w:div w:id="1631981595">
      <w:bodyDiv w:val="1"/>
      <w:marLeft w:val="0"/>
      <w:marRight w:val="0"/>
      <w:marTop w:val="0"/>
      <w:marBottom w:val="0"/>
      <w:divBdr>
        <w:top w:val="none" w:sz="0" w:space="0" w:color="auto"/>
        <w:left w:val="none" w:sz="0" w:space="0" w:color="auto"/>
        <w:bottom w:val="none" w:sz="0" w:space="0" w:color="auto"/>
        <w:right w:val="none" w:sz="0" w:space="0" w:color="auto"/>
      </w:divBdr>
    </w:div>
    <w:div w:id="1637829056">
      <w:bodyDiv w:val="1"/>
      <w:marLeft w:val="0"/>
      <w:marRight w:val="0"/>
      <w:marTop w:val="0"/>
      <w:marBottom w:val="0"/>
      <w:divBdr>
        <w:top w:val="none" w:sz="0" w:space="0" w:color="auto"/>
        <w:left w:val="none" w:sz="0" w:space="0" w:color="auto"/>
        <w:bottom w:val="none" w:sz="0" w:space="0" w:color="auto"/>
        <w:right w:val="none" w:sz="0" w:space="0" w:color="auto"/>
      </w:divBdr>
    </w:div>
    <w:div w:id="1643266249">
      <w:bodyDiv w:val="1"/>
      <w:marLeft w:val="0"/>
      <w:marRight w:val="0"/>
      <w:marTop w:val="0"/>
      <w:marBottom w:val="0"/>
      <w:divBdr>
        <w:top w:val="none" w:sz="0" w:space="0" w:color="auto"/>
        <w:left w:val="none" w:sz="0" w:space="0" w:color="auto"/>
        <w:bottom w:val="none" w:sz="0" w:space="0" w:color="auto"/>
        <w:right w:val="none" w:sz="0" w:space="0" w:color="auto"/>
      </w:divBdr>
    </w:div>
    <w:div w:id="1646815910">
      <w:bodyDiv w:val="1"/>
      <w:marLeft w:val="0"/>
      <w:marRight w:val="0"/>
      <w:marTop w:val="0"/>
      <w:marBottom w:val="0"/>
      <w:divBdr>
        <w:top w:val="none" w:sz="0" w:space="0" w:color="auto"/>
        <w:left w:val="none" w:sz="0" w:space="0" w:color="auto"/>
        <w:bottom w:val="none" w:sz="0" w:space="0" w:color="auto"/>
        <w:right w:val="none" w:sz="0" w:space="0" w:color="auto"/>
      </w:divBdr>
    </w:div>
    <w:div w:id="1651402557">
      <w:bodyDiv w:val="1"/>
      <w:marLeft w:val="0"/>
      <w:marRight w:val="0"/>
      <w:marTop w:val="0"/>
      <w:marBottom w:val="0"/>
      <w:divBdr>
        <w:top w:val="none" w:sz="0" w:space="0" w:color="auto"/>
        <w:left w:val="none" w:sz="0" w:space="0" w:color="auto"/>
        <w:bottom w:val="none" w:sz="0" w:space="0" w:color="auto"/>
        <w:right w:val="none" w:sz="0" w:space="0" w:color="auto"/>
      </w:divBdr>
    </w:div>
    <w:div w:id="1652295543">
      <w:bodyDiv w:val="1"/>
      <w:marLeft w:val="0"/>
      <w:marRight w:val="0"/>
      <w:marTop w:val="0"/>
      <w:marBottom w:val="0"/>
      <w:divBdr>
        <w:top w:val="none" w:sz="0" w:space="0" w:color="auto"/>
        <w:left w:val="none" w:sz="0" w:space="0" w:color="auto"/>
        <w:bottom w:val="none" w:sz="0" w:space="0" w:color="auto"/>
        <w:right w:val="none" w:sz="0" w:space="0" w:color="auto"/>
      </w:divBdr>
    </w:div>
    <w:div w:id="1677342039">
      <w:bodyDiv w:val="1"/>
      <w:marLeft w:val="0"/>
      <w:marRight w:val="0"/>
      <w:marTop w:val="0"/>
      <w:marBottom w:val="0"/>
      <w:divBdr>
        <w:top w:val="none" w:sz="0" w:space="0" w:color="auto"/>
        <w:left w:val="none" w:sz="0" w:space="0" w:color="auto"/>
        <w:bottom w:val="none" w:sz="0" w:space="0" w:color="auto"/>
        <w:right w:val="none" w:sz="0" w:space="0" w:color="auto"/>
      </w:divBdr>
    </w:div>
    <w:div w:id="1679312914">
      <w:bodyDiv w:val="1"/>
      <w:marLeft w:val="0"/>
      <w:marRight w:val="0"/>
      <w:marTop w:val="0"/>
      <w:marBottom w:val="0"/>
      <w:divBdr>
        <w:top w:val="none" w:sz="0" w:space="0" w:color="auto"/>
        <w:left w:val="none" w:sz="0" w:space="0" w:color="auto"/>
        <w:bottom w:val="none" w:sz="0" w:space="0" w:color="auto"/>
        <w:right w:val="none" w:sz="0" w:space="0" w:color="auto"/>
      </w:divBdr>
    </w:div>
    <w:div w:id="1682733166">
      <w:bodyDiv w:val="1"/>
      <w:marLeft w:val="0"/>
      <w:marRight w:val="0"/>
      <w:marTop w:val="0"/>
      <w:marBottom w:val="0"/>
      <w:divBdr>
        <w:top w:val="none" w:sz="0" w:space="0" w:color="auto"/>
        <w:left w:val="none" w:sz="0" w:space="0" w:color="auto"/>
        <w:bottom w:val="none" w:sz="0" w:space="0" w:color="auto"/>
        <w:right w:val="none" w:sz="0" w:space="0" w:color="auto"/>
      </w:divBdr>
    </w:div>
    <w:div w:id="1684015769">
      <w:bodyDiv w:val="1"/>
      <w:marLeft w:val="0"/>
      <w:marRight w:val="0"/>
      <w:marTop w:val="0"/>
      <w:marBottom w:val="0"/>
      <w:divBdr>
        <w:top w:val="none" w:sz="0" w:space="0" w:color="auto"/>
        <w:left w:val="none" w:sz="0" w:space="0" w:color="auto"/>
        <w:bottom w:val="none" w:sz="0" w:space="0" w:color="auto"/>
        <w:right w:val="none" w:sz="0" w:space="0" w:color="auto"/>
      </w:divBdr>
    </w:div>
    <w:div w:id="1684547624">
      <w:bodyDiv w:val="1"/>
      <w:marLeft w:val="0"/>
      <w:marRight w:val="0"/>
      <w:marTop w:val="0"/>
      <w:marBottom w:val="0"/>
      <w:divBdr>
        <w:top w:val="none" w:sz="0" w:space="0" w:color="auto"/>
        <w:left w:val="none" w:sz="0" w:space="0" w:color="auto"/>
        <w:bottom w:val="none" w:sz="0" w:space="0" w:color="auto"/>
        <w:right w:val="none" w:sz="0" w:space="0" w:color="auto"/>
      </w:divBdr>
    </w:div>
    <w:div w:id="1711569415">
      <w:bodyDiv w:val="1"/>
      <w:marLeft w:val="0"/>
      <w:marRight w:val="0"/>
      <w:marTop w:val="0"/>
      <w:marBottom w:val="0"/>
      <w:divBdr>
        <w:top w:val="none" w:sz="0" w:space="0" w:color="auto"/>
        <w:left w:val="none" w:sz="0" w:space="0" w:color="auto"/>
        <w:bottom w:val="none" w:sz="0" w:space="0" w:color="auto"/>
        <w:right w:val="none" w:sz="0" w:space="0" w:color="auto"/>
      </w:divBdr>
    </w:div>
    <w:div w:id="1721172146">
      <w:bodyDiv w:val="1"/>
      <w:marLeft w:val="0"/>
      <w:marRight w:val="0"/>
      <w:marTop w:val="0"/>
      <w:marBottom w:val="0"/>
      <w:divBdr>
        <w:top w:val="none" w:sz="0" w:space="0" w:color="auto"/>
        <w:left w:val="none" w:sz="0" w:space="0" w:color="auto"/>
        <w:bottom w:val="none" w:sz="0" w:space="0" w:color="auto"/>
        <w:right w:val="none" w:sz="0" w:space="0" w:color="auto"/>
      </w:divBdr>
    </w:div>
    <w:div w:id="1723864340">
      <w:bodyDiv w:val="1"/>
      <w:marLeft w:val="0"/>
      <w:marRight w:val="0"/>
      <w:marTop w:val="0"/>
      <w:marBottom w:val="0"/>
      <w:divBdr>
        <w:top w:val="none" w:sz="0" w:space="0" w:color="auto"/>
        <w:left w:val="none" w:sz="0" w:space="0" w:color="auto"/>
        <w:bottom w:val="none" w:sz="0" w:space="0" w:color="auto"/>
        <w:right w:val="none" w:sz="0" w:space="0" w:color="auto"/>
      </w:divBdr>
    </w:div>
    <w:div w:id="1728065079">
      <w:bodyDiv w:val="1"/>
      <w:marLeft w:val="0"/>
      <w:marRight w:val="0"/>
      <w:marTop w:val="0"/>
      <w:marBottom w:val="0"/>
      <w:divBdr>
        <w:top w:val="none" w:sz="0" w:space="0" w:color="auto"/>
        <w:left w:val="none" w:sz="0" w:space="0" w:color="auto"/>
        <w:bottom w:val="none" w:sz="0" w:space="0" w:color="auto"/>
        <w:right w:val="none" w:sz="0" w:space="0" w:color="auto"/>
      </w:divBdr>
    </w:div>
    <w:div w:id="1736270804">
      <w:bodyDiv w:val="1"/>
      <w:marLeft w:val="0"/>
      <w:marRight w:val="0"/>
      <w:marTop w:val="0"/>
      <w:marBottom w:val="0"/>
      <w:divBdr>
        <w:top w:val="none" w:sz="0" w:space="0" w:color="auto"/>
        <w:left w:val="none" w:sz="0" w:space="0" w:color="auto"/>
        <w:bottom w:val="none" w:sz="0" w:space="0" w:color="auto"/>
        <w:right w:val="none" w:sz="0" w:space="0" w:color="auto"/>
      </w:divBdr>
    </w:div>
    <w:div w:id="1755080330">
      <w:bodyDiv w:val="1"/>
      <w:marLeft w:val="0"/>
      <w:marRight w:val="0"/>
      <w:marTop w:val="0"/>
      <w:marBottom w:val="0"/>
      <w:divBdr>
        <w:top w:val="none" w:sz="0" w:space="0" w:color="auto"/>
        <w:left w:val="none" w:sz="0" w:space="0" w:color="auto"/>
        <w:bottom w:val="none" w:sz="0" w:space="0" w:color="auto"/>
        <w:right w:val="none" w:sz="0" w:space="0" w:color="auto"/>
      </w:divBdr>
    </w:div>
    <w:div w:id="1755276396">
      <w:bodyDiv w:val="1"/>
      <w:marLeft w:val="0"/>
      <w:marRight w:val="0"/>
      <w:marTop w:val="0"/>
      <w:marBottom w:val="0"/>
      <w:divBdr>
        <w:top w:val="none" w:sz="0" w:space="0" w:color="auto"/>
        <w:left w:val="none" w:sz="0" w:space="0" w:color="auto"/>
        <w:bottom w:val="none" w:sz="0" w:space="0" w:color="auto"/>
        <w:right w:val="none" w:sz="0" w:space="0" w:color="auto"/>
      </w:divBdr>
    </w:div>
    <w:div w:id="1756435897">
      <w:bodyDiv w:val="1"/>
      <w:marLeft w:val="0"/>
      <w:marRight w:val="0"/>
      <w:marTop w:val="0"/>
      <w:marBottom w:val="0"/>
      <w:divBdr>
        <w:top w:val="none" w:sz="0" w:space="0" w:color="auto"/>
        <w:left w:val="none" w:sz="0" w:space="0" w:color="auto"/>
        <w:bottom w:val="none" w:sz="0" w:space="0" w:color="auto"/>
        <w:right w:val="none" w:sz="0" w:space="0" w:color="auto"/>
      </w:divBdr>
    </w:div>
    <w:div w:id="1759326297">
      <w:bodyDiv w:val="1"/>
      <w:marLeft w:val="0"/>
      <w:marRight w:val="0"/>
      <w:marTop w:val="0"/>
      <w:marBottom w:val="0"/>
      <w:divBdr>
        <w:top w:val="none" w:sz="0" w:space="0" w:color="auto"/>
        <w:left w:val="none" w:sz="0" w:space="0" w:color="auto"/>
        <w:bottom w:val="none" w:sz="0" w:space="0" w:color="auto"/>
        <w:right w:val="none" w:sz="0" w:space="0" w:color="auto"/>
      </w:divBdr>
    </w:div>
    <w:div w:id="1770857912">
      <w:bodyDiv w:val="1"/>
      <w:marLeft w:val="0"/>
      <w:marRight w:val="0"/>
      <w:marTop w:val="0"/>
      <w:marBottom w:val="0"/>
      <w:divBdr>
        <w:top w:val="none" w:sz="0" w:space="0" w:color="auto"/>
        <w:left w:val="none" w:sz="0" w:space="0" w:color="auto"/>
        <w:bottom w:val="none" w:sz="0" w:space="0" w:color="auto"/>
        <w:right w:val="none" w:sz="0" w:space="0" w:color="auto"/>
      </w:divBdr>
    </w:div>
    <w:div w:id="1785689916">
      <w:bodyDiv w:val="1"/>
      <w:marLeft w:val="0"/>
      <w:marRight w:val="0"/>
      <w:marTop w:val="0"/>
      <w:marBottom w:val="0"/>
      <w:divBdr>
        <w:top w:val="none" w:sz="0" w:space="0" w:color="auto"/>
        <w:left w:val="none" w:sz="0" w:space="0" w:color="auto"/>
        <w:bottom w:val="none" w:sz="0" w:space="0" w:color="auto"/>
        <w:right w:val="none" w:sz="0" w:space="0" w:color="auto"/>
      </w:divBdr>
    </w:div>
    <w:div w:id="1790853818">
      <w:bodyDiv w:val="1"/>
      <w:marLeft w:val="0"/>
      <w:marRight w:val="0"/>
      <w:marTop w:val="0"/>
      <w:marBottom w:val="0"/>
      <w:divBdr>
        <w:top w:val="none" w:sz="0" w:space="0" w:color="auto"/>
        <w:left w:val="none" w:sz="0" w:space="0" w:color="auto"/>
        <w:bottom w:val="none" w:sz="0" w:space="0" w:color="auto"/>
        <w:right w:val="none" w:sz="0" w:space="0" w:color="auto"/>
      </w:divBdr>
    </w:div>
    <w:div w:id="1791123886">
      <w:bodyDiv w:val="1"/>
      <w:marLeft w:val="0"/>
      <w:marRight w:val="0"/>
      <w:marTop w:val="0"/>
      <w:marBottom w:val="0"/>
      <w:divBdr>
        <w:top w:val="none" w:sz="0" w:space="0" w:color="auto"/>
        <w:left w:val="none" w:sz="0" w:space="0" w:color="auto"/>
        <w:bottom w:val="none" w:sz="0" w:space="0" w:color="auto"/>
        <w:right w:val="none" w:sz="0" w:space="0" w:color="auto"/>
      </w:divBdr>
    </w:div>
    <w:div w:id="1794056443">
      <w:bodyDiv w:val="1"/>
      <w:marLeft w:val="0"/>
      <w:marRight w:val="0"/>
      <w:marTop w:val="0"/>
      <w:marBottom w:val="0"/>
      <w:divBdr>
        <w:top w:val="none" w:sz="0" w:space="0" w:color="auto"/>
        <w:left w:val="none" w:sz="0" w:space="0" w:color="auto"/>
        <w:bottom w:val="none" w:sz="0" w:space="0" w:color="auto"/>
        <w:right w:val="none" w:sz="0" w:space="0" w:color="auto"/>
      </w:divBdr>
    </w:div>
    <w:div w:id="1800956577">
      <w:bodyDiv w:val="1"/>
      <w:marLeft w:val="0"/>
      <w:marRight w:val="0"/>
      <w:marTop w:val="0"/>
      <w:marBottom w:val="0"/>
      <w:divBdr>
        <w:top w:val="none" w:sz="0" w:space="0" w:color="auto"/>
        <w:left w:val="none" w:sz="0" w:space="0" w:color="auto"/>
        <w:bottom w:val="none" w:sz="0" w:space="0" w:color="auto"/>
        <w:right w:val="none" w:sz="0" w:space="0" w:color="auto"/>
      </w:divBdr>
    </w:div>
    <w:div w:id="1824347399">
      <w:bodyDiv w:val="1"/>
      <w:marLeft w:val="0"/>
      <w:marRight w:val="0"/>
      <w:marTop w:val="0"/>
      <w:marBottom w:val="0"/>
      <w:divBdr>
        <w:top w:val="none" w:sz="0" w:space="0" w:color="auto"/>
        <w:left w:val="none" w:sz="0" w:space="0" w:color="auto"/>
        <w:bottom w:val="none" w:sz="0" w:space="0" w:color="auto"/>
        <w:right w:val="none" w:sz="0" w:space="0" w:color="auto"/>
      </w:divBdr>
    </w:div>
    <w:div w:id="1831285908">
      <w:bodyDiv w:val="1"/>
      <w:marLeft w:val="0"/>
      <w:marRight w:val="0"/>
      <w:marTop w:val="0"/>
      <w:marBottom w:val="0"/>
      <w:divBdr>
        <w:top w:val="none" w:sz="0" w:space="0" w:color="auto"/>
        <w:left w:val="none" w:sz="0" w:space="0" w:color="auto"/>
        <w:bottom w:val="none" w:sz="0" w:space="0" w:color="auto"/>
        <w:right w:val="none" w:sz="0" w:space="0" w:color="auto"/>
      </w:divBdr>
    </w:div>
    <w:div w:id="1837719855">
      <w:bodyDiv w:val="1"/>
      <w:marLeft w:val="0"/>
      <w:marRight w:val="0"/>
      <w:marTop w:val="0"/>
      <w:marBottom w:val="0"/>
      <w:divBdr>
        <w:top w:val="none" w:sz="0" w:space="0" w:color="auto"/>
        <w:left w:val="none" w:sz="0" w:space="0" w:color="auto"/>
        <w:bottom w:val="none" w:sz="0" w:space="0" w:color="auto"/>
        <w:right w:val="none" w:sz="0" w:space="0" w:color="auto"/>
      </w:divBdr>
    </w:div>
    <w:div w:id="1839693177">
      <w:bodyDiv w:val="1"/>
      <w:marLeft w:val="0"/>
      <w:marRight w:val="0"/>
      <w:marTop w:val="0"/>
      <w:marBottom w:val="0"/>
      <w:divBdr>
        <w:top w:val="none" w:sz="0" w:space="0" w:color="auto"/>
        <w:left w:val="none" w:sz="0" w:space="0" w:color="auto"/>
        <w:bottom w:val="none" w:sz="0" w:space="0" w:color="auto"/>
        <w:right w:val="none" w:sz="0" w:space="0" w:color="auto"/>
      </w:divBdr>
    </w:div>
    <w:div w:id="1844516370">
      <w:bodyDiv w:val="1"/>
      <w:marLeft w:val="0"/>
      <w:marRight w:val="0"/>
      <w:marTop w:val="0"/>
      <w:marBottom w:val="0"/>
      <w:divBdr>
        <w:top w:val="none" w:sz="0" w:space="0" w:color="auto"/>
        <w:left w:val="none" w:sz="0" w:space="0" w:color="auto"/>
        <w:bottom w:val="none" w:sz="0" w:space="0" w:color="auto"/>
        <w:right w:val="none" w:sz="0" w:space="0" w:color="auto"/>
      </w:divBdr>
    </w:div>
    <w:div w:id="1849833479">
      <w:bodyDiv w:val="1"/>
      <w:marLeft w:val="0"/>
      <w:marRight w:val="0"/>
      <w:marTop w:val="0"/>
      <w:marBottom w:val="0"/>
      <w:divBdr>
        <w:top w:val="none" w:sz="0" w:space="0" w:color="auto"/>
        <w:left w:val="none" w:sz="0" w:space="0" w:color="auto"/>
        <w:bottom w:val="none" w:sz="0" w:space="0" w:color="auto"/>
        <w:right w:val="none" w:sz="0" w:space="0" w:color="auto"/>
      </w:divBdr>
    </w:div>
    <w:div w:id="1855803468">
      <w:bodyDiv w:val="1"/>
      <w:marLeft w:val="0"/>
      <w:marRight w:val="0"/>
      <w:marTop w:val="0"/>
      <w:marBottom w:val="0"/>
      <w:divBdr>
        <w:top w:val="none" w:sz="0" w:space="0" w:color="auto"/>
        <w:left w:val="none" w:sz="0" w:space="0" w:color="auto"/>
        <w:bottom w:val="none" w:sz="0" w:space="0" w:color="auto"/>
        <w:right w:val="none" w:sz="0" w:space="0" w:color="auto"/>
      </w:divBdr>
    </w:div>
    <w:div w:id="1892229951">
      <w:bodyDiv w:val="1"/>
      <w:marLeft w:val="0"/>
      <w:marRight w:val="0"/>
      <w:marTop w:val="0"/>
      <w:marBottom w:val="0"/>
      <w:divBdr>
        <w:top w:val="none" w:sz="0" w:space="0" w:color="auto"/>
        <w:left w:val="none" w:sz="0" w:space="0" w:color="auto"/>
        <w:bottom w:val="none" w:sz="0" w:space="0" w:color="auto"/>
        <w:right w:val="none" w:sz="0" w:space="0" w:color="auto"/>
      </w:divBdr>
    </w:div>
    <w:div w:id="1893350102">
      <w:bodyDiv w:val="1"/>
      <w:marLeft w:val="0"/>
      <w:marRight w:val="0"/>
      <w:marTop w:val="0"/>
      <w:marBottom w:val="0"/>
      <w:divBdr>
        <w:top w:val="none" w:sz="0" w:space="0" w:color="auto"/>
        <w:left w:val="none" w:sz="0" w:space="0" w:color="auto"/>
        <w:bottom w:val="none" w:sz="0" w:space="0" w:color="auto"/>
        <w:right w:val="none" w:sz="0" w:space="0" w:color="auto"/>
      </w:divBdr>
    </w:div>
    <w:div w:id="1908028914">
      <w:bodyDiv w:val="1"/>
      <w:marLeft w:val="0"/>
      <w:marRight w:val="0"/>
      <w:marTop w:val="0"/>
      <w:marBottom w:val="0"/>
      <w:divBdr>
        <w:top w:val="none" w:sz="0" w:space="0" w:color="auto"/>
        <w:left w:val="none" w:sz="0" w:space="0" w:color="auto"/>
        <w:bottom w:val="none" w:sz="0" w:space="0" w:color="auto"/>
        <w:right w:val="none" w:sz="0" w:space="0" w:color="auto"/>
      </w:divBdr>
    </w:div>
    <w:div w:id="1951471211">
      <w:bodyDiv w:val="1"/>
      <w:marLeft w:val="0"/>
      <w:marRight w:val="0"/>
      <w:marTop w:val="0"/>
      <w:marBottom w:val="0"/>
      <w:divBdr>
        <w:top w:val="none" w:sz="0" w:space="0" w:color="auto"/>
        <w:left w:val="none" w:sz="0" w:space="0" w:color="auto"/>
        <w:bottom w:val="none" w:sz="0" w:space="0" w:color="auto"/>
        <w:right w:val="none" w:sz="0" w:space="0" w:color="auto"/>
      </w:divBdr>
    </w:div>
    <w:div w:id="1965306871">
      <w:bodyDiv w:val="1"/>
      <w:marLeft w:val="0"/>
      <w:marRight w:val="0"/>
      <w:marTop w:val="0"/>
      <w:marBottom w:val="0"/>
      <w:divBdr>
        <w:top w:val="none" w:sz="0" w:space="0" w:color="auto"/>
        <w:left w:val="none" w:sz="0" w:space="0" w:color="auto"/>
        <w:bottom w:val="none" w:sz="0" w:space="0" w:color="auto"/>
        <w:right w:val="none" w:sz="0" w:space="0" w:color="auto"/>
      </w:divBdr>
    </w:div>
    <w:div w:id="1975258149">
      <w:bodyDiv w:val="1"/>
      <w:marLeft w:val="0"/>
      <w:marRight w:val="0"/>
      <w:marTop w:val="0"/>
      <w:marBottom w:val="0"/>
      <w:divBdr>
        <w:top w:val="none" w:sz="0" w:space="0" w:color="auto"/>
        <w:left w:val="none" w:sz="0" w:space="0" w:color="auto"/>
        <w:bottom w:val="none" w:sz="0" w:space="0" w:color="auto"/>
        <w:right w:val="none" w:sz="0" w:space="0" w:color="auto"/>
      </w:divBdr>
    </w:div>
    <w:div w:id="1982731572">
      <w:bodyDiv w:val="1"/>
      <w:marLeft w:val="0"/>
      <w:marRight w:val="0"/>
      <w:marTop w:val="0"/>
      <w:marBottom w:val="0"/>
      <w:divBdr>
        <w:top w:val="none" w:sz="0" w:space="0" w:color="auto"/>
        <w:left w:val="none" w:sz="0" w:space="0" w:color="auto"/>
        <w:bottom w:val="none" w:sz="0" w:space="0" w:color="auto"/>
        <w:right w:val="none" w:sz="0" w:space="0" w:color="auto"/>
      </w:divBdr>
    </w:div>
    <w:div w:id="1986426867">
      <w:bodyDiv w:val="1"/>
      <w:marLeft w:val="0"/>
      <w:marRight w:val="0"/>
      <w:marTop w:val="0"/>
      <w:marBottom w:val="0"/>
      <w:divBdr>
        <w:top w:val="none" w:sz="0" w:space="0" w:color="auto"/>
        <w:left w:val="none" w:sz="0" w:space="0" w:color="auto"/>
        <w:bottom w:val="none" w:sz="0" w:space="0" w:color="auto"/>
        <w:right w:val="none" w:sz="0" w:space="0" w:color="auto"/>
      </w:divBdr>
    </w:div>
    <w:div w:id="1989169445">
      <w:bodyDiv w:val="1"/>
      <w:marLeft w:val="0"/>
      <w:marRight w:val="0"/>
      <w:marTop w:val="0"/>
      <w:marBottom w:val="0"/>
      <w:divBdr>
        <w:top w:val="none" w:sz="0" w:space="0" w:color="auto"/>
        <w:left w:val="none" w:sz="0" w:space="0" w:color="auto"/>
        <w:bottom w:val="none" w:sz="0" w:space="0" w:color="auto"/>
        <w:right w:val="none" w:sz="0" w:space="0" w:color="auto"/>
      </w:divBdr>
    </w:div>
    <w:div w:id="1994749517">
      <w:bodyDiv w:val="1"/>
      <w:marLeft w:val="0"/>
      <w:marRight w:val="0"/>
      <w:marTop w:val="0"/>
      <w:marBottom w:val="0"/>
      <w:divBdr>
        <w:top w:val="none" w:sz="0" w:space="0" w:color="auto"/>
        <w:left w:val="none" w:sz="0" w:space="0" w:color="auto"/>
        <w:bottom w:val="none" w:sz="0" w:space="0" w:color="auto"/>
        <w:right w:val="none" w:sz="0" w:space="0" w:color="auto"/>
      </w:divBdr>
    </w:div>
    <w:div w:id="1999964387">
      <w:bodyDiv w:val="1"/>
      <w:marLeft w:val="0"/>
      <w:marRight w:val="0"/>
      <w:marTop w:val="0"/>
      <w:marBottom w:val="0"/>
      <w:divBdr>
        <w:top w:val="none" w:sz="0" w:space="0" w:color="auto"/>
        <w:left w:val="none" w:sz="0" w:space="0" w:color="auto"/>
        <w:bottom w:val="none" w:sz="0" w:space="0" w:color="auto"/>
        <w:right w:val="none" w:sz="0" w:space="0" w:color="auto"/>
      </w:divBdr>
    </w:div>
    <w:div w:id="2003384699">
      <w:bodyDiv w:val="1"/>
      <w:marLeft w:val="0"/>
      <w:marRight w:val="0"/>
      <w:marTop w:val="0"/>
      <w:marBottom w:val="0"/>
      <w:divBdr>
        <w:top w:val="none" w:sz="0" w:space="0" w:color="auto"/>
        <w:left w:val="none" w:sz="0" w:space="0" w:color="auto"/>
        <w:bottom w:val="none" w:sz="0" w:space="0" w:color="auto"/>
        <w:right w:val="none" w:sz="0" w:space="0" w:color="auto"/>
      </w:divBdr>
      <w:divsChild>
        <w:div w:id="1059671035">
          <w:marLeft w:val="0"/>
          <w:marRight w:val="0"/>
          <w:marTop w:val="0"/>
          <w:marBottom w:val="0"/>
          <w:divBdr>
            <w:top w:val="none" w:sz="0" w:space="0" w:color="auto"/>
            <w:left w:val="none" w:sz="0" w:space="0" w:color="auto"/>
            <w:bottom w:val="none" w:sz="0" w:space="0" w:color="auto"/>
            <w:right w:val="none" w:sz="0" w:space="0" w:color="auto"/>
          </w:divBdr>
          <w:divsChild>
            <w:div w:id="1709984555">
              <w:marLeft w:val="0"/>
              <w:marRight w:val="0"/>
              <w:marTop w:val="0"/>
              <w:marBottom w:val="0"/>
              <w:divBdr>
                <w:top w:val="none" w:sz="0" w:space="0" w:color="auto"/>
                <w:left w:val="none" w:sz="0" w:space="0" w:color="auto"/>
                <w:bottom w:val="none" w:sz="0" w:space="0" w:color="auto"/>
                <w:right w:val="none" w:sz="0" w:space="0" w:color="auto"/>
              </w:divBdr>
              <w:divsChild>
                <w:div w:id="575675490">
                  <w:marLeft w:val="0"/>
                  <w:marRight w:val="0"/>
                  <w:marTop w:val="0"/>
                  <w:marBottom w:val="0"/>
                  <w:divBdr>
                    <w:top w:val="none" w:sz="0" w:space="0" w:color="auto"/>
                    <w:left w:val="none" w:sz="0" w:space="0" w:color="auto"/>
                    <w:bottom w:val="none" w:sz="0" w:space="0" w:color="auto"/>
                    <w:right w:val="none" w:sz="0" w:space="0" w:color="auto"/>
                  </w:divBdr>
                  <w:divsChild>
                    <w:div w:id="394545401">
                      <w:marLeft w:val="0"/>
                      <w:marRight w:val="0"/>
                      <w:marTop w:val="0"/>
                      <w:marBottom w:val="0"/>
                      <w:divBdr>
                        <w:top w:val="none" w:sz="0" w:space="0" w:color="auto"/>
                        <w:left w:val="none" w:sz="0" w:space="0" w:color="auto"/>
                        <w:bottom w:val="none" w:sz="0" w:space="0" w:color="auto"/>
                        <w:right w:val="none" w:sz="0" w:space="0" w:color="auto"/>
                      </w:divBdr>
                      <w:divsChild>
                        <w:div w:id="550159">
                          <w:marLeft w:val="0"/>
                          <w:marRight w:val="0"/>
                          <w:marTop w:val="0"/>
                          <w:marBottom w:val="0"/>
                          <w:divBdr>
                            <w:top w:val="none" w:sz="0" w:space="0" w:color="auto"/>
                            <w:left w:val="none" w:sz="0" w:space="0" w:color="auto"/>
                            <w:bottom w:val="none" w:sz="0" w:space="0" w:color="auto"/>
                            <w:right w:val="none" w:sz="0" w:space="0" w:color="auto"/>
                          </w:divBdr>
                          <w:divsChild>
                            <w:div w:id="720834461">
                              <w:marLeft w:val="0"/>
                              <w:marRight w:val="0"/>
                              <w:marTop w:val="0"/>
                              <w:marBottom w:val="0"/>
                              <w:divBdr>
                                <w:top w:val="none" w:sz="0" w:space="0" w:color="auto"/>
                                <w:left w:val="none" w:sz="0" w:space="0" w:color="auto"/>
                                <w:bottom w:val="none" w:sz="0" w:space="0" w:color="auto"/>
                                <w:right w:val="none" w:sz="0" w:space="0" w:color="auto"/>
                              </w:divBdr>
                              <w:divsChild>
                                <w:div w:id="371658063">
                                  <w:marLeft w:val="0"/>
                                  <w:marRight w:val="0"/>
                                  <w:marTop w:val="0"/>
                                  <w:marBottom w:val="0"/>
                                  <w:divBdr>
                                    <w:top w:val="none" w:sz="0" w:space="0" w:color="auto"/>
                                    <w:left w:val="none" w:sz="0" w:space="0" w:color="auto"/>
                                    <w:bottom w:val="none" w:sz="0" w:space="0" w:color="auto"/>
                                    <w:right w:val="none" w:sz="0" w:space="0" w:color="auto"/>
                                  </w:divBdr>
                                  <w:divsChild>
                                    <w:div w:id="15119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116209">
      <w:bodyDiv w:val="1"/>
      <w:marLeft w:val="0"/>
      <w:marRight w:val="0"/>
      <w:marTop w:val="0"/>
      <w:marBottom w:val="0"/>
      <w:divBdr>
        <w:top w:val="none" w:sz="0" w:space="0" w:color="auto"/>
        <w:left w:val="none" w:sz="0" w:space="0" w:color="auto"/>
        <w:bottom w:val="none" w:sz="0" w:space="0" w:color="auto"/>
        <w:right w:val="none" w:sz="0" w:space="0" w:color="auto"/>
      </w:divBdr>
    </w:div>
    <w:div w:id="2005887209">
      <w:bodyDiv w:val="1"/>
      <w:marLeft w:val="0"/>
      <w:marRight w:val="0"/>
      <w:marTop w:val="0"/>
      <w:marBottom w:val="0"/>
      <w:divBdr>
        <w:top w:val="none" w:sz="0" w:space="0" w:color="auto"/>
        <w:left w:val="none" w:sz="0" w:space="0" w:color="auto"/>
        <w:bottom w:val="none" w:sz="0" w:space="0" w:color="auto"/>
        <w:right w:val="none" w:sz="0" w:space="0" w:color="auto"/>
      </w:divBdr>
    </w:div>
    <w:div w:id="2008441549">
      <w:bodyDiv w:val="1"/>
      <w:marLeft w:val="0"/>
      <w:marRight w:val="0"/>
      <w:marTop w:val="0"/>
      <w:marBottom w:val="0"/>
      <w:divBdr>
        <w:top w:val="none" w:sz="0" w:space="0" w:color="auto"/>
        <w:left w:val="none" w:sz="0" w:space="0" w:color="auto"/>
        <w:bottom w:val="none" w:sz="0" w:space="0" w:color="auto"/>
        <w:right w:val="none" w:sz="0" w:space="0" w:color="auto"/>
      </w:divBdr>
    </w:div>
    <w:div w:id="2013340086">
      <w:bodyDiv w:val="1"/>
      <w:marLeft w:val="0"/>
      <w:marRight w:val="0"/>
      <w:marTop w:val="0"/>
      <w:marBottom w:val="0"/>
      <w:divBdr>
        <w:top w:val="none" w:sz="0" w:space="0" w:color="auto"/>
        <w:left w:val="none" w:sz="0" w:space="0" w:color="auto"/>
        <w:bottom w:val="none" w:sz="0" w:space="0" w:color="auto"/>
        <w:right w:val="none" w:sz="0" w:space="0" w:color="auto"/>
      </w:divBdr>
    </w:div>
    <w:div w:id="2042512840">
      <w:bodyDiv w:val="1"/>
      <w:marLeft w:val="0"/>
      <w:marRight w:val="0"/>
      <w:marTop w:val="0"/>
      <w:marBottom w:val="0"/>
      <w:divBdr>
        <w:top w:val="none" w:sz="0" w:space="0" w:color="auto"/>
        <w:left w:val="none" w:sz="0" w:space="0" w:color="auto"/>
        <w:bottom w:val="none" w:sz="0" w:space="0" w:color="auto"/>
        <w:right w:val="none" w:sz="0" w:space="0" w:color="auto"/>
      </w:divBdr>
    </w:div>
    <w:div w:id="2046908854">
      <w:bodyDiv w:val="1"/>
      <w:marLeft w:val="0"/>
      <w:marRight w:val="0"/>
      <w:marTop w:val="0"/>
      <w:marBottom w:val="0"/>
      <w:divBdr>
        <w:top w:val="none" w:sz="0" w:space="0" w:color="auto"/>
        <w:left w:val="none" w:sz="0" w:space="0" w:color="auto"/>
        <w:bottom w:val="none" w:sz="0" w:space="0" w:color="auto"/>
        <w:right w:val="none" w:sz="0" w:space="0" w:color="auto"/>
      </w:divBdr>
    </w:div>
    <w:div w:id="2049912144">
      <w:bodyDiv w:val="1"/>
      <w:marLeft w:val="0"/>
      <w:marRight w:val="0"/>
      <w:marTop w:val="0"/>
      <w:marBottom w:val="0"/>
      <w:divBdr>
        <w:top w:val="none" w:sz="0" w:space="0" w:color="auto"/>
        <w:left w:val="none" w:sz="0" w:space="0" w:color="auto"/>
        <w:bottom w:val="none" w:sz="0" w:space="0" w:color="auto"/>
        <w:right w:val="none" w:sz="0" w:space="0" w:color="auto"/>
      </w:divBdr>
    </w:div>
    <w:div w:id="2062709710">
      <w:bodyDiv w:val="1"/>
      <w:marLeft w:val="0"/>
      <w:marRight w:val="0"/>
      <w:marTop w:val="0"/>
      <w:marBottom w:val="0"/>
      <w:divBdr>
        <w:top w:val="none" w:sz="0" w:space="0" w:color="auto"/>
        <w:left w:val="none" w:sz="0" w:space="0" w:color="auto"/>
        <w:bottom w:val="none" w:sz="0" w:space="0" w:color="auto"/>
        <w:right w:val="none" w:sz="0" w:space="0" w:color="auto"/>
      </w:divBdr>
    </w:div>
    <w:div w:id="2065256598">
      <w:bodyDiv w:val="1"/>
      <w:marLeft w:val="0"/>
      <w:marRight w:val="0"/>
      <w:marTop w:val="0"/>
      <w:marBottom w:val="0"/>
      <w:divBdr>
        <w:top w:val="none" w:sz="0" w:space="0" w:color="auto"/>
        <w:left w:val="none" w:sz="0" w:space="0" w:color="auto"/>
        <w:bottom w:val="none" w:sz="0" w:space="0" w:color="auto"/>
        <w:right w:val="none" w:sz="0" w:space="0" w:color="auto"/>
      </w:divBdr>
    </w:div>
    <w:div w:id="2079129836">
      <w:bodyDiv w:val="1"/>
      <w:marLeft w:val="0"/>
      <w:marRight w:val="0"/>
      <w:marTop w:val="0"/>
      <w:marBottom w:val="0"/>
      <w:divBdr>
        <w:top w:val="none" w:sz="0" w:space="0" w:color="auto"/>
        <w:left w:val="none" w:sz="0" w:space="0" w:color="auto"/>
        <w:bottom w:val="none" w:sz="0" w:space="0" w:color="auto"/>
        <w:right w:val="none" w:sz="0" w:space="0" w:color="auto"/>
      </w:divBdr>
    </w:div>
    <w:div w:id="2092264554">
      <w:bodyDiv w:val="1"/>
      <w:marLeft w:val="0"/>
      <w:marRight w:val="0"/>
      <w:marTop w:val="0"/>
      <w:marBottom w:val="0"/>
      <w:divBdr>
        <w:top w:val="none" w:sz="0" w:space="0" w:color="auto"/>
        <w:left w:val="none" w:sz="0" w:space="0" w:color="auto"/>
        <w:bottom w:val="none" w:sz="0" w:space="0" w:color="auto"/>
        <w:right w:val="none" w:sz="0" w:space="0" w:color="auto"/>
      </w:divBdr>
    </w:div>
    <w:div w:id="2096239400">
      <w:bodyDiv w:val="1"/>
      <w:marLeft w:val="0"/>
      <w:marRight w:val="0"/>
      <w:marTop w:val="0"/>
      <w:marBottom w:val="0"/>
      <w:divBdr>
        <w:top w:val="none" w:sz="0" w:space="0" w:color="auto"/>
        <w:left w:val="none" w:sz="0" w:space="0" w:color="auto"/>
        <w:bottom w:val="none" w:sz="0" w:space="0" w:color="auto"/>
        <w:right w:val="none" w:sz="0" w:space="0" w:color="auto"/>
      </w:divBdr>
    </w:div>
    <w:div w:id="2096583465">
      <w:bodyDiv w:val="1"/>
      <w:marLeft w:val="0"/>
      <w:marRight w:val="0"/>
      <w:marTop w:val="0"/>
      <w:marBottom w:val="0"/>
      <w:divBdr>
        <w:top w:val="none" w:sz="0" w:space="0" w:color="auto"/>
        <w:left w:val="none" w:sz="0" w:space="0" w:color="auto"/>
        <w:bottom w:val="none" w:sz="0" w:space="0" w:color="auto"/>
        <w:right w:val="none" w:sz="0" w:space="0" w:color="auto"/>
      </w:divBdr>
    </w:div>
    <w:div w:id="2096894921">
      <w:bodyDiv w:val="1"/>
      <w:marLeft w:val="0"/>
      <w:marRight w:val="0"/>
      <w:marTop w:val="0"/>
      <w:marBottom w:val="0"/>
      <w:divBdr>
        <w:top w:val="none" w:sz="0" w:space="0" w:color="auto"/>
        <w:left w:val="none" w:sz="0" w:space="0" w:color="auto"/>
        <w:bottom w:val="none" w:sz="0" w:space="0" w:color="auto"/>
        <w:right w:val="none" w:sz="0" w:space="0" w:color="auto"/>
      </w:divBdr>
    </w:div>
    <w:div w:id="2096895101">
      <w:bodyDiv w:val="1"/>
      <w:marLeft w:val="0"/>
      <w:marRight w:val="0"/>
      <w:marTop w:val="0"/>
      <w:marBottom w:val="0"/>
      <w:divBdr>
        <w:top w:val="none" w:sz="0" w:space="0" w:color="auto"/>
        <w:left w:val="none" w:sz="0" w:space="0" w:color="auto"/>
        <w:bottom w:val="none" w:sz="0" w:space="0" w:color="auto"/>
        <w:right w:val="none" w:sz="0" w:space="0" w:color="auto"/>
      </w:divBdr>
    </w:div>
    <w:div w:id="2098092188">
      <w:bodyDiv w:val="1"/>
      <w:marLeft w:val="0"/>
      <w:marRight w:val="0"/>
      <w:marTop w:val="0"/>
      <w:marBottom w:val="0"/>
      <w:divBdr>
        <w:top w:val="none" w:sz="0" w:space="0" w:color="auto"/>
        <w:left w:val="none" w:sz="0" w:space="0" w:color="auto"/>
        <w:bottom w:val="none" w:sz="0" w:space="0" w:color="auto"/>
        <w:right w:val="none" w:sz="0" w:space="0" w:color="auto"/>
      </w:divBdr>
    </w:div>
    <w:div w:id="2098668545">
      <w:bodyDiv w:val="1"/>
      <w:marLeft w:val="0"/>
      <w:marRight w:val="0"/>
      <w:marTop w:val="0"/>
      <w:marBottom w:val="0"/>
      <w:divBdr>
        <w:top w:val="none" w:sz="0" w:space="0" w:color="auto"/>
        <w:left w:val="none" w:sz="0" w:space="0" w:color="auto"/>
        <w:bottom w:val="none" w:sz="0" w:space="0" w:color="auto"/>
        <w:right w:val="none" w:sz="0" w:space="0" w:color="auto"/>
      </w:divBdr>
    </w:div>
    <w:div w:id="2102678825">
      <w:bodyDiv w:val="1"/>
      <w:marLeft w:val="0"/>
      <w:marRight w:val="0"/>
      <w:marTop w:val="0"/>
      <w:marBottom w:val="0"/>
      <w:divBdr>
        <w:top w:val="none" w:sz="0" w:space="0" w:color="auto"/>
        <w:left w:val="none" w:sz="0" w:space="0" w:color="auto"/>
        <w:bottom w:val="none" w:sz="0" w:space="0" w:color="auto"/>
        <w:right w:val="none" w:sz="0" w:space="0" w:color="auto"/>
      </w:divBdr>
    </w:div>
    <w:div w:id="2113087278">
      <w:bodyDiv w:val="1"/>
      <w:marLeft w:val="0"/>
      <w:marRight w:val="0"/>
      <w:marTop w:val="0"/>
      <w:marBottom w:val="0"/>
      <w:divBdr>
        <w:top w:val="none" w:sz="0" w:space="0" w:color="auto"/>
        <w:left w:val="none" w:sz="0" w:space="0" w:color="auto"/>
        <w:bottom w:val="none" w:sz="0" w:space="0" w:color="auto"/>
        <w:right w:val="none" w:sz="0" w:space="0" w:color="auto"/>
      </w:divBdr>
    </w:div>
    <w:div w:id="2115512555">
      <w:bodyDiv w:val="1"/>
      <w:marLeft w:val="0"/>
      <w:marRight w:val="0"/>
      <w:marTop w:val="0"/>
      <w:marBottom w:val="0"/>
      <w:divBdr>
        <w:top w:val="none" w:sz="0" w:space="0" w:color="auto"/>
        <w:left w:val="none" w:sz="0" w:space="0" w:color="auto"/>
        <w:bottom w:val="none" w:sz="0" w:space="0" w:color="auto"/>
        <w:right w:val="none" w:sz="0" w:space="0" w:color="auto"/>
      </w:divBdr>
    </w:div>
    <w:div w:id="2118941546">
      <w:bodyDiv w:val="1"/>
      <w:marLeft w:val="0"/>
      <w:marRight w:val="0"/>
      <w:marTop w:val="0"/>
      <w:marBottom w:val="0"/>
      <w:divBdr>
        <w:top w:val="none" w:sz="0" w:space="0" w:color="auto"/>
        <w:left w:val="none" w:sz="0" w:space="0" w:color="auto"/>
        <w:bottom w:val="none" w:sz="0" w:space="0" w:color="auto"/>
        <w:right w:val="none" w:sz="0" w:space="0" w:color="auto"/>
      </w:divBdr>
    </w:div>
    <w:div w:id="2130321649">
      <w:bodyDiv w:val="1"/>
      <w:marLeft w:val="0"/>
      <w:marRight w:val="0"/>
      <w:marTop w:val="0"/>
      <w:marBottom w:val="0"/>
      <w:divBdr>
        <w:top w:val="none" w:sz="0" w:space="0" w:color="auto"/>
        <w:left w:val="none" w:sz="0" w:space="0" w:color="auto"/>
        <w:bottom w:val="none" w:sz="0" w:space="0" w:color="auto"/>
        <w:right w:val="none" w:sz="0" w:space="0" w:color="auto"/>
      </w:divBdr>
    </w:div>
    <w:div w:id="214121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batur@asu.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oi.org/10.1016/j.jtrangeo.2014.11.005" TargetMode="External"/><Relationship Id="rId7" Type="http://schemas.openxmlformats.org/officeDocument/2006/relationships/settings" Target="settings.xml"/><Relationship Id="rId12" Type="http://schemas.openxmlformats.org/officeDocument/2006/relationships/hyperlink" Target="mailto:dar4836@utexas.ed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hat@mail.utexas.edu" TargetMode="External"/><Relationship Id="rId20" Type="http://schemas.openxmlformats.org/officeDocument/2006/relationships/image" Target="media/image2.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36723@my.utexas.edu"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ram.pendyala@asu.edu"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anyu4@asu.edu"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B4BEA8D-075C-42E3-81C1-F2FA8BE0057C}">
  <we:reference id="WA104381909" version="3.26.0.0" store="Omex" storeType="OMEX"/>
  <we:alternateReferences>
    <we:reference id="WA104381909" version="3.26.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CA7F6F1C70FE340BC169DE31C8B450B" ma:contentTypeVersion="11" ma:contentTypeDescription="Create a new document." ma:contentTypeScope="" ma:versionID="1e6173829c2ce5edf25d25aac00ae13a">
  <xsd:schema xmlns:xsd="http://www.w3.org/2001/XMLSchema" xmlns:xs="http://www.w3.org/2001/XMLSchema" xmlns:p="http://schemas.microsoft.com/office/2006/metadata/properties" xmlns:ns3="6178595d-5244-4e7e-bc72-bbd7bfaf54a2" targetNamespace="http://schemas.microsoft.com/office/2006/metadata/properties" ma:root="true" ma:fieldsID="a0dd1df5261be81821699d2965b210ad" ns3:_="">
    <xsd:import namespace="6178595d-5244-4e7e-bc72-bbd7bfaf54a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8595d-5244-4e7e-bc72-bbd7bfaf54a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178595d-5244-4e7e-bc72-bbd7bfaf54a2" xsi:nil="true"/>
  </documentManagement>
</p:properties>
</file>

<file path=customXml/itemProps1.xml><?xml version="1.0" encoding="utf-8"?>
<ds:datastoreItem xmlns:ds="http://schemas.openxmlformats.org/officeDocument/2006/customXml" ds:itemID="{CD46B95D-CE1C-4763-8905-33148DB3D463}">
  <ds:schemaRefs>
    <ds:schemaRef ds:uri="http://schemas.microsoft.com/sharepoint/v3/contenttype/forms"/>
  </ds:schemaRefs>
</ds:datastoreItem>
</file>

<file path=customXml/itemProps2.xml><?xml version="1.0" encoding="utf-8"?>
<ds:datastoreItem xmlns:ds="http://schemas.openxmlformats.org/officeDocument/2006/customXml" ds:itemID="{ACAD89C3-EBB4-46CD-B3DE-FC9710801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8595d-5244-4e7e-bc72-bbd7bfaf5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873E2-A0A5-4B07-9E2B-ED6A1E384938}">
  <ds:schemaRefs>
    <ds:schemaRef ds:uri="http://schemas.openxmlformats.org/officeDocument/2006/bibliography"/>
  </ds:schemaRefs>
</ds:datastoreItem>
</file>

<file path=customXml/itemProps4.xml><?xml version="1.0" encoding="utf-8"?>
<ds:datastoreItem xmlns:ds="http://schemas.openxmlformats.org/officeDocument/2006/customXml" ds:itemID="{52CBBFF1-1692-41D6-88E7-A638C1F00E6C}">
  <ds:schemaRefs>
    <ds:schemaRef ds:uri="http://schemas.microsoft.com/office/2006/metadata/properties"/>
    <ds:schemaRef ds:uri="http://schemas.microsoft.com/office/infopath/2007/PartnerControls"/>
    <ds:schemaRef ds:uri="6178595d-5244-4e7e-bc72-bbd7bfaf54a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9765</Words>
  <Characters>58495</Characters>
  <Application>Microsoft Office Word</Application>
  <DocSecurity>0</DocSecurity>
  <Lines>1462</Lines>
  <Paragraphs>703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Robbennolt</dc:creator>
  <cp:keywords/>
  <dc:description/>
  <cp:lastModifiedBy>Macias, Lisa J</cp:lastModifiedBy>
  <cp:revision>2</cp:revision>
  <cp:lastPrinted>2026-07-17T20:11:00Z</cp:lastPrinted>
  <dcterms:created xsi:type="dcterms:W3CDTF">2026-07-30T21:18:00Z</dcterms:created>
  <dcterms:modified xsi:type="dcterms:W3CDTF">2026-07-30T21:18:00Z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id="OzTtTwf2"/&gt;&lt;style id="http://www.zotero.org/styles/apa" locale="en-US" hasBibliography="1" bibliographyStyleHasBeenSet="1"/&gt;&lt;prefs&gt;&lt;pref name="fieldType" value="Field"/&gt;&lt;/prefs&gt;&lt;/data&gt;</vt:lpwstr>
  </property>
  <property fmtid="{D5CDD505-2E9C-101B-9397-08002B2CF9AE}" pid="3" name="ContentTypeId">
    <vt:lpwstr>0x010100ECA7F6F1C70FE340BC169DE31C8B450B</vt:lpwstr>
  </property>
  <property fmtid="{D5CDD505-2E9C-101B-9397-08002B2CF9AE}" pid="4" name="MTEquationNumber2">
    <vt:lpwstr>(#E1)</vt:lpwstr>
  </property>
  <property fmtid="{D5CDD505-2E9C-101B-9397-08002B2CF9AE}" pid="5" name="MTEquationSection">
    <vt:lpwstr>1</vt:lpwstr>
  </property>
  <property fmtid="{D5CDD505-2E9C-101B-9397-08002B2CF9AE}" pid="6" name="MTWinEqns">
    <vt:bool>true</vt:bool>
  </property>
</Properties>
</file>