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3FC9" w:rsidRPr="004035E1" w:rsidRDefault="00D93FC9" w:rsidP="004035E1">
      <w:pPr>
        <w:spacing w:line="276" w:lineRule="auto"/>
        <w:jc w:val="both"/>
        <w:rPr>
          <w:b/>
        </w:rPr>
      </w:pPr>
      <w:bookmarkStart w:id="0" w:name="_GoBack"/>
      <w:bookmarkEnd w:id="0"/>
    </w:p>
    <w:p w:rsidR="00D93FC9" w:rsidRPr="004035E1" w:rsidRDefault="00D93FC9" w:rsidP="004035E1">
      <w:pPr>
        <w:spacing w:line="276" w:lineRule="auto"/>
        <w:jc w:val="both"/>
        <w:rPr>
          <w:b/>
        </w:rPr>
      </w:pPr>
    </w:p>
    <w:p w:rsidR="00D93FC9" w:rsidRPr="004035E1" w:rsidRDefault="00D93FC9" w:rsidP="004035E1">
      <w:pPr>
        <w:spacing w:line="276" w:lineRule="auto"/>
        <w:jc w:val="both"/>
        <w:rPr>
          <w:b/>
        </w:rPr>
      </w:pPr>
    </w:p>
    <w:p w:rsidR="00D93FC9" w:rsidRPr="004035E1" w:rsidRDefault="00D93FC9" w:rsidP="004035E1">
      <w:pPr>
        <w:spacing w:line="276" w:lineRule="auto"/>
        <w:jc w:val="both"/>
        <w:rPr>
          <w:b/>
        </w:rPr>
      </w:pPr>
    </w:p>
    <w:p w:rsidR="00DE379E" w:rsidRPr="004035E1" w:rsidRDefault="00DE379E" w:rsidP="004035E1">
      <w:pPr>
        <w:spacing w:line="276" w:lineRule="auto"/>
        <w:jc w:val="both"/>
        <w:rPr>
          <w:b/>
        </w:rPr>
      </w:pPr>
    </w:p>
    <w:p w:rsidR="00D93FC9" w:rsidRPr="004035E1" w:rsidRDefault="00D93FC9" w:rsidP="004035E1">
      <w:pPr>
        <w:spacing w:line="276" w:lineRule="auto"/>
        <w:jc w:val="both"/>
        <w:rPr>
          <w:b/>
        </w:rPr>
      </w:pPr>
    </w:p>
    <w:p w:rsidR="00851263" w:rsidRPr="004035E1" w:rsidRDefault="00DE379E" w:rsidP="0088430C">
      <w:pPr>
        <w:spacing w:line="276" w:lineRule="auto"/>
        <w:jc w:val="center"/>
        <w:rPr>
          <w:b/>
        </w:rPr>
      </w:pPr>
      <w:bookmarkStart w:id="1" w:name="_Hlk103610206"/>
      <w:r w:rsidRPr="004035E1">
        <w:rPr>
          <w:b/>
        </w:rPr>
        <w:t xml:space="preserve">A </w:t>
      </w:r>
      <w:r w:rsidR="004679C6" w:rsidRPr="004035E1">
        <w:rPr>
          <w:b/>
        </w:rPr>
        <w:t xml:space="preserve">Closed-Form </w:t>
      </w:r>
      <w:r w:rsidR="00D93FC9" w:rsidRPr="004035E1">
        <w:rPr>
          <w:b/>
        </w:rPr>
        <w:t>Multiple Discrete</w:t>
      </w:r>
      <w:r w:rsidR="003C0E47" w:rsidRPr="004035E1">
        <w:rPr>
          <w:b/>
        </w:rPr>
        <w:t>-</w:t>
      </w:r>
      <w:r w:rsidRPr="004035E1">
        <w:rPr>
          <w:b/>
        </w:rPr>
        <w:t>Co</w:t>
      </w:r>
      <w:r w:rsidR="00E8570D" w:rsidRPr="004035E1">
        <w:rPr>
          <w:b/>
        </w:rPr>
        <w:t>unt</w:t>
      </w:r>
      <w:r w:rsidRPr="004035E1">
        <w:rPr>
          <w:b/>
        </w:rPr>
        <w:t xml:space="preserve"> </w:t>
      </w:r>
      <w:r w:rsidR="003C0E47" w:rsidRPr="004035E1">
        <w:rPr>
          <w:b/>
        </w:rPr>
        <w:t xml:space="preserve">Extreme </w:t>
      </w:r>
      <w:r w:rsidRPr="004035E1">
        <w:rPr>
          <w:b/>
        </w:rPr>
        <w:t xml:space="preserve">Value </w:t>
      </w:r>
      <w:r w:rsidR="00CC0B26" w:rsidRPr="004035E1">
        <w:rPr>
          <w:b/>
        </w:rPr>
        <w:t>(</w:t>
      </w:r>
      <w:r w:rsidR="004679C6" w:rsidRPr="004035E1">
        <w:rPr>
          <w:b/>
        </w:rPr>
        <w:t xml:space="preserve">MDCNTEV) </w:t>
      </w:r>
      <w:r w:rsidRPr="004035E1">
        <w:rPr>
          <w:b/>
        </w:rPr>
        <w:t>Model</w:t>
      </w:r>
      <w:bookmarkEnd w:id="1"/>
    </w:p>
    <w:p w:rsidR="00D93FC9" w:rsidRPr="004035E1" w:rsidRDefault="00D93FC9" w:rsidP="004035E1">
      <w:pPr>
        <w:spacing w:line="276" w:lineRule="auto"/>
        <w:jc w:val="both"/>
      </w:pPr>
    </w:p>
    <w:p w:rsidR="00D93FC9" w:rsidRPr="004035E1" w:rsidRDefault="00D93FC9" w:rsidP="004035E1">
      <w:pPr>
        <w:spacing w:line="276" w:lineRule="auto"/>
        <w:jc w:val="both"/>
      </w:pPr>
    </w:p>
    <w:p w:rsidR="00D93FC9" w:rsidRDefault="00D93FC9" w:rsidP="004035E1">
      <w:pPr>
        <w:spacing w:line="276" w:lineRule="auto"/>
        <w:jc w:val="both"/>
      </w:pPr>
    </w:p>
    <w:p w:rsidR="0088430C" w:rsidRDefault="0088430C" w:rsidP="004035E1">
      <w:pPr>
        <w:spacing w:line="276" w:lineRule="auto"/>
        <w:jc w:val="both"/>
      </w:pPr>
    </w:p>
    <w:p w:rsidR="0088430C" w:rsidRDefault="0088430C" w:rsidP="004035E1">
      <w:pPr>
        <w:spacing w:line="276" w:lineRule="auto"/>
        <w:jc w:val="both"/>
      </w:pPr>
    </w:p>
    <w:p w:rsidR="0088430C" w:rsidRDefault="0088430C" w:rsidP="004035E1">
      <w:pPr>
        <w:spacing w:line="276" w:lineRule="auto"/>
        <w:jc w:val="both"/>
      </w:pPr>
    </w:p>
    <w:p w:rsidR="0088430C" w:rsidRDefault="0088430C" w:rsidP="004035E1">
      <w:pPr>
        <w:spacing w:line="276" w:lineRule="auto"/>
        <w:jc w:val="both"/>
      </w:pPr>
    </w:p>
    <w:p w:rsidR="0088430C" w:rsidRPr="004035E1" w:rsidRDefault="0088430C" w:rsidP="004035E1">
      <w:pPr>
        <w:spacing w:line="276" w:lineRule="auto"/>
        <w:jc w:val="both"/>
      </w:pPr>
    </w:p>
    <w:p w:rsidR="0088430C" w:rsidRDefault="0088430C" w:rsidP="0088430C">
      <w:pPr>
        <w:jc w:val="center"/>
      </w:pPr>
      <w:r>
        <w:t xml:space="preserve">Chandra R. Bhat </w:t>
      </w:r>
    </w:p>
    <w:p w:rsidR="0088430C" w:rsidRPr="00DB18E0" w:rsidRDefault="0088430C" w:rsidP="0088430C">
      <w:pPr>
        <w:spacing w:line="276" w:lineRule="auto"/>
        <w:jc w:val="center"/>
        <w:rPr>
          <w:bCs/>
        </w:rPr>
      </w:pPr>
      <w:r w:rsidRPr="00DB18E0">
        <w:t>The University of Texas at Austin</w:t>
      </w:r>
    </w:p>
    <w:p w:rsidR="0088430C" w:rsidRPr="00DB18E0" w:rsidRDefault="0088430C" w:rsidP="0088430C">
      <w:pPr>
        <w:spacing w:line="276" w:lineRule="auto"/>
        <w:jc w:val="center"/>
        <w:rPr>
          <w:bCs/>
        </w:rPr>
      </w:pPr>
      <w:r w:rsidRPr="00DB18E0">
        <w:t>Department of Civil, Architectural and Environmental Engineering</w:t>
      </w:r>
    </w:p>
    <w:p w:rsidR="0088430C" w:rsidRPr="00DB18E0" w:rsidRDefault="0088430C" w:rsidP="0088430C">
      <w:pPr>
        <w:spacing w:line="276" w:lineRule="auto"/>
        <w:jc w:val="center"/>
        <w:rPr>
          <w:bCs/>
        </w:rPr>
      </w:pPr>
      <w:r w:rsidRPr="00DB18E0">
        <w:t>301 E. Dean Keeton St</w:t>
      </w:r>
      <w:r>
        <w:t>,</w:t>
      </w:r>
      <w:r w:rsidRPr="00DB18E0">
        <w:t xml:space="preserve"> Stop C1761, Austin</w:t>
      </w:r>
      <w:r>
        <w:t>,</w:t>
      </w:r>
      <w:r w:rsidRPr="00DB18E0">
        <w:t xml:space="preserve"> TX 78712, USA</w:t>
      </w:r>
    </w:p>
    <w:p w:rsidR="0088430C" w:rsidRPr="00DB18E0" w:rsidRDefault="0088430C" w:rsidP="0088430C">
      <w:pPr>
        <w:spacing w:line="276" w:lineRule="auto"/>
        <w:jc w:val="center"/>
        <w:rPr>
          <w:bCs/>
          <w:lang w:val="fr-FR"/>
        </w:rPr>
      </w:pPr>
      <w:r w:rsidRPr="00DB18E0">
        <w:rPr>
          <w:lang w:val="pt-BR"/>
        </w:rPr>
        <w:t>Tel:</w:t>
      </w:r>
      <w:r w:rsidRPr="00DB18E0">
        <w:t xml:space="preserve"> 1-512-471-4535; </w:t>
      </w:r>
      <w:r w:rsidRPr="00DB18E0">
        <w:rPr>
          <w:lang w:val="fr-FR"/>
        </w:rPr>
        <w:t xml:space="preserve">Email: </w:t>
      </w:r>
      <w:hyperlink r:id="rId8" w:history="1">
        <w:r w:rsidRPr="006B50FB">
          <w:rPr>
            <w:rStyle w:val="Hyperlink"/>
            <w:lang w:val="fr-FR"/>
          </w:rPr>
          <w:t>bhat@mail.utexas.edu</w:t>
        </w:r>
      </w:hyperlink>
      <w:r>
        <w:rPr>
          <w:lang w:val="fr-FR"/>
        </w:rPr>
        <w:t xml:space="preserve"> </w:t>
      </w:r>
    </w:p>
    <w:p w:rsidR="0088430C" w:rsidRPr="00DB18E0" w:rsidRDefault="0088430C" w:rsidP="0088430C">
      <w:pPr>
        <w:spacing w:line="276" w:lineRule="auto"/>
        <w:jc w:val="center"/>
        <w:rPr>
          <w:bCs/>
        </w:rPr>
      </w:pPr>
      <w:r w:rsidRPr="00DB18E0">
        <w:t>and</w:t>
      </w:r>
    </w:p>
    <w:p w:rsidR="0088430C" w:rsidRDefault="0088430C" w:rsidP="0088430C">
      <w:pPr>
        <w:spacing w:line="360" w:lineRule="auto"/>
        <w:jc w:val="center"/>
      </w:pPr>
      <w:r w:rsidRPr="00DB18E0">
        <w:t>The Hong Kong Polytechnic University, Hung Hom, Kowloon, Hong Kong</w:t>
      </w:r>
    </w:p>
    <w:p w:rsidR="00D93FC9" w:rsidRPr="004035E1" w:rsidRDefault="00D93FC9" w:rsidP="0088430C">
      <w:pPr>
        <w:spacing w:line="276" w:lineRule="auto"/>
        <w:jc w:val="both"/>
      </w:pPr>
    </w:p>
    <w:p w:rsidR="006A540D" w:rsidRDefault="006A540D" w:rsidP="004035E1">
      <w:pPr>
        <w:spacing w:line="276" w:lineRule="auto"/>
        <w:jc w:val="both"/>
        <w:rPr>
          <w:b/>
        </w:rPr>
      </w:pPr>
      <w:r>
        <w:rPr>
          <w:b/>
        </w:rPr>
        <w:br w:type="page"/>
      </w:r>
      <w:r>
        <w:rPr>
          <w:b/>
        </w:rPr>
        <w:lastRenderedPageBreak/>
        <w:t>ABSTRACT</w:t>
      </w:r>
    </w:p>
    <w:p w:rsidR="00F067D3" w:rsidRDefault="006A540D" w:rsidP="006A540D">
      <w:pPr>
        <w:spacing w:line="276" w:lineRule="auto"/>
        <w:jc w:val="both"/>
      </w:pPr>
      <w:bookmarkStart w:id="2" w:name="_Hlk103610755"/>
      <w:r w:rsidRPr="004035E1">
        <w:t>In this paper, we</w:t>
      </w:r>
      <w:r>
        <w:t xml:space="preserve"> </w:t>
      </w:r>
      <w:r w:rsidRPr="004035E1">
        <w:t xml:space="preserve">propose a new two-stage budgeting-based </w:t>
      </w:r>
      <w:r w:rsidR="00831515">
        <w:t xml:space="preserve">utility-theoretic </w:t>
      </w:r>
      <w:r w:rsidRPr="004035E1">
        <w:t xml:space="preserve">econometric multiple discrete-count model based on the linking of a fractional split MDCEV model component with a total count model. Through </w:t>
      </w:r>
      <w:r>
        <w:t xml:space="preserve">the strategic </w:t>
      </w:r>
      <w:r w:rsidRPr="004035E1">
        <w:t>specificatio</w:t>
      </w:r>
      <w:r>
        <w:t xml:space="preserve">n of error distributions in the model, </w:t>
      </w:r>
      <w:r w:rsidRPr="004035E1">
        <w:t xml:space="preserve">we </w:t>
      </w:r>
      <w:r>
        <w:t xml:space="preserve">derive a </w:t>
      </w:r>
      <w:r w:rsidRPr="004035E1">
        <w:t xml:space="preserve">multiple discrete-count extreme value (MDCNTEV) model that has a closed-form probability expression and </w:t>
      </w:r>
      <w:r>
        <w:t xml:space="preserve">that </w:t>
      </w:r>
      <w:r w:rsidRPr="004035E1">
        <w:t xml:space="preserve">is estimable using straightforward maximum likelihood estimation. An application of the proposed model is demonstrated in the context of individuals’ multivariate count of recreational episodes to each of multiple possible tourism destination locations. The results highlight the promise of the proposed model for a variety of multivariate count consumer choice settings. The model can also serve as a base model over which random heterogeneity may be </w:t>
      </w:r>
      <w:r>
        <w:t>superimposed</w:t>
      </w:r>
      <w:r w:rsidRPr="004035E1">
        <w:t xml:space="preserve"> to </w:t>
      </w:r>
      <w:r>
        <w:t xml:space="preserve">specify </w:t>
      </w:r>
      <w:r w:rsidRPr="004035E1">
        <w:t>more advanced models.</w:t>
      </w:r>
      <w:bookmarkEnd w:id="2"/>
    </w:p>
    <w:p w:rsidR="00F067D3" w:rsidRDefault="00F067D3" w:rsidP="006A540D">
      <w:pPr>
        <w:spacing w:line="276" w:lineRule="auto"/>
        <w:jc w:val="both"/>
      </w:pPr>
    </w:p>
    <w:p w:rsidR="00A802E7" w:rsidRDefault="00F067D3" w:rsidP="00A802E7">
      <w:pPr>
        <w:spacing w:line="276" w:lineRule="auto"/>
        <w:jc w:val="both"/>
      </w:pPr>
      <w:r w:rsidRPr="00F067D3">
        <w:rPr>
          <w:b/>
        </w:rPr>
        <w:t>Keywords</w:t>
      </w:r>
      <w:r>
        <w:t xml:space="preserve">: </w:t>
      </w:r>
      <w:r w:rsidR="00D50570">
        <w:t>Multivariate count, MDCNTEV model,</w:t>
      </w:r>
      <w:r w:rsidR="00A802E7">
        <w:t xml:space="preserve"> </w:t>
      </w:r>
      <w:r w:rsidR="00D50570">
        <w:t xml:space="preserve">discrete-count, two-stage budgeting, </w:t>
      </w:r>
      <w:r w:rsidR="00831515">
        <w:t xml:space="preserve">utility theory, </w:t>
      </w:r>
      <w:r w:rsidR="00D50570">
        <w:t>tourism trip generation and destination choice.</w:t>
      </w:r>
    </w:p>
    <w:p w:rsidR="006A540D" w:rsidRPr="00F067D3" w:rsidRDefault="00D50570" w:rsidP="00A802E7">
      <w:pPr>
        <w:spacing w:line="276" w:lineRule="auto"/>
        <w:jc w:val="both"/>
        <w:sectPr w:rsidR="006A540D" w:rsidRPr="00F067D3" w:rsidSect="00C56085">
          <w:footerReference w:type="even" r:id="rId9"/>
          <w:footerReference w:type="default" r:id="rId10"/>
          <w:pgSz w:w="12240" w:h="15840" w:code="1"/>
          <w:pgMar w:top="1440" w:right="1440" w:bottom="1440" w:left="1440" w:header="720" w:footer="720" w:gutter="0"/>
          <w:cols w:space="720"/>
          <w:docGrid w:linePitch="360"/>
        </w:sectPr>
      </w:pPr>
      <w:r>
        <w:t xml:space="preserve"> </w:t>
      </w:r>
    </w:p>
    <w:p w:rsidR="00BE327F" w:rsidRPr="004035E1" w:rsidRDefault="00916214" w:rsidP="00916214">
      <w:pPr>
        <w:numPr>
          <w:ilvl w:val="0"/>
          <w:numId w:val="13"/>
        </w:numPr>
        <w:spacing w:line="276" w:lineRule="auto"/>
        <w:ind w:left="360"/>
        <w:jc w:val="both"/>
        <w:rPr>
          <w:b/>
        </w:rPr>
      </w:pPr>
      <w:r>
        <w:rPr>
          <w:b/>
        </w:rPr>
        <w:lastRenderedPageBreak/>
        <w:t>INTRODUCTION</w:t>
      </w:r>
    </w:p>
    <w:p w:rsidR="00247B54" w:rsidRPr="004035E1" w:rsidRDefault="008D12A9" w:rsidP="004035E1">
      <w:pPr>
        <w:spacing w:line="276" w:lineRule="auto"/>
        <w:jc w:val="both"/>
      </w:pPr>
      <w:r w:rsidRPr="004035E1">
        <w:t>Multiple discrete-continuous models (MDC) address choice situations that involve a portfolio or package choice of multiple elemental alternatives, along with the continuous intensity of consumption for the chosen elemental alternatives. Unlike typically analyzed single discrete choice models in the literature that are applicable for the case of the choice of a single alternative from a mutually exclusive set of elemental alternatives, the distinguishing characteristic of an MDC model is that it allows the choice of multiple alternatives simultaneously</w:t>
      </w:r>
      <w:r w:rsidR="00C45468" w:rsidRPr="004035E1">
        <w:t xml:space="preserve">. </w:t>
      </w:r>
      <w:r w:rsidRPr="004035E1">
        <w:rPr>
          <w:lang w:val="en-GB"/>
        </w:rPr>
        <w:t xml:space="preserve">Bhat (2005, 2008) </w:t>
      </w:r>
      <w:r w:rsidR="00C45468" w:rsidRPr="004035E1">
        <w:rPr>
          <w:lang w:val="en-GB"/>
        </w:rPr>
        <w:t xml:space="preserve">developed the </w:t>
      </w:r>
      <w:r w:rsidRPr="004035E1">
        <w:rPr>
          <w:lang w:val="en-GB"/>
        </w:rPr>
        <w:t xml:space="preserve">multiple discrete-continuous </w:t>
      </w:r>
      <w:r w:rsidR="00C45468" w:rsidRPr="004035E1">
        <w:rPr>
          <w:lang w:val="en-GB"/>
        </w:rPr>
        <w:t xml:space="preserve">extreme value </w:t>
      </w:r>
      <w:r w:rsidRPr="004035E1">
        <w:rPr>
          <w:lang w:val="en-GB"/>
        </w:rPr>
        <w:t>(MDC</w:t>
      </w:r>
      <w:r w:rsidR="00C45468" w:rsidRPr="004035E1">
        <w:rPr>
          <w:lang w:val="en-GB"/>
        </w:rPr>
        <w:t>EV</w:t>
      </w:r>
      <w:r w:rsidRPr="004035E1">
        <w:rPr>
          <w:lang w:val="en-GB"/>
        </w:rPr>
        <w:t xml:space="preserve">) </w:t>
      </w:r>
      <w:r w:rsidR="00C45468" w:rsidRPr="004035E1">
        <w:rPr>
          <w:lang w:val="en-GB"/>
        </w:rPr>
        <w:t xml:space="preserve">model, which has since seen substantial use in different fields, thanks to a simple closed-form probability expression for the consumption pattern </w:t>
      </w:r>
      <w:r w:rsidRPr="004035E1">
        <w:t xml:space="preserve">(see, for example, Ma </w:t>
      </w:r>
      <w:r w:rsidR="007B197E">
        <w:t>and Ye</w:t>
      </w:r>
      <w:r w:rsidRPr="004035E1">
        <w:t xml:space="preserve">, 2019, Shin et al., 2019, Varghese and Jana, 2019, and Mouter et al., 2021). </w:t>
      </w:r>
      <w:r w:rsidR="00F118F9" w:rsidRPr="004035E1">
        <w:t xml:space="preserve">The MDCEV model has its origins in </w:t>
      </w:r>
      <w:r w:rsidR="00235507" w:rsidRPr="004035E1">
        <w:t>a</w:t>
      </w:r>
      <w:r w:rsidR="00556885" w:rsidRPr="004035E1">
        <w:t xml:space="preserve"> constrained </w:t>
      </w:r>
      <w:r w:rsidR="00235507" w:rsidRPr="004035E1">
        <w:t xml:space="preserve">direct </w:t>
      </w:r>
      <w:r w:rsidR="00556885" w:rsidRPr="004035E1">
        <w:t>utility maximization approach</w:t>
      </w:r>
      <w:r w:rsidR="00556885" w:rsidRPr="004035E1">
        <w:rPr>
          <w:color w:val="000000"/>
        </w:rPr>
        <w:t xml:space="preserve"> </w:t>
      </w:r>
      <w:r w:rsidR="00C45468" w:rsidRPr="004035E1">
        <w:rPr>
          <w:color w:val="000000"/>
        </w:rPr>
        <w:t xml:space="preserve">that is solved using </w:t>
      </w:r>
      <w:r w:rsidR="00556885" w:rsidRPr="004035E1">
        <w:rPr>
          <w:color w:val="000000"/>
        </w:rPr>
        <w:t>the Karush-Kuhn-Tucker (KKT) first-order necessary conditions of optimality</w:t>
      </w:r>
      <w:r w:rsidR="00C45468" w:rsidRPr="004035E1">
        <w:rPr>
          <w:color w:val="000000"/>
        </w:rPr>
        <w:t xml:space="preserve"> to obtain the consumption probability expression</w:t>
      </w:r>
      <w:r w:rsidR="00556885" w:rsidRPr="004035E1">
        <w:rPr>
          <w:color w:val="000000"/>
        </w:rPr>
        <w:t xml:space="preserve">. </w:t>
      </w:r>
      <w:r w:rsidR="0099457C" w:rsidRPr="004035E1">
        <w:rPr>
          <w:color w:val="000000"/>
        </w:rPr>
        <w:t xml:space="preserve">However, extending the KKT approach to consider multiple discrete-count models has been rather elusive, because of the change from a continuous quantity to a discrete </w:t>
      </w:r>
      <w:r w:rsidR="00954C8C" w:rsidRPr="004035E1">
        <w:rPr>
          <w:color w:val="000000"/>
        </w:rPr>
        <w:t xml:space="preserve">(indivisible) </w:t>
      </w:r>
      <w:r w:rsidR="0099457C" w:rsidRPr="004035E1">
        <w:rPr>
          <w:color w:val="000000"/>
        </w:rPr>
        <w:t>count quantity</w:t>
      </w:r>
      <w:r w:rsidR="00235507" w:rsidRPr="004035E1">
        <w:rPr>
          <w:color w:val="000000"/>
        </w:rPr>
        <w:t xml:space="preserve"> for the intensity of consumption</w:t>
      </w:r>
      <w:r w:rsidR="0099457C" w:rsidRPr="004035E1">
        <w:rPr>
          <w:color w:val="000000"/>
        </w:rPr>
        <w:t xml:space="preserve">. </w:t>
      </w:r>
      <w:r w:rsidR="00045E4E" w:rsidRPr="004035E1">
        <w:rPr>
          <w:color w:val="000000"/>
        </w:rPr>
        <w:t xml:space="preserve">Instead, </w:t>
      </w:r>
      <w:r w:rsidR="00045E4E" w:rsidRPr="004035E1">
        <w:t>the t</w:t>
      </w:r>
      <w:r w:rsidR="00FC3EEA" w:rsidRPr="004035E1">
        <w:t>wo</w:t>
      </w:r>
      <w:r w:rsidR="009A0CC9" w:rsidRPr="004035E1">
        <w:t xml:space="preserve"> broad </w:t>
      </w:r>
      <w:r w:rsidR="007C3388" w:rsidRPr="004035E1">
        <w:t xml:space="preserve">and commonly used </w:t>
      </w:r>
      <w:r w:rsidR="009A0CC9" w:rsidRPr="004035E1">
        <w:t xml:space="preserve">approaches in the literature </w:t>
      </w:r>
      <w:r w:rsidR="00F03E93" w:rsidRPr="004035E1">
        <w:t xml:space="preserve">(spanning many different fields, such as the tourism, environmental economics, recreation, actuarial, transportation, ecology, and Biostatistics and epidemiology fields, to name just a few) </w:t>
      </w:r>
      <w:r w:rsidR="009A0CC9" w:rsidRPr="004035E1">
        <w:t>to model multi</w:t>
      </w:r>
      <w:r w:rsidR="00492BF3" w:rsidRPr="004035E1">
        <w:t>ple di</w:t>
      </w:r>
      <w:r w:rsidR="004F07B1" w:rsidRPr="004035E1">
        <w:t>s</w:t>
      </w:r>
      <w:r w:rsidR="00492BF3" w:rsidRPr="004035E1">
        <w:t>crete-count</w:t>
      </w:r>
      <w:r w:rsidR="009A0CC9" w:rsidRPr="004035E1">
        <w:t xml:space="preserve"> data </w:t>
      </w:r>
      <w:r w:rsidR="007C3388" w:rsidRPr="004035E1">
        <w:t xml:space="preserve">are </w:t>
      </w:r>
      <w:r w:rsidR="00F03E93" w:rsidRPr="004035E1">
        <w:t xml:space="preserve">the </w:t>
      </w:r>
      <w:r w:rsidR="009A0CC9" w:rsidRPr="004035E1">
        <w:t>multivariate count model</w:t>
      </w:r>
      <w:r w:rsidR="00F03E93" w:rsidRPr="004035E1">
        <w:t xml:space="preserve"> approach</w:t>
      </w:r>
      <w:r w:rsidR="009A0CC9" w:rsidRPr="004035E1">
        <w:t xml:space="preserve"> and </w:t>
      </w:r>
      <w:r w:rsidR="005C689B" w:rsidRPr="004035E1">
        <w:t xml:space="preserve">a vertical accumulation-based choice </w:t>
      </w:r>
      <w:r w:rsidR="00F03E93" w:rsidRPr="004035E1">
        <w:t>approach</w:t>
      </w:r>
      <w:r w:rsidR="007C3388" w:rsidRPr="004035E1">
        <w:t xml:space="preserve">, </w:t>
      </w:r>
      <w:r w:rsidR="00D36C76">
        <w:t xml:space="preserve">each of </w:t>
      </w:r>
      <w:r w:rsidR="007C3388" w:rsidRPr="004035E1">
        <w:t xml:space="preserve">which </w:t>
      </w:r>
      <w:r w:rsidR="00D36C76">
        <w:t xml:space="preserve">is </w:t>
      </w:r>
      <w:r w:rsidR="007C3388" w:rsidRPr="004035E1">
        <w:t xml:space="preserve">discussed in turn next. </w:t>
      </w:r>
      <w:r w:rsidR="009A0CC9" w:rsidRPr="004035E1">
        <w:t xml:space="preserve"> </w:t>
      </w:r>
    </w:p>
    <w:p w:rsidR="00247B54" w:rsidRPr="004035E1" w:rsidRDefault="00247B54" w:rsidP="004035E1">
      <w:pPr>
        <w:autoSpaceDE w:val="0"/>
        <w:autoSpaceDN w:val="0"/>
        <w:adjustRightInd w:val="0"/>
        <w:spacing w:line="276" w:lineRule="auto"/>
        <w:jc w:val="both"/>
      </w:pPr>
    </w:p>
    <w:p w:rsidR="00247B54" w:rsidRPr="004035E1" w:rsidRDefault="00247B54" w:rsidP="0088430C">
      <w:pPr>
        <w:pStyle w:val="Heading1"/>
      </w:pPr>
      <w:r w:rsidRPr="004035E1">
        <w:t>1.1</w:t>
      </w:r>
      <w:r w:rsidR="0088430C">
        <w:t>.</w:t>
      </w:r>
      <w:r w:rsidR="00516C13" w:rsidRPr="004035E1">
        <w:t xml:space="preserve"> </w:t>
      </w:r>
      <w:r w:rsidRPr="004035E1">
        <w:t xml:space="preserve">Multivariate </w:t>
      </w:r>
      <w:r w:rsidR="0088430C">
        <w:t>C</w:t>
      </w:r>
      <w:r w:rsidRPr="004035E1">
        <w:t xml:space="preserve">ount </w:t>
      </w:r>
      <w:r w:rsidR="0088430C">
        <w:t>M</w:t>
      </w:r>
      <w:r w:rsidRPr="004035E1">
        <w:t>odels</w:t>
      </w:r>
    </w:p>
    <w:p w:rsidR="007C3388" w:rsidRPr="004035E1" w:rsidRDefault="00247B54" w:rsidP="004035E1">
      <w:pPr>
        <w:autoSpaceDE w:val="0"/>
        <w:autoSpaceDN w:val="0"/>
        <w:adjustRightInd w:val="0"/>
        <w:spacing w:line="276" w:lineRule="auto"/>
        <w:jc w:val="both"/>
      </w:pPr>
      <w:r w:rsidRPr="004035E1">
        <w:t xml:space="preserve">A multivariate count model may be developed using </w:t>
      </w:r>
      <w:r w:rsidR="00ED3F7D" w:rsidRPr="004035E1">
        <w:t xml:space="preserve">multivariate versions of the Poisson or negative binomial (NB) discrete distributions (such as the negative multinomial, but these only allow positive correlations in the counts), </w:t>
      </w:r>
      <w:r w:rsidR="00D36FD7">
        <w:t xml:space="preserve">or using </w:t>
      </w:r>
      <w:r w:rsidR="00ED3F7D" w:rsidRPr="004035E1">
        <w:t xml:space="preserve">the multinomial distribution </w:t>
      </w:r>
      <w:r w:rsidR="00E47F1A">
        <w:t xml:space="preserve">directly </w:t>
      </w:r>
      <w:r w:rsidR="00ED3F7D" w:rsidRPr="004035E1">
        <w:t xml:space="preserve">(such as the multinomial, Dirichlet-Multinomial, and random-clumped multinomial that allow only negative correlation in the counts). The reader is referred to </w:t>
      </w:r>
      <w:r w:rsidR="00ED3F7D" w:rsidRPr="00BE75A2">
        <w:t>Zhang et al., 2017</w:t>
      </w:r>
      <w:r w:rsidR="00AD2822" w:rsidRPr="00BE75A2">
        <w:t>, In</w:t>
      </w:r>
      <w:r w:rsidR="00AD2822" w:rsidRPr="004035E1">
        <w:t xml:space="preserve">ouye et al., 2017, </w:t>
      </w:r>
      <w:r w:rsidR="00ED3F7D" w:rsidRPr="004035E1">
        <w:t xml:space="preserve">and Peyhardi et al., 2021 for recent reviews of these types of models and their compound distribution extensions.  </w:t>
      </w:r>
      <w:r w:rsidR="00AC2372" w:rsidRPr="004035E1">
        <w:t>These multivariate count models have the advantage of a closed form</w:t>
      </w:r>
      <w:r w:rsidR="00D36C76">
        <w:t xml:space="preserve"> probability expression</w:t>
      </w:r>
      <w:r w:rsidR="00AC2372" w:rsidRPr="004035E1">
        <w:t>, but become cumbersome as the level of multivariateness increases.</w:t>
      </w:r>
      <w:r w:rsidR="00286CCD" w:rsidRPr="004035E1">
        <w:rPr>
          <w:rStyle w:val="FootnoteReference"/>
        </w:rPr>
        <w:footnoteReference w:id="2"/>
      </w:r>
      <w:r w:rsidR="00E47F1A">
        <w:t xml:space="preserve"> </w:t>
      </w:r>
      <w:r w:rsidR="00AC2372" w:rsidRPr="004035E1">
        <w:t xml:space="preserve">Of course, one can superimpose additional mixing structures over these basic models in the parameterization of the mean or other parameters in the model, relaxing the strict one-sided dependence between the counts, but such mixing approaches </w:t>
      </w:r>
      <w:r w:rsidR="00E47F1A">
        <w:t xml:space="preserve">can also get unwieldy </w:t>
      </w:r>
      <w:r w:rsidR="00AC2372" w:rsidRPr="004035E1">
        <w:t xml:space="preserve">in the presence of several mixing components. </w:t>
      </w:r>
      <w:r w:rsidR="00E47F1A">
        <w:t>Further</w:t>
      </w:r>
      <w:r w:rsidR="00AC2372" w:rsidRPr="004035E1">
        <w:t xml:space="preserve">, </w:t>
      </w:r>
      <w:r w:rsidRPr="004035E1">
        <w:t xml:space="preserve">these multivariate count approaches are not based on an underlying utility-maximizing framework; rather they represent a specification for the statistical expectation of demand, and then use statistical “stitching” devices to accommodate correlations in </w:t>
      </w:r>
      <w:r w:rsidRPr="004035E1">
        <w:lastRenderedPageBreak/>
        <w:t xml:space="preserve">the multivariate counts. Thus, these models are not </w:t>
      </w:r>
      <w:r w:rsidR="00AC2372" w:rsidRPr="004035E1">
        <w:t xml:space="preserve">suitable for economic welfare analysis, an important issue in </w:t>
      </w:r>
      <w:r w:rsidRPr="004035E1">
        <w:t xml:space="preserve">many recreational, cultural, and other empirical contexts. </w:t>
      </w:r>
      <w:r w:rsidR="00E47F1A">
        <w:t>Additionally</w:t>
      </w:r>
      <w:r w:rsidRPr="004035E1">
        <w:t xml:space="preserve">, these models do not allow for potentially complex substitution and income effects in consumer choice decisions. For example, an increase in the </w:t>
      </w:r>
      <w:r w:rsidR="00E47F1A">
        <w:t xml:space="preserve">entry fee to </w:t>
      </w:r>
      <w:r w:rsidR="00AC2372" w:rsidRPr="004035E1">
        <w:t xml:space="preserve">a water park </w:t>
      </w:r>
      <w:r w:rsidR="00E47F1A">
        <w:t xml:space="preserve">(say A) </w:t>
      </w:r>
      <w:r w:rsidRPr="004035E1">
        <w:t xml:space="preserve">may result in an increase in the attractiveness of other </w:t>
      </w:r>
      <w:r w:rsidR="00AC2372" w:rsidRPr="004035E1">
        <w:t xml:space="preserve">water parks </w:t>
      </w:r>
      <w:r w:rsidRPr="004035E1">
        <w:t xml:space="preserve">due to a substitution effect, but also a decrease in total </w:t>
      </w:r>
      <w:r w:rsidR="00AC2372" w:rsidRPr="004035E1">
        <w:t xml:space="preserve">water park recreation episodes as a whole </w:t>
      </w:r>
      <w:r w:rsidRPr="004035E1">
        <w:t xml:space="preserve">because of an income effect. So, while the </w:t>
      </w:r>
      <w:r w:rsidR="00AC2372" w:rsidRPr="004035E1">
        <w:t xml:space="preserve">annual </w:t>
      </w:r>
      <w:r w:rsidRPr="004035E1">
        <w:t xml:space="preserve">frequency of </w:t>
      </w:r>
      <w:r w:rsidR="00AC2372" w:rsidRPr="004035E1">
        <w:t xml:space="preserve">visit </w:t>
      </w:r>
      <w:r w:rsidRPr="004035E1">
        <w:t xml:space="preserve">instances to </w:t>
      </w:r>
      <w:r w:rsidR="00E47F1A">
        <w:t xml:space="preserve">water park A </w:t>
      </w:r>
      <w:r w:rsidRPr="004035E1">
        <w:t xml:space="preserve">will reduce, the frequency of </w:t>
      </w:r>
      <w:r w:rsidR="00AC2372" w:rsidRPr="004035E1">
        <w:t xml:space="preserve">visit </w:t>
      </w:r>
      <w:r w:rsidRPr="004035E1">
        <w:t xml:space="preserve">instances to other </w:t>
      </w:r>
      <w:r w:rsidR="00E47F1A">
        <w:t xml:space="preserve">water parks </w:t>
      </w:r>
      <w:r w:rsidRPr="004035E1">
        <w:t xml:space="preserve">may increase or decrease. The multivariate count models do not explicitly account for such substitution and income effects. </w:t>
      </w:r>
      <w:r w:rsidR="007C3388" w:rsidRPr="004035E1">
        <w:t xml:space="preserve">Finally, in such multivariate count models, each count is modeled by a separate equation, requiring adequate sample points to estimate the parameters in each count equation. With many count variables, the sample size can whittle down quickly, and will also lead to a higher prevalence of zero counts, which then necessitates </w:t>
      </w:r>
      <w:r w:rsidRPr="004035E1">
        <w:t>techniques to accommodate excess zeros in the count for each event category</w:t>
      </w:r>
      <w:r w:rsidR="007C3388" w:rsidRPr="004035E1">
        <w:t xml:space="preserve">. Such techniques further increase the number of parameters to be estimated, and can also lead to challenging estimation problems. </w:t>
      </w:r>
    </w:p>
    <w:p w:rsidR="007C3388" w:rsidRPr="004035E1" w:rsidRDefault="007C3388" w:rsidP="004035E1">
      <w:pPr>
        <w:autoSpaceDE w:val="0"/>
        <w:autoSpaceDN w:val="0"/>
        <w:adjustRightInd w:val="0"/>
        <w:spacing w:line="276" w:lineRule="auto"/>
        <w:jc w:val="both"/>
      </w:pPr>
    </w:p>
    <w:p w:rsidR="007C3388" w:rsidRPr="0088430C" w:rsidRDefault="00516C13" w:rsidP="0088430C">
      <w:pPr>
        <w:pStyle w:val="Heading1"/>
      </w:pPr>
      <w:r w:rsidRPr="0088430C">
        <w:t xml:space="preserve">1.2. </w:t>
      </w:r>
      <w:r w:rsidR="007C3388" w:rsidRPr="0088430C">
        <w:t xml:space="preserve">Vertical </w:t>
      </w:r>
      <w:r w:rsidR="005C689B" w:rsidRPr="0088430C">
        <w:t>Accumulation-Based Choice Approach</w:t>
      </w:r>
    </w:p>
    <w:p w:rsidR="005C689B" w:rsidRPr="004035E1" w:rsidRDefault="00492BF3" w:rsidP="004035E1">
      <w:pPr>
        <w:autoSpaceDE w:val="0"/>
        <w:autoSpaceDN w:val="0"/>
        <w:adjustRightInd w:val="0"/>
        <w:spacing w:line="276" w:lineRule="auto"/>
        <w:jc w:val="both"/>
      </w:pPr>
      <w:r w:rsidRPr="004035E1">
        <w:t xml:space="preserve">The second </w:t>
      </w:r>
      <w:r w:rsidR="009A0CC9" w:rsidRPr="004035E1">
        <w:t>approach</w:t>
      </w:r>
      <w:r w:rsidRPr="004035E1">
        <w:t>,</w:t>
      </w:r>
      <w:r w:rsidR="00D2013C" w:rsidRPr="004035E1">
        <w:t xml:space="preserve"> vertical </w:t>
      </w:r>
      <w:r w:rsidR="005C689B" w:rsidRPr="004035E1">
        <w:t>accumulation-based choice</w:t>
      </w:r>
      <w:r w:rsidRPr="004035E1">
        <w:t xml:space="preserve">, </w:t>
      </w:r>
      <w:r w:rsidR="005C689B" w:rsidRPr="004035E1">
        <w:t>essentially presume</w:t>
      </w:r>
      <w:r w:rsidR="009A0CC9" w:rsidRPr="004035E1">
        <w:t xml:space="preserve">s a </w:t>
      </w:r>
      <w:r w:rsidRPr="004035E1">
        <w:t xml:space="preserve">single </w:t>
      </w:r>
      <w:r w:rsidR="009A0CC9" w:rsidRPr="004035E1">
        <w:t xml:space="preserve">discrete choice model </w:t>
      </w:r>
      <w:r w:rsidR="009C3B10" w:rsidRPr="004035E1">
        <w:t>at</w:t>
      </w:r>
      <w:r w:rsidR="009A0CC9" w:rsidRPr="004035E1">
        <w:t xml:space="preserve"> </w:t>
      </w:r>
      <w:r w:rsidR="00F03E93" w:rsidRPr="004035E1">
        <w:t>each</w:t>
      </w:r>
      <w:r w:rsidRPr="004035E1">
        <w:t xml:space="preserve"> </w:t>
      </w:r>
      <w:r w:rsidR="009C3B10" w:rsidRPr="004035E1">
        <w:t xml:space="preserve">of several </w:t>
      </w:r>
      <w:r w:rsidR="00457117" w:rsidRPr="004035E1">
        <w:t>choice occasion</w:t>
      </w:r>
      <w:r w:rsidR="009C3B10" w:rsidRPr="004035E1">
        <w:t>s</w:t>
      </w:r>
      <w:r w:rsidR="00EF1C30" w:rsidRPr="004035E1">
        <w:t xml:space="preserve"> </w:t>
      </w:r>
      <w:r w:rsidR="00F03E93" w:rsidRPr="004035E1">
        <w:t>(b</w:t>
      </w:r>
      <w:r w:rsidR="00A20B61" w:rsidRPr="004035E1">
        <w:t xml:space="preserve">y single discrete choice, we refer to the situation where, at each of the </w:t>
      </w:r>
      <w:r w:rsidR="00196ECA" w:rsidRPr="004035E1">
        <w:t>choice</w:t>
      </w:r>
      <w:r w:rsidR="00A20B61" w:rsidRPr="004035E1">
        <w:t xml:space="preserve"> occasions, the individual </w:t>
      </w:r>
      <w:r w:rsidR="00D4728E" w:rsidRPr="004035E1">
        <w:t xml:space="preserve">is assumed to </w:t>
      </w:r>
      <w:r w:rsidR="00A20B61" w:rsidRPr="004035E1">
        <w:t xml:space="preserve">select one and only one alternative from the available set of </w:t>
      </w:r>
      <w:r w:rsidR="00EF1C30" w:rsidRPr="004035E1">
        <w:t>outcome categories</w:t>
      </w:r>
      <w:r w:rsidR="00A20B61" w:rsidRPr="004035E1">
        <w:t>)</w:t>
      </w:r>
      <w:r w:rsidR="009A0CC9" w:rsidRPr="004035E1">
        <w:t>.</w:t>
      </w:r>
      <w:r w:rsidR="00444CC3" w:rsidRPr="004035E1">
        <w:t xml:space="preserve"> However, preferences may vary within the same individual across </w:t>
      </w:r>
      <w:r w:rsidR="00D2013C" w:rsidRPr="004035E1">
        <w:t xml:space="preserve">multiple </w:t>
      </w:r>
      <w:r w:rsidR="00444CC3" w:rsidRPr="004035E1">
        <w:t xml:space="preserve">choice instances, leading to the observation of multiple discreteness over the vertical stream of choice instances. </w:t>
      </w:r>
      <w:r w:rsidR="003F6C5F" w:rsidRPr="004035E1">
        <w:t xml:space="preserve">Such models, by themselves, do not </w:t>
      </w:r>
      <w:r w:rsidR="006B3B96" w:rsidRPr="004035E1">
        <w:t xml:space="preserve">explicitly model </w:t>
      </w:r>
      <w:r w:rsidR="003F6C5F" w:rsidRPr="004035E1">
        <w:t xml:space="preserve">the total count of </w:t>
      </w:r>
      <w:r w:rsidR="00100764" w:rsidRPr="004035E1">
        <w:t>positive participation/consumption decisions (for example, the total number of annual vacation/recreational</w:t>
      </w:r>
      <w:r w:rsidR="00E47F1A">
        <w:t xml:space="preserve"> </w:t>
      </w:r>
      <w:r w:rsidR="00100764" w:rsidRPr="004035E1">
        <w:t xml:space="preserve">trips, or the total number of monthly purchases within a product category of goods, such as coffee or pizza). </w:t>
      </w:r>
      <w:r w:rsidR="003F6C5F" w:rsidRPr="004035E1">
        <w:t xml:space="preserve">This </w:t>
      </w:r>
      <w:r w:rsidR="00457117" w:rsidRPr="004035E1">
        <w:t>total count is</w:t>
      </w:r>
      <w:r w:rsidR="003F6C5F" w:rsidRPr="004035E1">
        <w:t xml:space="preserve"> determined in one of t</w:t>
      </w:r>
      <w:r w:rsidR="007C7CEA" w:rsidRPr="004035E1">
        <w:t>hree</w:t>
      </w:r>
      <w:r w:rsidR="003F6C5F" w:rsidRPr="004035E1">
        <w:t xml:space="preserve"> broad ways</w:t>
      </w:r>
      <w:r w:rsidR="005C689B" w:rsidRPr="004035E1">
        <w:t>, as discussed in turn in the next few paragraphs.</w:t>
      </w:r>
      <w:r w:rsidR="003F6C5F" w:rsidRPr="004035E1">
        <w:t xml:space="preserve"> </w:t>
      </w:r>
    </w:p>
    <w:p w:rsidR="009054C1" w:rsidRPr="004035E1" w:rsidRDefault="003F6C5F" w:rsidP="004035E1">
      <w:pPr>
        <w:autoSpaceDE w:val="0"/>
        <w:autoSpaceDN w:val="0"/>
        <w:adjustRightInd w:val="0"/>
        <w:spacing w:line="276" w:lineRule="auto"/>
        <w:ind w:firstLine="720"/>
        <w:jc w:val="both"/>
      </w:pPr>
      <w:r w:rsidRPr="004035E1">
        <w:t xml:space="preserve">The first </w:t>
      </w:r>
      <w:r w:rsidR="006F3EF1" w:rsidRPr="004035E1">
        <w:t xml:space="preserve">method </w:t>
      </w:r>
      <w:r w:rsidR="005C689B" w:rsidRPr="004035E1">
        <w:t xml:space="preserve">within the vertical accumulation-based choice approach </w:t>
      </w:r>
      <w:r w:rsidR="007C7CEA" w:rsidRPr="004035E1">
        <w:t xml:space="preserve">is </w:t>
      </w:r>
      <w:r w:rsidR="006F3EF1" w:rsidRPr="004035E1">
        <w:t xml:space="preserve">applicable </w:t>
      </w:r>
      <w:r w:rsidR="007C7CEA" w:rsidRPr="004035E1">
        <w:t xml:space="preserve">when the choice made at each of several observed instances of participation/consumption (such as the destination visited in each of several vacation trips) is available in the form of longitudinal data. In this case, each instance </w:t>
      </w:r>
      <w:r w:rsidR="006F3EF1" w:rsidRPr="004035E1">
        <w:t xml:space="preserve">(say </w:t>
      </w:r>
      <w:r w:rsidR="007C7CEA" w:rsidRPr="004035E1">
        <w:t>of a vacation trip</w:t>
      </w:r>
      <w:r w:rsidR="00AC3779" w:rsidRPr="004035E1">
        <w:t>)</w:t>
      </w:r>
      <w:r w:rsidR="007C7CEA" w:rsidRPr="004035E1">
        <w:t xml:space="preserve"> is considered as a single discrete choice occasion, assuming independence across the single discrete choice occasions or using unobserved heterogeneity and state dependence effects across the choice occasions. </w:t>
      </w:r>
      <w:r w:rsidR="006B3B96" w:rsidRPr="004035E1">
        <w:t xml:space="preserve">In this approach, only those with a positive participation/consumption decision are considered, leaving out the decision of whether to participate/consume at all or not in the product category of interest. However, the </w:t>
      </w:r>
      <w:r w:rsidR="00F72B9A" w:rsidRPr="004035E1">
        <w:t xml:space="preserve">approach </w:t>
      </w:r>
      <w:r w:rsidR="005675A2" w:rsidRPr="004035E1">
        <w:t>may be</w:t>
      </w:r>
      <w:r w:rsidR="00F72B9A" w:rsidRPr="004035E1">
        <w:t xml:space="preserve"> combined with a separate total count model, with </w:t>
      </w:r>
      <w:r w:rsidR="005675A2" w:rsidRPr="004035E1">
        <w:t xml:space="preserve">or without </w:t>
      </w:r>
      <w:r w:rsidR="00F72B9A" w:rsidRPr="004035E1">
        <w:t xml:space="preserve">a linkage </w:t>
      </w:r>
      <w:r w:rsidR="005675A2" w:rsidRPr="004035E1">
        <w:t xml:space="preserve">up </w:t>
      </w:r>
      <w:r w:rsidR="00F72B9A" w:rsidRPr="004035E1">
        <w:t>from the single discrete choice model to the total count model</w:t>
      </w:r>
      <w:r w:rsidR="005675A2" w:rsidRPr="004035E1">
        <w:t xml:space="preserve">. The former is not consistent with two-stage budgeting utility theory, while the latter (with the linkage term appropriately developed) can be shown to be consistent with two-stage budgeting utility theory (see </w:t>
      </w:r>
      <w:r w:rsidR="00F72B9A" w:rsidRPr="004035E1">
        <w:t>Hausman et al., 19</w:t>
      </w:r>
      <w:r w:rsidR="002A29E6">
        <w:t>9</w:t>
      </w:r>
      <w:r w:rsidR="00F72B9A" w:rsidRPr="004035E1">
        <w:t xml:space="preserve">5, </w:t>
      </w:r>
      <w:r w:rsidR="00636F74" w:rsidRPr="004035E1">
        <w:t xml:space="preserve">Mannering and Hamed, 1990, </w:t>
      </w:r>
      <w:r w:rsidR="005675A2" w:rsidRPr="004035E1">
        <w:t xml:space="preserve">Rouwendal and Boter, 2009, </w:t>
      </w:r>
      <w:r w:rsidR="00F72B9A" w:rsidRPr="004035E1">
        <w:t>Bhat et al., 201</w:t>
      </w:r>
      <w:r w:rsidR="00811865">
        <w:t>5</w:t>
      </w:r>
      <w:r w:rsidR="00F72B9A" w:rsidRPr="004035E1">
        <w:t xml:space="preserve">, and </w:t>
      </w:r>
      <w:r w:rsidR="006C4B21" w:rsidRPr="00B3621F">
        <w:rPr>
          <w:shd w:val="clear" w:color="auto" w:fill="FCFCFC"/>
        </w:rPr>
        <w:t>Wiśniewska</w:t>
      </w:r>
      <w:r w:rsidR="00F72B9A" w:rsidRPr="004035E1">
        <w:t xml:space="preserve"> et al., 2020</w:t>
      </w:r>
      <w:r w:rsidR="00636F74" w:rsidRPr="004035E1">
        <w:t xml:space="preserve">). </w:t>
      </w:r>
    </w:p>
    <w:p w:rsidR="00E47F1A" w:rsidRDefault="00E47F1A" w:rsidP="00020B8F">
      <w:pPr>
        <w:autoSpaceDE w:val="0"/>
        <w:autoSpaceDN w:val="0"/>
        <w:adjustRightInd w:val="0"/>
        <w:spacing w:line="276" w:lineRule="auto"/>
        <w:ind w:firstLine="720"/>
        <w:jc w:val="both"/>
      </w:pPr>
      <w:r w:rsidRPr="004035E1">
        <w:lastRenderedPageBreak/>
        <w:t xml:space="preserve">The second and third methods within the vertical accumulation-based choice approach are used when the actual sequence of choices made are not observable, but only the total count of positive participation/consumption occasions and the allocation of that total count to each of many alternatives are observed. </w:t>
      </w:r>
      <w:r>
        <w:t>The</w:t>
      </w:r>
      <w:r w:rsidRPr="004035E1">
        <w:t xml:space="preserve"> </w:t>
      </w:r>
      <w:r>
        <w:t>second</w:t>
      </w:r>
      <w:r w:rsidRPr="004035E1">
        <w:t xml:space="preserve"> method, </w:t>
      </w:r>
      <w:r>
        <w:t xml:space="preserve">very </w:t>
      </w:r>
      <w:r w:rsidRPr="004035E1">
        <w:t>similar to the first method, considers a vertical string of single discrete choice instances</w:t>
      </w:r>
      <w:r>
        <w:t>. But s</w:t>
      </w:r>
      <w:r w:rsidRPr="004035E1">
        <w:t xml:space="preserve">ince only the aggregate count across all choice occasions is observed (rather than information on the ordering of the choice instances), the probability of the observed counts for each alternative, given the total count, takes a multinomial distribution form (see Terza and Wilson, 1990). An added layer of unobserved heterogeneity may be considered by assuming that the single discrete choice probabilities for any alternative (at any choice instance) is itself Dirichlet distributed, which then leads to a more flexible Dirichlet-Multinomial (DM) model (see Murteira and Ramalho, 2016). Then, a total count model can be estimated, with or without linkage up from the multinomial/DM model.   </w:t>
      </w:r>
    </w:p>
    <w:p w:rsidR="009054C1" w:rsidRPr="004035E1" w:rsidRDefault="007C7CEA" w:rsidP="004035E1">
      <w:pPr>
        <w:autoSpaceDE w:val="0"/>
        <w:autoSpaceDN w:val="0"/>
        <w:adjustRightInd w:val="0"/>
        <w:spacing w:line="276" w:lineRule="auto"/>
        <w:ind w:firstLine="720"/>
        <w:jc w:val="both"/>
      </w:pPr>
      <w:r w:rsidRPr="004035E1">
        <w:t>In th</w:t>
      </w:r>
      <w:r w:rsidR="006F3EF1" w:rsidRPr="004035E1">
        <w:t xml:space="preserve">e </w:t>
      </w:r>
      <w:r w:rsidR="00020B8F">
        <w:t>third</w:t>
      </w:r>
      <w:r w:rsidRPr="004035E1">
        <w:t xml:space="preserve"> </w:t>
      </w:r>
      <w:r w:rsidR="009054C1" w:rsidRPr="004035E1">
        <w:t>method</w:t>
      </w:r>
      <w:r w:rsidRPr="004035E1">
        <w:t xml:space="preserve">, </w:t>
      </w:r>
      <w:r w:rsidR="006F3EF1" w:rsidRPr="004035E1">
        <w:t xml:space="preserve">the analyst </w:t>
      </w:r>
      <w:r w:rsidR="009C3B10" w:rsidRPr="004035E1">
        <w:t>pre</w:t>
      </w:r>
      <w:r w:rsidR="00100764" w:rsidRPr="004035E1">
        <w:t>-fixes</w:t>
      </w:r>
      <w:r w:rsidR="009C3B10" w:rsidRPr="004035E1">
        <w:t xml:space="preserve"> </w:t>
      </w:r>
      <w:r w:rsidR="00100764" w:rsidRPr="004035E1">
        <w:t xml:space="preserve">a certain number of </w:t>
      </w:r>
      <w:r w:rsidR="00020B8F">
        <w:t xml:space="preserve">“synthetic” </w:t>
      </w:r>
      <w:r w:rsidR="009C3B10" w:rsidRPr="004035E1">
        <w:t>choice</w:t>
      </w:r>
      <w:r w:rsidR="003F6C5F" w:rsidRPr="004035E1">
        <w:t xml:space="preserve"> occasions</w:t>
      </w:r>
      <w:r w:rsidR="00100764" w:rsidRPr="004035E1">
        <w:t xml:space="preserve">, at each of which an individual </w:t>
      </w:r>
      <w:r w:rsidR="006F3EF1" w:rsidRPr="004035E1">
        <w:t xml:space="preserve">is assumed to </w:t>
      </w:r>
      <w:r w:rsidR="00100764" w:rsidRPr="004035E1">
        <w:t xml:space="preserve">make a single discrete choice among </w:t>
      </w:r>
      <w:r w:rsidR="006F3EF1" w:rsidRPr="004035E1">
        <w:t xml:space="preserve">the alternatives of </w:t>
      </w:r>
      <w:r w:rsidR="00100764" w:rsidRPr="004035E1">
        <w:t>deciding not to participate/consume</w:t>
      </w:r>
      <w:r w:rsidR="006F3EF1" w:rsidRPr="004035E1">
        <w:t xml:space="preserve"> </w:t>
      </w:r>
      <w:r w:rsidR="00100764" w:rsidRPr="004035E1">
        <w:t>or choos</w:t>
      </w:r>
      <w:r w:rsidR="006F3EF1" w:rsidRPr="004035E1">
        <w:t xml:space="preserve">ing to select </w:t>
      </w:r>
      <w:r w:rsidR="00100764" w:rsidRPr="004035E1">
        <w:t>one of multiple possible choice alternatives. T</w:t>
      </w:r>
      <w:r w:rsidR="00E2532D" w:rsidRPr="004035E1">
        <w:t>ypically</w:t>
      </w:r>
      <w:r w:rsidR="00100764" w:rsidRPr="004035E1">
        <w:t>, the single discrete choice at one choice occasion is assumed to be independent of the single discrete choices at other occasions</w:t>
      </w:r>
      <w:r w:rsidR="00B25722" w:rsidRPr="004035E1">
        <w:t xml:space="preserve">, so that, effectively, the choice for each alternative at each </w:t>
      </w:r>
      <w:r w:rsidR="00020B8F">
        <w:t xml:space="preserve">synthetic </w:t>
      </w:r>
      <w:r w:rsidR="00B25722" w:rsidRPr="004035E1">
        <w:t>choice occasion is constructed as a series of “0” or “1” dependent variables (with the sequence being immaterial) such that the observed aggregate shares of alternatives is preserved across choice occasions</w:t>
      </w:r>
      <w:r w:rsidR="00100764" w:rsidRPr="004035E1">
        <w:t xml:space="preserve"> </w:t>
      </w:r>
      <w:r w:rsidR="00E2532D" w:rsidRPr="004035E1">
        <w:t>(</w:t>
      </w:r>
      <w:r w:rsidR="00100764" w:rsidRPr="004035E1">
        <w:t xml:space="preserve">though sometimes, the </w:t>
      </w:r>
      <w:r w:rsidRPr="004035E1">
        <w:t xml:space="preserve">observed </w:t>
      </w:r>
      <w:r w:rsidR="00B25722" w:rsidRPr="004035E1">
        <w:t xml:space="preserve">aggregate shares </w:t>
      </w:r>
      <w:r w:rsidR="006F3EF1" w:rsidRPr="004035E1">
        <w:t xml:space="preserve">are </w:t>
      </w:r>
      <w:r w:rsidR="00020B8F">
        <w:t xml:space="preserve">represented </w:t>
      </w:r>
      <w:r w:rsidR="00B25722" w:rsidRPr="004035E1">
        <w:t xml:space="preserve">as synthetic choices </w:t>
      </w:r>
      <w:r w:rsidR="00E2532D" w:rsidRPr="004035E1">
        <w:t xml:space="preserve">in a specific sequence over the total </w:t>
      </w:r>
      <w:r w:rsidR="006F3EF1" w:rsidRPr="004035E1">
        <w:t xml:space="preserve">choice </w:t>
      </w:r>
      <w:r w:rsidR="00E2532D" w:rsidRPr="004035E1">
        <w:t>instances</w:t>
      </w:r>
      <w:r w:rsidR="00AC3779" w:rsidRPr="004035E1">
        <w:t>, with the possibility of accommodating state dependence effects</w:t>
      </w:r>
      <w:r w:rsidR="00E2532D" w:rsidRPr="004035E1">
        <w:t>)</w:t>
      </w:r>
      <w:r w:rsidR="003F6C5F" w:rsidRPr="004035E1">
        <w:t xml:space="preserve">. Examples include Morey et al., 1993 (who assumes an arbitrary </w:t>
      </w:r>
      <w:r w:rsidR="00E2532D" w:rsidRPr="004035E1">
        <w:t>total coun</w:t>
      </w:r>
      <w:r w:rsidR="00523656" w:rsidRPr="004035E1">
        <w:t>t</w:t>
      </w:r>
      <w:r w:rsidR="00E2532D" w:rsidRPr="004035E1">
        <w:t xml:space="preserve"> (</w:t>
      </w:r>
      <w:r w:rsidR="003F6C5F" w:rsidRPr="004035E1">
        <w:t>budget</w:t>
      </w:r>
      <w:r w:rsidR="00E2532D" w:rsidRPr="004035E1">
        <w:t>)</w:t>
      </w:r>
      <w:r w:rsidR="003F6C5F" w:rsidRPr="004035E1">
        <w:t xml:space="preserve"> value of 50 fishing trips in each fishing season for each individual), Paleti et al., 2014 (who set the number of synthetic choice occasions in a “vertical” vehicle body/fuel type choice setting as the number of driving age members in the household plus 2 to exploit the fact that the number of vehicles owned by a household is virtually never greater than the number of driving age members plus two), and Hendel, 1999 and </w:t>
      </w:r>
      <w:r w:rsidR="0025629C" w:rsidRPr="00B3621F">
        <w:t>Dubé</w:t>
      </w:r>
      <w:r w:rsidR="003F6C5F" w:rsidRPr="004035E1">
        <w:t>, 2004 (who consider the case of “multiple discreteness” in the purchase of multiple brands within a particular consumer product category at a single shopping instance as the result of a stream of expected</w:t>
      </w:r>
      <w:r w:rsidR="00D36C76">
        <w:t xml:space="preserve">, </w:t>
      </w:r>
      <w:r w:rsidR="003F6C5F" w:rsidRPr="004035E1">
        <w:t>but unobserved to the analyst</w:t>
      </w:r>
      <w:r w:rsidR="00D36C76">
        <w:t xml:space="preserve">, </w:t>
      </w:r>
      <w:r w:rsidR="003F6C5F" w:rsidRPr="004035E1">
        <w:t xml:space="preserve">future consumption occasions between successive shopping purchase occasions, and determine the number of such total consumption occasions using an independent count model). In this </w:t>
      </w:r>
      <w:r w:rsidR="00D36C76">
        <w:t xml:space="preserve">third </w:t>
      </w:r>
      <w:r w:rsidR="003F6C5F" w:rsidRPr="004035E1">
        <w:t xml:space="preserve">approach, </w:t>
      </w:r>
      <w:r w:rsidR="00E2532D" w:rsidRPr="004035E1">
        <w:t>a zero count is assumed to</w:t>
      </w:r>
      <w:r w:rsidR="00523656" w:rsidRPr="004035E1">
        <w:t xml:space="preserve"> </w:t>
      </w:r>
      <w:r w:rsidR="00E2532D" w:rsidRPr="004035E1">
        <w:t xml:space="preserve">implicitly emerge though a string of </w:t>
      </w:r>
      <w:r w:rsidR="00457117" w:rsidRPr="004035E1">
        <w:t xml:space="preserve">non-participation decisions across all the </w:t>
      </w:r>
      <w:r w:rsidR="00020B8F">
        <w:t xml:space="preserve">synthetic choice </w:t>
      </w:r>
      <w:r w:rsidR="00457117" w:rsidRPr="004035E1">
        <w:t xml:space="preserve">occasions. </w:t>
      </w:r>
    </w:p>
    <w:p w:rsidR="00FA6827" w:rsidRPr="004035E1" w:rsidRDefault="00FA6827" w:rsidP="004035E1">
      <w:pPr>
        <w:spacing w:line="276" w:lineRule="auto"/>
        <w:jc w:val="both"/>
      </w:pPr>
    </w:p>
    <w:p w:rsidR="00045E4E" w:rsidRPr="00916214" w:rsidRDefault="00516C13" w:rsidP="0088430C">
      <w:pPr>
        <w:pStyle w:val="Heading1"/>
      </w:pPr>
      <w:r w:rsidRPr="00916214">
        <w:t xml:space="preserve">1.3. </w:t>
      </w:r>
      <w:r w:rsidR="00045E4E" w:rsidRPr="00916214">
        <w:t>The Current Paper</w:t>
      </w:r>
    </w:p>
    <w:p w:rsidR="00544746" w:rsidRPr="004035E1" w:rsidRDefault="00544746" w:rsidP="004035E1">
      <w:pPr>
        <w:autoSpaceDE w:val="0"/>
        <w:autoSpaceDN w:val="0"/>
        <w:adjustRightInd w:val="0"/>
        <w:spacing w:line="276" w:lineRule="auto"/>
        <w:jc w:val="both"/>
      </w:pPr>
      <w:r w:rsidRPr="004035E1">
        <w:t xml:space="preserve">The current paper uses a different </w:t>
      </w:r>
      <w:r w:rsidR="009D331A" w:rsidRPr="004035E1">
        <w:t>“Horizontal</w:t>
      </w:r>
      <w:r w:rsidR="00D36C76">
        <w:t xml:space="preserve"> Choice” </w:t>
      </w:r>
      <w:r w:rsidRPr="004035E1">
        <w:t xml:space="preserve">approach to multiple discrete-count modeling relative to the </w:t>
      </w:r>
      <w:r w:rsidR="00F61D58" w:rsidRPr="004035E1">
        <w:t xml:space="preserve">vertical accumulation-based </w:t>
      </w:r>
      <w:r w:rsidRPr="004035E1">
        <w:t xml:space="preserve">approach. In particular, our approach views the fractional splits among the many choice alternatives as arising from a fundamentally </w:t>
      </w:r>
      <w:r w:rsidR="009D331A" w:rsidRPr="004035E1">
        <w:t xml:space="preserve">“at-once” </w:t>
      </w:r>
      <w:r w:rsidRPr="004035E1">
        <w:t xml:space="preserve">horizontal choice, rather than on the premise that the multivariate discreteness and count data are the result of the “vertical accumulation” of single discrete choice decisions at each of the many </w:t>
      </w:r>
      <w:r w:rsidRPr="004035E1">
        <w:lastRenderedPageBreak/>
        <w:t xml:space="preserve">choice instances. </w:t>
      </w:r>
      <w:r w:rsidR="00D36C76">
        <w:t xml:space="preserve">The </w:t>
      </w:r>
      <w:r w:rsidRPr="004035E1">
        <w:t xml:space="preserve">vertical process considers that the goods under consideration for consumption within the product category of interest are perfect substitutes of one another, and does not consider the possibility that the observations may originate from a “horizontal” choice of multiple alternatives that are viewed as being imperfect substitutes of one another. Indeed, earlier theoretical studies of motivations for leisure travel and leisure product consumption indicate that individuals and families </w:t>
      </w:r>
      <w:r w:rsidR="004B647A">
        <w:t xml:space="preserve">do not make disconnected instance-specific </w:t>
      </w:r>
      <w:r w:rsidR="00F172DD">
        <w:t>decisions about each leisure trip, but plan for such trips over l</w:t>
      </w:r>
      <w:r w:rsidR="00D50570">
        <w:t>onger</w:t>
      </w:r>
      <w:r w:rsidR="00F172DD">
        <w:t xml:space="preserve"> periods of time such as a month or even a year; in doing so, they </w:t>
      </w:r>
      <w:r w:rsidRPr="004035E1">
        <w:t>seek a social-psychological sense of “optimal arousal” in consumption patterns based on stability (psychological security) as well as change (novelty) (see Woodside and Lysonski, 1989, and Iso-Ahola, 1983)</w:t>
      </w:r>
      <w:r w:rsidR="00F61D58" w:rsidRPr="004035E1">
        <w:t>, thus supporting the notion of a horizontal choice process</w:t>
      </w:r>
      <w:r w:rsidRPr="004035E1">
        <w:t>. That is, even as the environmental stimulus of consumption patterns may bring stability and comfort, consumers also appreciate that the expected familiarity of the same experience (as encoded in past mental information) can lead to boredom and a lack of adventure/novelty. Thus, there is an intentional and purposeful “</w:t>
      </w:r>
      <w:r w:rsidR="009D331A" w:rsidRPr="004035E1">
        <w:t>horizontal at-once</w:t>
      </w:r>
      <w:r w:rsidRPr="004035E1">
        <w:t xml:space="preserve">” choice process at play right from the outset in consumption patterns that reflects satiation behavior, based on the recognition that different alternatives serve different functionalities and provide different kinds of utility “arousal” (see LaMondia et al., 2008 for an extended discussion). For example, </w:t>
      </w:r>
      <w:r w:rsidRPr="004035E1">
        <w:rPr>
          <w:color w:val="000000"/>
        </w:rPr>
        <w:t xml:space="preserve">in the recreational literature, the focus may be on how individuals </w:t>
      </w:r>
      <w:r w:rsidR="009D331A" w:rsidRPr="004035E1">
        <w:rPr>
          <w:color w:val="000000"/>
        </w:rPr>
        <w:t xml:space="preserve">decide to </w:t>
      </w:r>
      <w:r w:rsidRPr="004035E1">
        <w:rPr>
          <w:color w:val="000000"/>
        </w:rPr>
        <w:t xml:space="preserve">allocate their annual fishing trips to different angler sites based on different characteristics of the sites, or how consumers, over an extended time horizon, choose to allocate a fixed number of vacation trips to different vacation destinations. Similarly, in the transportation field, the focus may be on the body/fuel type composition split (for example, split between hybrid SUV, electric sedan, and gasoline pickup vehicles) of the count of vehicles in a household, or the split of working days in a month that individuals work from home versus from a regular work place versus </w:t>
      </w:r>
      <w:r w:rsidRPr="004035E1">
        <w:t>from a third work place. In all these choice situations, the alternatives</w:t>
      </w:r>
      <w:r w:rsidR="009D331A" w:rsidRPr="004035E1">
        <w:t xml:space="preserve"> may be considered as</w:t>
      </w:r>
      <w:r w:rsidRPr="004035E1">
        <w:t xml:space="preserve"> imperfect substitutes for one another.  That is, individuals are likely to be variety-seekers, who appreciate the value of different functional needs being satisfied through investing in different alternatives. Equivalently, satiation effects set in as the investment in any single alternative increases. </w:t>
      </w:r>
    </w:p>
    <w:p w:rsidR="00544746" w:rsidRPr="004035E1" w:rsidRDefault="005C689B" w:rsidP="00A802E7">
      <w:pPr>
        <w:autoSpaceDE w:val="0"/>
        <w:autoSpaceDN w:val="0"/>
        <w:adjustRightInd w:val="0"/>
        <w:spacing w:line="276" w:lineRule="auto"/>
        <w:ind w:firstLine="720"/>
        <w:jc w:val="both"/>
      </w:pPr>
      <w:r w:rsidRPr="004035E1">
        <w:t xml:space="preserve">Based on the above discussion, we formulate a new econometric multiple discrete-count model. There are two components </w:t>
      </w:r>
      <w:r w:rsidR="00020B8F">
        <w:t>to</w:t>
      </w:r>
      <w:r w:rsidRPr="004035E1">
        <w:t xml:space="preserve"> our proposed model. The first component is a total count model, framed within a generalized ordered-response (GOR) framework, with a linking function from the second fractional split MDCEV model component appearing in this total count model. In th</w:t>
      </w:r>
      <w:r w:rsidR="00D36C76">
        <w:t>is</w:t>
      </w:r>
      <w:r w:rsidRPr="004035E1">
        <w:t xml:space="preserve"> second MDCEV component, the discrete component corresponds to whether or not an individual chooses (consumes) a specific alternative over the total count, and the continuous component refers to the fractional split of investment in each of the consumed alternatives over the total count. </w:t>
      </w:r>
      <w:r w:rsidR="0044568B" w:rsidRPr="004035E1">
        <w:t xml:space="preserve">This formulation explicitly accommodates </w:t>
      </w:r>
      <w:r w:rsidR="00F61D58" w:rsidRPr="004035E1">
        <w:t xml:space="preserve">a non-linear utility function (with decreasing marginal utility at higher </w:t>
      </w:r>
      <w:r w:rsidR="00020B8F">
        <w:t xml:space="preserve">fractional </w:t>
      </w:r>
      <w:r w:rsidR="00F61D58" w:rsidRPr="004035E1">
        <w:t>consumption levels) for each alternative.</w:t>
      </w:r>
      <w:r w:rsidR="0044568B" w:rsidRPr="004035E1">
        <w:t xml:space="preserve"> </w:t>
      </w:r>
      <w:r w:rsidRPr="004035E1">
        <w:t xml:space="preserve">This second component is relevant only if the observed total count is non-zero. Specifically, we start from Bhat’s (2008) utility formulation for the case when only inside goods are present (with the budget of the fractions across all alternatives being equal to one), but adopt a reverse Gumbel </w:t>
      </w:r>
      <w:r w:rsidRPr="004035E1">
        <w:lastRenderedPageBreak/>
        <w:t>distributional assumption for the stochastic terms in the baseline preferences of each of the alternatives. We also consider a reverse Gumbel distribution for the random error term within the GOR framework of the total count model, as well as reverse Gumbel error terms to include unobserved heterogeneity in the linking function. With these assumptions, we obtain a closed-form multiple discrete-count extreme value (MDCNTEV) model, which is shown to be consistent with a two-stage budgeting</w:t>
      </w:r>
      <w:r w:rsidR="004E08AE">
        <w:t xml:space="preserve"> </w:t>
      </w:r>
      <w:r w:rsidRPr="004035E1">
        <w:t xml:space="preserve">utility-theoretic framework. </w:t>
      </w:r>
      <w:r w:rsidR="004E08AE">
        <w:t xml:space="preserve">Unlike the </w:t>
      </w:r>
      <w:r w:rsidRPr="004035E1">
        <w:t>two-stage budgeting model proposed recently by Bhat (2022) for the case of multiple discrete-continuous data</w:t>
      </w:r>
      <w:r w:rsidR="004E08AE">
        <w:t>,</w:t>
      </w:r>
      <w:r w:rsidRPr="004035E1">
        <w:t xml:space="preserve"> the first stage model </w:t>
      </w:r>
      <w:r w:rsidR="004E08AE">
        <w:t xml:space="preserve">here </w:t>
      </w:r>
      <w:r w:rsidRPr="004035E1">
        <w:t xml:space="preserve">is a count model rather than </w:t>
      </w:r>
      <w:r w:rsidR="004E08AE">
        <w:t>a</w:t>
      </w:r>
      <w:r w:rsidRPr="004035E1">
        <w:t xml:space="preserve"> Tobit mod</w:t>
      </w:r>
      <w:r w:rsidR="004E08AE">
        <w:t>el</w:t>
      </w:r>
      <w:r w:rsidRPr="004035E1">
        <w:t xml:space="preserve">. </w:t>
      </w:r>
      <w:r w:rsidR="001F564F" w:rsidRPr="004035E1">
        <w:t xml:space="preserve">The count model poses interesting challenges, necessitating appropriate assumptions and formulations that continue to keep the resulting model within a closed-form formulation. The formulation we propose here, to our knowledge, </w:t>
      </w:r>
      <w:r w:rsidR="00D50570">
        <w:t xml:space="preserve">is a first of its kind </w:t>
      </w:r>
      <w:r w:rsidR="001F564F" w:rsidRPr="004035E1">
        <w:t>in the count model literature.</w:t>
      </w:r>
      <w:r w:rsidR="0059474E">
        <w:rPr>
          <w:rStyle w:val="FootnoteReference"/>
        </w:rPr>
        <w:footnoteReference w:id="3"/>
      </w:r>
    </w:p>
    <w:p w:rsidR="00544746" w:rsidRPr="004035E1" w:rsidRDefault="00544746" w:rsidP="004035E1">
      <w:pPr>
        <w:spacing w:line="276" w:lineRule="auto"/>
        <w:jc w:val="both"/>
      </w:pPr>
    </w:p>
    <w:p w:rsidR="00FA6827" w:rsidRPr="004035E1" w:rsidRDefault="00FA6827" w:rsidP="004035E1">
      <w:pPr>
        <w:numPr>
          <w:ilvl w:val="0"/>
          <w:numId w:val="11"/>
        </w:numPr>
        <w:spacing w:line="276" w:lineRule="auto"/>
        <w:ind w:left="360"/>
        <w:jc w:val="both"/>
        <w:rPr>
          <w:b/>
          <w:caps/>
          <w:color w:val="000000"/>
        </w:rPr>
      </w:pPr>
      <w:r w:rsidRPr="004035E1">
        <w:rPr>
          <w:b/>
          <w:caps/>
          <w:color w:val="000000"/>
        </w:rPr>
        <w:t>Model Formulation and Statistical Specification</w:t>
      </w:r>
    </w:p>
    <w:p w:rsidR="00FA6827" w:rsidRPr="004035E1" w:rsidRDefault="0088430C" w:rsidP="0088430C">
      <w:pPr>
        <w:pStyle w:val="Heading1"/>
      </w:pPr>
      <w:r>
        <w:t xml:space="preserve">2.1. </w:t>
      </w:r>
      <w:r w:rsidR="00FA6827" w:rsidRPr="004035E1">
        <w:t>Reverse Gumbel MDCEV Model of Fractional Split</w:t>
      </w:r>
    </w:p>
    <w:p w:rsidR="00FA6827" w:rsidRPr="004035E1" w:rsidRDefault="00FA6827" w:rsidP="004035E1">
      <w:pPr>
        <w:spacing w:line="276" w:lineRule="auto"/>
        <w:jc w:val="both"/>
      </w:pPr>
      <w:r w:rsidRPr="004035E1">
        <w:t xml:space="preserve">In this section, we start with the second stage of the allocation among inside goods within the product category under consideration (say product category </w:t>
      </w:r>
      <w:r w:rsidRPr="004035E1">
        <w:rPr>
          <w:i/>
        </w:rPr>
        <w:t>G</w:t>
      </w:r>
      <w:r w:rsidRPr="004035E1">
        <w:t xml:space="preserve">). We use the MDCEV framework as a fractional allocation model. </w:t>
      </w:r>
      <w:r w:rsidR="0021361F" w:rsidRPr="004035E1">
        <w:t xml:space="preserve">This model comes into play only if there is positive count consumption in the product category, as determined in the first stage count model. Thus, the fractional model is estimated only for those with a positive count in the product category, </w:t>
      </w:r>
      <w:r w:rsidRPr="004035E1">
        <w:t xml:space="preserve">Consider the following constrained direct utility form from Bhat (2008): </w:t>
      </w:r>
    </w:p>
    <w:p w:rsidR="00FA6827" w:rsidRPr="004035E1" w:rsidRDefault="001D7D48" w:rsidP="000A153B">
      <w:pPr>
        <w:tabs>
          <w:tab w:val="right" w:pos="9360"/>
        </w:tabs>
        <w:spacing w:before="60" w:line="276" w:lineRule="auto"/>
        <w:jc w:val="both"/>
      </w:pPr>
      <w:r w:rsidRPr="001D7D48">
        <w:rPr>
          <w:position w:val="-32"/>
        </w:rPr>
        <w:object w:dxaOrig="2659" w:dyaOrig="760" w14:anchorId="24DFB8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3.3pt;height:39pt" o:ole="">
            <v:imagedata r:id="rId11" o:title=""/>
          </v:shape>
          <o:OLEObject Type="Embed" ProgID="Equation.DSMT4" ShapeID="_x0000_i1025" DrawAspect="Content" ObjectID="_1722174171" r:id="rId12"/>
        </w:object>
      </w:r>
      <w:r w:rsidR="00FA6827" w:rsidRPr="004035E1">
        <w:tab/>
        <w:t>(</w:t>
      </w:r>
      <w:r w:rsidR="00621787" w:rsidRPr="004035E1">
        <w:t>1</w:t>
      </w:r>
      <w:r w:rsidR="00FA6827" w:rsidRPr="004035E1">
        <w:t>)</w:t>
      </w:r>
    </w:p>
    <w:p w:rsidR="00FA6827" w:rsidRPr="004035E1" w:rsidRDefault="00FA6827" w:rsidP="0025629C">
      <w:pPr>
        <w:spacing w:after="60" w:line="276" w:lineRule="auto"/>
        <w:jc w:val="both"/>
      </w:pPr>
      <w:r w:rsidRPr="004035E1">
        <w:rPr>
          <w:position w:val="-28"/>
        </w:rPr>
        <w:object w:dxaOrig="1340" w:dyaOrig="680" w14:anchorId="35A6DE51">
          <v:shape id="_x0000_i1026" type="#_x0000_t75" style="width:66.85pt;height:34.3pt" o:ole="">
            <v:imagedata r:id="rId13" o:title=""/>
          </v:shape>
          <o:OLEObject Type="Embed" ProgID="Equation.DSMT4" ShapeID="_x0000_i1026" DrawAspect="Content" ObjectID="_1722174172" r:id="rId14"/>
        </w:object>
      </w:r>
      <w:r w:rsidRPr="004035E1">
        <w:tab/>
      </w:r>
    </w:p>
    <w:p w:rsidR="00FA6827" w:rsidRPr="004035E1" w:rsidRDefault="00FA6827" w:rsidP="004035E1">
      <w:pPr>
        <w:spacing w:line="276" w:lineRule="auto"/>
        <w:jc w:val="both"/>
      </w:pPr>
      <w:r w:rsidRPr="004035E1">
        <w:t xml:space="preserve">where </w:t>
      </w:r>
      <w:r w:rsidR="00B671E8" w:rsidRPr="004035E1">
        <w:rPr>
          <w:position w:val="-12"/>
        </w:rPr>
        <w:object w:dxaOrig="279" w:dyaOrig="400" w14:anchorId="5DABA297">
          <v:shape id="_x0000_i1027" type="#_x0000_t75" style="width:13.7pt;height:19.3pt" o:ole="">
            <v:imagedata r:id="rId15" o:title=""/>
          </v:shape>
          <o:OLEObject Type="Embed" ProgID="Equation.DSMT4" ShapeID="_x0000_i1027" DrawAspect="Content" ObjectID="_1722174173" r:id="rId16"/>
        </w:object>
      </w:r>
      <w:r w:rsidRPr="004035E1">
        <w:t xml:space="preserve"> </w:t>
      </w:r>
      <w:r w:rsidR="00B671E8" w:rsidRPr="004035E1">
        <w:t xml:space="preserve">is the fraction of </w:t>
      </w:r>
      <w:r w:rsidR="0021361F" w:rsidRPr="004035E1">
        <w:t xml:space="preserve">the total count (of consumption on the product group under consideration) allocated to the inside good </w:t>
      </w:r>
      <w:r w:rsidR="0021361F" w:rsidRPr="004035E1">
        <w:rPr>
          <w:i/>
        </w:rPr>
        <w:t>k</w:t>
      </w:r>
      <w:r w:rsidR="0021361F" w:rsidRPr="004035E1">
        <w:t xml:space="preserve"> (</w:t>
      </w:r>
      <w:r w:rsidR="00020B8F">
        <w:t>an inside good is any good within the product group under consideration)</w:t>
      </w:r>
      <w:r w:rsidR="0021361F" w:rsidRPr="004035E1">
        <w:t xml:space="preserve">. </w:t>
      </w:r>
      <w:r w:rsidRPr="004035E1">
        <w:t xml:space="preserve">In the above utility function, </w:t>
      </w:r>
      <w:r w:rsidRPr="004035E1">
        <w:rPr>
          <w:position w:val="-10"/>
        </w:rPr>
        <w:object w:dxaOrig="540" w:dyaOrig="380" w14:anchorId="1C895A8B">
          <v:shape id="_x0000_i1028" type="#_x0000_t75" style="width:27pt;height:19.3pt" o:ole="">
            <v:imagedata r:id="rId17" o:title=""/>
          </v:shape>
          <o:OLEObject Type="Embed" ProgID="Equation.DSMT4" ShapeID="_x0000_i1028" DrawAspect="Content" ObjectID="_1722174174" r:id="rId18"/>
        </w:object>
      </w:r>
      <w:r w:rsidRPr="004035E1">
        <w:t xml:space="preserve"> is a quasi-concave, increasing, and continuously differentiable function with respect to the fractional consumption quantity (</w:t>
      </w:r>
      <w:r w:rsidRPr="004035E1">
        <w:rPr>
          <w:i/>
        </w:rPr>
        <w:t>K</w:t>
      </w:r>
      <w:r w:rsidRPr="004035E1">
        <w:t xml:space="preserve">×1)-vector </w:t>
      </w:r>
      <w:r w:rsidRPr="004035E1">
        <w:rPr>
          <w:position w:val="-4"/>
        </w:rPr>
        <w:object w:dxaOrig="180" w:dyaOrig="320" w14:anchorId="5C63383F">
          <v:shape id="_x0000_i1029" type="#_x0000_t75" style="width:8.55pt;height:16.3pt" o:ole="">
            <v:imagedata r:id="rId19" o:title=""/>
          </v:shape>
          <o:OLEObject Type="Embed" ProgID="Equation.DSMT4" ShapeID="_x0000_i1029" DrawAspect="Content" ObjectID="_1722174175" r:id="rId20"/>
        </w:object>
      </w:r>
      <w:r w:rsidRPr="004035E1">
        <w:t xml:space="preserve"> (</w:t>
      </w:r>
      <w:r w:rsidRPr="004035E1">
        <w:rPr>
          <w:position w:val="-12"/>
        </w:rPr>
        <w:object w:dxaOrig="960" w:dyaOrig="400" w14:anchorId="6571BA1A">
          <v:shape id="_x0000_i1030" type="#_x0000_t75" style="width:48pt;height:19.3pt" o:ole="">
            <v:imagedata r:id="rId21" o:title=""/>
          </v:shape>
          <o:OLEObject Type="Embed" ProgID="Equation.DSMT4" ShapeID="_x0000_i1030" DrawAspect="Content" ObjectID="_1722174176" r:id="rId22"/>
        </w:object>
      </w:r>
      <w:r w:rsidRPr="004035E1">
        <w:t xml:space="preserve"> for all </w:t>
      </w:r>
      <w:r w:rsidRPr="004035E1">
        <w:rPr>
          <w:i/>
        </w:rPr>
        <w:t>k</w:t>
      </w:r>
      <w:r w:rsidRPr="004035E1">
        <w:t xml:space="preserve">),  and </w:t>
      </w:r>
      <w:r w:rsidRPr="004035E1">
        <w:rPr>
          <w:position w:val="-12"/>
        </w:rPr>
        <w:object w:dxaOrig="324" w:dyaOrig="372" w14:anchorId="56FD62E4">
          <v:shape id="_x0000_i1031" type="#_x0000_t75" style="width:16.3pt;height:18pt" o:ole="">
            <v:imagedata r:id="rId23" o:title=""/>
          </v:shape>
          <o:OLEObject Type="Embed" ProgID="Equation.3" ShapeID="_x0000_i1031" DrawAspect="Content" ObjectID="_1722174177" r:id="rId24"/>
        </w:object>
      </w:r>
      <w:r w:rsidRPr="004035E1">
        <w:t xml:space="preserve"> </w:t>
      </w:r>
      <w:proofErr w:type="spellStart"/>
      <w:r w:rsidR="00916214">
        <w:t>and</w:t>
      </w:r>
      <w:proofErr w:type="spellEnd"/>
      <w:r w:rsidR="00916214">
        <w:t xml:space="preserve"> </w:t>
      </w:r>
      <w:r w:rsidRPr="004035E1">
        <w:rPr>
          <w:position w:val="-12"/>
        </w:rPr>
        <w:object w:dxaOrig="288" w:dyaOrig="372" w14:anchorId="51C7B0CD">
          <v:shape id="_x0000_i1032" type="#_x0000_t75" style="width:14.55pt;height:18pt" o:ole="">
            <v:imagedata r:id="rId25" o:title=""/>
          </v:shape>
          <o:OLEObject Type="Embed" ProgID="Equation.3" ShapeID="_x0000_i1032" DrawAspect="Content" ObjectID="_1722174178" r:id="rId26"/>
        </w:object>
      </w:r>
      <w:r w:rsidRPr="004035E1">
        <w:t xml:space="preserve"> are parameters associated with good </w:t>
      </w:r>
      <w:r w:rsidRPr="004035E1">
        <w:rPr>
          <w:i/>
        </w:rPr>
        <w:t>k</w:t>
      </w:r>
      <w:r w:rsidRPr="004035E1">
        <w:t xml:space="preserve">. The function </w:t>
      </w:r>
      <w:r w:rsidRPr="004035E1">
        <w:rPr>
          <w:position w:val="-10"/>
        </w:rPr>
        <w:object w:dxaOrig="540" w:dyaOrig="380" w14:anchorId="74D6787E">
          <v:shape id="_x0000_i1033" type="#_x0000_t75" style="width:27pt;height:19.3pt" o:ole="">
            <v:imagedata r:id="rId27" o:title=""/>
          </v:shape>
          <o:OLEObject Type="Embed" ProgID="Equation.DSMT4" ShapeID="_x0000_i1033" DrawAspect="Content" ObjectID="_1722174179" r:id="rId28"/>
        </w:object>
      </w:r>
      <w:r w:rsidRPr="004035E1">
        <w:t>in Equation (</w:t>
      </w:r>
      <w:r w:rsidR="00D50570">
        <w:t>1</w:t>
      </w:r>
      <w:r w:rsidRPr="004035E1">
        <w:t xml:space="preserve">) is a valid utility function if </w:t>
      </w:r>
      <w:r w:rsidRPr="004035E1">
        <w:rPr>
          <w:position w:val="-12"/>
        </w:rPr>
        <w:object w:dxaOrig="696" w:dyaOrig="360" w14:anchorId="62D979AD">
          <v:shape id="_x0000_i1034" type="#_x0000_t75" style="width:34.3pt;height:18pt" o:ole="">
            <v:imagedata r:id="rId29" o:title=""/>
          </v:shape>
          <o:OLEObject Type="Embed" ProgID="Equation.3" ShapeID="_x0000_i1034" DrawAspect="Content" ObjectID="_1722174180" r:id="rId30"/>
        </w:object>
      </w:r>
      <w:r w:rsidRPr="004035E1">
        <w:t xml:space="preserve">, and </w:t>
      </w:r>
      <w:r w:rsidRPr="004035E1">
        <w:rPr>
          <w:position w:val="-12"/>
        </w:rPr>
        <w:object w:dxaOrig="660" w:dyaOrig="360" w14:anchorId="4C1DBE15">
          <v:shape id="_x0000_i1035" type="#_x0000_t75" style="width:33pt;height:18pt" o:ole="">
            <v:imagedata r:id="rId31" o:title=""/>
          </v:shape>
          <o:OLEObject Type="Embed" ProgID="Equation.3" ShapeID="_x0000_i1035" DrawAspect="Content" ObjectID="_1722174181" r:id="rId32"/>
        </w:object>
      </w:r>
      <w:r w:rsidRPr="004035E1">
        <w:t xml:space="preserve"> for all </w:t>
      </w:r>
      <w:r w:rsidRPr="004035E1">
        <w:rPr>
          <w:i/>
        </w:rPr>
        <w:t>k</w:t>
      </w:r>
      <w:r w:rsidRPr="004035E1">
        <w:t xml:space="preserve"> (we will use the terms “good” and “alternative” interchangeably to refer to any good </w:t>
      </w:r>
      <w:r w:rsidRPr="004035E1">
        <w:rPr>
          <w:i/>
        </w:rPr>
        <w:t>k</w:t>
      </w:r>
      <w:r w:rsidRPr="004035E1">
        <w:t xml:space="preserve">). As discussed in detail in Bhat (2008), </w:t>
      </w:r>
      <w:r w:rsidRPr="004035E1">
        <w:rPr>
          <w:position w:val="-12"/>
        </w:rPr>
        <w:object w:dxaOrig="324" w:dyaOrig="360" w14:anchorId="2C121C79">
          <v:shape id="_x0000_i1036" type="#_x0000_t75" style="width:16.3pt;height:18pt" o:ole="">
            <v:imagedata r:id="rId33" o:title=""/>
          </v:shape>
          <o:OLEObject Type="Embed" ProgID="Equation.3" ShapeID="_x0000_i1036" DrawAspect="Content" ObjectID="_1722174182" r:id="rId34"/>
        </w:object>
      </w:r>
      <w:r w:rsidRPr="004035E1">
        <w:t xml:space="preserve"> represents the baseline marginal utility, and </w:t>
      </w:r>
      <w:r w:rsidRPr="004035E1">
        <w:rPr>
          <w:position w:val="-12"/>
        </w:rPr>
        <w:object w:dxaOrig="276" w:dyaOrig="360" w14:anchorId="4DDB1690">
          <v:shape id="_x0000_i1037" type="#_x0000_t75" style="width:13.7pt;height:18pt" o:ole="">
            <v:imagedata r:id="rId35" o:title=""/>
          </v:shape>
          <o:OLEObject Type="Embed" ProgID="Equation.3" ShapeID="_x0000_i1037" DrawAspect="Content" ObjectID="_1722174183" r:id="rId36"/>
        </w:object>
      </w:r>
      <w:r w:rsidRPr="004035E1">
        <w:t xml:space="preserve"> is the vehicle to introduce corner solutions (that is, zero fractional splits) for the goods, but also serves the role of a satiation parameter (higher values of </w:t>
      </w:r>
      <w:r w:rsidRPr="004035E1">
        <w:rPr>
          <w:position w:val="-12"/>
        </w:rPr>
        <w:object w:dxaOrig="276" w:dyaOrig="360" w14:anchorId="68FD6C86">
          <v:shape id="_x0000_i1038" type="#_x0000_t75" style="width:13.7pt;height:18pt" o:ole="">
            <v:imagedata r:id="rId35" o:title=""/>
          </v:shape>
          <o:OLEObject Type="Embed" ProgID="Equation.3" ShapeID="_x0000_i1038" DrawAspect="Content" ObjectID="_1722174184" r:id="rId37"/>
        </w:object>
      </w:r>
      <w:r w:rsidRPr="004035E1">
        <w:t xml:space="preserve"> imply less satiation). The satiation operates at the fractional split level, so that the marginal utility of a good decreases as the fractional split investment in the good increases. </w:t>
      </w:r>
    </w:p>
    <w:p w:rsidR="00FA6827" w:rsidRPr="004035E1" w:rsidRDefault="00FA6827" w:rsidP="004035E1">
      <w:pPr>
        <w:spacing w:line="276" w:lineRule="auto"/>
        <w:ind w:firstLine="720"/>
        <w:jc w:val="both"/>
      </w:pPr>
      <w:r w:rsidRPr="004035E1">
        <w:t xml:space="preserve">To ensure the non-negativity of the baseline marginal utility, while also allowing it to vary across individuals based on observed and unobserved characteristics, </w:t>
      </w:r>
      <w:r w:rsidRPr="004035E1">
        <w:rPr>
          <w:position w:val="-12"/>
        </w:rPr>
        <w:object w:dxaOrig="324" w:dyaOrig="360" w14:anchorId="5D394531">
          <v:shape id="_x0000_i1039" type="#_x0000_t75" style="width:16.3pt;height:18pt" o:ole="" o:preferrelative="f">
            <v:imagedata r:id="rId33" o:title=""/>
            <o:lock v:ext="edit" aspectratio="f"/>
          </v:shape>
          <o:OLEObject Type="Embed" ProgID="Equation.3" ShapeID="_x0000_i1039" DrawAspect="Content" ObjectID="_1722174185" r:id="rId38"/>
        </w:object>
      </w:r>
      <w:r w:rsidRPr="004035E1">
        <w:t xml:space="preserve"> is parameterized as follows:</w:t>
      </w:r>
    </w:p>
    <w:p w:rsidR="00FA6827" w:rsidRPr="004035E1" w:rsidRDefault="00502499" w:rsidP="000A153B">
      <w:pPr>
        <w:tabs>
          <w:tab w:val="right" w:pos="9360"/>
        </w:tabs>
        <w:spacing w:after="60" w:line="276" w:lineRule="auto"/>
        <w:jc w:val="both"/>
      </w:pPr>
      <w:r w:rsidRPr="004035E1">
        <w:rPr>
          <w:position w:val="-32"/>
        </w:rPr>
        <w:object w:dxaOrig="6399" w:dyaOrig="760" w14:anchorId="792053F2">
          <v:shape id="_x0000_i1040" type="#_x0000_t75" style="width:320.55pt;height:39pt" o:ole="" o:preferrelative="f">
            <v:imagedata r:id="rId39" o:title=""/>
            <o:lock v:ext="edit" aspectratio="f"/>
          </v:shape>
          <o:OLEObject Type="Embed" ProgID="Equation.DSMT4" ShapeID="_x0000_i1040" DrawAspect="Content" ObjectID="_1722174186" r:id="rId40"/>
        </w:object>
      </w:r>
      <w:r w:rsidR="00FA6827" w:rsidRPr="004035E1">
        <w:t xml:space="preserve">, </w:t>
      </w:r>
      <w:r w:rsidR="00FA6827" w:rsidRPr="004035E1">
        <w:rPr>
          <w:position w:val="-10"/>
        </w:rPr>
        <w:object w:dxaOrig="1344" w:dyaOrig="312" w14:anchorId="68416160">
          <v:shape id="_x0000_i1041" type="#_x0000_t75" style="width:66.85pt;height:15.85pt" o:ole="">
            <v:imagedata r:id="rId41" o:title=""/>
          </v:shape>
          <o:OLEObject Type="Embed" ProgID="Equation.3" ShapeID="_x0000_i1041" DrawAspect="Content" ObjectID="_1722174187" r:id="rId42"/>
        </w:object>
      </w:r>
      <w:r w:rsidR="0088430C">
        <w:tab/>
      </w:r>
      <w:r w:rsidR="00FA6827" w:rsidRPr="004035E1">
        <w:t>(</w:t>
      </w:r>
      <w:r w:rsidR="00621787" w:rsidRPr="004035E1">
        <w:t>2</w:t>
      </w:r>
      <w:r w:rsidR="00FA6827" w:rsidRPr="004035E1">
        <w:t>)</w:t>
      </w:r>
    </w:p>
    <w:p w:rsidR="00344255" w:rsidRPr="004035E1" w:rsidRDefault="00FA6827" w:rsidP="004035E1">
      <w:pPr>
        <w:spacing w:line="276" w:lineRule="auto"/>
        <w:jc w:val="both"/>
      </w:pPr>
      <w:r w:rsidRPr="004035E1">
        <w:t xml:space="preserve">where </w:t>
      </w:r>
      <w:r w:rsidRPr="004035E1">
        <w:rPr>
          <w:position w:val="-12"/>
        </w:rPr>
        <w:object w:dxaOrig="288" w:dyaOrig="360" w14:anchorId="2F418075">
          <v:shape id="_x0000_i1042" type="#_x0000_t75" style="width:14.55pt;height:18pt" o:ole="">
            <v:imagedata r:id="rId43" o:title=""/>
          </v:shape>
          <o:OLEObject Type="Embed" ProgID="Equation.DSMT4" ShapeID="_x0000_i1042" DrawAspect="Content" ObjectID="_1722174188" r:id="rId44"/>
        </w:object>
      </w:r>
      <w:r w:rsidRPr="004035E1">
        <w:t xml:space="preserve"> is a set of attributes that characterize alternative </w:t>
      </w:r>
      <w:r w:rsidRPr="004035E1">
        <w:rPr>
          <w:i/>
        </w:rPr>
        <w:t>k</w:t>
      </w:r>
      <w:r w:rsidRPr="004035E1">
        <w:t xml:space="preserve"> and the decision maker (including a constant), </w:t>
      </w:r>
      <w:r w:rsidRPr="004035E1">
        <w:rPr>
          <w:position w:val="-12"/>
        </w:rPr>
        <w:object w:dxaOrig="300" w:dyaOrig="360" w14:anchorId="7EE9E782">
          <v:shape id="_x0000_i1043" type="#_x0000_t75" style="width:15pt;height:18pt" o:ole="">
            <v:imagedata r:id="rId45" o:title=""/>
          </v:shape>
          <o:OLEObject Type="Embed" ProgID="Equation.DSMT4" ShapeID="_x0000_i1043" DrawAspect="Content" ObjectID="_1722174189" r:id="rId46"/>
        </w:object>
      </w:r>
      <w:r w:rsidRPr="004035E1">
        <w:t xml:space="preserve"> is the unit price for good </w:t>
      </w:r>
      <w:r w:rsidRPr="004035E1">
        <w:rPr>
          <w:i/>
        </w:rPr>
        <w:t>k</w:t>
      </w:r>
      <w:r w:rsidRPr="004035E1">
        <w:t xml:space="preserve">, the </w:t>
      </w:r>
      <w:r w:rsidR="00D50570">
        <w:t xml:space="preserve">negative </w:t>
      </w:r>
      <w:r w:rsidRPr="004035E1">
        <w:t xml:space="preserve">inverse of </w:t>
      </w:r>
      <w:r w:rsidRPr="004035E1">
        <w:rPr>
          <w:position w:val="-6"/>
        </w:rPr>
        <w:object w:dxaOrig="240" w:dyaOrig="220" w14:anchorId="6E6372B7">
          <v:shape id="_x0000_i1044" type="#_x0000_t75" style="width:12pt;height:10.7pt" o:ole="">
            <v:imagedata r:id="rId47" o:title=""/>
          </v:shape>
          <o:OLEObject Type="Embed" ProgID="Equation.DSMT4" ShapeID="_x0000_i1044" DrawAspect="Content" ObjectID="_1722174190" r:id="rId48"/>
        </w:object>
      </w:r>
      <w:r w:rsidRPr="004035E1">
        <w:t xml:space="preserve"> (</w:t>
      </w:r>
      <w:r w:rsidRPr="004035E1">
        <w:rPr>
          <w:position w:val="-6"/>
        </w:rPr>
        <w:object w:dxaOrig="240" w:dyaOrig="220" w14:anchorId="7834C67F">
          <v:shape id="_x0000_i1045" type="#_x0000_t75" style="width:12pt;height:10.7pt" o:ole="">
            <v:imagedata r:id="rId47" o:title=""/>
          </v:shape>
          <o:OLEObject Type="Embed" ProgID="Equation.DSMT4" ShapeID="_x0000_i1045" DrawAspect="Content" ObjectID="_1722174191" r:id="rId49"/>
        </w:object>
      </w:r>
      <w:r w:rsidRPr="004035E1">
        <w:t xml:space="preserve">&gt;0) is the coefficient on </w:t>
      </w:r>
      <w:r w:rsidRPr="004035E1">
        <w:rPr>
          <w:position w:val="-12"/>
        </w:rPr>
        <w:object w:dxaOrig="520" w:dyaOrig="360" w14:anchorId="1BAFE542">
          <v:shape id="_x0000_i1046" type="#_x0000_t75" style="width:25.7pt;height:18pt" o:ole="">
            <v:imagedata r:id="rId50" o:title=""/>
          </v:shape>
          <o:OLEObject Type="Embed" ProgID="Equation.DSMT4" ShapeID="_x0000_i1046" DrawAspect="Content" ObjectID="_1722174192" r:id="rId51"/>
        </w:object>
      </w:r>
      <w:r w:rsidRPr="004035E1">
        <w:t xml:space="preserve">, and </w:t>
      </w:r>
      <w:r w:rsidRPr="004035E1">
        <w:rPr>
          <w:position w:val="-12"/>
        </w:rPr>
        <w:object w:dxaOrig="288" w:dyaOrig="360" w14:anchorId="45FAD6D7">
          <v:shape id="_x0000_i1047" type="#_x0000_t75" style="width:14.55pt;height:18pt" o:ole="">
            <v:imagedata r:id="rId52" o:title=""/>
          </v:shape>
          <o:OLEObject Type="Embed" ProgID="Equation.3" ShapeID="_x0000_i1047" DrawAspect="Content" ObjectID="_1722174193" r:id="rId53"/>
        </w:object>
      </w:r>
      <w:r w:rsidRPr="004035E1">
        <w:t xml:space="preserve"> is a standardized scale error ter</w:t>
      </w:r>
      <w:r w:rsidR="00344255" w:rsidRPr="004035E1">
        <w:t>m</w:t>
      </w:r>
      <w:r w:rsidRPr="004035E1">
        <w:t xml:space="preserve"> that captures the idiosyncratic (unobserved) characteristics that impact the baseline utility of good </w:t>
      </w:r>
      <w:r w:rsidRPr="004035E1">
        <w:rPr>
          <w:i/>
        </w:rPr>
        <w:t>k</w:t>
      </w:r>
      <w:r w:rsidRPr="004035E1">
        <w:t xml:space="preserve">. </w:t>
      </w:r>
      <w:r w:rsidR="0021361F" w:rsidRPr="004035E1">
        <w:t xml:space="preserve">As should be obvious, </w:t>
      </w:r>
      <w:r w:rsidRPr="004035E1">
        <w:t xml:space="preserve">the parameter </w:t>
      </w:r>
      <w:r w:rsidRPr="004035E1">
        <w:rPr>
          <w:position w:val="-6"/>
        </w:rPr>
        <w:object w:dxaOrig="240" w:dyaOrig="220" w14:anchorId="4310C2FB">
          <v:shape id="_x0000_i1048" type="#_x0000_t75" style="width:12pt;height:10.7pt" o:ole="">
            <v:imagedata r:id="rId47" o:title=""/>
          </v:shape>
          <o:OLEObject Type="Embed" ProgID="Equation.DSMT4" ShapeID="_x0000_i1048" DrawAspect="Content" ObjectID="_1722174194" r:id="rId54"/>
        </w:object>
      </w:r>
      <w:r w:rsidRPr="004035E1">
        <w:t xml:space="preserve"> is estimable only if there is price variation across the inside goods (</w:t>
      </w:r>
      <w:r w:rsidR="0021361F" w:rsidRPr="004035E1">
        <w:rPr>
          <w:position w:val="-6"/>
        </w:rPr>
        <w:object w:dxaOrig="240" w:dyaOrig="220" w14:anchorId="7514FEF5">
          <v:shape id="_x0000_i1049" type="#_x0000_t75" style="width:12pt;height:10.7pt" o:ole="">
            <v:imagedata r:id="rId47" o:title=""/>
          </v:shape>
          <o:OLEObject Type="Embed" ProgID="Equation.DSMT4" ShapeID="_x0000_i1049" DrawAspect="Content" ObjectID="_1722174195" r:id="rId55"/>
        </w:object>
      </w:r>
      <w:r w:rsidRPr="004035E1">
        <w:t xml:space="preserve"> may be arbitrarily normalized to one when there is no price variation). </w:t>
      </w:r>
      <w:r w:rsidR="00502499" w:rsidRPr="004035E1">
        <w:rPr>
          <w:position w:val="-12"/>
        </w:rPr>
        <w:object w:dxaOrig="279" w:dyaOrig="360" w14:anchorId="4185ECCC">
          <v:shape id="_x0000_i1050" type="#_x0000_t75" style="width:13.7pt;height:18pt" o:ole="">
            <v:imagedata r:id="rId56" o:title=""/>
          </v:shape>
          <o:OLEObject Type="Embed" ProgID="Equation.DSMT4" ShapeID="_x0000_i1050" DrawAspect="Content" ObjectID="_1722174196" r:id="rId57"/>
        </w:object>
      </w:r>
      <w:r w:rsidRPr="004035E1">
        <w:t xml:space="preserve"> </w:t>
      </w:r>
      <w:r w:rsidR="0021361F" w:rsidRPr="004035E1">
        <w:t>in Equation (</w:t>
      </w:r>
      <w:r w:rsidR="00F172DD">
        <w:t>2</w:t>
      </w:r>
      <w:r w:rsidR="0021361F" w:rsidRPr="004035E1">
        <w:t xml:space="preserve">) </w:t>
      </w:r>
      <w:r w:rsidRPr="004035E1">
        <w:t xml:space="preserve">corresponds to the systematic part of the baseline utility of alternative </w:t>
      </w:r>
      <w:r w:rsidRPr="004035E1">
        <w:rPr>
          <w:i/>
        </w:rPr>
        <w:t>k</w:t>
      </w:r>
      <w:r w:rsidRPr="004035E1">
        <w:t xml:space="preserve">. </w:t>
      </w:r>
      <w:r w:rsidR="00CB2F2D" w:rsidRPr="004035E1">
        <w:t>A</w:t>
      </w:r>
      <w:r w:rsidRPr="004035E1">
        <w:t>ssum</w:t>
      </w:r>
      <w:r w:rsidR="00344255" w:rsidRPr="004035E1">
        <w:t>e</w:t>
      </w:r>
      <w:r w:rsidRPr="004035E1">
        <w:t xml:space="preserve"> a standard extreme value type 1 (Gumbel) distribution based on the limiting distribution of the minimum of random variables</w:t>
      </w:r>
      <w:r w:rsidR="00A84D63" w:rsidRPr="004035E1">
        <w:t xml:space="preserve"> for the </w:t>
      </w:r>
      <w:r w:rsidR="00A84D63" w:rsidRPr="004035E1">
        <w:rPr>
          <w:position w:val="-12"/>
        </w:rPr>
        <w:object w:dxaOrig="288" w:dyaOrig="360" w14:anchorId="49DA283F">
          <v:shape id="_x0000_i1051" type="#_x0000_t75" style="width:14.55pt;height:18pt" o:ole="">
            <v:imagedata r:id="rId52" o:title=""/>
          </v:shape>
          <o:OLEObject Type="Embed" ProgID="Equation.3" ShapeID="_x0000_i1051" DrawAspect="Content" ObjectID="_1722174197" r:id="rId58"/>
        </w:object>
      </w:r>
      <w:r w:rsidR="00A84D63" w:rsidRPr="004035E1">
        <w:t xml:space="preserve"> terms</w:t>
      </w:r>
      <w:r w:rsidR="00344255" w:rsidRPr="004035E1">
        <w:t>:</w:t>
      </w:r>
    </w:p>
    <w:p w:rsidR="00344255" w:rsidRPr="004035E1" w:rsidRDefault="006F5641" w:rsidP="006F5641">
      <w:pPr>
        <w:tabs>
          <w:tab w:val="right" w:pos="9360"/>
        </w:tabs>
        <w:spacing w:before="60" w:after="120" w:line="276" w:lineRule="auto"/>
        <w:jc w:val="both"/>
      </w:pPr>
      <w:r w:rsidRPr="004035E1">
        <w:rPr>
          <w:position w:val="-14"/>
        </w:rPr>
        <w:object w:dxaOrig="9200" w:dyaOrig="440" w14:anchorId="5146E66E">
          <v:shape id="_x0000_i1052" type="#_x0000_t75" style="width:445.7pt;height:21.45pt" o:ole="">
            <v:imagedata r:id="rId59" o:title=""/>
          </v:shape>
          <o:OLEObject Type="Embed" ProgID="Equation.DSMT4" ShapeID="_x0000_i1052" DrawAspect="Content" ObjectID="_1722174198" r:id="rId60"/>
        </w:object>
      </w:r>
      <w:r w:rsidR="00344255" w:rsidRPr="004035E1">
        <w:t>.</w:t>
      </w:r>
      <w:r w:rsidR="00621787" w:rsidRPr="004035E1">
        <w:t xml:space="preserve"> </w:t>
      </w:r>
      <w:r w:rsidR="0088430C">
        <w:tab/>
      </w:r>
      <w:r w:rsidR="00621787" w:rsidRPr="004035E1">
        <w:t>(3)</w:t>
      </w:r>
    </w:p>
    <w:p w:rsidR="00FA6827" w:rsidRPr="004035E1" w:rsidRDefault="00CB2F2D" w:rsidP="004035E1">
      <w:pPr>
        <w:spacing w:line="276" w:lineRule="auto"/>
        <w:jc w:val="both"/>
      </w:pPr>
      <w:r w:rsidRPr="004035E1">
        <w:t xml:space="preserve"> </w:t>
      </w:r>
      <w:r w:rsidR="00344255" w:rsidRPr="004035E1">
        <w:t>W</w:t>
      </w:r>
      <w:r w:rsidRPr="004035E1">
        <w:t>e</w:t>
      </w:r>
      <w:r w:rsidR="00FA6827" w:rsidRPr="004035E1">
        <w:t xml:space="preserve"> can </w:t>
      </w:r>
      <w:r w:rsidR="00344255" w:rsidRPr="004035E1">
        <w:t xml:space="preserve">then </w:t>
      </w:r>
      <w:r w:rsidR="00FA6827" w:rsidRPr="004035E1">
        <w:t xml:space="preserve">write the joint multivariate survival distribution function (SDF) for the error terms </w:t>
      </w:r>
      <w:r w:rsidR="00020B8F" w:rsidRPr="004035E1">
        <w:rPr>
          <w:position w:val="-12"/>
        </w:rPr>
        <w:object w:dxaOrig="1120" w:dyaOrig="360" w14:anchorId="2802F93B">
          <v:shape id="_x0000_i1053" type="#_x0000_t75" style="width:55.7pt;height:18pt" o:ole="">
            <v:imagedata r:id="rId61" o:title=""/>
          </v:shape>
          <o:OLEObject Type="Embed" ProgID="Equation.DSMT4" ShapeID="_x0000_i1053" DrawAspect="Content" ObjectID="_1722174199" r:id="rId62"/>
        </w:object>
      </w:r>
      <w:r w:rsidR="00FA6827" w:rsidRPr="004035E1">
        <w:t xml:space="preserve"> as follows</w:t>
      </w:r>
      <w:r w:rsidR="00FA6827" w:rsidRPr="004035E1">
        <w:rPr>
          <w:rStyle w:val="FootnoteReference"/>
        </w:rPr>
        <w:footnoteReference w:id="4"/>
      </w:r>
      <w:r w:rsidR="00FA6827" w:rsidRPr="004035E1">
        <w:t>:</w:t>
      </w:r>
      <w:r w:rsidR="00FA6827" w:rsidRPr="004035E1">
        <w:rPr>
          <w:rStyle w:val="FootnoteReference"/>
        </w:rPr>
        <w:t xml:space="preserve"> </w:t>
      </w:r>
    </w:p>
    <w:bookmarkStart w:id="4" w:name="_Hlk41922053"/>
    <w:p w:rsidR="00FA6827" w:rsidRPr="004035E1" w:rsidRDefault="001208ED" w:rsidP="000A153B">
      <w:pPr>
        <w:tabs>
          <w:tab w:val="right" w:pos="9360"/>
        </w:tabs>
        <w:spacing w:after="60" w:line="276" w:lineRule="auto"/>
        <w:jc w:val="both"/>
      </w:pPr>
      <w:r w:rsidRPr="004035E1">
        <w:rPr>
          <w:position w:val="-64"/>
        </w:rPr>
        <w:object w:dxaOrig="6100" w:dyaOrig="1020" w14:anchorId="15201C29">
          <v:shape id="_x0000_i1054" type="#_x0000_t75" style="width:305.15pt;height:50.55pt" o:ole="">
            <v:imagedata r:id="rId63" o:title=""/>
          </v:shape>
          <o:OLEObject Type="Embed" ProgID="Equation.DSMT4" ShapeID="_x0000_i1054" DrawAspect="Content" ObjectID="_1722174200" r:id="rId64"/>
        </w:object>
      </w:r>
      <w:bookmarkEnd w:id="4"/>
      <w:r w:rsidR="00FA6827" w:rsidRPr="004035E1">
        <w:t>.</w:t>
      </w:r>
      <w:r w:rsidR="00FA6827" w:rsidRPr="004035E1">
        <w:tab/>
      </w:r>
      <w:r w:rsidR="00D50570">
        <w:t xml:space="preserve"> </w:t>
      </w:r>
      <w:r w:rsidR="00FA6827" w:rsidRPr="004035E1">
        <w:t xml:space="preserve"> </w:t>
      </w:r>
      <w:r w:rsidR="00D50570">
        <w:t xml:space="preserve">  </w:t>
      </w:r>
      <w:r w:rsidR="00FA6827" w:rsidRPr="004035E1">
        <w:t>(</w:t>
      </w:r>
      <w:r w:rsidR="00621787" w:rsidRPr="004035E1">
        <w:t>4</w:t>
      </w:r>
      <w:r w:rsidR="00FA6827" w:rsidRPr="004035E1">
        <w:t>)</w:t>
      </w:r>
    </w:p>
    <w:p w:rsidR="00FA6827" w:rsidRPr="004035E1" w:rsidRDefault="00FA6827" w:rsidP="004035E1">
      <w:pPr>
        <w:spacing w:line="276" w:lineRule="auto"/>
        <w:jc w:val="both"/>
      </w:pPr>
      <w:r w:rsidRPr="004035E1">
        <w:t>The multivariate cumulative distribution function (CDF) of the</w:t>
      </w:r>
      <w:r w:rsidRPr="004035E1">
        <w:rPr>
          <w:b/>
          <w:i/>
        </w:rPr>
        <w:t xml:space="preserve"> </w:t>
      </w:r>
      <w:r w:rsidR="001208ED" w:rsidRPr="004035E1">
        <w:rPr>
          <w:position w:val="-12"/>
        </w:rPr>
        <w:object w:dxaOrig="1400" w:dyaOrig="360" w14:anchorId="0BE50E90">
          <v:shape id="_x0000_i1055" type="#_x0000_t75" style="width:69.85pt;height:18pt" o:ole="">
            <v:imagedata r:id="rId65" o:title=""/>
          </v:shape>
          <o:OLEObject Type="Embed" ProgID="Equation.DSMT4" ShapeID="_x0000_i1055" DrawAspect="Content" ObjectID="_1722174201" r:id="rId66"/>
        </w:object>
      </w:r>
      <w:r w:rsidRPr="004035E1">
        <w:t>vector can be written as a function of the SDFs corresponding to the random variates as follows:</w:t>
      </w:r>
    </w:p>
    <w:p w:rsidR="00FA6827" w:rsidRPr="004035E1" w:rsidRDefault="001208ED" w:rsidP="0025629C">
      <w:pPr>
        <w:tabs>
          <w:tab w:val="right" w:pos="9360"/>
        </w:tabs>
        <w:spacing w:before="60" w:after="60" w:line="276" w:lineRule="auto"/>
        <w:jc w:val="both"/>
      </w:pPr>
      <w:r w:rsidRPr="004035E1">
        <w:rPr>
          <w:position w:val="-30"/>
        </w:rPr>
        <w:object w:dxaOrig="7699" w:dyaOrig="700" w14:anchorId="6D6C7098">
          <v:shape id="_x0000_i1056" type="#_x0000_t75" style="width:384.85pt;height:34.3pt" o:ole="">
            <v:imagedata r:id="rId67" o:title=""/>
          </v:shape>
          <o:OLEObject Type="Embed" ProgID="Equation.DSMT4" ShapeID="_x0000_i1056" DrawAspect="Content" ObjectID="_1722174202" r:id="rId68"/>
        </w:object>
      </w:r>
      <w:r w:rsidR="00FA6827" w:rsidRPr="004035E1">
        <w:t xml:space="preserve">           </w:t>
      </w:r>
      <w:r w:rsidR="00FA6827" w:rsidRPr="004035E1">
        <w:tab/>
        <w:t>(</w:t>
      </w:r>
      <w:r w:rsidR="00621787" w:rsidRPr="004035E1">
        <w:t>5</w:t>
      </w:r>
      <w:r w:rsidR="00FA6827" w:rsidRPr="004035E1">
        <w:t>)</w:t>
      </w:r>
    </w:p>
    <w:p w:rsidR="00FA6827" w:rsidRPr="004035E1" w:rsidRDefault="00FA6827" w:rsidP="004035E1">
      <w:pPr>
        <w:spacing w:line="276" w:lineRule="auto"/>
        <w:jc w:val="both"/>
      </w:pPr>
      <w:r w:rsidRPr="004035E1">
        <w:lastRenderedPageBreak/>
        <w:t xml:space="preserve">where </w:t>
      </w:r>
      <w:r w:rsidRPr="004035E1">
        <w:rPr>
          <w:position w:val="-12"/>
        </w:rPr>
        <w:object w:dxaOrig="348" w:dyaOrig="372" w14:anchorId="74285F97">
          <v:shape id="_x0000_i1057" type="#_x0000_t75" style="width:17.55pt;height:18pt" o:ole="">
            <v:imagedata r:id="rId69" o:title=""/>
          </v:shape>
          <o:OLEObject Type="Embed" ProgID="Equation.DSMT4" ShapeID="_x0000_i1057" DrawAspect="Content" ObjectID="_1722174203" r:id="rId70"/>
        </w:object>
      </w:r>
      <w:r w:rsidRPr="004035E1">
        <w:t xml:space="preserve">(.) is the SDF of dimension </w:t>
      </w:r>
      <w:r w:rsidRPr="004035E1">
        <w:rPr>
          <w:i/>
        </w:rPr>
        <w:t>D</w:t>
      </w:r>
      <w:r w:rsidRPr="004035E1">
        <w:t xml:space="preserve">, </w:t>
      </w:r>
      <w:r w:rsidRPr="004035E1">
        <w:rPr>
          <w:i/>
        </w:rPr>
        <w:t>D</w:t>
      </w:r>
      <w:r w:rsidRPr="004035E1">
        <w:t xml:space="preserve"> represents a specific combination of the </w:t>
      </w:r>
      <w:r w:rsidR="001208ED" w:rsidRPr="004035E1">
        <w:rPr>
          <w:position w:val="-10"/>
        </w:rPr>
        <w:object w:dxaOrig="200" w:dyaOrig="320" w14:anchorId="4BE8251B">
          <v:shape id="_x0000_i1058" type="#_x0000_t75" style="width:9.85pt;height:16.3pt" o:ole="">
            <v:imagedata r:id="rId71" o:title=""/>
          </v:shape>
          <o:OLEObject Type="Embed" ProgID="Equation.DSMT4" ShapeID="_x0000_i1058" DrawAspect="Content" ObjectID="_1722174204" r:id="rId72"/>
        </w:object>
      </w:r>
      <w:r w:rsidR="001208ED">
        <w:t xml:space="preserve"> </w:t>
      </w:r>
      <w:r w:rsidRPr="004035E1">
        <w:t>terms (representing a specific sub-vector of the</w:t>
      </w:r>
      <w:r w:rsidR="001208ED">
        <w:t xml:space="preserve"> </w:t>
      </w:r>
      <w:r w:rsidR="001208ED" w:rsidRPr="00257B39">
        <w:rPr>
          <w:position w:val="-10"/>
        </w:rPr>
        <w:object w:dxaOrig="180" w:dyaOrig="320" w14:anchorId="23E46363">
          <v:shape id="_x0000_i1059" type="#_x0000_t75" style="width:8.55pt;height:16.3pt" o:ole="">
            <v:imagedata r:id="rId73" o:title=""/>
          </v:shape>
          <o:OLEObject Type="Embed" ProgID="Equation.DSMT4" ShapeID="_x0000_i1059" DrawAspect="Content" ObjectID="_1722174205" r:id="rId74"/>
        </w:object>
      </w:r>
      <w:r w:rsidR="001208ED">
        <w:t xml:space="preserve"> </w:t>
      </w:r>
      <w:r w:rsidRPr="004035E1">
        <w:t xml:space="preserve">vector; there are a total of </w:t>
      </w:r>
      <w:r w:rsidR="0088430C" w:rsidRPr="004035E1">
        <w:rPr>
          <w:position w:val="-10"/>
        </w:rPr>
        <w:object w:dxaOrig="6100" w:dyaOrig="360" w14:anchorId="0BC599FF">
          <v:shape id="_x0000_i1060" type="#_x0000_t75" style="width:305.15pt;height:18pt" o:ole="" o:preferrelative="f">
            <v:imagedata r:id="rId75" o:title=""/>
            <o:lock v:ext="edit" aspectratio="f"/>
          </v:shape>
          <o:OLEObject Type="Embed" ProgID="Equation.DSMT4" ShapeID="_x0000_i1060" DrawAspect="Content" ObjectID="_1722174206" r:id="rId76"/>
        </w:object>
      </w:r>
      <w:r w:rsidRPr="004035E1">
        <w:t xml:space="preserve"> possible combinations, |</w:t>
      </w:r>
      <w:r w:rsidRPr="004035E1">
        <w:rPr>
          <w:i/>
        </w:rPr>
        <w:t>D</w:t>
      </w:r>
      <w:r w:rsidRPr="004035E1">
        <w:t xml:space="preserve">| is the cardinality of the specific combination </w:t>
      </w:r>
      <w:r w:rsidRPr="004035E1">
        <w:rPr>
          <w:i/>
        </w:rPr>
        <w:t>D</w:t>
      </w:r>
      <w:r w:rsidRPr="004035E1">
        <w:t xml:space="preserve">, and </w:t>
      </w:r>
      <w:r w:rsidRPr="004035E1">
        <w:rPr>
          <w:position w:val="-12"/>
        </w:rPr>
        <w:object w:dxaOrig="279" w:dyaOrig="360" w14:anchorId="36B174A0">
          <v:shape id="_x0000_i1061" type="#_x0000_t75" style="width:13.7pt;height:18pt" o:ole="">
            <v:imagedata r:id="rId77" o:title=""/>
          </v:shape>
          <o:OLEObject Type="Embed" ProgID="Equation.DSMT4" ShapeID="_x0000_i1061" DrawAspect="Content" ObjectID="_1722174207" r:id="rId78"/>
        </w:object>
      </w:r>
      <w:r w:rsidRPr="004035E1">
        <w:t xml:space="preserve"> is a sub-vector of the vector </w:t>
      </w:r>
      <w:r w:rsidRPr="004035E1">
        <w:rPr>
          <w:position w:val="-12"/>
        </w:rPr>
        <w:object w:dxaOrig="1520" w:dyaOrig="360" w14:anchorId="50D3DF50">
          <v:shape id="_x0000_i1062" type="#_x0000_t75" style="width:76.3pt;height:18pt" o:ole="">
            <v:imagedata r:id="rId79" o:title=""/>
          </v:shape>
          <o:OLEObject Type="Embed" ProgID="Equation.DSMT4" ShapeID="_x0000_i1062" DrawAspect="Content" ObjectID="_1722174208" r:id="rId80"/>
        </w:object>
      </w:r>
      <w:r w:rsidRPr="004035E1">
        <w:t xml:space="preserve"> with the appropriate elements corresponding to the combination </w:t>
      </w:r>
      <w:r w:rsidRPr="004035E1">
        <w:rPr>
          <w:i/>
        </w:rPr>
        <w:t>D</w:t>
      </w:r>
      <w:r w:rsidRPr="004035E1">
        <w:t xml:space="preserve"> extracted. </w:t>
      </w:r>
    </w:p>
    <w:p w:rsidR="00FA6827" w:rsidRPr="004035E1" w:rsidRDefault="00FA6827" w:rsidP="00467915">
      <w:pPr>
        <w:spacing w:line="276" w:lineRule="auto"/>
        <w:ind w:firstLine="720"/>
        <w:jc w:val="both"/>
      </w:pPr>
      <w:r w:rsidRPr="004035E1">
        <w:t xml:space="preserve">To find the optimal fractional splits of goods, the Lagrangian is constructed and the first order equations are derived based on the Karush-Kuhn-Tucker (KKT) conditions. </w:t>
      </w:r>
      <w:r w:rsidR="008D3FC1" w:rsidRPr="004035E1">
        <w:t>In particular, designating activity purpose 1 as a purpose to which the individual allocates some non-zero fraction of consumption,</w:t>
      </w:r>
      <w:r w:rsidRPr="004035E1">
        <w:t xml:space="preserve"> </w:t>
      </w:r>
      <w:r w:rsidR="008D3FC1" w:rsidRPr="004035E1">
        <w:t xml:space="preserve">the probability expression for the </w:t>
      </w:r>
      <w:r w:rsidRPr="004035E1">
        <w:t xml:space="preserve">fractional allocation pattern where the first </w:t>
      </w:r>
      <w:r w:rsidRPr="004035E1">
        <w:rPr>
          <w:i/>
        </w:rPr>
        <w:t>M</w:t>
      </w:r>
      <w:r w:rsidRPr="004035E1">
        <w:t xml:space="preserve"> goods are consumed at levels </w:t>
      </w:r>
      <w:r w:rsidRPr="004035E1">
        <w:rPr>
          <w:position w:val="-12"/>
        </w:rPr>
        <w:object w:dxaOrig="300" w:dyaOrig="400" w14:anchorId="6B2ADAF3">
          <v:shape id="_x0000_i1063" type="#_x0000_t75" style="width:15pt;height:19.3pt" o:ole="">
            <v:imagedata r:id="rId81" o:title=""/>
          </v:shape>
          <o:OLEObject Type="Embed" ProgID="Equation.DSMT4" ShapeID="_x0000_i1063" DrawAspect="Content" ObjectID="_1722174209" r:id="rId82"/>
        </w:object>
      </w:r>
      <w:r w:rsidRPr="004035E1">
        <w:t xml:space="preserve"> (</w:t>
      </w:r>
      <w:r w:rsidRPr="004035E1">
        <w:rPr>
          <w:position w:val="-10"/>
        </w:rPr>
        <w:object w:dxaOrig="1344" w:dyaOrig="324" w14:anchorId="661E82C7">
          <v:shape id="_x0000_i1064" type="#_x0000_t75" style="width:66.85pt;height:16.3pt" o:ole="">
            <v:imagedata r:id="rId83" o:title=""/>
          </v:shape>
          <o:OLEObject Type="Embed" ProgID="Equation.DSMT4" ShapeID="_x0000_i1064" DrawAspect="Content" ObjectID="_1722174210" r:id="rId84"/>
        </w:object>
      </w:r>
      <w:r w:rsidRPr="004035E1">
        <w:t xml:space="preserve">), and </w:t>
      </w:r>
      <w:r w:rsidRPr="004035E1">
        <w:rPr>
          <w:position w:val="-28"/>
        </w:rPr>
        <w:object w:dxaOrig="1400" w:dyaOrig="680" w14:anchorId="3B8BF8B7">
          <v:shape id="_x0000_i1065" type="#_x0000_t75" style="width:69.85pt;height:34.3pt" o:ole="">
            <v:imagedata r:id="rId85" o:title=""/>
          </v:shape>
          <o:OLEObject Type="Embed" ProgID="Equation.DSMT4" ShapeID="_x0000_i1065" DrawAspect="Content" ObjectID="_1722174211" r:id="rId86"/>
        </w:object>
      </w:r>
      <w:r w:rsidR="008D3FC1" w:rsidRPr="004035E1">
        <w:t xml:space="preserve"> is</w:t>
      </w:r>
      <w:r w:rsidR="001208ED">
        <w:t xml:space="preserve"> (see Bhat, 2022)</w:t>
      </w:r>
      <w:r w:rsidRPr="004035E1">
        <w:t xml:space="preserve">: </w:t>
      </w:r>
    </w:p>
    <w:p w:rsidR="00FA6827" w:rsidRPr="004035E1" w:rsidRDefault="00FA6827" w:rsidP="0025629C">
      <w:pPr>
        <w:tabs>
          <w:tab w:val="right" w:pos="9360"/>
        </w:tabs>
        <w:spacing w:before="60" w:after="60" w:line="276" w:lineRule="auto"/>
        <w:jc w:val="both"/>
      </w:pPr>
      <w:r w:rsidRPr="004035E1">
        <w:rPr>
          <w:position w:val="-70"/>
        </w:rPr>
        <w:object w:dxaOrig="8440" w:dyaOrig="1520" w14:anchorId="03D157F4">
          <v:shape id="_x0000_i1066" type="#_x0000_t75" style="width:422.15pt;height:76.3pt" o:ole="" o:preferrelative="f">
            <v:imagedata r:id="rId87" o:title=""/>
            <o:lock v:ext="edit" aspectratio="f"/>
          </v:shape>
          <o:OLEObject Type="Embed" ProgID="Equation.DSMT4" ShapeID="_x0000_i1066" DrawAspect="Content" ObjectID="_1722174212" r:id="rId88"/>
        </w:object>
      </w:r>
      <w:r w:rsidRPr="004035E1">
        <w:t xml:space="preserve">      </w:t>
      </w:r>
      <w:r w:rsidRPr="004035E1">
        <w:tab/>
      </w:r>
    </w:p>
    <w:p w:rsidR="00FA6827" w:rsidRDefault="00FA6827" w:rsidP="008E6F86">
      <w:pPr>
        <w:tabs>
          <w:tab w:val="right" w:pos="9360"/>
        </w:tabs>
        <w:spacing w:line="276" w:lineRule="auto"/>
        <w:jc w:val="both"/>
      </w:pPr>
      <w:r w:rsidRPr="004035E1">
        <w:t xml:space="preserve">where </w:t>
      </w:r>
      <w:r w:rsidRPr="004035E1">
        <w:rPr>
          <w:position w:val="-32"/>
        </w:rPr>
        <w:object w:dxaOrig="3384" w:dyaOrig="756" w14:anchorId="1127EC75">
          <v:shape id="_x0000_i1067" type="#_x0000_t75" style="width:169.7pt;height:37.7pt" o:ole="">
            <v:imagedata r:id="rId89" o:title=""/>
          </v:shape>
          <o:OLEObject Type="Embed" ProgID="Equation.DSMT4" ShapeID="_x0000_i1067" DrawAspect="Content" ObjectID="_1722174213" r:id="rId90"/>
        </w:object>
      </w:r>
      <w:r w:rsidRPr="004035E1">
        <w:rPr>
          <w:position w:val="-32"/>
        </w:rPr>
        <w:object w:dxaOrig="1400" w:dyaOrig="760" w14:anchorId="43A6FC8D">
          <v:shape id="_x0000_i1068" type="#_x0000_t75" style="width:69.85pt;height:37.7pt" o:ole="">
            <v:imagedata r:id="rId91" o:title=""/>
          </v:shape>
          <o:OLEObject Type="Embed" ProgID="Equation.DSMT4" ShapeID="_x0000_i1068" DrawAspect="Content" ObjectID="_1722174214" r:id="rId92"/>
        </w:object>
      </w:r>
      <w:r w:rsidR="001208ED">
        <w:t>, and</w:t>
      </w:r>
      <w:r w:rsidR="001208ED">
        <w:tab/>
        <w:t>(6)</w:t>
      </w:r>
    </w:p>
    <w:p w:rsidR="001208ED" w:rsidRPr="004035E1" w:rsidRDefault="001208ED" w:rsidP="00A802E7">
      <w:pPr>
        <w:spacing w:before="60" w:after="60" w:line="276" w:lineRule="auto"/>
        <w:jc w:val="both"/>
      </w:pPr>
      <w:r>
        <w:rPr>
          <w:position w:val="-32"/>
        </w:rPr>
        <w:object w:dxaOrig="3240" w:dyaOrig="756" w14:anchorId="783381F7">
          <v:shape id="_x0000_i1069" type="#_x0000_t75" style="width:162pt;height:37.7pt" o:ole="">
            <v:imagedata r:id="rId93" o:title=""/>
          </v:shape>
          <o:OLEObject Type="Embed" ProgID="Equation.DSMT4" ShapeID="_x0000_i1069" DrawAspect="Content" ObjectID="_1722174215" r:id="rId94"/>
        </w:object>
      </w:r>
      <w:r>
        <w:t xml:space="preserve"> (</w:t>
      </w:r>
      <w:r>
        <w:rPr>
          <w:i/>
        </w:rPr>
        <w:t>k</w:t>
      </w:r>
      <w:r>
        <w:t xml:space="preserve"> = 1, 2, 3,…, </w:t>
      </w:r>
      <w:r>
        <w:rPr>
          <w:i/>
        </w:rPr>
        <w:t>K</w:t>
      </w:r>
      <w:r>
        <w:t xml:space="preserve">), and </w:t>
      </w:r>
      <w:r>
        <w:rPr>
          <w:position w:val="-24"/>
        </w:rPr>
        <w:object w:dxaOrig="2040" w:dyaOrig="624" w14:anchorId="6B0DCB47">
          <v:shape id="_x0000_i1070" type="#_x0000_t75" style="width:102pt;height:31.3pt" o:ole="">
            <v:imagedata r:id="rId95" o:title=""/>
          </v:shape>
          <o:OLEObject Type="Embed" ProgID="Equation.DSMT4" ShapeID="_x0000_i1070" DrawAspect="Content" ObjectID="_1722174216" r:id="rId96"/>
        </w:object>
      </w:r>
      <w:r>
        <w:t>(</w:t>
      </w:r>
      <w:r>
        <w:rPr>
          <w:i/>
        </w:rPr>
        <w:t>k</w:t>
      </w:r>
      <w:r>
        <w:t xml:space="preserve"> = 1, 2, 3,…, </w:t>
      </w:r>
      <w:r>
        <w:rPr>
          <w:i/>
        </w:rPr>
        <w:t>K</w:t>
      </w:r>
      <w:r>
        <w:t>).</w:t>
      </w:r>
    </w:p>
    <w:p w:rsidR="00FA6827" w:rsidRPr="004035E1" w:rsidRDefault="00FA6827" w:rsidP="004035E1">
      <w:pPr>
        <w:spacing w:line="276" w:lineRule="auto"/>
        <w:jc w:val="both"/>
      </w:pPr>
      <w:r w:rsidRPr="004035E1">
        <w:t xml:space="preserve">The probability that all the </w:t>
      </w:r>
      <w:r w:rsidR="008D3FC1" w:rsidRPr="004035E1">
        <w:t xml:space="preserve">inside </w:t>
      </w:r>
      <w:r w:rsidRPr="004035E1">
        <w:t xml:space="preserve">goods are consumed at fractional levels </w:t>
      </w:r>
      <w:r w:rsidR="008E6F86" w:rsidRPr="004035E1">
        <w:rPr>
          <w:position w:val="-12"/>
        </w:rPr>
        <w:object w:dxaOrig="1260" w:dyaOrig="400" w14:anchorId="0B3C4806">
          <v:shape id="_x0000_i1071" type="#_x0000_t75" style="width:63.45pt;height:20.55pt" o:ole="" o:preferrelative="f">
            <v:imagedata r:id="rId97" o:title=""/>
            <o:lock v:ext="edit" aspectratio="f"/>
          </v:shape>
          <o:OLEObject Type="Embed" ProgID="Equation.DSMT4" ShapeID="_x0000_i1071" DrawAspect="Content" ObjectID="_1722174217" r:id="rId98"/>
        </w:object>
      </w:r>
      <w:r w:rsidRPr="004035E1">
        <w:t xml:space="preserve"> is:</w:t>
      </w:r>
    </w:p>
    <w:p w:rsidR="00FA6827" w:rsidRPr="004035E1" w:rsidRDefault="001208ED" w:rsidP="0025629C">
      <w:pPr>
        <w:tabs>
          <w:tab w:val="right" w:pos="9360"/>
        </w:tabs>
        <w:spacing w:after="60" w:line="276" w:lineRule="auto"/>
        <w:jc w:val="both"/>
      </w:pPr>
      <w:r w:rsidRPr="004035E1">
        <w:rPr>
          <w:position w:val="-90"/>
        </w:rPr>
        <w:object w:dxaOrig="4920" w:dyaOrig="1920" w14:anchorId="22A3D0F1">
          <v:shape id="_x0000_i1072" type="#_x0000_t75" style="width:246pt;height:96pt" o:ole="">
            <v:imagedata r:id="rId99" o:title=""/>
          </v:shape>
          <o:OLEObject Type="Embed" ProgID="Equation.DSMT4" ShapeID="_x0000_i1072" DrawAspect="Content" ObjectID="_1722174218" r:id="rId100"/>
        </w:object>
      </w:r>
      <w:r w:rsidR="00FA6827" w:rsidRPr="004035E1">
        <w:t xml:space="preserve">       </w:t>
      </w:r>
      <w:r w:rsidR="00FA6827" w:rsidRPr="004035E1">
        <w:tab/>
        <w:t>(</w:t>
      </w:r>
      <w:r w:rsidR="00621787" w:rsidRPr="004035E1">
        <w:t>7</w:t>
      </w:r>
      <w:r w:rsidR="00FA6827" w:rsidRPr="004035E1">
        <w:t xml:space="preserve">)              </w:t>
      </w:r>
    </w:p>
    <w:p w:rsidR="00FA6827" w:rsidRPr="004035E1" w:rsidRDefault="00FA6827" w:rsidP="004035E1">
      <w:pPr>
        <w:spacing w:line="276" w:lineRule="auto"/>
        <w:jc w:val="both"/>
      </w:pPr>
      <w:r w:rsidRPr="004035E1">
        <w:t>The probability that none of the inside goods are consumed is:</w:t>
      </w:r>
    </w:p>
    <w:p w:rsidR="00FA6827" w:rsidRPr="004035E1" w:rsidRDefault="006151A4" w:rsidP="0025629C">
      <w:pPr>
        <w:tabs>
          <w:tab w:val="right" w:pos="9360"/>
        </w:tabs>
        <w:spacing w:before="60" w:after="60" w:line="276" w:lineRule="auto"/>
        <w:jc w:val="both"/>
      </w:pPr>
      <w:r w:rsidRPr="004035E1">
        <w:rPr>
          <w:position w:val="-64"/>
        </w:rPr>
        <w:object w:dxaOrig="4720" w:dyaOrig="1060" w14:anchorId="01938153">
          <v:shape id="_x0000_i1073" type="#_x0000_t75" style="width:236.15pt;height:53.15pt" o:ole="">
            <v:imagedata r:id="rId101" o:title=""/>
          </v:shape>
          <o:OLEObject Type="Embed" ProgID="Equation.DSMT4" ShapeID="_x0000_i1073" DrawAspect="Content" ObjectID="_1722174219" r:id="rId102"/>
        </w:object>
      </w:r>
      <w:r w:rsidR="00FA6827" w:rsidRPr="004035E1">
        <w:t xml:space="preserve">.  </w:t>
      </w:r>
      <w:r w:rsidR="00FA6827" w:rsidRPr="004035E1">
        <w:tab/>
        <w:t>(</w:t>
      </w:r>
      <w:r w:rsidR="00621787" w:rsidRPr="004035E1">
        <w:t>8</w:t>
      </w:r>
      <w:r w:rsidR="00FA6827" w:rsidRPr="004035E1">
        <w:t>)</w:t>
      </w:r>
    </w:p>
    <w:p w:rsidR="00467915" w:rsidRPr="004035E1" w:rsidRDefault="00FA6827" w:rsidP="00A802E7">
      <w:pPr>
        <w:spacing w:line="276" w:lineRule="auto"/>
        <w:jc w:val="both"/>
      </w:pPr>
      <w:r w:rsidRPr="004035E1">
        <w:t xml:space="preserve">The parameters to be estimated in the model above include the </w:t>
      </w:r>
      <w:r w:rsidRPr="004035E1">
        <w:rPr>
          <w:position w:val="-10"/>
        </w:rPr>
        <w:object w:dxaOrig="204" w:dyaOrig="324" w14:anchorId="12D5037A">
          <v:shape id="_x0000_i1074" type="#_x0000_t75" style="width:9.85pt;height:16.3pt" o:ole="">
            <v:imagedata r:id="rId103" o:title=""/>
          </v:shape>
          <o:OLEObject Type="Embed" ProgID="Equation.DSMT4" ShapeID="_x0000_i1074" DrawAspect="Content" ObjectID="_1722174220" r:id="rId104"/>
        </w:object>
      </w:r>
      <w:r w:rsidRPr="004035E1">
        <w:t xml:space="preserve"> vector, the </w:t>
      </w:r>
      <w:r w:rsidR="008E6F86" w:rsidRPr="004035E1">
        <w:rPr>
          <w:position w:val="-12"/>
        </w:rPr>
        <w:object w:dxaOrig="1700" w:dyaOrig="360" w14:anchorId="10F32D40">
          <v:shape id="_x0000_i1075" type="#_x0000_t75" style="width:85.3pt;height:18pt" o:ole="" o:preferrelative="f">
            <v:imagedata r:id="rId105" o:title=""/>
            <o:lock v:ext="edit" aspectratio="f"/>
          </v:shape>
          <o:OLEObject Type="Embed" ProgID="Equation.DSMT4" ShapeID="_x0000_i1075" DrawAspect="Content" ObjectID="_1722174221" r:id="rId106"/>
        </w:object>
      </w:r>
      <w:r w:rsidRPr="004035E1">
        <w:t xml:space="preserve"> vector, and the </w:t>
      </w:r>
      <w:bookmarkStart w:id="5" w:name="MTBlankEqn"/>
      <w:r w:rsidRPr="004035E1">
        <w:rPr>
          <w:position w:val="-6"/>
        </w:rPr>
        <w:object w:dxaOrig="240" w:dyaOrig="220" w14:anchorId="5C1BABA1">
          <v:shape id="_x0000_i1076" type="#_x0000_t75" style="width:12pt;height:10.7pt" o:ole="">
            <v:imagedata r:id="rId107" o:title=""/>
          </v:shape>
          <o:OLEObject Type="Embed" ProgID="Equation.DSMT4" ShapeID="_x0000_i1076" DrawAspect="Content" ObjectID="_1722174222" r:id="rId108"/>
        </w:object>
      </w:r>
      <w:bookmarkEnd w:id="5"/>
      <w:r w:rsidRPr="004035E1">
        <w:t xml:space="preserve"> scalar. However, note that these parameters from the</w:t>
      </w:r>
      <w:r w:rsidR="001208ED">
        <w:t xml:space="preserve"> </w:t>
      </w:r>
      <w:r w:rsidRPr="004035E1">
        <w:t xml:space="preserve">MDCEV fractional model also appear in the total budget model, and hence we discuss the overall estimation procedure in Section 2.3 after first discussing the total budget (in the product group) and the linking approach between the fractional allocation model and the total budget </w:t>
      </w:r>
      <w:r w:rsidR="001208ED">
        <w:t xml:space="preserve">count </w:t>
      </w:r>
      <w:r w:rsidRPr="004035E1">
        <w:t>model.</w:t>
      </w:r>
    </w:p>
    <w:p w:rsidR="00FA6827" w:rsidRDefault="0050711B" w:rsidP="004035E1">
      <w:pPr>
        <w:spacing w:line="276" w:lineRule="auto"/>
        <w:jc w:val="both"/>
      </w:pPr>
      <w:r>
        <w:lastRenderedPageBreak/>
        <w:tab/>
        <w:t xml:space="preserve">An important note here that is relevant to the linking. Conditional on positive consumption in the product category </w:t>
      </w:r>
      <w:r w:rsidRPr="007D2AEB">
        <w:rPr>
          <w:i/>
        </w:rPr>
        <w:t>G</w:t>
      </w:r>
      <w:r>
        <w:t xml:space="preserve">, and conditional on the first </w:t>
      </w:r>
      <w:r w:rsidRPr="0050711B">
        <w:rPr>
          <w:i/>
        </w:rPr>
        <w:t>M</w:t>
      </w:r>
      <w:r>
        <w:t xml:space="preserve"> inside goods being selected for consumption, Bhat (2022) shows that the </w:t>
      </w:r>
      <w:r w:rsidR="007E54AF">
        <w:t xml:space="preserve">optimal </w:t>
      </w:r>
      <w:r>
        <w:t>fractional allocation to each of the consumed goods is given by the formula below:</w:t>
      </w:r>
    </w:p>
    <w:p w:rsidR="0050711B" w:rsidRDefault="007E54AF" w:rsidP="005B2CE7">
      <w:pPr>
        <w:spacing w:before="60" w:line="276" w:lineRule="auto"/>
        <w:jc w:val="both"/>
      </w:pPr>
      <w:r w:rsidRPr="004035E1">
        <w:rPr>
          <w:position w:val="-62"/>
        </w:rPr>
        <w:object w:dxaOrig="4180" w:dyaOrig="1500" w14:anchorId="2C942A9A">
          <v:shape id="_x0000_i1077" type="#_x0000_t75" style="width:208.7pt;height:75pt" o:ole="" o:preferrelative="f">
            <v:imagedata r:id="rId109" o:title=""/>
            <o:lock v:ext="edit" aspectratio="f"/>
          </v:shape>
          <o:OLEObject Type="Embed" ProgID="Equation.DSMT4" ShapeID="_x0000_i1077" DrawAspect="Content" ObjectID="_1722174223" r:id="rId110"/>
        </w:object>
      </w:r>
      <w:r w:rsidR="0050711B" w:rsidRPr="004035E1">
        <w:rPr>
          <w:rStyle w:val="FootnoteReference"/>
        </w:rPr>
        <w:footnoteReference w:id="5"/>
      </w:r>
      <w:r w:rsidR="0050711B" w:rsidRPr="004035E1">
        <w:t xml:space="preserve">  </w:t>
      </w:r>
      <w:r w:rsidR="00CF28C5">
        <w:tab/>
      </w:r>
      <w:r w:rsidR="00CF28C5">
        <w:tab/>
      </w:r>
      <w:r w:rsidR="00CF28C5">
        <w:tab/>
      </w:r>
      <w:r w:rsidR="00CF28C5">
        <w:tab/>
      </w:r>
      <w:r w:rsidR="00CF28C5">
        <w:tab/>
      </w:r>
      <w:r w:rsidR="00CF28C5">
        <w:tab/>
        <w:t xml:space="preserve">     </w:t>
      </w:r>
      <w:r w:rsidR="00DE11CC">
        <w:t xml:space="preserve">  </w:t>
      </w:r>
      <w:r w:rsidR="00CF28C5">
        <w:t>(9)</w:t>
      </w:r>
    </w:p>
    <w:p w:rsidR="006F5641" w:rsidRPr="004035E1" w:rsidRDefault="006F5641" w:rsidP="004035E1">
      <w:pPr>
        <w:spacing w:line="276" w:lineRule="auto"/>
        <w:jc w:val="both"/>
      </w:pPr>
    </w:p>
    <w:p w:rsidR="00FA6827" w:rsidRPr="004035E1" w:rsidRDefault="008E6F86" w:rsidP="008E6F86">
      <w:pPr>
        <w:pStyle w:val="Heading1"/>
      </w:pPr>
      <w:r>
        <w:t xml:space="preserve">2.2. </w:t>
      </w:r>
      <w:r w:rsidR="00FA6827" w:rsidRPr="004035E1">
        <w:t xml:space="preserve">Linking with the </w:t>
      </w:r>
      <w:r>
        <w:t>F</w:t>
      </w:r>
      <w:r w:rsidR="001208ED">
        <w:t xml:space="preserve">ractional </w:t>
      </w:r>
      <w:r>
        <w:t>S</w:t>
      </w:r>
      <w:r w:rsidR="001208ED">
        <w:t xml:space="preserve">plit </w:t>
      </w:r>
      <w:r>
        <w:t>M</w:t>
      </w:r>
      <w:r w:rsidR="00FA6827" w:rsidRPr="004035E1">
        <w:t>odel</w:t>
      </w:r>
    </w:p>
    <w:p w:rsidR="00B14F13" w:rsidRDefault="008D3FC1" w:rsidP="004035E1">
      <w:pPr>
        <w:spacing w:line="276" w:lineRule="auto"/>
        <w:jc w:val="both"/>
      </w:pPr>
      <w:r w:rsidRPr="004035E1">
        <w:t xml:space="preserve">The basic notion of two-stage budgeting is to </w:t>
      </w:r>
      <w:r w:rsidR="001D147B" w:rsidRPr="004035E1">
        <w:t xml:space="preserve">have a first-stage count allocation between the product group of interest (product group </w:t>
      </w:r>
      <w:r w:rsidR="001D147B" w:rsidRPr="004035E1">
        <w:rPr>
          <w:i/>
        </w:rPr>
        <w:t>G</w:t>
      </w:r>
      <w:r w:rsidR="001D147B" w:rsidRPr="004035E1">
        <w:t xml:space="preserve">) and other product groups not of immediate interest to the analyst, without detailed information about the prices of individual goods within each product group (Strotz, 1957). To allow this in a </w:t>
      </w:r>
      <w:r w:rsidR="00E056F8">
        <w:t>utility</w:t>
      </w:r>
      <w:r w:rsidR="001D147B" w:rsidRPr="004035E1">
        <w:t xml:space="preserve"> consistent manner, </w:t>
      </w:r>
      <w:r w:rsidR="00065672">
        <w:t>we follow a procedure based on the separability of the indirect utility function (see Blackorby et al., 1978, Rouwendal and Boter, 2009, and Fally, 2022 for detailed discussions of indirect separability).</w:t>
      </w:r>
      <w:r w:rsidR="00065672">
        <w:rPr>
          <w:rStyle w:val="FootnoteReference"/>
        </w:rPr>
        <w:footnoteReference w:id="6"/>
      </w:r>
      <w:r w:rsidR="00065672">
        <w:t xml:space="preserve"> </w:t>
      </w:r>
      <w:r w:rsidR="00E056F8">
        <w:t>Specifically, w</w:t>
      </w:r>
      <w:r w:rsidR="00065672">
        <w:t xml:space="preserve">e begin by </w:t>
      </w:r>
      <w:r w:rsidR="00C778B3">
        <w:t xml:space="preserve">considering the </w:t>
      </w:r>
      <w:r w:rsidR="00B14F13">
        <w:t xml:space="preserve">following </w:t>
      </w:r>
      <w:r w:rsidR="00C778B3">
        <w:t>indirect utility function (IUF) of an individual</w:t>
      </w:r>
      <w:r w:rsidR="00B14F13">
        <w:t xml:space="preserve"> for </w:t>
      </w:r>
      <w:r w:rsidR="00C778B3">
        <w:t xml:space="preserve">the choice of consumption </w:t>
      </w:r>
      <w:r w:rsidR="00B14F13">
        <w:t>with</w:t>
      </w:r>
      <w:r w:rsidR="00C778B3">
        <w:t xml:space="preserve">in a product group of interest </w:t>
      </w:r>
      <w:r w:rsidR="00C778B3" w:rsidRPr="00A802E7">
        <w:rPr>
          <w:i/>
        </w:rPr>
        <w:t>G</w:t>
      </w:r>
      <w:r w:rsidR="00C778B3">
        <w:t xml:space="preserve"> and other</w:t>
      </w:r>
      <w:r w:rsidR="00B14F13">
        <w:t xml:space="preserve"> </w:t>
      </w:r>
      <w:r w:rsidR="00C778B3">
        <w:t>consumption goods:</w:t>
      </w:r>
    </w:p>
    <w:p w:rsidR="00B14F13" w:rsidRDefault="003C7AD3" w:rsidP="00A802E7">
      <w:pPr>
        <w:spacing w:before="120" w:after="120" w:line="276" w:lineRule="auto"/>
        <w:jc w:val="both"/>
      </w:pPr>
      <w:r w:rsidRPr="00C778B3">
        <w:rPr>
          <w:position w:val="-14"/>
        </w:rPr>
        <w:object w:dxaOrig="2060" w:dyaOrig="400" w14:anchorId="4B330F57">
          <v:shape id="_x0000_i1078" type="#_x0000_t75" style="width:103.3pt;height:19.3pt" o:ole="">
            <v:imagedata r:id="rId111" o:title=""/>
          </v:shape>
          <o:OLEObject Type="Embed" ProgID="Equation.DSMT4" ShapeID="_x0000_i1078" DrawAspect="Content" ObjectID="_1722174224" r:id="rId112"/>
        </w:object>
      </w:r>
      <w:r w:rsidR="006352B9">
        <w:tab/>
      </w:r>
      <w:r w:rsidR="006352B9">
        <w:tab/>
      </w:r>
      <w:r w:rsidR="006352B9">
        <w:tab/>
      </w:r>
      <w:r w:rsidR="006352B9">
        <w:tab/>
      </w:r>
      <w:r w:rsidR="006352B9">
        <w:tab/>
      </w:r>
      <w:r w:rsidR="006352B9">
        <w:tab/>
      </w:r>
      <w:r w:rsidR="006352B9">
        <w:tab/>
      </w:r>
      <w:r w:rsidR="006352B9">
        <w:tab/>
      </w:r>
      <w:r w:rsidR="006352B9">
        <w:tab/>
      </w:r>
      <w:r w:rsidR="006352B9">
        <w:tab/>
        <w:t xml:space="preserve">     (</w:t>
      </w:r>
      <w:r w:rsidR="00DE11CC">
        <w:t>10</w:t>
      </w:r>
      <w:r w:rsidR="006352B9">
        <w:t>)</w:t>
      </w:r>
    </w:p>
    <w:p w:rsidR="00A97391" w:rsidRPr="004035E1" w:rsidRDefault="00C778B3" w:rsidP="00A97391">
      <w:pPr>
        <w:spacing w:line="276" w:lineRule="auto"/>
        <w:jc w:val="both"/>
      </w:pPr>
      <w:r>
        <w:t xml:space="preserve">where </w:t>
      </w:r>
      <w:r w:rsidR="003C7AD3">
        <w:rPr>
          <w:i/>
        </w:rPr>
        <w:t>E</w:t>
      </w:r>
      <w:r>
        <w:t xml:space="preserve"> denotes </w:t>
      </w:r>
      <w:r w:rsidR="003C7AD3">
        <w:t>total expenditure</w:t>
      </w:r>
      <w:r>
        <w:t xml:space="preserve">, </w:t>
      </w:r>
      <w:r w:rsidRPr="00947DEF">
        <w:rPr>
          <w:position w:val="-10"/>
        </w:rPr>
        <w:object w:dxaOrig="240" w:dyaOrig="260" w14:anchorId="00E05BB2">
          <v:shape id="_x0000_i1079" type="#_x0000_t75" style="width:12pt;height:13.3pt" o:ole="">
            <v:imagedata r:id="rId113" o:title=""/>
          </v:shape>
          <o:OLEObject Type="Embed" ProgID="Equation.DSMT4" ShapeID="_x0000_i1079" DrawAspect="Content" ObjectID="_1722174225" r:id="rId114"/>
        </w:object>
      </w:r>
      <w:r>
        <w:t xml:space="preserve"> refers to the prices of other consumption goods outside the product group of interest (referred </w:t>
      </w:r>
      <w:r w:rsidR="00B14F13">
        <w:t xml:space="preserve">to </w:t>
      </w:r>
      <w:r>
        <w:t xml:space="preserve">typically as outside goods, with one of the goods being a numeraire good), and </w:t>
      </w:r>
      <w:r w:rsidRPr="004035E1">
        <w:rPr>
          <w:position w:val="-12"/>
        </w:rPr>
        <w:object w:dxaOrig="620" w:dyaOrig="360" w14:anchorId="3A2A5C09">
          <v:shape id="_x0000_i1080" type="#_x0000_t75" style="width:31.3pt;height:18pt" o:ole="">
            <v:imagedata r:id="rId115" o:title=""/>
          </v:shape>
          <o:OLEObject Type="Embed" ProgID="Equation.DSMT4" ShapeID="_x0000_i1080" DrawAspect="Content" ObjectID="_1722174226" r:id="rId116"/>
        </w:object>
      </w:r>
      <w:r>
        <w:t xml:space="preserve"> </w:t>
      </w:r>
      <w:r w:rsidRPr="004035E1">
        <w:t>serv</w:t>
      </w:r>
      <w:r>
        <w:t>ing</w:t>
      </w:r>
      <w:r w:rsidRPr="004035E1">
        <w:t xml:space="preserve"> as </w:t>
      </w:r>
      <w:r w:rsidR="00671171">
        <w:t xml:space="preserve">an aggregate </w:t>
      </w:r>
      <w:r w:rsidRPr="004035E1">
        <w:t>group price index for product group</w:t>
      </w:r>
      <w:r w:rsidR="00B14F13">
        <w:t xml:space="preserve"> </w:t>
      </w:r>
      <w:r w:rsidR="00B14F13" w:rsidRPr="00947DEF">
        <w:rPr>
          <w:i/>
        </w:rPr>
        <w:t>G</w:t>
      </w:r>
      <w:r w:rsidR="00671171">
        <w:t>.</w:t>
      </w:r>
      <w:r w:rsidRPr="004035E1">
        <w:t xml:space="preserve"> </w:t>
      </w:r>
      <w:r w:rsidR="00671171">
        <w:t xml:space="preserve">We write </w:t>
      </w:r>
      <w:r w:rsidR="00671171" w:rsidRPr="004035E1">
        <w:rPr>
          <w:position w:val="-12"/>
        </w:rPr>
        <w:object w:dxaOrig="620" w:dyaOrig="360" w14:anchorId="06198ABC">
          <v:shape id="_x0000_i1081" type="#_x0000_t75" style="width:31.3pt;height:18pt" o:ole="">
            <v:imagedata r:id="rId115" o:title=""/>
          </v:shape>
          <o:OLEObject Type="Embed" ProgID="Equation.DSMT4" ShapeID="_x0000_i1081" DrawAspect="Content" ObjectID="_1722174227" r:id="rId117"/>
        </w:object>
      </w:r>
      <w:r w:rsidR="00671171">
        <w:t xml:space="preserve"> as a function of quality adjusted </w:t>
      </w:r>
      <w:r w:rsidR="00671171" w:rsidRPr="004035E1">
        <w:t xml:space="preserve">price indices </w:t>
      </w:r>
      <w:r w:rsidR="00671171" w:rsidRPr="004035E1">
        <w:rPr>
          <w:position w:val="-12"/>
        </w:rPr>
        <w:object w:dxaOrig="300" w:dyaOrig="360" w14:anchorId="1CEBF57D">
          <v:shape id="_x0000_i1082" type="#_x0000_t75" style="width:15pt;height:18pt" o:ole="">
            <v:imagedata r:id="rId118" o:title=""/>
          </v:shape>
          <o:OLEObject Type="Embed" ProgID="Equation.DSMT4" ShapeID="_x0000_i1082" DrawAspect="Content" ObjectID="_1722174228" r:id="rId119"/>
        </w:object>
      </w:r>
      <w:r w:rsidR="00671171" w:rsidRPr="004035E1">
        <w:t xml:space="preserve"> for the inside goods of product category </w:t>
      </w:r>
      <w:r w:rsidR="00671171" w:rsidRPr="004035E1">
        <w:rPr>
          <w:i/>
        </w:rPr>
        <w:t>G</w:t>
      </w:r>
      <w:r w:rsidR="00671171">
        <w:t>, where</w:t>
      </w:r>
      <w:r w:rsidR="00671171" w:rsidRPr="004035E1">
        <w:t xml:space="preserve"> </w:t>
      </w:r>
      <w:r w:rsidR="00671171" w:rsidRPr="004035E1">
        <w:rPr>
          <w:position w:val="-12"/>
        </w:rPr>
        <w:object w:dxaOrig="1820" w:dyaOrig="360" w14:anchorId="23356FD0">
          <v:shape id="_x0000_i1083" type="#_x0000_t75" style="width:91.3pt;height:18pt" o:ole="">
            <v:imagedata r:id="rId120" o:title=""/>
          </v:shape>
          <o:OLEObject Type="Embed" ProgID="Equation.DSMT4" ShapeID="_x0000_i1083" DrawAspect="Content" ObjectID="_1722174229" r:id="rId121"/>
        </w:object>
      </w:r>
      <w:r w:rsidR="00671171" w:rsidRPr="004035E1">
        <w:t xml:space="preserve"> </w:t>
      </w:r>
      <w:bookmarkStart w:id="6" w:name="_Hlk109490865"/>
      <w:r w:rsidR="00523098">
        <w:t xml:space="preserve">For this exposition, assume that </w:t>
      </w:r>
      <w:r w:rsidR="00523098" w:rsidRPr="005216BC">
        <w:rPr>
          <w:position w:val="-12"/>
        </w:rPr>
        <w:object w:dxaOrig="320" w:dyaOrig="360" w14:anchorId="540F4944">
          <v:shape id="_x0000_i1084" type="#_x0000_t75" style="width:16.3pt;height:18pt" o:ole="">
            <v:imagedata r:id="rId122" o:title=""/>
          </v:shape>
          <o:OLEObject Type="Embed" ProgID="Equation.DSMT4" ShapeID="_x0000_i1084" DrawAspect="Content" ObjectID="_1722174230" r:id="rId123"/>
        </w:object>
      </w:r>
      <w:r w:rsidR="00523098">
        <w:t xml:space="preserve"> is deterministic</w:t>
      </w:r>
      <w:r w:rsidR="0081016C">
        <w:t xml:space="preserve"> and, conditional on consumption in product group </w:t>
      </w:r>
      <w:r w:rsidR="0081016C" w:rsidRPr="0081016C">
        <w:rPr>
          <w:i/>
        </w:rPr>
        <w:t>G</w:t>
      </w:r>
      <w:r w:rsidR="0081016C">
        <w:t xml:space="preserve">, all inside goods are consumed (this </w:t>
      </w:r>
      <w:r w:rsidR="008A7C73">
        <w:t xml:space="preserve">latter </w:t>
      </w:r>
      <w:r w:rsidR="008A7C73">
        <w:lastRenderedPageBreak/>
        <w:t xml:space="preserve">assumption </w:t>
      </w:r>
      <w:r w:rsidR="0081016C">
        <w:t>is only for presentation purposes</w:t>
      </w:r>
      <w:r w:rsidR="008A7C73">
        <w:t>, and is relaxed later</w:t>
      </w:r>
      <w:r w:rsidR="0081016C">
        <w:t>)</w:t>
      </w:r>
      <w:r w:rsidR="00523098">
        <w:t>.</w:t>
      </w:r>
      <w:bookmarkEnd w:id="6"/>
      <w:r w:rsidR="00523098">
        <w:t xml:space="preserve"> </w:t>
      </w:r>
      <w:r w:rsidR="00671171">
        <w:t xml:space="preserve">Consider </w:t>
      </w:r>
      <w:r w:rsidR="00671171" w:rsidRPr="004035E1">
        <w:t xml:space="preserve">the </w:t>
      </w:r>
      <w:r w:rsidR="00A97391">
        <w:t xml:space="preserve">following </w:t>
      </w:r>
      <w:r w:rsidR="00A97391" w:rsidRPr="004035E1">
        <w:t>quality-adjusted price index for inside good</w:t>
      </w:r>
      <w:r w:rsidR="00A97391" w:rsidRPr="004035E1">
        <w:rPr>
          <w:i/>
        </w:rPr>
        <w:t xml:space="preserve"> k</w:t>
      </w:r>
      <w:r w:rsidR="00A97391" w:rsidRPr="004035E1">
        <w:t xml:space="preserve"> within the product group </w:t>
      </w:r>
      <w:r w:rsidR="00A97391" w:rsidRPr="004035E1">
        <w:rPr>
          <w:i/>
        </w:rPr>
        <w:t>G</w:t>
      </w:r>
      <w:r w:rsidR="00A97391" w:rsidRPr="004035E1">
        <w:t xml:space="preserve"> of interest</w:t>
      </w:r>
      <w:r w:rsidR="00AC3A50">
        <w:t>:</w:t>
      </w:r>
      <w:r w:rsidR="00A97391">
        <w:t xml:space="preserve"> </w:t>
      </w:r>
    </w:p>
    <w:p w:rsidR="00AC3A50" w:rsidRPr="004035E1" w:rsidRDefault="00ED21E3" w:rsidP="00A802E7">
      <w:pPr>
        <w:tabs>
          <w:tab w:val="right" w:pos="9360"/>
        </w:tabs>
        <w:spacing w:before="60" w:after="60" w:line="276" w:lineRule="auto"/>
        <w:jc w:val="both"/>
      </w:pPr>
      <w:r w:rsidRPr="00ED21E3">
        <w:rPr>
          <w:position w:val="-48"/>
        </w:rPr>
        <w:object w:dxaOrig="8400" w:dyaOrig="1080" w14:anchorId="697A9336">
          <v:shape id="_x0000_i1085" type="#_x0000_t75" style="width:420pt;height:54pt" o:ole="">
            <v:imagedata r:id="rId124" o:title=""/>
          </v:shape>
          <o:OLEObject Type="Embed" ProgID="Equation.DSMT4" ShapeID="_x0000_i1085" DrawAspect="Content" ObjectID="_1722174231" r:id="rId125"/>
        </w:object>
      </w:r>
      <w:r w:rsidR="00AC3A50" w:rsidRPr="004035E1">
        <w:tab/>
        <w:t xml:space="preserve"> (</w:t>
      </w:r>
      <w:r w:rsidR="005B14C1">
        <w:t>1</w:t>
      </w:r>
      <w:r w:rsidR="00DE11CC">
        <w:t>1</w:t>
      </w:r>
      <w:r w:rsidR="00AC3A50" w:rsidRPr="004035E1">
        <w:t>)</w:t>
      </w:r>
    </w:p>
    <w:p w:rsidR="00A97391" w:rsidRPr="004035E1" w:rsidRDefault="00482DC9" w:rsidP="00A802E7">
      <w:pPr>
        <w:spacing w:line="276" w:lineRule="auto"/>
        <w:jc w:val="both"/>
      </w:pPr>
      <w:r w:rsidRPr="004035E1">
        <w:t xml:space="preserve">The negative sign in front of </w:t>
      </w:r>
      <w:r w:rsidRPr="004035E1">
        <w:rPr>
          <w:position w:val="-12"/>
        </w:rPr>
        <w:object w:dxaOrig="300" w:dyaOrig="360" w14:anchorId="1E6E72D5">
          <v:shape id="_x0000_i1086" type="#_x0000_t75" style="width:15pt;height:18pt" o:ole="">
            <v:imagedata r:id="rId126" o:title=""/>
          </v:shape>
          <o:OLEObject Type="Embed" ProgID="Equation.DSMT4" ShapeID="_x0000_i1086" DrawAspect="Content" ObjectID="_1722174232" r:id="rId127"/>
        </w:object>
      </w:r>
      <w:r w:rsidRPr="004035E1">
        <w:t xml:space="preserve"> on the left side of the </w:t>
      </w:r>
      <w:r>
        <w:t>fi</w:t>
      </w:r>
      <w:r w:rsidR="00ED21E3">
        <w:t xml:space="preserve">rst </w:t>
      </w:r>
      <w:r w:rsidRPr="004035E1">
        <w:t xml:space="preserve">equation </w:t>
      </w:r>
      <w:r w:rsidR="00ED21E3">
        <w:t xml:space="preserve">above </w:t>
      </w:r>
      <w:r w:rsidRPr="004035E1">
        <w:t xml:space="preserve">is because </w:t>
      </w:r>
      <w:r w:rsidRPr="004035E1">
        <w:rPr>
          <w:position w:val="-12"/>
        </w:rPr>
        <w:object w:dxaOrig="300" w:dyaOrig="360" w14:anchorId="0E3824A8">
          <v:shape id="_x0000_i1087" type="#_x0000_t75" style="width:15pt;height:18pt" o:ole="">
            <v:imagedata r:id="rId128" o:title=""/>
          </v:shape>
          <o:OLEObject Type="Embed" ProgID="Equation.DSMT4" ShapeID="_x0000_i1087" DrawAspect="Content" ObjectID="_1722174233" r:id="rId129"/>
        </w:object>
      </w:r>
      <w:r w:rsidRPr="004035E1">
        <w:t xml:space="preserve"> is a price index</w:t>
      </w:r>
      <w:r>
        <w:t>; a</w:t>
      </w:r>
      <w:r w:rsidRPr="004035E1">
        <w:t xml:space="preserve">s the price of any inside good </w:t>
      </w:r>
      <w:r w:rsidRPr="004035E1">
        <w:rPr>
          <w:i/>
        </w:rPr>
        <w:t>k</w:t>
      </w:r>
      <w:r w:rsidRPr="004035E1">
        <w:t xml:space="preserve"> (</w:t>
      </w:r>
      <w:r w:rsidRPr="004035E1">
        <w:rPr>
          <w:position w:val="-12"/>
        </w:rPr>
        <w:object w:dxaOrig="300" w:dyaOrig="380" w14:anchorId="1AE2FB41">
          <v:shape id="_x0000_i1088" type="#_x0000_t75" style="width:15pt;height:19.3pt" o:ole="">
            <v:imagedata r:id="rId130" o:title=""/>
          </v:shape>
          <o:OLEObject Type="Embed" ProgID="Equation.DSMT4" ShapeID="_x0000_i1088" DrawAspect="Content" ObjectID="_1722174234" r:id="rId131"/>
        </w:object>
      </w:r>
      <w:r w:rsidRPr="004035E1">
        <w:t xml:space="preserve">) increases, or as the non-cost systematic baseline utility element for any inside good </w:t>
      </w:r>
      <w:r w:rsidRPr="004035E1">
        <w:rPr>
          <w:i/>
        </w:rPr>
        <w:t xml:space="preserve">k </w:t>
      </w:r>
      <w:r w:rsidRPr="004035E1">
        <w:t>(</w:t>
      </w:r>
      <w:r w:rsidRPr="004035E1">
        <w:rPr>
          <w:position w:val="-12"/>
        </w:rPr>
        <w:object w:dxaOrig="440" w:dyaOrig="360" w14:anchorId="10CDA543">
          <v:shape id="_x0000_i1089" type="#_x0000_t75" style="width:22.7pt;height:18pt" o:ole="">
            <v:imagedata r:id="rId132" o:title=""/>
          </v:shape>
          <o:OLEObject Type="Embed" ProgID="Equation.DSMT4" ShapeID="_x0000_i1089" DrawAspect="Content" ObjectID="_1722174235" r:id="rId133"/>
        </w:object>
      </w:r>
      <w:r w:rsidRPr="004035E1">
        <w:t xml:space="preserve">) decreases, </w:t>
      </w:r>
      <w:r w:rsidRPr="00947DEF">
        <w:rPr>
          <w:position w:val="-12"/>
        </w:rPr>
        <w:object w:dxaOrig="320" w:dyaOrig="360" w14:anchorId="3C49BB1B">
          <v:shape id="_x0000_i1090" type="#_x0000_t75" style="width:16.3pt;height:18pt" o:ole="">
            <v:imagedata r:id="rId134" o:title=""/>
          </v:shape>
          <o:OLEObject Type="Embed" ProgID="Equation.DSMT4" ShapeID="_x0000_i1090" DrawAspect="Content" ObjectID="_1722174236" r:id="rId135"/>
        </w:object>
      </w:r>
      <w:r>
        <w:t xml:space="preserve"> decreases and </w:t>
      </w:r>
      <w:r w:rsidRPr="004035E1">
        <w:rPr>
          <w:position w:val="-12"/>
        </w:rPr>
        <w:object w:dxaOrig="300" w:dyaOrig="360" w14:anchorId="739BC463">
          <v:shape id="_x0000_i1091" type="#_x0000_t75" style="width:15pt;height:18pt" o:ole="">
            <v:imagedata r:id="rId126" o:title=""/>
          </v:shape>
          <o:OLEObject Type="Embed" ProgID="Equation.DSMT4" ShapeID="_x0000_i1091" DrawAspect="Content" ObjectID="_1722174237" r:id="rId136"/>
        </w:object>
      </w:r>
      <w:r>
        <w:t xml:space="preserve"> increases</w:t>
      </w:r>
      <w:r w:rsidR="00140C9F">
        <w:t>. Also, as the</w:t>
      </w:r>
      <w:r w:rsidR="00140C9F" w:rsidRPr="00140C9F">
        <w:t xml:space="preserve"> </w:t>
      </w:r>
      <w:r w:rsidR="00140C9F" w:rsidRPr="005216BC">
        <w:rPr>
          <w:position w:val="-12"/>
        </w:rPr>
        <w:object w:dxaOrig="279" w:dyaOrig="360" w14:anchorId="39C9F20A">
          <v:shape id="_x0000_i1092" type="#_x0000_t75" style="width:13.7pt;height:18pt" o:ole="">
            <v:imagedata r:id="rId137" o:title=""/>
          </v:shape>
          <o:OLEObject Type="Embed" ProgID="Equation.DSMT4" ShapeID="_x0000_i1092" DrawAspect="Content" ObjectID="_1722174238" r:id="rId138"/>
        </w:object>
      </w:r>
      <w:r w:rsidR="00140C9F">
        <w:t xml:space="preserve"> parameter for any inside good increases, satiation decreases; that is, the marginal utility of that good does not decrease substantially with consumption. Equivalently, the quality adjusted price index of a good should decrease as the </w:t>
      </w:r>
      <w:r w:rsidR="00140C9F" w:rsidRPr="005216BC">
        <w:rPr>
          <w:position w:val="-12"/>
        </w:rPr>
        <w:object w:dxaOrig="279" w:dyaOrig="360" w14:anchorId="13574F04">
          <v:shape id="_x0000_i1093" type="#_x0000_t75" style="width:13.7pt;height:18pt" o:ole="">
            <v:imagedata r:id="rId137" o:title=""/>
          </v:shape>
          <o:OLEObject Type="Embed" ProgID="Equation.DSMT4" ShapeID="_x0000_i1093" DrawAspect="Content" ObjectID="_1722174239" r:id="rId139"/>
        </w:object>
      </w:r>
      <w:r w:rsidR="00140C9F">
        <w:t xml:space="preserve"> parameter increases, as is the case with the specific form of Equation (1</w:t>
      </w:r>
      <w:r w:rsidR="007D2AEB">
        <w:t>1</w:t>
      </w:r>
      <w:r w:rsidR="00140C9F">
        <w:t xml:space="preserve">). </w:t>
      </w:r>
      <w:r w:rsidR="008D497F">
        <w:t>Next</w:t>
      </w:r>
      <w:r w:rsidR="00AC3A50">
        <w:t xml:space="preserve">, consider a </w:t>
      </w:r>
      <w:r w:rsidR="00AC3A50" w:rsidRPr="004035E1">
        <w:t xml:space="preserve">constant elasticity of substitution (CES) formulation </w:t>
      </w:r>
      <w:r w:rsidR="00AC3A50">
        <w:t>for</w:t>
      </w:r>
      <w:r w:rsidR="00AC3A50" w:rsidRPr="004035E1">
        <w:t xml:space="preserve"> the linking function for product group </w:t>
      </w:r>
      <w:r w:rsidR="00AC3A50" w:rsidRPr="004035E1">
        <w:rPr>
          <w:i/>
        </w:rPr>
        <w:t>G</w:t>
      </w:r>
      <w:r w:rsidR="00AC3A50">
        <w:t xml:space="preserve"> (the linking function is homogenous-of-degree-one)</w:t>
      </w:r>
      <w:r w:rsidR="00AC3A50" w:rsidRPr="004035E1">
        <w:t>:</w:t>
      </w:r>
      <w:r w:rsidR="00A97391" w:rsidRPr="004035E1">
        <w:tab/>
      </w:r>
    </w:p>
    <w:p w:rsidR="00671171" w:rsidRPr="004035E1" w:rsidRDefault="008D497F" w:rsidP="00A802E7">
      <w:pPr>
        <w:tabs>
          <w:tab w:val="right" w:pos="9360"/>
        </w:tabs>
        <w:spacing w:before="60" w:after="60" w:line="276" w:lineRule="auto"/>
        <w:jc w:val="both"/>
      </w:pPr>
      <w:r w:rsidRPr="008D497F">
        <w:rPr>
          <w:position w:val="-48"/>
        </w:rPr>
        <w:object w:dxaOrig="8080" w:dyaOrig="1140" w14:anchorId="177EF6B7">
          <v:shape id="_x0000_i1094" type="#_x0000_t75" style="width:404.15pt;height:57pt" o:ole="">
            <v:imagedata r:id="rId140" o:title=""/>
          </v:shape>
          <o:OLEObject Type="Embed" ProgID="Equation.DSMT4" ShapeID="_x0000_i1094" DrawAspect="Content" ObjectID="_1722174240" r:id="rId141"/>
        </w:object>
      </w:r>
      <w:r w:rsidR="00671171" w:rsidRPr="004035E1">
        <w:t xml:space="preserve">   </w:t>
      </w:r>
      <w:r w:rsidR="00671171" w:rsidRPr="004035E1">
        <w:tab/>
        <w:t>(1</w:t>
      </w:r>
      <w:r w:rsidR="00DE11CC">
        <w:t>2</w:t>
      </w:r>
      <w:r w:rsidR="00671171" w:rsidRPr="004035E1">
        <w:t>)</w:t>
      </w:r>
    </w:p>
    <w:p w:rsidR="00E056F8" w:rsidRPr="004035E1" w:rsidRDefault="008D497F" w:rsidP="00E056F8">
      <w:pPr>
        <w:tabs>
          <w:tab w:val="right" w:pos="9360"/>
        </w:tabs>
        <w:spacing w:line="276" w:lineRule="auto"/>
        <w:jc w:val="both"/>
      </w:pPr>
      <w:r>
        <w:t xml:space="preserve">The right side </w:t>
      </w:r>
      <w:r w:rsidR="0050711B">
        <w:t xml:space="preserve">of the above equation </w:t>
      </w:r>
      <w:r>
        <w:t xml:space="preserve">results because </w:t>
      </w:r>
      <w:r w:rsidRPr="005216BC">
        <w:rPr>
          <w:position w:val="-46"/>
        </w:rPr>
        <w:object w:dxaOrig="2680" w:dyaOrig="1040" w14:anchorId="7CCB8F09">
          <v:shape id="_x0000_i1095" type="#_x0000_t75" style="width:134.15pt;height:52.7pt" o:ole="">
            <v:imagedata r:id="rId142" o:title=""/>
          </v:shape>
          <o:OLEObject Type="Embed" ProgID="Equation.DSMT4" ShapeID="_x0000_i1095" DrawAspect="Content" ObjectID="_1722174241" r:id="rId143"/>
        </w:object>
      </w:r>
      <w:r>
        <w:t xml:space="preserve"> Also, note that as </w:t>
      </w:r>
      <w:r w:rsidR="006352B9">
        <w:t xml:space="preserve">the quality-adjusted price index for any inside good </w:t>
      </w:r>
      <w:r w:rsidR="006352B9" w:rsidRPr="004035E1">
        <w:rPr>
          <w:position w:val="-12"/>
        </w:rPr>
        <w:object w:dxaOrig="300" w:dyaOrig="360" w14:anchorId="283B5431">
          <v:shape id="_x0000_i1096" type="#_x0000_t75" style="width:15pt;height:18pt" o:ole="">
            <v:imagedata r:id="rId128" o:title=""/>
          </v:shape>
          <o:OLEObject Type="Embed" ProgID="Equation.DSMT4" ShapeID="_x0000_i1096" DrawAspect="Content" ObjectID="_1722174242" r:id="rId144"/>
        </w:object>
      </w:r>
      <w:r w:rsidR="006352B9">
        <w:t xml:space="preserve"> increases, </w:t>
      </w:r>
      <w:r w:rsidR="00671171" w:rsidRPr="004035E1">
        <w:t xml:space="preserve">the group price index </w:t>
      </w:r>
      <w:r w:rsidR="00671171" w:rsidRPr="004035E1">
        <w:rPr>
          <w:position w:val="-12"/>
        </w:rPr>
        <w:object w:dxaOrig="620" w:dyaOrig="360" w14:anchorId="0719A276">
          <v:shape id="_x0000_i1097" type="#_x0000_t75" style="width:31.3pt;height:18pt" o:ole="">
            <v:imagedata r:id="rId115" o:title=""/>
          </v:shape>
          <o:OLEObject Type="Embed" ProgID="Equation.DSMT4" ShapeID="_x0000_i1097" DrawAspect="Content" ObjectID="_1722174243" r:id="rId145"/>
        </w:object>
      </w:r>
      <w:r w:rsidR="00671171" w:rsidRPr="004035E1">
        <w:t>increases</w:t>
      </w:r>
      <w:r>
        <w:t xml:space="preserve">, as required. </w:t>
      </w:r>
      <w:r w:rsidR="00E056F8">
        <w:t xml:space="preserve">Then, </w:t>
      </w:r>
      <w:r w:rsidR="002C3C93">
        <w:t xml:space="preserve">using </w:t>
      </w:r>
      <w:r w:rsidR="002C3C93" w:rsidRPr="004035E1">
        <w:rPr>
          <w:position w:val="-12"/>
        </w:rPr>
        <w:object w:dxaOrig="340" w:dyaOrig="360" w14:anchorId="7D7A475B">
          <v:shape id="_x0000_i1098" type="#_x0000_t75" style="width:16.7pt;height:18pt" o:ole="">
            <v:imagedata r:id="rId146" o:title=""/>
          </v:shape>
          <o:OLEObject Type="Embed" ProgID="Equation.DSMT4" ShapeID="_x0000_i1098" DrawAspect="Content" ObjectID="_1722174244" r:id="rId147"/>
        </w:object>
      </w:r>
      <w:r w:rsidR="002C3C93">
        <w:t xml:space="preserve"> and </w:t>
      </w:r>
      <w:r w:rsidR="002C3C93" w:rsidRPr="004035E1">
        <w:rPr>
          <w:position w:val="-12"/>
        </w:rPr>
        <w:object w:dxaOrig="400" w:dyaOrig="360" w14:anchorId="57105AA1">
          <v:shape id="_x0000_i1099" type="#_x0000_t75" style="width:19.3pt;height:18pt" o:ole="">
            <v:imagedata r:id="rId148" o:title=""/>
          </v:shape>
          <o:OLEObject Type="Embed" ProgID="Equation.DSMT4" ShapeID="_x0000_i1099" DrawAspect="Content" ObjectID="_1722174245" r:id="rId149"/>
        </w:object>
      </w:r>
      <w:r w:rsidR="002C3C93">
        <w:t xml:space="preserve"> for the total consumption in the product group </w:t>
      </w:r>
      <w:r w:rsidR="002C3C93" w:rsidRPr="00A802E7">
        <w:rPr>
          <w:i/>
        </w:rPr>
        <w:t>G</w:t>
      </w:r>
      <w:r w:rsidR="002C3C93">
        <w:t xml:space="preserve"> and the consumption of inside good </w:t>
      </w:r>
      <w:r w:rsidR="002C3C93" w:rsidRPr="00A802E7">
        <w:rPr>
          <w:i/>
        </w:rPr>
        <w:t>k</w:t>
      </w:r>
      <w:r w:rsidR="002C3C93">
        <w:t xml:space="preserve"> within product group </w:t>
      </w:r>
      <w:r w:rsidR="002C3C93" w:rsidRPr="00A802E7">
        <w:rPr>
          <w:i/>
        </w:rPr>
        <w:t>G</w:t>
      </w:r>
      <w:r w:rsidR="002C3C93">
        <w:t xml:space="preserve">, respectively, </w:t>
      </w:r>
      <w:r w:rsidR="00361E9E">
        <w:t>we get the following conditional demands</w:t>
      </w:r>
      <w:r w:rsidR="0050711B">
        <w:t xml:space="preserve"> </w:t>
      </w:r>
      <w:r w:rsidR="00E056F8">
        <w:t>using Roy’s identity</w:t>
      </w:r>
      <w:r w:rsidR="00361E9E">
        <w:t xml:space="preserve"> (note that </w:t>
      </w:r>
      <w:r w:rsidR="00361E9E" w:rsidRPr="004035E1">
        <w:rPr>
          <w:position w:val="-12"/>
        </w:rPr>
        <w:object w:dxaOrig="340" w:dyaOrig="360" w14:anchorId="2971B3F9">
          <v:shape id="_x0000_i1100" type="#_x0000_t75" style="width:16.7pt;height:18pt" o:ole="">
            <v:imagedata r:id="rId146" o:title=""/>
          </v:shape>
          <o:OLEObject Type="Embed" ProgID="Equation.DSMT4" ShapeID="_x0000_i1100" DrawAspect="Content" ObjectID="_1722174246" r:id="rId150"/>
        </w:object>
      </w:r>
      <w:r w:rsidR="00361E9E">
        <w:t xml:space="preserve"> and </w:t>
      </w:r>
      <w:r w:rsidR="00361E9E" w:rsidRPr="004035E1">
        <w:rPr>
          <w:position w:val="-12"/>
        </w:rPr>
        <w:object w:dxaOrig="400" w:dyaOrig="360" w14:anchorId="0A121700">
          <v:shape id="_x0000_i1101" type="#_x0000_t75" style="width:19.3pt;height:18pt" o:ole="">
            <v:imagedata r:id="rId148" o:title=""/>
          </v:shape>
          <o:OLEObject Type="Embed" ProgID="Equation.DSMT4" ShapeID="_x0000_i1101" DrawAspect="Content" ObjectID="_1722174247" r:id="rId151"/>
        </w:object>
      </w:r>
      <w:r w:rsidR="00361E9E">
        <w:t xml:space="preserve"> are purely imaginary quantities and, in general, are not identical to the actual </w:t>
      </w:r>
      <w:r w:rsidR="00D076A2">
        <w:t xml:space="preserve">count </w:t>
      </w:r>
      <w:r w:rsidR="00361E9E">
        <w:t>consumptions</w:t>
      </w:r>
      <w:r w:rsidR="00D076A2">
        <w:t xml:space="preserve"> </w:t>
      </w:r>
      <w:r w:rsidR="00D076A2" w:rsidRPr="00947DEF">
        <w:rPr>
          <w:position w:val="-12"/>
        </w:rPr>
        <w:object w:dxaOrig="320" w:dyaOrig="360" w14:anchorId="73090FAC">
          <v:shape id="_x0000_i1102" type="#_x0000_t75" style="width:16.3pt;height:18pt" o:ole="">
            <v:imagedata r:id="rId152" o:title=""/>
          </v:shape>
          <o:OLEObject Type="Embed" ProgID="Equation.DSMT4" ShapeID="_x0000_i1102" DrawAspect="Content" ObjectID="_1722174248" r:id="rId153"/>
        </w:object>
      </w:r>
      <w:r w:rsidR="00D076A2">
        <w:t xml:space="preserve"> and </w:t>
      </w:r>
      <w:r w:rsidR="00D076A2" w:rsidRPr="00947DEF">
        <w:rPr>
          <w:position w:val="-12"/>
        </w:rPr>
        <w:object w:dxaOrig="380" w:dyaOrig="360" w14:anchorId="3DAB2DEC">
          <v:shape id="_x0000_i1103" type="#_x0000_t75" style="width:19.3pt;height:18pt" o:ole="">
            <v:imagedata r:id="rId154" o:title=""/>
          </v:shape>
          <o:OLEObject Type="Embed" ProgID="Equation.DSMT4" ShapeID="_x0000_i1103" DrawAspect="Content" ObjectID="_1722174249" r:id="rId155"/>
        </w:object>
      </w:r>
      <w:r w:rsidR="00D076A2">
        <w:t xml:space="preserve"> used later</w:t>
      </w:r>
      <w:r w:rsidR="00361E9E">
        <w:t>)</w:t>
      </w:r>
      <w:r w:rsidR="00E056F8">
        <w:t>:</w:t>
      </w:r>
    </w:p>
    <w:p w:rsidR="00E056F8" w:rsidRPr="004035E1" w:rsidRDefault="006F5641" w:rsidP="006F5641">
      <w:pPr>
        <w:tabs>
          <w:tab w:val="right" w:pos="9360"/>
        </w:tabs>
        <w:spacing w:before="60" w:after="60" w:line="276" w:lineRule="auto"/>
        <w:jc w:val="both"/>
      </w:pPr>
      <w:r w:rsidRPr="00E92143">
        <w:rPr>
          <w:position w:val="-62"/>
        </w:rPr>
        <w:object w:dxaOrig="7260" w:dyaOrig="1340" w14:anchorId="6B0D9B10">
          <v:shape id="_x0000_i1104" type="#_x0000_t75" style="width:363pt;height:66.85pt" o:ole="">
            <v:imagedata r:id="rId156" o:title=""/>
          </v:shape>
          <o:OLEObject Type="Embed" ProgID="Equation.DSMT4" ShapeID="_x0000_i1104" DrawAspect="Content" ObjectID="_1722174250" r:id="rId157"/>
        </w:object>
      </w:r>
      <w:r w:rsidR="0050711B">
        <w:tab/>
        <w:t xml:space="preserve">    </w:t>
      </w:r>
      <w:r w:rsidR="00E056F8">
        <w:t>(1</w:t>
      </w:r>
      <w:r w:rsidR="00DE11CC">
        <w:t>3</w:t>
      </w:r>
      <w:r w:rsidR="00E056F8">
        <w:t>)</w:t>
      </w:r>
    </w:p>
    <w:p w:rsidR="0050711B" w:rsidRDefault="00E92143" w:rsidP="00CF39E1">
      <w:pPr>
        <w:spacing w:line="276" w:lineRule="auto"/>
        <w:jc w:val="both"/>
      </w:pPr>
      <w:r>
        <w:t>From above, we immediately get the result that:</w:t>
      </w:r>
    </w:p>
    <w:p w:rsidR="0050711B" w:rsidRDefault="006F5641" w:rsidP="006F5641">
      <w:pPr>
        <w:tabs>
          <w:tab w:val="right" w:pos="9360"/>
        </w:tabs>
        <w:spacing w:before="120" w:after="120" w:line="276" w:lineRule="auto"/>
        <w:jc w:val="both"/>
      </w:pPr>
      <w:r w:rsidRPr="005216BC">
        <w:rPr>
          <w:position w:val="-30"/>
        </w:rPr>
        <w:object w:dxaOrig="1700" w:dyaOrig="700" w14:anchorId="040296F9">
          <v:shape id="_x0000_i1105" type="#_x0000_t75" style="width:84.45pt;height:35.55pt" o:ole="" o:preferrelative="f">
            <v:imagedata r:id="rId158" o:title=""/>
            <o:lock v:ext="edit" aspectratio="f"/>
          </v:shape>
          <o:OLEObject Type="Embed" ProgID="Equation.DSMT4" ShapeID="_x0000_i1105" DrawAspect="Content" ObjectID="_1722174251" r:id="rId159"/>
        </w:object>
      </w:r>
      <w:r>
        <w:tab/>
      </w:r>
      <w:r w:rsidR="00DE11CC">
        <w:t>(14)</w:t>
      </w:r>
    </w:p>
    <w:p w:rsidR="00E92143" w:rsidRDefault="00E92143" w:rsidP="00CF39E1">
      <w:pPr>
        <w:spacing w:line="276" w:lineRule="auto"/>
        <w:jc w:val="both"/>
      </w:pPr>
      <w:r>
        <w:t xml:space="preserve">Next, we may write the total count </w:t>
      </w:r>
      <w:r w:rsidRPr="004035E1">
        <w:rPr>
          <w:position w:val="-12"/>
        </w:rPr>
        <w:object w:dxaOrig="340" w:dyaOrig="360" w14:anchorId="72668022">
          <v:shape id="_x0000_i1106" type="#_x0000_t75" style="width:16.7pt;height:18pt" o:ole="">
            <v:imagedata r:id="rId146" o:title=""/>
          </v:shape>
          <o:OLEObject Type="Embed" ProgID="Equation.DSMT4" ShapeID="_x0000_i1106" DrawAspect="Content" ObjectID="_1722174252" r:id="rId160"/>
        </w:object>
      </w:r>
      <w:r>
        <w:t xml:space="preserve"> as follows:</w:t>
      </w:r>
    </w:p>
    <w:p w:rsidR="00E92143" w:rsidRDefault="006F5641" w:rsidP="006F5641">
      <w:pPr>
        <w:tabs>
          <w:tab w:val="right" w:pos="9360"/>
        </w:tabs>
        <w:spacing w:before="120" w:after="120" w:line="276" w:lineRule="auto"/>
        <w:jc w:val="both"/>
      </w:pPr>
      <w:r w:rsidRPr="005216BC">
        <w:rPr>
          <w:position w:val="-62"/>
        </w:rPr>
        <w:object w:dxaOrig="5640" w:dyaOrig="1359" w14:anchorId="614E8299">
          <v:shape id="_x0000_i1107" type="#_x0000_t75" style="width:282.45pt;height:67.7pt" o:ole="">
            <v:imagedata r:id="rId161" o:title=""/>
          </v:shape>
          <o:OLEObject Type="Embed" ProgID="Equation.DSMT4" ShapeID="_x0000_i1107" DrawAspect="Content" ObjectID="_1722174253" r:id="rId162"/>
        </w:object>
      </w:r>
      <w:r>
        <w:tab/>
      </w:r>
      <w:r w:rsidR="00DE11CC">
        <w:t>(15)</w:t>
      </w:r>
    </w:p>
    <w:p w:rsidR="00E92143" w:rsidRDefault="00E92143" w:rsidP="00CF39E1">
      <w:pPr>
        <w:spacing w:line="276" w:lineRule="auto"/>
        <w:jc w:val="both"/>
      </w:pPr>
      <w:r>
        <w:t xml:space="preserve">Finally, substituting </w:t>
      </w:r>
      <w:r w:rsidR="006F5641" w:rsidRPr="00291C49">
        <w:rPr>
          <w:position w:val="-12"/>
        </w:rPr>
        <w:object w:dxaOrig="340" w:dyaOrig="360" w14:anchorId="1BF5174D">
          <v:shape id="_x0000_i1108" type="#_x0000_t75" style="width:17.55pt;height:18pt" o:ole="">
            <v:imagedata r:id="rId163" o:title=""/>
          </v:shape>
          <o:OLEObject Type="Embed" ProgID="Equation.DSMT4" ShapeID="_x0000_i1108" DrawAspect="Content" ObjectID="_1722174254" r:id="rId164"/>
        </w:object>
      </w:r>
      <w:r w:rsidR="00436657">
        <w:t xml:space="preserve"> for </w:t>
      </w:r>
      <w:r>
        <w:t>the right side of the expression above into Equation (</w:t>
      </w:r>
      <w:r w:rsidR="007D2AEB">
        <w:t>13</w:t>
      </w:r>
      <w:r>
        <w:t>), we get:</w:t>
      </w:r>
    </w:p>
    <w:p w:rsidR="0081016C" w:rsidRDefault="00725E8A" w:rsidP="006F5641">
      <w:pPr>
        <w:tabs>
          <w:tab w:val="right" w:pos="9360"/>
        </w:tabs>
        <w:spacing w:before="60" w:after="60" w:line="276" w:lineRule="auto"/>
        <w:jc w:val="both"/>
      </w:pPr>
      <w:r w:rsidRPr="00E92143">
        <w:rPr>
          <w:position w:val="-122"/>
        </w:rPr>
        <w:object w:dxaOrig="6979" w:dyaOrig="2560" w14:anchorId="248BB825">
          <v:shape id="_x0000_i1109" type="#_x0000_t75" style="width:349.3pt;height:128.55pt" o:ole="">
            <v:imagedata r:id="rId165" o:title=""/>
          </v:shape>
          <o:OLEObject Type="Embed" ProgID="Equation.DSMT4" ShapeID="_x0000_i1109" DrawAspect="Content" ObjectID="_1722174255" r:id="rId166"/>
        </w:object>
      </w:r>
      <w:r w:rsidR="00DE11CC">
        <w:tab/>
        <w:t xml:space="preserve"> (16)</w:t>
      </w:r>
    </w:p>
    <w:p w:rsidR="007D2AEB" w:rsidRDefault="0081016C" w:rsidP="00CF39E1">
      <w:pPr>
        <w:spacing w:line="276" w:lineRule="auto"/>
        <w:jc w:val="both"/>
      </w:pPr>
      <w:r>
        <w:t xml:space="preserve">Immediately, we note that our proposed model is consistent with two-stage budgeting, with the consumption of inside good </w:t>
      </w:r>
      <w:proofErr w:type="gramStart"/>
      <w:r w:rsidRPr="00DE11CC">
        <w:rPr>
          <w:i/>
        </w:rPr>
        <w:t>k</w:t>
      </w:r>
      <w:r>
        <w:t xml:space="preserve"> </w:t>
      </w:r>
      <w:r w:rsidR="007D2AEB">
        <w:t xml:space="preserve"> </w:t>
      </w:r>
      <w:r>
        <w:t>being</w:t>
      </w:r>
      <w:proofErr w:type="gramEnd"/>
      <w:r>
        <w:t xml:space="preserve"> the product of the first stage total count model multiplied by the second stage fractional MDCEV model. In reality, not all inside goods will be consumed conditional on consumption in product group </w:t>
      </w:r>
      <w:r w:rsidRPr="00554449">
        <w:rPr>
          <w:i/>
        </w:rPr>
        <w:t>G</w:t>
      </w:r>
      <w:r>
        <w:t xml:space="preserve">, in which case the non-zero fractional allocations will be among the consumed </w:t>
      </w:r>
      <w:r w:rsidRPr="0081016C">
        <w:rPr>
          <w:i/>
        </w:rPr>
        <w:t>M</w:t>
      </w:r>
      <w:r>
        <w:t xml:space="preserve"> inside goods</w:t>
      </w:r>
      <w:r w:rsidR="00A00DF1">
        <w:t xml:space="preserve"> (so the summations in Equation (16) will only be among the consumed first </w:t>
      </w:r>
      <w:r w:rsidR="00A00DF1" w:rsidRPr="005D0F51">
        <w:rPr>
          <w:i/>
        </w:rPr>
        <w:t>M</w:t>
      </w:r>
      <w:r w:rsidR="00A00DF1">
        <w:t xml:space="preserve"> goods)</w:t>
      </w:r>
      <w:r w:rsidR="00CF28C5">
        <w:t xml:space="preserve">. In this situation, </w:t>
      </w:r>
      <w:r w:rsidR="007E54AF" w:rsidRPr="00F16262">
        <w:rPr>
          <w:position w:val="-12"/>
        </w:rPr>
        <w:object w:dxaOrig="300" w:dyaOrig="400">
          <v:shape id="_x0000_i1110" type="#_x0000_t75" style="width:15pt;height:19.3pt" o:ole="">
            <v:imagedata r:id="rId167" o:title=""/>
          </v:shape>
          <o:OLEObject Type="Embed" ProgID="Equation.DSMT4" ShapeID="_x0000_i1110" DrawAspect="Content" ObjectID="_1722174256" r:id="rId168"/>
        </w:object>
      </w:r>
      <w:r w:rsidR="007E54AF">
        <w:t xml:space="preserve"> </w:t>
      </w:r>
      <w:r>
        <w:t>in Equation (</w:t>
      </w:r>
      <w:r w:rsidR="00DE11CC">
        <w:t>16</w:t>
      </w:r>
      <w:r>
        <w:t>) takes an identical form as in Equation (</w:t>
      </w:r>
      <w:r w:rsidR="00DE11CC">
        <w:t>9</w:t>
      </w:r>
      <w:r>
        <w:t>).</w:t>
      </w:r>
      <w:r w:rsidR="00554449">
        <w:t xml:space="preserve"> </w:t>
      </w:r>
      <w:r w:rsidR="00A00DF1">
        <w:t>At the same time</w:t>
      </w:r>
      <w:r w:rsidR="006D508D">
        <w:t xml:space="preserve">, using the concept of non-negative virtual prices, the consistency of the proposed model with two-stage budgeting is still retained even in the case when some inside goods are consumed and other are not (see Bhat, 2022 for a detailed discussion of this point). </w:t>
      </w:r>
      <w:r w:rsidR="00554449">
        <w:t xml:space="preserve">In summary, our approach is consistent with </w:t>
      </w:r>
      <w:r w:rsidR="00D1653D">
        <w:t>economic</w:t>
      </w:r>
      <w:r w:rsidR="00554449">
        <w:t xml:space="preserve"> </w:t>
      </w:r>
      <w:r w:rsidR="00D1653D">
        <w:t xml:space="preserve">two-stage </w:t>
      </w:r>
      <w:r w:rsidR="00554449">
        <w:t>budgeting</w:t>
      </w:r>
      <w:r w:rsidR="007D2AEB">
        <w:t>. Specifically,</w:t>
      </w:r>
      <w:r w:rsidR="00DE11CC">
        <w:t xml:space="preserve"> </w:t>
      </w:r>
      <w:r w:rsidR="00554449">
        <w:t>in the first stage</w:t>
      </w:r>
      <w:r w:rsidR="00D1653D">
        <w:t xml:space="preserve"> </w:t>
      </w:r>
      <w:r w:rsidR="00554449">
        <w:t xml:space="preserve">total count model for consumption in product group </w:t>
      </w:r>
      <w:r w:rsidR="00554449" w:rsidRPr="00554449">
        <w:rPr>
          <w:i/>
        </w:rPr>
        <w:t>G</w:t>
      </w:r>
      <w:r w:rsidR="00554449">
        <w:t xml:space="preserve">, we are able to use an aggregate price index for the product group </w:t>
      </w:r>
      <w:r w:rsidR="00554449" w:rsidRPr="00554449">
        <w:rPr>
          <w:i/>
        </w:rPr>
        <w:t>G</w:t>
      </w:r>
      <w:r w:rsidR="00554449">
        <w:t xml:space="preserve"> in the form of </w:t>
      </w:r>
      <w:r w:rsidR="007D2AEB">
        <w:t>the following:</w:t>
      </w:r>
    </w:p>
    <w:p w:rsidR="0081016C" w:rsidRDefault="006F5641" w:rsidP="005B2CE7">
      <w:pPr>
        <w:spacing w:before="60" w:after="60" w:line="276" w:lineRule="auto"/>
        <w:jc w:val="both"/>
      </w:pPr>
      <w:r w:rsidRPr="00554449">
        <w:rPr>
          <w:position w:val="-30"/>
        </w:rPr>
        <w:object w:dxaOrig="2600" w:dyaOrig="720" w14:anchorId="4A221DEB">
          <v:shape id="_x0000_i1111" type="#_x0000_t75" style="width:130.3pt;height:36.45pt" o:ole="">
            <v:imagedata r:id="rId169" o:title=""/>
          </v:shape>
          <o:OLEObject Type="Embed" ProgID="Equation.DSMT4" ShapeID="_x0000_i1111" DrawAspect="Content" ObjectID="_1722174257" r:id="rId170"/>
        </w:object>
      </w:r>
      <w:r w:rsidR="00554449">
        <w:t xml:space="preserve"> </w:t>
      </w:r>
      <w:r w:rsidR="005D5B92">
        <w:tab/>
      </w:r>
      <w:r w:rsidR="005D5B92">
        <w:tab/>
      </w:r>
      <w:r w:rsidR="005D5B92">
        <w:tab/>
      </w:r>
      <w:r w:rsidR="005D5B92">
        <w:tab/>
      </w:r>
      <w:r w:rsidR="005D5B92">
        <w:tab/>
      </w:r>
      <w:r w:rsidR="005D5B92">
        <w:tab/>
      </w:r>
      <w:r w:rsidR="005D5B92">
        <w:tab/>
      </w:r>
      <w:r w:rsidR="005D5B92">
        <w:tab/>
      </w:r>
      <w:r w:rsidR="005D5B92">
        <w:tab/>
        <w:t xml:space="preserve">    (17)</w:t>
      </w:r>
    </w:p>
    <w:p w:rsidR="0074774C" w:rsidRPr="00347A43" w:rsidRDefault="0074774C" w:rsidP="00CF39E1">
      <w:pPr>
        <w:spacing w:line="276" w:lineRule="auto"/>
        <w:jc w:val="both"/>
      </w:pPr>
      <w:r>
        <w:t>Interestingly, and tellingly, if all individuals choose only one inside good</w:t>
      </w:r>
      <w:r w:rsidR="00347A43">
        <w:t xml:space="preserve"> to which the total count is allocated (that is, a single discrete choice is at play rather than a multiple discrete situation), the above aggregate price index</w:t>
      </w:r>
      <w:r w:rsidR="005836AE">
        <w:t>, in deterministic form,</w:t>
      </w:r>
      <w:r w:rsidR="00347A43">
        <w:t xml:space="preserve"> collapses exactly to the consumer surplus (</w:t>
      </w:r>
      <w:proofErr w:type="spellStart"/>
      <w:r w:rsidR="00347A43">
        <w:t>logsum</w:t>
      </w:r>
      <w:proofErr w:type="spellEnd"/>
      <w:r w:rsidR="00347A43">
        <w:t xml:space="preserve">) originating from a simple multinomial logit model, as used by Hausman et al. </w:t>
      </w:r>
      <w:r w:rsidR="0058407F">
        <w:t xml:space="preserve">(1995) </w:t>
      </w:r>
      <w:r w:rsidR="00347A43">
        <w:t>as the aggregate price index in their single discrete choice model</w:t>
      </w:r>
      <w:r w:rsidR="005836AE">
        <w:t xml:space="preserve">. Specifically, when </w:t>
      </w:r>
      <w:r w:rsidR="00347A43">
        <w:t>there is no satiation</w:t>
      </w:r>
      <w:r w:rsidR="005836AE">
        <w:t>, as</w:t>
      </w:r>
      <w:r w:rsidR="00347A43">
        <w:t xml:space="preserve"> in a single discrete choice model, </w:t>
      </w:r>
      <w:r w:rsidR="00347A43" w:rsidRPr="00895C33">
        <w:rPr>
          <w:position w:val="-12"/>
        </w:rPr>
        <w:object w:dxaOrig="279" w:dyaOrig="360">
          <v:shape id="_x0000_i1112" type="#_x0000_t75" style="width:13.7pt;height:18pt" o:ole="">
            <v:imagedata r:id="rId171" o:title=""/>
          </v:shape>
          <o:OLEObject Type="Embed" ProgID="Equation.DSMT4" ShapeID="_x0000_i1112" DrawAspect="Content" ObjectID="_1722174258" r:id="rId172"/>
        </w:object>
      </w:r>
      <w:r w:rsidR="00347A43">
        <w:t xml:space="preserve">=1 for all inside goods </w:t>
      </w:r>
      <w:r w:rsidR="00347A43" w:rsidRPr="00347A43">
        <w:rPr>
          <w:i/>
        </w:rPr>
        <w:t>k</w:t>
      </w:r>
      <w:r w:rsidR="00347A43">
        <w:rPr>
          <w:i/>
        </w:rPr>
        <w:t xml:space="preserve"> </w:t>
      </w:r>
      <w:r w:rsidR="00347A43" w:rsidRPr="00347A43">
        <w:t>in Equation (17)</w:t>
      </w:r>
      <w:r w:rsidR="005836AE">
        <w:t>.</w:t>
      </w:r>
      <w:r w:rsidR="0058407F">
        <w:t xml:space="preserve"> </w:t>
      </w:r>
      <w:r w:rsidR="005836AE">
        <w:t>T</w:t>
      </w:r>
      <w:r w:rsidR="0058407F">
        <w:t>hen</w:t>
      </w:r>
      <w:r w:rsidR="005836AE">
        <w:t>,</w:t>
      </w:r>
      <w:r w:rsidR="0058407F">
        <w:t xml:space="preserve"> Equation (17) is exactly Equation (2.1.9) of Hausman et al.</w:t>
      </w:r>
      <w:r w:rsidR="00FD5BC7">
        <w:t>,</w:t>
      </w:r>
      <w:r w:rsidR="0058407F">
        <w:t xml:space="preserve"> </w:t>
      </w:r>
      <w:r w:rsidR="00FD5BC7">
        <w:t xml:space="preserve">again continuing to </w:t>
      </w:r>
      <w:r w:rsidR="005836AE">
        <w:t>ignor</w:t>
      </w:r>
      <w:r w:rsidR="00FD5BC7">
        <w:t>e</w:t>
      </w:r>
      <w:r w:rsidR="005836AE">
        <w:t xml:space="preserve"> the stochasticity in </w:t>
      </w:r>
      <w:r w:rsidR="005836AE" w:rsidRPr="00895C33">
        <w:rPr>
          <w:position w:val="-12"/>
        </w:rPr>
        <w:object w:dxaOrig="320" w:dyaOrig="360">
          <v:shape id="_x0000_i1113" type="#_x0000_t75" style="width:16.3pt;height:18pt" o:ole="">
            <v:imagedata r:id="rId173" o:title=""/>
          </v:shape>
          <o:OLEObject Type="Embed" ProgID="Equation.DSMT4" ShapeID="_x0000_i1113" DrawAspect="Content" ObjectID="_1722174259" r:id="rId174"/>
        </w:object>
      </w:r>
      <w:r w:rsidR="00237612">
        <w:t xml:space="preserve"> (</w:t>
      </w:r>
      <w:r w:rsidR="00237612" w:rsidRPr="00237612">
        <w:rPr>
          <w:position w:val="-6"/>
        </w:rPr>
        <w:object w:dxaOrig="460" w:dyaOrig="279">
          <v:shape id="_x0000_i1114" type="#_x0000_t75" style="width:22.7pt;height:13.7pt" o:ole="">
            <v:imagedata r:id="rId175" o:title=""/>
          </v:shape>
          <o:OLEObject Type="Embed" ProgID="Equation.DSMT4" ShapeID="_x0000_i1114" DrawAspect="Content" ObjectID="_1722174260" r:id="rId176"/>
        </w:object>
      </w:r>
      <w:r w:rsidR="00237612">
        <w:t xml:space="preserve"> in Hausman et al.’s Equation (2.1.9) is the inverse of the price coefficient in the utility function, as is </w:t>
      </w:r>
      <w:r w:rsidR="00237612" w:rsidRPr="00895C33">
        <w:rPr>
          <w:position w:val="-6"/>
        </w:rPr>
        <w:object w:dxaOrig="240" w:dyaOrig="220">
          <v:shape id="_x0000_i1115" type="#_x0000_t75" style="width:12pt;height:10.7pt" o:ole="">
            <v:imagedata r:id="rId177" o:title=""/>
          </v:shape>
          <o:OLEObject Type="Embed" ProgID="Equation.DSMT4" ShapeID="_x0000_i1115" DrawAspect="Content" ObjectID="_1722174261" r:id="rId178"/>
        </w:object>
      </w:r>
      <w:r w:rsidR="00237612">
        <w:t xml:space="preserve"> in our formulation; see Equation (2)).</w:t>
      </w:r>
      <w:r w:rsidR="00C42C98">
        <w:t xml:space="preserve"> Thus, our aggregate price index may be viewed as a multiple discrete generalization of the single discrete choice case.  </w:t>
      </w:r>
    </w:p>
    <w:p w:rsidR="007E71D7" w:rsidRPr="004035E1" w:rsidRDefault="007E71D7" w:rsidP="004035E1">
      <w:pPr>
        <w:tabs>
          <w:tab w:val="right" w:pos="9360"/>
        </w:tabs>
        <w:spacing w:line="276" w:lineRule="auto"/>
        <w:jc w:val="both"/>
      </w:pPr>
    </w:p>
    <w:p w:rsidR="00495DCD" w:rsidRPr="004035E1" w:rsidRDefault="00495DCD" w:rsidP="008E6F86">
      <w:pPr>
        <w:pStyle w:val="Heading1"/>
      </w:pPr>
      <w:r w:rsidRPr="004035E1">
        <w:t>2.</w:t>
      </w:r>
      <w:r w:rsidR="00B31C75" w:rsidRPr="004035E1">
        <w:t>3</w:t>
      </w:r>
      <w:r w:rsidRPr="004035E1">
        <w:t xml:space="preserve">. </w:t>
      </w:r>
      <w:r w:rsidR="00B31C75" w:rsidRPr="004035E1">
        <w:t xml:space="preserve">Total Count in Product Category </w:t>
      </w:r>
      <w:r w:rsidRPr="004035E1">
        <w:t>Model</w:t>
      </w:r>
    </w:p>
    <w:p w:rsidR="00495DCD" w:rsidRPr="004035E1" w:rsidRDefault="00495DCD" w:rsidP="004035E1">
      <w:pPr>
        <w:spacing w:line="276" w:lineRule="auto"/>
        <w:jc w:val="both"/>
      </w:pPr>
      <w:r w:rsidRPr="004035E1">
        <w:t>A key to linking the MDCEV fractional split model to the total count model is our recasting of the count model as a generalized ordered-response model in which a single latent continuous variable spanning the real line is partitioned into mutually exclusive intervals (see Castro et al., 2012 and Bhat et al., 201</w:t>
      </w:r>
      <w:r w:rsidR="00C925EF">
        <w:t>5</w:t>
      </w:r>
      <w:r w:rsidRPr="004035E1">
        <w:t xml:space="preserve">). Using this equivalent latent variable-based generalized-ordered response framework for count data models, we are then able to gainfully and efficiently introduce the linkage from </w:t>
      </w:r>
      <w:r w:rsidR="006151A4">
        <w:t xml:space="preserve">the </w:t>
      </w:r>
      <w:r w:rsidRPr="004035E1">
        <w:t>fractional split model to the count model through the latent continuous variable. The formulation also allows handling excess zeros in a straightforward manner.</w:t>
      </w:r>
    </w:p>
    <w:p w:rsidR="00495DCD" w:rsidRDefault="00495DCD" w:rsidP="00E714EB">
      <w:pPr>
        <w:spacing w:line="276" w:lineRule="auto"/>
        <w:ind w:firstLine="720"/>
        <w:jc w:val="both"/>
      </w:pPr>
      <w:r w:rsidRPr="004035E1">
        <w:t>We first provide a brief overview of the recasting of the count model as a special case of the generalized ordered-response model in Section 2.</w:t>
      </w:r>
      <w:r w:rsidR="006151A4">
        <w:t>3</w:t>
      </w:r>
      <w:r w:rsidRPr="004035E1">
        <w:t>.1, and then discuss the linkage with the fractional split model in Section 2.</w:t>
      </w:r>
      <w:r w:rsidR="006151A4">
        <w:t>3</w:t>
      </w:r>
      <w:r w:rsidRPr="004035E1">
        <w:t xml:space="preserve">.2. </w:t>
      </w:r>
      <w:r w:rsidR="00F172DD">
        <w:t>In doing so, we use a customized statistical distributional specification for stochasticity and a specific parameterized form for the threshold values, both of which represent first</w:t>
      </w:r>
      <w:r w:rsidR="003B590A">
        <w:t xml:space="preserve"> such introductions</w:t>
      </w:r>
      <w:r w:rsidR="00F172DD">
        <w:t xml:space="preserve"> in the literature. These customizations are the key to </w:t>
      </w:r>
      <w:r w:rsidRPr="004035E1">
        <w:t>retain</w:t>
      </w:r>
      <w:r w:rsidR="00F172DD">
        <w:t>ing</w:t>
      </w:r>
      <w:r w:rsidRPr="004035E1">
        <w:t xml:space="preserve"> a closed-form model for the resulting combined total count-fractional split model leading up to the proposed multivariate count model</w:t>
      </w:r>
      <w:r w:rsidR="004E08AE">
        <w:t>.</w:t>
      </w:r>
    </w:p>
    <w:p w:rsidR="00E714EB" w:rsidRPr="004035E1" w:rsidRDefault="00E714EB" w:rsidP="00E714EB">
      <w:pPr>
        <w:spacing w:line="276" w:lineRule="auto"/>
        <w:ind w:firstLine="720"/>
        <w:jc w:val="both"/>
      </w:pPr>
    </w:p>
    <w:p w:rsidR="00495DCD" w:rsidRPr="004035E1" w:rsidRDefault="00495DCD" w:rsidP="004035E1">
      <w:pPr>
        <w:spacing w:line="276" w:lineRule="auto"/>
        <w:jc w:val="both"/>
        <w:rPr>
          <w:b/>
          <w:i/>
        </w:rPr>
      </w:pPr>
      <w:r w:rsidRPr="004035E1">
        <w:rPr>
          <w:b/>
          <w:i/>
        </w:rPr>
        <w:t>2.</w:t>
      </w:r>
      <w:r w:rsidR="00516C13" w:rsidRPr="004035E1">
        <w:rPr>
          <w:b/>
          <w:i/>
        </w:rPr>
        <w:t>3</w:t>
      </w:r>
      <w:r w:rsidRPr="004035E1">
        <w:rPr>
          <w:b/>
          <w:i/>
        </w:rPr>
        <w:t xml:space="preserve">.1. The </w:t>
      </w:r>
      <w:r w:rsidR="008E6F86">
        <w:rPr>
          <w:b/>
          <w:i/>
        </w:rPr>
        <w:t>B</w:t>
      </w:r>
      <w:r w:rsidRPr="004035E1">
        <w:rPr>
          <w:b/>
          <w:i/>
        </w:rPr>
        <w:t xml:space="preserve">asic </w:t>
      </w:r>
      <w:r w:rsidR="008E6F86">
        <w:rPr>
          <w:b/>
          <w:i/>
        </w:rPr>
        <w:t>R</w:t>
      </w:r>
      <w:r w:rsidRPr="004035E1">
        <w:rPr>
          <w:b/>
          <w:i/>
        </w:rPr>
        <w:t>ecasting</w:t>
      </w:r>
    </w:p>
    <w:p w:rsidR="00495DCD" w:rsidRDefault="00495DCD" w:rsidP="004035E1">
      <w:pPr>
        <w:spacing w:line="276" w:lineRule="auto"/>
        <w:jc w:val="both"/>
      </w:pPr>
      <w:r w:rsidRPr="004035E1">
        <w:t xml:space="preserve">Define a latent propensity underlying the count variable </w:t>
      </w:r>
      <w:r w:rsidR="00982363" w:rsidRPr="004035E1">
        <w:t xml:space="preserve">for consumption in product group </w:t>
      </w:r>
      <w:proofErr w:type="spellStart"/>
      <w:r w:rsidR="00982363" w:rsidRPr="004035E1">
        <w:rPr>
          <w:i/>
        </w:rPr>
        <w:t>G</w:t>
      </w:r>
      <w:r w:rsidR="00982363" w:rsidRPr="004035E1">
        <w:t xml:space="preserve"> </w:t>
      </w:r>
      <w:r w:rsidRPr="004035E1">
        <w:t>a</w:t>
      </w:r>
      <w:r w:rsidR="00A878AA">
        <w:t>s</w:t>
      </w:r>
      <w:proofErr w:type="spellEnd"/>
      <w:r w:rsidR="00A878AA">
        <w:t xml:space="preserve"> </w:t>
      </w:r>
      <w:r w:rsidR="00A878AA" w:rsidRPr="004035E1">
        <w:rPr>
          <w:position w:val="-12"/>
        </w:rPr>
        <w:object w:dxaOrig="320" w:dyaOrig="380" w14:anchorId="19E2939E">
          <v:shape id="_x0000_i1116" type="#_x0000_t75" style="width:15.85pt;height:18pt" o:ole="">
            <v:imagedata r:id="rId179" o:title=""/>
          </v:shape>
          <o:OLEObject Type="Embed" ProgID="Equation.DSMT4" ShapeID="_x0000_i1116" DrawAspect="Content" ObjectID="_1722174262" r:id="rId180"/>
        </w:object>
      </w:r>
      <w:r w:rsidRPr="004035E1">
        <w:t xml:space="preserve"> and consider the following structure:</w:t>
      </w:r>
    </w:p>
    <w:p w:rsidR="003A3682" w:rsidRDefault="003A3682" w:rsidP="003E6341">
      <w:pPr>
        <w:tabs>
          <w:tab w:val="right" w:pos="9360"/>
        </w:tabs>
        <w:spacing w:line="276" w:lineRule="auto"/>
        <w:jc w:val="both"/>
      </w:pPr>
      <w:r w:rsidRPr="004035E1">
        <w:rPr>
          <w:position w:val="-12"/>
        </w:rPr>
        <w:object w:dxaOrig="880" w:dyaOrig="380" w14:anchorId="2445E6AC">
          <v:shape id="_x0000_i1117" type="#_x0000_t75" style="width:44.55pt;height:18pt" o:ole="" o:preferrelative="f">
            <v:imagedata r:id="rId181" o:title=""/>
            <o:lock v:ext="edit" aspectratio="f"/>
          </v:shape>
          <o:OLEObject Type="Embed" ProgID="Equation.DSMT4" ShapeID="_x0000_i1117" DrawAspect="Content" ObjectID="_1722174263" r:id="rId182"/>
        </w:object>
      </w:r>
      <w:r w:rsidRPr="004035E1">
        <w:t xml:space="preserve">, </w:t>
      </w:r>
      <w:r w:rsidRPr="004035E1">
        <w:rPr>
          <w:position w:val="-12"/>
        </w:rPr>
        <w:object w:dxaOrig="639" w:dyaOrig="360" w14:anchorId="28AF18E5">
          <v:shape id="_x0000_i1118" type="#_x0000_t75" style="width:32.15pt;height:18pt" o:ole="" o:preferrelative="f">
            <v:imagedata r:id="rId183" o:title=""/>
            <o:lock v:ext="edit" aspectratio="f"/>
          </v:shape>
          <o:OLEObject Type="Embed" ProgID="Equation.DSMT4" ShapeID="_x0000_i1118" DrawAspect="Content" ObjectID="_1722174264" r:id="rId184"/>
        </w:object>
      </w:r>
      <w:r w:rsidRPr="004035E1">
        <w:t xml:space="preserve"> if </w:t>
      </w:r>
      <w:r w:rsidR="00D834D5" w:rsidRPr="004035E1">
        <w:rPr>
          <w:position w:val="-12"/>
        </w:rPr>
        <w:object w:dxaOrig="1420" w:dyaOrig="380" w14:anchorId="605ADCCF">
          <v:shape id="_x0000_i1119" type="#_x0000_t75" style="width:70.7pt;height:18pt" o:ole="" o:preferrelative="f">
            <v:imagedata r:id="rId185" o:title=""/>
            <o:lock v:ext="edit" aspectratio="f"/>
          </v:shape>
          <o:OLEObject Type="Embed" ProgID="Equation.DSMT4" ShapeID="_x0000_i1119" DrawAspect="Content" ObjectID="_1722174265" r:id="rId186"/>
        </w:object>
      </w:r>
      <w:r w:rsidRPr="004035E1">
        <w:t xml:space="preserve">,  </w:t>
      </w:r>
      <w:r w:rsidR="00D834D5" w:rsidRPr="004035E1">
        <w:rPr>
          <w:position w:val="-28"/>
        </w:rPr>
        <w:object w:dxaOrig="1840" w:dyaOrig="680" w14:anchorId="18D5E651">
          <v:shape id="_x0000_i1120" type="#_x0000_t75" style="width:91.3pt;height:33pt" o:ole="" o:preferrelative="f">
            <v:imagedata r:id="rId187" o:title=""/>
            <o:lock v:ext="edit" aspectratio="f"/>
          </v:shape>
          <o:OLEObject Type="Embed" ProgID="Equation.DSMT4" ShapeID="_x0000_i1120" DrawAspect="Content" ObjectID="_1722174266" r:id="rId188"/>
        </w:object>
      </w:r>
      <w:r>
        <w:t xml:space="preserve"> </w:t>
      </w:r>
      <w:r>
        <w:tab/>
        <w:t>(1</w:t>
      </w:r>
      <w:r w:rsidR="005D5B92">
        <w:t>8</w:t>
      </w:r>
      <w:r>
        <w:t>)</w:t>
      </w:r>
    </w:p>
    <w:p w:rsidR="00DE411C" w:rsidRDefault="00CB0BD1" w:rsidP="004035E1">
      <w:pPr>
        <w:spacing w:line="276" w:lineRule="auto"/>
        <w:jc w:val="both"/>
      </w:pPr>
      <w:r w:rsidRPr="004035E1">
        <w:t xml:space="preserve">where </w:t>
      </w:r>
      <w:r w:rsidR="00495DCD" w:rsidRPr="004035E1">
        <w:rPr>
          <w:position w:val="-10"/>
        </w:rPr>
        <w:object w:dxaOrig="240" w:dyaOrig="320" w14:anchorId="60F1613A">
          <v:shape id="_x0000_i1121" type="#_x0000_t75" style="width:12pt;height:15.85pt" o:ole="">
            <v:imagedata r:id="rId189" o:title=""/>
            <o:lock v:ext="edit" aspectratio="f"/>
          </v:shape>
          <o:OLEObject Type="Embed" ProgID="Equation.DSMT4" ShapeID="_x0000_i1121" DrawAspect="Content" ObjectID="_1722174267" r:id="rId190"/>
        </w:object>
      </w:r>
      <w:r w:rsidR="00495DCD" w:rsidRPr="004035E1">
        <w:t xml:space="preserve"> is a random error term assumed to be reverse Gumbel distributed with a scale parameter of </w:t>
      </w:r>
      <w:r w:rsidR="006F5641" w:rsidRPr="004035E1">
        <w:rPr>
          <w:position w:val="-6"/>
        </w:rPr>
        <w:object w:dxaOrig="220" w:dyaOrig="279" w14:anchorId="272BE9EE">
          <v:shape id="_x0000_i1122" type="#_x0000_t75" style="width:10.7pt;height:13.7pt" o:ole="" o:preferrelative="f">
            <v:imagedata r:id="rId191" o:title=""/>
            <o:lock v:ext="edit" aspectratio="f"/>
          </v:shape>
          <o:OLEObject Type="Embed" ProgID="Equation.3" ShapeID="_x0000_i1122" DrawAspect="Content" ObjectID="_1722174268" r:id="rId192"/>
        </w:object>
      </w:r>
      <w:r w:rsidR="00495DCD" w:rsidRPr="004035E1">
        <w:t xml:space="preserve">. Of course, the scale </w:t>
      </w:r>
      <w:r w:rsidR="006F5641" w:rsidRPr="004035E1">
        <w:rPr>
          <w:position w:val="-6"/>
        </w:rPr>
        <w:object w:dxaOrig="220" w:dyaOrig="279" w14:anchorId="5ABA0C9A">
          <v:shape id="_x0000_i1123" type="#_x0000_t75" style="width:10.7pt;height:13.7pt" o:ole="" o:preferrelative="f">
            <v:imagedata r:id="rId191" o:title=""/>
            <o:lock v:ext="edit" aspectratio="f"/>
          </v:shape>
          <o:OLEObject Type="Embed" ProgID="Equation.3" ShapeID="_x0000_i1123" DrawAspect="Content" ObjectID="_1722174269" r:id="rId193"/>
        </w:object>
      </w:r>
      <w:r w:rsidR="00495DCD" w:rsidRPr="004035E1">
        <w:t xml:space="preserve"> is not identified above (as in usual ordered-response models)</w:t>
      </w:r>
      <w:r w:rsidR="00FF4284" w:rsidRPr="004035E1">
        <w:t xml:space="preserve"> and may be arbitrary set to the value of 1.</w:t>
      </w:r>
      <w:r w:rsidR="00495DCD" w:rsidRPr="004035E1">
        <w:t xml:space="preserve"> The latent count propensity </w:t>
      </w:r>
      <w:r w:rsidR="00A878AA" w:rsidRPr="004035E1">
        <w:rPr>
          <w:position w:val="-12"/>
        </w:rPr>
        <w:object w:dxaOrig="320" w:dyaOrig="380" w14:anchorId="2E82522D">
          <v:shape id="_x0000_i1124" type="#_x0000_t75" style="width:15.85pt;height:18pt" o:ole="" o:preferrelative="f">
            <v:imagedata r:id="rId194" o:title=""/>
            <o:lock v:ext="edit" aspectratio="f"/>
          </v:shape>
          <o:OLEObject Type="Embed" ProgID="Equation.DSMT4" ShapeID="_x0000_i1124" DrawAspect="Content" ObjectID="_1722174270" r:id="rId195"/>
        </w:object>
      </w:r>
      <w:r w:rsidR="00C5584D" w:rsidRPr="004035E1">
        <w:t xml:space="preserve"> </w:t>
      </w:r>
      <w:r w:rsidR="00495DCD" w:rsidRPr="004035E1">
        <w:t xml:space="preserve">is mapped to the observed count variable </w:t>
      </w:r>
      <w:r w:rsidR="00A878AA" w:rsidRPr="004035E1">
        <w:rPr>
          <w:position w:val="-12"/>
        </w:rPr>
        <w:object w:dxaOrig="320" w:dyaOrig="380" w14:anchorId="58976735">
          <v:shape id="_x0000_i1125" type="#_x0000_t75" style="width:15.85pt;height:18pt" o:ole="" o:preferrelative="f">
            <v:imagedata r:id="rId196" o:title=""/>
            <o:lock v:ext="edit" aspectratio="f"/>
          </v:shape>
          <o:OLEObject Type="Embed" ProgID="Equation.DSMT4" ShapeID="_x0000_i1125" DrawAspect="Content" ObjectID="_1722174271" r:id="rId197"/>
        </w:object>
      </w:r>
      <w:r w:rsidR="00C5584D" w:rsidRPr="004035E1">
        <w:t xml:space="preserve"> </w:t>
      </w:r>
      <w:r w:rsidR="00495DCD" w:rsidRPr="004035E1">
        <w:t xml:space="preserve">by the thresholds </w:t>
      </w:r>
      <w:r w:rsidR="00D834D5" w:rsidRPr="004035E1">
        <w:rPr>
          <w:position w:val="-12"/>
        </w:rPr>
        <w:object w:dxaOrig="300" w:dyaOrig="360" w14:anchorId="435F3472">
          <v:shape id="_x0000_i1126" type="#_x0000_t75" style="width:15pt;height:18pt" o:ole="" o:preferrelative="f">
            <v:imagedata r:id="rId198" o:title=""/>
            <o:lock v:ext="edit" aspectratio="f"/>
          </v:shape>
          <o:OLEObject Type="Embed" ProgID="Equation.DSMT4" ShapeID="_x0000_i1126" DrawAspect="Content" ObjectID="_1722174272" r:id="rId199"/>
        </w:object>
      </w:r>
      <w:r w:rsidR="00495DCD" w:rsidRPr="004035E1">
        <w:t>, which satisfy the ordering conditions</w:t>
      </w:r>
      <w:r w:rsidR="006F5641">
        <w:t xml:space="preserve"> </w:t>
      </w:r>
      <w:r w:rsidR="00D834D5" w:rsidRPr="004035E1">
        <w:rPr>
          <w:position w:val="-12"/>
        </w:rPr>
        <w:object w:dxaOrig="2380" w:dyaOrig="360" w14:anchorId="366BCB3D">
          <v:shape id="_x0000_i1127" type="#_x0000_t75" style="width:118.3pt;height:18pt" o:ole="" o:preferrelative="f">
            <v:imagedata r:id="rId200" o:title=""/>
            <o:lock v:ext="edit" aspectratio="f"/>
          </v:shape>
          <o:OLEObject Type="Embed" ProgID="Equation.DSMT4" ShapeID="_x0000_i1127" DrawAspect="Content" ObjectID="_1722174273" r:id="rId201"/>
        </w:object>
      </w:r>
      <w:r w:rsidR="00495DCD" w:rsidRPr="004035E1">
        <w:t>;</w:t>
      </w:r>
      <w:r w:rsidR="008E6F86" w:rsidRPr="004035E1">
        <w:rPr>
          <w:position w:val="-4"/>
        </w:rPr>
        <w:object w:dxaOrig="380" w:dyaOrig="200" w14:anchorId="6060A41F">
          <v:shape id="_x0000_i1128" type="#_x0000_t75" style="width:18pt;height:9.85pt" o:ole="" o:preferrelative="f">
            <v:imagedata r:id="rId202" o:title=""/>
            <o:lock v:ext="edit" aspectratio="f"/>
          </v:shape>
          <o:OLEObject Type="Embed" ProgID="Equation.DSMT4" ShapeID="_x0000_i1128" DrawAspect="Content" ObjectID="_1722174274" r:id="rId203"/>
        </w:object>
      </w:r>
      <w:r w:rsidR="00495DCD" w:rsidRPr="004035E1">
        <w:t xml:space="preserve">&lt; </w:t>
      </w:r>
      <w:r w:rsidR="00D834D5" w:rsidRPr="004035E1">
        <w:rPr>
          <w:position w:val="-12"/>
        </w:rPr>
        <w:object w:dxaOrig="1840" w:dyaOrig="360" w14:anchorId="7685259B">
          <v:shape id="_x0000_i1129" type="#_x0000_t75" style="width:92.55pt;height:18pt" o:ole="" o:preferrelative="f">
            <v:imagedata r:id="rId204" o:title=""/>
            <o:lock v:ext="edit" aspectratio="f"/>
          </v:shape>
          <o:OLEObject Type="Embed" ProgID="Equation.DSMT4" ShapeID="_x0000_i1129" DrawAspect="Content" ObjectID="_1722174275" r:id="rId205"/>
        </w:object>
      </w:r>
      <w:r w:rsidR="00495DCD" w:rsidRPr="004035E1">
        <w:t xml:space="preserve"> in the usual ordered-response fashion</w:t>
      </w:r>
      <w:r w:rsidRPr="004035E1">
        <w:t>.</w:t>
      </w:r>
      <w:r w:rsidR="00495DCD" w:rsidRPr="004035E1">
        <w:t xml:space="preserve"> </w:t>
      </w:r>
      <w:r w:rsidR="00495DCD" w:rsidRPr="004035E1">
        <w:rPr>
          <w:position w:val="-12"/>
        </w:rPr>
        <w:object w:dxaOrig="639" w:dyaOrig="360" w14:anchorId="6D009E2C">
          <v:shape id="_x0000_i1130" type="#_x0000_t75" style="width:32.15pt;height:18pt" o:ole="">
            <v:imagedata r:id="rId206" o:title=""/>
          </v:shape>
          <o:OLEObject Type="Embed" ProgID="Equation.DSMT4" ShapeID="_x0000_i1130" DrawAspect="Content" ObjectID="_1722174276" r:id="rId207"/>
        </w:object>
      </w:r>
      <w:r w:rsidR="00495DCD" w:rsidRPr="004035E1">
        <w:t xml:space="preserve"> is a non-linear function of a vector of individual-specific variables </w:t>
      </w:r>
      <w:r w:rsidR="00495DCD" w:rsidRPr="004035E1">
        <w:rPr>
          <w:position w:val="-6"/>
        </w:rPr>
        <w:object w:dxaOrig="260" w:dyaOrig="220" w14:anchorId="4BC0E95B">
          <v:shape id="_x0000_i1131" type="#_x0000_t75" style="width:13.3pt;height:10.7pt" o:ole="">
            <v:imagedata r:id="rId208" o:title=""/>
          </v:shape>
          <o:OLEObject Type="Embed" ProgID="Equation.DSMT4" ShapeID="_x0000_i1131" DrawAspect="Content" ObjectID="_1722174277" r:id="rId209"/>
        </w:object>
      </w:r>
      <w:r w:rsidR="00495DCD" w:rsidRPr="004035E1">
        <w:t xml:space="preserve"> (</w:t>
      </w:r>
      <w:r w:rsidR="00495DCD" w:rsidRPr="004035E1">
        <w:rPr>
          <w:position w:val="-6"/>
        </w:rPr>
        <w:object w:dxaOrig="260" w:dyaOrig="220" w14:anchorId="42C52D23">
          <v:shape id="_x0000_i1132" type="#_x0000_t75" style="width:13.3pt;height:10.7pt" o:ole="">
            <v:imagedata r:id="rId210" o:title=""/>
          </v:shape>
          <o:OLEObject Type="Embed" ProgID="Equation.DSMT4" ShapeID="_x0000_i1132" DrawAspect="Content" ObjectID="_1722174278" r:id="rId211"/>
        </w:object>
      </w:r>
      <w:r w:rsidR="00495DCD" w:rsidRPr="004035E1">
        <w:t xml:space="preserve"> includes a constant), and </w:t>
      </w:r>
      <w:r w:rsidR="00937BC5" w:rsidRPr="004035E1">
        <w:rPr>
          <w:position w:val="-12"/>
        </w:rPr>
        <w:object w:dxaOrig="279" w:dyaOrig="360" w14:anchorId="216172D4">
          <v:shape id="_x0000_i1133" type="#_x0000_t75" style="width:13.7pt;height:18pt" o:ole="" o:preferrelative="f">
            <v:imagedata r:id="rId212" o:title=""/>
            <o:lock v:ext="edit" aspectratio="f"/>
          </v:shape>
          <o:OLEObject Type="Embed" ProgID="Equation.DSMT4" ShapeID="_x0000_i1133" DrawAspect="Content" ObjectID="_1722174279" r:id="rId213"/>
        </w:object>
      </w:r>
      <w:r w:rsidR="00495DCD" w:rsidRPr="004035E1">
        <w:t xml:space="preserve"> is a scalar similar to the thresholds in a standard ordered-response model</w:t>
      </w:r>
      <w:r w:rsidR="008E6F86">
        <w:t xml:space="preserve"> </w:t>
      </w:r>
      <w:r w:rsidR="00937BC5" w:rsidRPr="004035E1">
        <w:rPr>
          <w:position w:val="-12"/>
        </w:rPr>
        <w:object w:dxaOrig="1020" w:dyaOrig="360" w14:anchorId="327F040F">
          <v:shape id="_x0000_i1134" type="#_x0000_t75" style="width:50.55pt;height:18pt" o:ole="" o:preferrelative="f">
            <v:imagedata r:id="rId214" o:title=""/>
            <o:lock v:ext="edit" aspectratio="f"/>
          </v:shape>
          <o:OLEObject Type="Embed" ProgID="Equation.DSMT4" ShapeID="_x0000_i1134" DrawAspect="Content" ObjectID="_1722174280" r:id="rId215"/>
        </w:object>
      </w:r>
      <w:r w:rsidR="00C5584D" w:rsidRPr="004035E1">
        <w:t xml:space="preserve"> and </w:t>
      </w:r>
      <w:r w:rsidR="008E6F86" w:rsidRPr="004035E1">
        <w:rPr>
          <w:position w:val="-12"/>
        </w:rPr>
        <w:object w:dxaOrig="680" w:dyaOrig="360" w14:anchorId="4DCB9382">
          <v:shape id="_x0000_i1135" type="#_x0000_t75" style="width:33pt;height:18pt" o:ole="" o:preferrelative="f">
            <v:imagedata r:id="rId216" o:title=""/>
            <o:lock v:ext="edit" aspectratio="f"/>
          </v:shape>
          <o:OLEObject Type="Embed" ProgID="Equation.DSMT4" ShapeID="_x0000_i1135" DrawAspect="Content" ObjectID="_1722174281" r:id="rId217"/>
        </w:object>
      </w:r>
      <w:r w:rsidR="00C5584D" w:rsidRPr="004035E1">
        <w:t xml:space="preserve"> </w:t>
      </w:r>
      <w:r w:rsidR="00495DCD" w:rsidRPr="004035E1">
        <w:t xml:space="preserve">for identification). Defining </w:t>
      </w:r>
      <w:r w:rsidR="00937BC5" w:rsidRPr="004035E1">
        <w:rPr>
          <w:position w:val="-16"/>
        </w:rPr>
        <w:object w:dxaOrig="2260" w:dyaOrig="440" w14:anchorId="15E6B6D3">
          <v:shape id="_x0000_i1136" type="#_x0000_t75" style="width:112.7pt;height:21.45pt" o:ole="">
            <v:imagedata r:id="rId218" o:title=""/>
          </v:shape>
          <o:OLEObject Type="Embed" ProgID="Equation.DSMT4" ShapeID="_x0000_i1136" DrawAspect="Content" ObjectID="_1722174282" r:id="rId219"/>
        </w:object>
      </w:r>
      <w:r w:rsidR="00495DCD" w:rsidRPr="004035E1">
        <w:t xml:space="preserve"> as the inverse survival function of the reverse Gumbel with scale </w:t>
      </w:r>
      <w:r w:rsidR="00937BC5" w:rsidRPr="004035E1">
        <w:rPr>
          <w:position w:val="-6"/>
        </w:rPr>
        <w:object w:dxaOrig="220" w:dyaOrig="279" w14:anchorId="4F0072E6">
          <v:shape id="_x0000_i1137" type="#_x0000_t75" style="width:10.7pt;height:13.7pt" o:ole="" o:preferrelative="f">
            <v:imagedata r:id="rId191" o:title=""/>
            <o:lock v:ext="edit" aspectratio="f"/>
          </v:shape>
          <o:OLEObject Type="Embed" ProgID="Equation.3" ShapeID="_x0000_i1137" DrawAspect="Content" ObjectID="_1722174283" r:id="rId220"/>
        </w:object>
      </w:r>
      <w:r w:rsidR="00495DCD" w:rsidRPr="004035E1">
        <w:t xml:space="preserve">, </w:t>
      </w:r>
      <w:r w:rsidR="005A6919" w:rsidRPr="004035E1">
        <w:t xml:space="preserve">and </w:t>
      </w:r>
      <w:r w:rsidR="00937BC5" w:rsidRPr="004035E1">
        <w:rPr>
          <w:position w:val="-10"/>
        </w:rPr>
        <w:object w:dxaOrig="859" w:dyaOrig="360" w14:anchorId="5F44CEE0">
          <v:shape id="_x0000_i1138" type="#_x0000_t75" style="width:43.3pt;height:18pt" o:ole="">
            <v:imagedata r:id="rId221" o:title=""/>
            <o:lock v:ext="edit" aspectratio="f"/>
          </v:shape>
          <o:OLEObject Type="Embed" ProgID="Equation.DSMT4" ShapeID="_x0000_i1138" DrawAspect="Content" ObjectID="_1722174284" r:id="rId222"/>
        </w:object>
      </w:r>
      <w:r w:rsidR="003E6341">
        <w:t xml:space="preserve"> (</w:t>
      </w:r>
      <w:r w:rsidR="003E6341" w:rsidRPr="00BB2502">
        <w:rPr>
          <w:position w:val="-10"/>
        </w:rPr>
        <w:object w:dxaOrig="200" w:dyaOrig="260">
          <v:shape id="_x0000_i1139" type="#_x0000_t75" style="width:9.85pt;height:13.3pt" o:ole="">
            <v:imagedata r:id="rId223" o:title=""/>
          </v:shape>
          <o:OLEObject Type="Embed" ProgID="Equation.DSMT4" ShapeID="_x0000_i1139" DrawAspect="Content" ObjectID="_1722174285" r:id="rId224"/>
        </w:object>
      </w:r>
      <w:r w:rsidR="003E6341" w:rsidRPr="00BB2502">
        <w:t xml:space="preserve"> is a coefficient vector to be estimated)</w:t>
      </w:r>
      <w:r w:rsidR="005A6919" w:rsidRPr="00BB2502">
        <w:t>,</w:t>
      </w:r>
      <w:r w:rsidR="005A6919" w:rsidRPr="004035E1">
        <w:t xml:space="preserve"> </w:t>
      </w:r>
      <w:r w:rsidR="00495DCD" w:rsidRPr="004035E1">
        <w:t xml:space="preserve">write </w:t>
      </w:r>
      <w:r w:rsidR="00937BC5" w:rsidRPr="004035E1">
        <w:rPr>
          <w:position w:val="-32"/>
        </w:rPr>
        <w:object w:dxaOrig="2540" w:dyaOrig="760" w14:anchorId="6DC141BC">
          <v:shape id="_x0000_i1140" type="#_x0000_t75" style="width:126.45pt;height:37.7pt" o:ole="">
            <v:imagedata r:id="rId225" o:title=""/>
          </v:shape>
          <o:OLEObject Type="Embed" ProgID="Equation.DSMT4" ShapeID="_x0000_i1140" DrawAspect="Content" ObjectID="_1722174286" r:id="rId226"/>
        </w:object>
      </w:r>
      <w:r w:rsidR="008E6F86">
        <w:t xml:space="preserve"> </w:t>
      </w:r>
      <w:r w:rsidR="00495DCD" w:rsidRPr="004035E1">
        <w:t>so that the thresholds in Equation (</w:t>
      </w:r>
      <w:r w:rsidR="0002083A">
        <w:t>1</w:t>
      </w:r>
      <w:r w:rsidR="00357D65">
        <w:t>8</w:t>
      </w:r>
      <w:r w:rsidR="00495DCD" w:rsidRPr="004035E1">
        <w:t>) take the following form</w:t>
      </w:r>
      <w:r w:rsidR="00495DCD" w:rsidRPr="004035E1">
        <w:rPr>
          <w:rStyle w:val="FootnoteReference"/>
        </w:rPr>
        <w:footnoteReference w:id="7"/>
      </w:r>
      <w:r w:rsidR="00495DCD" w:rsidRPr="004035E1">
        <w:t>:</w:t>
      </w:r>
    </w:p>
    <w:p w:rsidR="00495DCD" w:rsidRPr="004035E1" w:rsidRDefault="00D834D5" w:rsidP="00BB2502">
      <w:pPr>
        <w:tabs>
          <w:tab w:val="right" w:pos="9360"/>
        </w:tabs>
        <w:spacing w:line="276" w:lineRule="auto"/>
        <w:jc w:val="both"/>
      </w:pPr>
      <w:r w:rsidRPr="004035E1">
        <w:rPr>
          <w:position w:val="-32"/>
        </w:rPr>
        <w:object w:dxaOrig="2860" w:dyaOrig="760" w14:anchorId="2A03CBC0">
          <v:shape id="_x0000_i1141" type="#_x0000_t75" style="width:142.3pt;height:39pt" o:ole="" o:preferrelative="f">
            <v:imagedata r:id="rId227" o:title=""/>
            <o:lock v:ext="edit" aspectratio="f"/>
          </v:shape>
          <o:OLEObject Type="Embed" ProgID="Equation.DSMT4" ShapeID="_x0000_i1141" DrawAspect="Content" ObjectID="_1722174287" r:id="rId228"/>
        </w:object>
      </w:r>
      <w:r w:rsidR="00DE411C">
        <w:t>,</w:t>
      </w:r>
      <w:r w:rsidR="00495DCD" w:rsidRPr="004035E1">
        <w:t xml:space="preserve"> </w:t>
      </w:r>
      <w:r w:rsidR="00DE411C">
        <w:t xml:space="preserve">with </w:t>
      </w:r>
      <w:r w:rsidR="00937BC5" w:rsidRPr="004035E1">
        <w:rPr>
          <w:position w:val="-12"/>
        </w:rPr>
        <w:object w:dxaOrig="639" w:dyaOrig="360" w14:anchorId="6EAC415D">
          <v:shape id="_x0000_i1142" type="#_x0000_t75" style="width:32.15pt;height:18pt" o:ole="" o:preferrelative="f">
            <v:imagedata r:id="rId229" o:title=""/>
            <o:lock v:ext="edit" aspectratio="f"/>
          </v:shape>
          <o:OLEObject Type="Embed" ProgID="Equation.DSMT4" ShapeID="_x0000_i1142" DrawAspect="Content" ObjectID="_1722174288" r:id="rId230"/>
        </w:object>
      </w:r>
      <w:r w:rsidR="00DE411C">
        <w:t xml:space="preserve"> if </w:t>
      </w:r>
      <w:r w:rsidR="00937BC5" w:rsidRPr="004035E1">
        <w:rPr>
          <w:position w:val="-6"/>
        </w:rPr>
        <w:object w:dxaOrig="580" w:dyaOrig="320" w14:anchorId="61548AF6">
          <v:shape id="_x0000_i1143" type="#_x0000_t75" style="width:28.7pt;height:15.85pt" o:ole="" o:preferrelative="f">
            <v:imagedata r:id="rId231" o:title=""/>
            <o:lock v:ext="edit" aspectratio="f"/>
          </v:shape>
          <o:OLEObject Type="Embed" ProgID="Equation.DSMT4" ShapeID="_x0000_i1143" DrawAspect="Content" ObjectID="_1722174289" r:id="rId232"/>
        </w:object>
      </w:r>
      <w:r w:rsidR="00DE411C">
        <w:t xml:space="preserve">, </w:t>
      </w:r>
      <w:r w:rsidR="00DE411C">
        <w:tab/>
        <w:t>(1</w:t>
      </w:r>
      <w:r w:rsidR="005D5B92">
        <w:t>9</w:t>
      </w:r>
      <w:r w:rsidR="00DE411C">
        <w:t>)</w:t>
      </w:r>
    </w:p>
    <w:p w:rsidR="001F2D26" w:rsidRPr="004035E1" w:rsidRDefault="00495DCD" w:rsidP="004035E1">
      <w:pPr>
        <w:spacing w:line="276" w:lineRule="auto"/>
        <w:jc w:val="both"/>
      </w:pPr>
      <w:r w:rsidRPr="004035E1">
        <w:t xml:space="preserve">where </w:t>
      </w:r>
      <w:r w:rsidRPr="004035E1">
        <w:rPr>
          <w:position w:val="-4"/>
        </w:rPr>
        <w:object w:dxaOrig="260" w:dyaOrig="300" w14:anchorId="2DA3DD79">
          <v:shape id="_x0000_i1144" type="#_x0000_t75" style="width:13.3pt;height:15pt" o:ole="">
            <v:imagedata r:id="rId233" o:title=""/>
          </v:shape>
          <o:OLEObject Type="Embed" ProgID="Equation.DSMT4" ShapeID="_x0000_i1144" DrawAspect="Content" ObjectID="_1722174290" r:id="rId234"/>
        </w:object>
      </w:r>
      <w:r w:rsidRPr="004035E1">
        <w:rPr>
          <w:position w:val="-4"/>
        </w:rPr>
        <w:t xml:space="preserve"> </w:t>
      </w:r>
      <w:r w:rsidRPr="004035E1">
        <w:t xml:space="preserve">is an appropriate count level that may be determined based on the empirical context under consideration and empirical </w:t>
      </w:r>
      <w:proofErr w:type="gramStart"/>
      <w:r w:rsidRPr="004035E1">
        <w:t>testing.</w:t>
      </w:r>
      <w:proofErr w:type="gramEnd"/>
      <w:r w:rsidRPr="004035E1">
        <w:t xml:space="preserve"> The presence of the </w:t>
      </w:r>
      <w:r w:rsidRPr="004035E1">
        <w:rPr>
          <w:position w:val="-12"/>
        </w:rPr>
        <w:object w:dxaOrig="279" w:dyaOrig="360" w14:anchorId="02742F12">
          <v:shape id="_x0000_i1145" type="#_x0000_t75" style="width:13.7pt;height:18pt" o:ole="">
            <v:imagedata r:id="rId235" o:title=""/>
            <o:lock v:ext="edit" aspectratio="f"/>
          </v:shape>
          <o:OLEObject Type="Embed" ProgID="Equation.DSMT4" ShapeID="_x0000_i1145" DrawAspect="Content" ObjectID="_1722174291" r:id="rId236"/>
        </w:object>
      </w:r>
      <w:r w:rsidRPr="004035E1">
        <w:t xml:space="preserve"> terms </w:t>
      </w:r>
      <w:r w:rsidR="00FD47F6" w:rsidRPr="004035E1">
        <w:rPr>
          <w:position w:val="-16"/>
        </w:rPr>
        <w:object w:dxaOrig="2160" w:dyaOrig="440" w14:anchorId="3E3E7D49">
          <v:shape id="_x0000_i1146" type="#_x0000_t75" style="width:108.45pt;height:22.7pt" o:ole="">
            <v:imagedata r:id="rId237" o:title=""/>
            <o:lock v:ext="edit" aspectratio="f"/>
          </v:shape>
          <o:OLEObject Type="Embed" ProgID="Equation.DSMT4" ShapeID="_x0000_i1146" DrawAspect="Content" ObjectID="_1722174292" r:id="rId238"/>
        </w:object>
      </w:r>
      <w:r w:rsidRPr="004035E1">
        <w:t xml:space="preserve"> provides flexibility to accommodate high or low probability masses for specific count outcomes without the need for using hurdle or zero-inflated mechanisms. </w:t>
      </w:r>
      <w:r w:rsidR="001F2D26" w:rsidRPr="004035E1">
        <w:t xml:space="preserve">The probability of observing an individual </w:t>
      </w:r>
      <w:r w:rsidR="005A6919" w:rsidRPr="004035E1">
        <w:t xml:space="preserve">with a count of </w:t>
      </w:r>
      <w:r w:rsidR="005A6919" w:rsidRPr="004035E1">
        <w:rPr>
          <w:i/>
        </w:rPr>
        <w:t>i</w:t>
      </w:r>
      <w:r w:rsidR="005A6919" w:rsidRPr="004035E1">
        <w:t xml:space="preserve"> </w:t>
      </w:r>
      <w:r w:rsidR="001F2D26" w:rsidRPr="004035E1">
        <w:t>may be obtained as follows:</w:t>
      </w:r>
    </w:p>
    <w:p w:rsidR="00495DCD" w:rsidRPr="004035E1" w:rsidRDefault="00D834D5" w:rsidP="00E714EB">
      <w:pPr>
        <w:tabs>
          <w:tab w:val="right" w:pos="9360"/>
        </w:tabs>
        <w:spacing w:before="60" w:after="60" w:line="276" w:lineRule="auto"/>
        <w:jc w:val="both"/>
      </w:pPr>
      <w:r w:rsidRPr="004035E1">
        <w:rPr>
          <w:position w:val="-56"/>
        </w:rPr>
        <w:object w:dxaOrig="5000" w:dyaOrig="1280" w14:anchorId="7E5938C1">
          <v:shape id="_x0000_i1147" type="#_x0000_t75" style="width:249.85pt;height:64.7pt" o:ole="">
            <v:imagedata r:id="rId239" o:title=""/>
          </v:shape>
          <o:OLEObject Type="Embed" ProgID="Equation.DSMT4" ShapeID="_x0000_i1147" DrawAspect="Content" ObjectID="_1722174293" r:id="rId240"/>
        </w:object>
      </w:r>
      <w:r w:rsidR="00621787" w:rsidRPr="004035E1">
        <w:tab/>
        <w:t xml:space="preserve">    (</w:t>
      </w:r>
      <w:r w:rsidR="005D5B92">
        <w:t>20</w:t>
      </w:r>
      <w:r w:rsidR="00621787" w:rsidRPr="004035E1">
        <w:t>)</w:t>
      </w:r>
    </w:p>
    <w:p w:rsidR="00495DCD" w:rsidRPr="004035E1" w:rsidRDefault="00495DCD" w:rsidP="004035E1">
      <w:pPr>
        <w:spacing w:line="276" w:lineRule="auto"/>
        <w:ind w:firstLine="720"/>
        <w:jc w:val="both"/>
      </w:pPr>
      <w:r w:rsidRPr="004035E1">
        <w:t xml:space="preserve">The typical Poisson count model may be obtained as a restrictive specification of the generalized ordered-response model. To see this, assumes all </w:t>
      </w:r>
      <w:r w:rsidR="00937BC5" w:rsidRPr="004035E1">
        <w:rPr>
          <w:position w:val="-12"/>
        </w:rPr>
        <w:object w:dxaOrig="279" w:dyaOrig="360" w14:anchorId="3FE32FC9">
          <v:shape id="_x0000_i1148" type="#_x0000_t75" style="width:14.55pt;height:18pt" o:ole="">
            <v:imagedata r:id="rId241" o:title=""/>
          </v:shape>
          <o:OLEObject Type="Embed" ProgID="Equation.DSMT4" ShapeID="_x0000_i1148" DrawAspect="Content" ObjectID="_1722174294" r:id="rId242"/>
        </w:object>
      </w:r>
      <w:r w:rsidRPr="004035E1">
        <w:t xml:space="preserve"> terms are zero.  Then</w:t>
      </w:r>
      <w:r w:rsidR="00C51470" w:rsidRPr="004035E1">
        <w:t>,</w:t>
      </w:r>
    </w:p>
    <w:p w:rsidR="00495DCD" w:rsidRPr="004035E1" w:rsidRDefault="00937BC5" w:rsidP="00937BC5">
      <w:pPr>
        <w:tabs>
          <w:tab w:val="right" w:pos="9360"/>
        </w:tabs>
        <w:spacing w:line="276" w:lineRule="auto"/>
        <w:jc w:val="both"/>
      </w:pPr>
      <w:r w:rsidRPr="004035E1">
        <w:rPr>
          <w:position w:val="-122"/>
        </w:rPr>
        <w:object w:dxaOrig="7479" w:dyaOrig="2480" w14:anchorId="09AD0C9D">
          <v:shape id="_x0000_i1149" type="#_x0000_t75" style="width:374.15pt;height:123.45pt" o:ole="">
            <v:imagedata r:id="rId243" o:title=""/>
          </v:shape>
          <o:OLEObject Type="Embed" ProgID="Equation.DSMT4" ShapeID="_x0000_i1149" DrawAspect="Content" ObjectID="_1722174295" r:id="rId244"/>
        </w:object>
      </w:r>
      <w:r w:rsidR="003A3682">
        <w:tab/>
      </w:r>
      <w:r w:rsidR="00495DCD" w:rsidRPr="004035E1">
        <w:t>(</w:t>
      </w:r>
      <w:r w:rsidR="00DE11CC">
        <w:t>2</w:t>
      </w:r>
      <w:r w:rsidR="005D5B92">
        <w:t>1</w:t>
      </w:r>
      <w:r w:rsidR="00495DCD" w:rsidRPr="004035E1">
        <w:t>)</w:t>
      </w:r>
    </w:p>
    <w:p w:rsidR="00916214" w:rsidRDefault="00916214" w:rsidP="004035E1">
      <w:pPr>
        <w:tabs>
          <w:tab w:val="right" w:pos="9360"/>
        </w:tabs>
        <w:spacing w:line="276" w:lineRule="auto"/>
        <w:jc w:val="both"/>
        <w:rPr>
          <w:b/>
        </w:rPr>
      </w:pPr>
    </w:p>
    <w:p w:rsidR="00495DCD" w:rsidRPr="00DE411C" w:rsidRDefault="00516C13" w:rsidP="004035E1">
      <w:pPr>
        <w:tabs>
          <w:tab w:val="right" w:pos="9360"/>
        </w:tabs>
        <w:spacing w:line="276" w:lineRule="auto"/>
        <w:jc w:val="both"/>
        <w:rPr>
          <w:b/>
          <w:i/>
        </w:rPr>
      </w:pPr>
      <w:r w:rsidRPr="00DE411C">
        <w:rPr>
          <w:b/>
          <w:i/>
        </w:rPr>
        <w:t xml:space="preserve">2.3.2. </w:t>
      </w:r>
      <w:r w:rsidR="00495DCD" w:rsidRPr="00DE411C">
        <w:rPr>
          <w:b/>
          <w:i/>
        </w:rPr>
        <w:t xml:space="preserve">Linking with the </w:t>
      </w:r>
      <w:r w:rsidR="00DE411C">
        <w:rPr>
          <w:b/>
          <w:i/>
        </w:rPr>
        <w:t>F</w:t>
      </w:r>
      <w:r w:rsidR="00495DCD" w:rsidRPr="00DE411C">
        <w:rPr>
          <w:b/>
          <w:i/>
        </w:rPr>
        <w:t xml:space="preserve">ractional </w:t>
      </w:r>
      <w:r w:rsidR="00DE411C">
        <w:rPr>
          <w:b/>
          <w:i/>
        </w:rPr>
        <w:t>S</w:t>
      </w:r>
      <w:r w:rsidR="00495DCD" w:rsidRPr="00DE411C">
        <w:rPr>
          <w:b/>
          <w:i/>
        </w:rPr>
        <w:t xml:space="preserve">plit </w:t>
      </w:r>
      <w:r w:rsidR="00DE411C">
        <w:rPr>
          <w:b/>
          <w:i/>
        </w:rPr>
        <w:t>M</w:t>
      </w:r>
      <w:r w:rsidR="00495DCD" w:rsidRPr="00DE411C">
        <w:rPr>
          <w:b/>
          <w:i/>
        </w:rPr>
        <w:t>odel</w:t>
      </w:r>
    </w:p>
    <w:p w:rsidR="00495DCD" w:rsidRPr="004035E1" w:rsidRDefault="00495DCD" w:rsidP="004035E1">
      <w:pPr>
        <w:spacing w:line="276" w:lineRule="auto"/>
        <w:jc w:val="both"/>
      </w:pPr>
      <w:r w:rsidRPr="004035E1">
        <w:t xml:space="preserve">The linking function refers to the way the utility maximization process underlying the fractional split model gets incorporated within the count model. An improvement in the quality or a reduction in price of any alternative in the MDCEV model gets manifested as an increase in overall utility (or consumer surplus), resulting in a higher propensity for the consumer product under consideration and </w:t>
      </w:r>
      <w:r w:rsidR="0069265C">
        <w:t xml:space="preserve">a </w:t>
      </w:r>
      <w:r w:rsidR="006151A4">
        <w:t xml:space="preserve">shift toward a high </w:t>
      </w:r>
      <w:r w:rsidRPr="004035E1">
        <w:t>total count of units purchased</w:t>
      </w:r>
      <w:r w:rsidR="00655BA3" w:rsidRPr="004035E1">
        <w:t xml:space="preserve"> in the product category</w:t>
      </w:r>
      <w:r w:rsidRPr="004035E1">
        <w:t xml:space="preserve">. </w:t>
      </w:r>
      <w:r w:rsidR="008F6F06" w:rsidRPr="004035E1">
        <w:t>For this purpose</w:t>
      </w:r>
      <w:r w:rsidRPr="004035E1">
        <w:t xml:space="preserve">, we </w:t>
      </w:r>
      <w:r w:rsidR="00823D77" w:rsidRPr="004035E1">
        <w:t xml:space="preserve">introduce the function </w:t>
      </w:r>
      <w:r w:rsidR="00D50570" w:rsidRPr="00D50570">
        <w:rPr>
          <w:position w:val="-14"/>
        </w:rPr>
        <w:object w:dxaOrig="980" w:dyaOrig="400" w14:anchorId="4EC9874D">
          <v:shape id="_x0000_i1150" type="#_x0000_t75" style="width:49.3pt;height:19.3pt" o:ole="">
            <v:imagedata r:id="rId245" o:title=""/>
          </v:shape>
          <o:OLEObject Type="Embed" ProgID="Equation.DSMT4" ShapeID="_x0000_i1150" DrawAspect="Content" ObjectID="_1722174296" r:id="rId246"/>
        </w:object>
      </w:r>
      <w:r w:rsidR="00823D77" w:rsidRPr="004035E1">
        <w:t xml:space="preserve"> as developed </w:t>
      </w:r>
      <w:r w:rsidRPr="004035E1">
        <w:t xml:space="preserve">from the fractional split </w:t>
      </w:r>
      <w:r w:rsidR="00823D77" w:rsidRPr="004035E1">
        <w:t xml:space="preserve">model </w:t>
      </w:r>
      <w:r w:rsidRPr="004035E1">
        <w:t>into the count model</w:t>
      </w:r>
      <w:r w:rsidR="00BD3A9F" w:rsidRPr="004035E1">
        <w:t xml:space="preserve"> </w:t>
      </w:r>
      <w:r w:rsidR="00D50570">
        <w:t xml:space="preserve">of </w:t>
      </w:r>
      <w:r w:rsidRPr="004035E1">
        <w:t>Equation (</w:t>
      </w:r>
      <w:r w:rsidR="006151A4">
        <w:t>1</w:t>
      </w:r>
      <w:r w:rsidR="005D5B92">
        <w:t>8</w:t>
      </w:r>
      <w:r w:rsidRPr="004035E1">
        <w:t>)</w:t>
      </w:r>
      <w:r w:rsidR="00D50570">
        <w:t xml:space="preserve"> </w:t>
      </w:r>
      <w:r w:rsidRPr="004035E1">
        <w:t>as follows:</w:t>
      </w:r>
    </w:p>
    <w:p w:rsidR="00495DCD" w:rsidRPr="004035E1" w:rsidRDefault="00A87CF1" w:rsidP="00E714EB">
      <w:pPr>
        <w:tabs>
          <w:tab w:val="right" w:pos="9360"/>
        </w:tabs>
        <w:spacing w:before="60" w:after="60" w:line="276" w:lineRule="auto"/>
        <w:jc w:val="both"/>
      </w:pPr>
      <w:r w:rsidRPr="004035E1">
        <w:rPr>
          <w:position w:val="-12"/>
        </w:rPr>
        <w:object w:dxaOrig="2020" w:dyaOrig="400" w14:anchorId="24586B84">
          <v:shape id="_x0000_i1151" type="#_x0000_t75" style="width:101.55pt;height:19.3pt" o:ole="">
            <v:imagedata r:id="rId247" o:title=""/>
            <o:lock v:ext="edit" aspectratio="f"/>
          </v:shape>
          <o:OLEObject Type="Embed" ProgID="Equation.DSMT4" ShapeID="_x0000_i1151" DrawAspect="Content" ObjectID="_1722174297" r:id="rId248"/>
        </w:object>
      </w:r>
      <w:r w:rsidR="00495DCD" w:rsidRPr="004035E1">
        <w:t xml:space="preserve">, </w:t>
      </w:r>
      <w:r w:rsidR="00982363" w:rsidRPr="004035E1">
        <w:rPr>
          <w:position w:val="-12"/>
        </w:rPr>
        <w:object w:dxaOrig="639" w:dyaOrig="360" w14:anchorId="6F2178EC">
          <v:shape id="_x0000_i1152" type="#_x0000_t75" style="width:32.15pt;height:17.55pt" o:ole="">
            <v:imagedata r:id="rId249" o:title=""/>
          </v:shape>
          <o:OLEObject Type="Embed" ProgID="Equation.DSMT4" ShapeID="_x0000_i1152" DrawAspect="Content" ObjectID="_1722174298" r:id="rId250"/>
        </w:object>
      </w:r>
      <w:r w:rsidR="00495DCD" w:rsidRPr="004035E1">
        <w:t xml:space="preserve"> if </w:t>
      </w:r>
      <w:r w:rsidR="00D834D5" w:rsidRPr="004035E1">
        <w:rPr>
          <w:position w:val="-12"/>
        </w:rPr>
        <w:object w:dxaOrig="1420" w:dyaOrig="380" w14:anchorId="7228EAFF">
          <v:shape id="_x0000_i1153" type="#_x0000_t75" style="width:71.15pt;height:18pt" o:ole="">
            <v:imagedata r:id="rId251" o:title=""/>
          </v:shape>
          <o:OLEObject Type="Embed" ProgID="Equation.DSMT4" ShapeID="_x0000_i1153" DrawAspect="Content" ObjectID="_1722174299" r:id="rId252"/>
        </w:object>
      </w:r>
      <w:r w:rsidR="00495DCD" w:rsidRPr="004035E1">
        <w:t xml:space="preserve">,  </w:t>
      </w:r>
      <w:r w:rsidR="00D834D5" w:rsidRPr="004035E1">
        <w:rPr>
          <w:position w:val="-28"/>
        </w:rPr>
        <w:object w:dxaOrig="1840" w:dyaOrig="680" w14:anchorId="26CC1CD1">
          <v:shape id="_x0000_i1154" type="#_x0000_t75" style="width:91.3pt;height:33pt" o:ole="" o:preferrelative="f">
            <v:imagedata r:id="rId253" o:title=""/>
            <o:lock v:ext="edit" aspectratio="f"/>
          </v:shape>
          <o:OLEObject Type="Embed" ProgID="Equation.DSMT4" ShapeID="_x0000_i1154" DrawAspect="Content" ObjectID="_1722174300" r:id="rId254"/>
        </w:object>
      </w:r>
      <w:r w:rsidR="00495DCD" w:rsidRPr="004035E1">
        <w:t>,</w:t>
      </w:r>
      <w:r w:rsidR="00621787" w:rsidRPr="004035E1">
        <w:tab/>
        <w:t>(</w:t>
      </w:r>
      <w:r w:rsidR="00DE11CC">
        <w:t>2</w:t>
      </w:r>
      <w:r w:rsidR="005D5B92">
        <w:t>2</w:t>
      </w:r>
      <w:r w:rsidR="00621787" w:rsidRPr="004035E1">
        <w:t>)</w:t>
      </w:r>
    </w:p>
    <w:p w:rsidR="005D5B92" w:rsidRDefault="00495DCD" w:rsidP="005D5B92">
      <w:pPr>
        <w:spacing w:line="276" w:lineRule="auto"/>
        <w:jc w:val="both"/>
      </w:pPr>
      <w:r w:rsidRPr="004035E1">
        <w:lastRenderedPageBreak/>
        <w:t xml:space="preserve">where </w:t>
      </w:r>
      <w:r w:rsidR="00341938" w:rsidRPr="004035E1">
        <w:rPr>
          <w:position w:val="-6"/>
        </w:rPr>
        <w:object w:dxaOrig="220" w:dyaOrig="340" w14:anchorId="7F7A5237">
          <v:shape id="_x0000_i1155" type="#_x0000_t75" style="width:10.7pt;height:16.7pt" o:ole="">
            <v:imagedata r:id="rId255" o:title=""/>
          </v:shape>
          <o:OLEObject Type="Embed" ProgID="Equation.DSMT4" ShapeID="_x0000_i1155" DrawAspect="Content" ObjectID="_1722174301" r:id="rId256"/>
        </w:object>
      </w:r>
      <w:r w:rsidR="00341938" w:rsidRPr="004035E1">
        <w:t xml:space="preserve"> </w:t>
      </w:r>
      <w:r w:rsidR="00982363" w:rsidRPr="004035E1">
        <w:t xml:space="preserve">is a scalar link parameter </w:t>
      </w:r>
      <w:r w:rsidR="00341938" w:rsidRPr="004035E1">
        <w:t>(</w:t>
      </w:r>
      <w:r w:rsidR="00341938" w:rsidRPr="004035E1">
        <w:rPr>
          <w:position w:val="-6"/>
        </w:rPr>
        <w:object w:dxaOrig="220" w:dyaOrig="340" w14:anchorId="12B11573">
          <v:shape id="_x0000_i1156" type="#_x0000_t75" style="width:10.7pt;height:16.7pt" o:ole="">
            <v:imagedata r:id="rId257" o:title=""/>
          </v:shape>
          <o:OLEObject Type="Embed" ProgID="Equation.DSMT4" ShapeID="_x0000_i1156" DrawAspect="Content" ObjectID="_1722174302" r:id="rId258"/>
        </w:object>
      </w:r>
      <w:r w:rsidR="00982363" w:rsidRPr="004035E1">
        <w:t xml:space="preserve">&gt;0), and </w:t>
      </w:r>
      <w:r w:rsidR="00982363" w:rsidRPr="004035E1">
        <w:rPr>
          <w:position w:val="-10"/>
        </w:rPr>
        <w:object w:dxaOrig="240" w:dyaOrig="320" w14:anchorId="2E908DDB">
          <v:shape id="_x0000_i1157" type="#_x0000_t75" style="width:12pt;height:16.3pt" o:ole="">
            <v:imagedata r:id="rId259" o:title=""/>
          </v:shape>
          <o:OLEObject Type="Embed" ProgID="Equation.DSMT4" ShapeID="_x0000_i1157" DrawAspect="Content" ObjectID="_1722174303" r:id="rId260"/>
        </w:object>
      </w:r>
      <w:r w:rsidR="00982363" w:rsidRPr="004035E1">
        <w:t xml:space="preserve"> is a random variable </w:t>
      </w:r>
      <w:r w:rsidR="00A87CF1" w:rsidRPr="004035E1">
        <w:t xml:space="preserve">as earlier </w:t>
      </w:r>
      <w:r w:rsidR="00982363" w:rsidRPr="004035E1">
        <w:t>capturing the effects of unobserved variables</w:t>
      </w:r>
      <w:r w:rsidR="004E08AE">
        <w:t xml:space="preserve"> (as required, as the price of any inside good increases, </w:t>
      </w:r>
      <w:r w:rsidR="004E08AE" w:rsidRPr="00E8777E">
        <w:rPr>
          <w:position w:val="-12"/>
        </w:rPr>
        <w:object w:dxaOrig="840" w:dyaOrig="360" w14:anchorId="7A9EE36C">
          <v:shape id="_x0000_i1158" type="#_x0000_t75" style="width:42pt;height:18pt" o:ole="">
            <v:imagedata r:id="rId261" o:title=""/>
          </v:shape>
          <o:OLEObject Type="Embed" ProgID="Equation.DSMT4" ShapeID="_x0000_i1158" DrawAspect="Content" ObjectID="_1722174304" r:id="rId262"/>
        </w:object>
      </w:r>
      <w:r w:rsidR="004E08AE">
        <w:t xml:space="preserve"> increases, and the propensity of consumption in the product group </w:t>
      </w:r>
      <w:r w:rsidR="004E08AE" w:rsidRPr="004E08AE">
        <w:rPr>
          <w:i/>
        </w:rPr>
        <w:t>G</w:t>
      </w:r>
      <w:r w:rsidR="004E08AE">
        <w:t xml:space="preserve">, </w:t>
      </w:r>
      <w:r w:rsidR="004E08AE" w:rsidRPr="00E8777E">
        <w:rPr>
          <w:position w:val="-12"/>
        </w:rPr>
        <w:object w:dxaOrig="320" w:dyaOrig="380" w14:anchorId="3C879069">
          <v:shape id="_x0000_i1159" type="#_x0000_t75" style="width:16.3pt;height:19.3pt" o:ole="">
            <v:imagedata r:id="rId263" o:title=""/>
          </v:shape>
          <o:OLEObject Type="Embed" ProgID="Equation.DSMT4" ShapeID="_x0000_i1159" DrawAspect="Content" ObjectID="_1722174305" r:id="rId264"/>
        </w:object>
      </w:r>
      <w:r w:rsidR="004E08AE">
        <w:t>, decreases)</w:t>
      </w:r>
      <w:r w:rsidR="00982363" w:rsidRPr="004035E1">
        <w:t xml:space="preserve">. </w:t>
      </w:r>
      <w:r w:rsidR="00F77749" w:rsidRPr="004035E1">
        <w:t xml:space="preserve">We continue to use </w:t>
      </w:r>
      <w:r w:rsidR="00DE411C" w:rsidRPr="004035E1">
        <w:rPr>
          <w:position w:val="-32"/>
        </w:rPr>
        <w:object w:dxaOrig="2460" w:dyaOrig="760" w14:anchorId="37BBCE75">
          <v:shape id="_x0000_i1160" type="#_x0000_t75" style="width:122.55pt;height:39pt" o:ole="">
            <v:imagedata r:id="rId265" o:title=""/>
          </v:shape>
          <o:OLEObject Type="Embed" ProgID="Equation.DSMT4" ShapeID="_x0000_i1160" DrawAspect="Content" ObjectID="_1722174306" r:id="rId266"/>
        </w:object>
      </w:r>
      <w:r w:rsidR="00F77749" w:rsidRPr="004035E1">
        <w:t xml:space="preserve">. </w:t>
      </w:r>
      <w:r w:rsidR="00DE11CC">
        <w:t xml:space="preserve">We next re-introduce stochasticity within the aggregate price index, but rather than use the same error terms </w:t>
      </w:r>
      <w:r w:rsidR="00DE11CC" w:rsidRPr="005216BC">
        <w:rPr>
          <w:position w:val="-12"/>
        </w:rPr>
        <w:object w:dxaOrig="260" w:dyaOrig="360" w14:anchorId="3AEC2ED4">
          <v:shape id="_x0000_i1161" type="#_x0000_t75" style="width:13.3pt;height:18pt" o:ole="">
            <v:imagedata r:id="rId267" o:title=""/>
          </v:shape>
          <o:OLEObject Type="Embed" ProgID="Equation.DSMT4" ShapeID="_x0000_i1161" DrawAspect="Content" ObjectID="_1722174307" r:id="rId268"/>
        </w:object>
      </w:r>
      <w:r w:rsidR="00DE11CC">
        <w:t xml:space="preserve"> </w:t>
      </w:r>
      <w:r w:rsidR="005D5B92">
        <w:t xml:space="preserve">of </w:t>
      </w:r>
      <w:r w:rsidR="00DE11CC">
        <w:t xml:space="preserve">the fractional split model </w:t>
      </w:r>
      <w:r w:rsidR="005D5B92">
        <w:t xml:space="preserve">in the </w:t>
      </w:r>
      <w:r w:rsidR="005D5B92" w:rsidRPr="005216BC">
        <w:rPr>
          <w:position w:val="-12"/>
        </w:rPr>
        <w:object w:dxaOrig="320" w:dyaOrig="360" w14:anchorId="11CD4A11">
          <v:shape id="_x0000_i1162" type="#_x0000_t75" style="width:16.3pt;height:18pt" o:ole="">
            <v:imagedata r:id="rId269" o:title=""/>
          </v:shape>
          <o:OLEObject Type="Embed" ProgID="Equation.DSMT4" ShapeID="_x0000_i1162" DrawAspect="Content" ObjectID="_1722174308" r:id="rId270"/>
        </w:object>
      </w:r>
      <w:r w:rsidR="005D5B92">
        <w:t xml:space="preserve"> terms </w:t>
      </w:r>
      <w:r w:rsidR="00CC4A8A">
        <w:t xml:space="preserve">from </w:t>
      </w:r>
      <w:r w:rsidR="005D5B92">
        <w:t>Equation (</w:t>
      </w:r>
      <w:r w:rsidR="00CC4A8A">
        <w:t>2</w:t>
      </w:r>
      <w:r w:rsidR="005D5B92">
        <w:t xml:space="preserve">), we introduce independent error terms </w:t>
      </w:r>
      <w:r w:rsidR="005D5B92" w:rsidRPr="005216BC">
        <w:rPr>
          <w:position w:val="-12"/>
        </w:rPr>
        <w:object w:dxaOrig="260" w:dyaOrig="360" w14:anchorId="0B9F39DB">
          <v:shape id="_x0000_i1163" type="#_x0000_t75" style="width:13.3pt;height:18pt" o:ole="">
            <v:imagedata r:id="rId271" o:title=""/>
          </v:shape>
          <o:OLEObject Type="Embed" ProgID="Equation.DSMT4" ShapeID="_x0000_i1163" DrawAspect="Content" ObjectID="_1722174309" r:id="rId272"/>
        </w:object>
      </w:r>
      <w:r w:rsidR="005D5B92">
        <w:t xml:space="preserve"> </w:t>
      </w:r>
      <w:r w:rsidR="006D508D">
        <w:t>because the linking term needs to be strictly upwards from the second stage to the first stage, and needs to be exogenous to the total count equation (see Bhat, 2022 for a discussion). For similar reasons, as also in Hausman et al. (1995), the total count cannot be introduced as a variable in the second stage fractional MDCEV model. So</w:t>
      </w:r>
      <w:r w:rsidR="005D5B92">
        <w:t xml:space="preserve">, we use independently distributed standard reverse-Gumbel error terms </w:t>
      </w:r>
      <w:r w:rsidR="005D5B92" w:rsidRPr="00C55EC4">
        <w:rPr>
          <w:position w:val="-12"/>
        </w:rPr>
        <w:object w:dxaOrig="260" w:dyaOrig="360" w14:anchorId="730EDEAD">
          <v:shape id="_x0000_i1164" type="#_x0000_t75" style="width:13.3pt;height:18pt" o:ole="">
            <v:imagedata r:id="rId273" o:title=""/>
          </v:shape>
          <o:OLEObject Type="Embed" ProgID="Equation.DSMT4" ShapeID="_x0000_i1164" DrawAspect="Content" ObjectID="_1722174310" r:id="rId274"/>
        </w:object>
      </w:r>
      <w:r w:rsidR="005D5B92">
        <w:t xml:space="preserve"> (different from, and independent of, </w:t>
      </w:r>
      <w:r w:rsidR="005D5B92" w:rsidRPr="00C55EC4">
        <w:rPr>
          <w:position w:val="-12"/>
        </w:rPr>
        <w:object w:dxaOrig="260" w:dyaOrig="360" w14:anchorId="1C818D5C">
          <v:shape id="_x0000_i1165" type="#_x0000_t75" style="width:13.3pt;height:18pt" o:ole="">
            <v:imagedata r:id="rId275" o:title=""/>
          </v:shape>
          <o:OLEObject Type="Embed" ProgID="Equation.DSMT4" ShapeID="_x0000_i1165" DrawAspect="Content" ObjectID="_1722174311" r:id="rId276"/>
        </w:object>
      </w:r>
      <w:r w:rsidR="005D5B92">
        <w:t xml:space="preserve">) to moderate the effect of the systematic baseline preferences from the fractional model </w:t>
      </w:r>
      <w:r w:rsidR="00CC4A8A">
        <w:t>in</w:t>
      </w:r>
      <w:r w:rsidR="005D5B92">
        <w:t xml:space="preserve"> the budget model, and write </w:t>
      </w:r>
      <w:r w:rsidR="00CC4A8A">
        <w:t xml:space="preserve">an empirical specification version of </w:t>
      </w:r>
      <w:r w:rsidR="005D5B92">
        <w:t>Equation (</w:t>
      </w:r>
      <w:r w:rsidR="00CC4A8A">
        <w:t>17</w:t>
      </w:r>
      <w:r w:rsidR="005D5B92">
        <w:t xml:space="preserve">) </w:t>
      </w:r>
      <w:r w:rsidR="00CC4A8A">
        <w:t>as:</w:t>
      </w:r>
    </w:p>
    <w:p w:rsidR="005D5B92" w:rsidRDefault="00502499" w:rsidP="005B2CE7">
      <w:pPr>
        <w:spacing w:before="60" w:after="60" w:line="276" w:lineRule="auto"/>
        <w:jc w:val="both"/>
      </w:pPr>
      <w:r w:rsidRPr="00554449">
        <w:rPr>
          <w:position w:val="-30"/>
        </w:rPr>
        <w:object w:dxaOrig="3600" w:dyaOrig="720" w14:anchorId="3118B54D">
          <v:shape id="_x0000_i1166" type="#_x0000_t75" style="width:180.45pt;height:36.45pt" o:ole="">
            <v:imagedata r:id="rId277" o:title=""/>
          </v:shape>
          <o:OLEObject Type="Embed" ProgID="Equation.DSMT4" ShapeID="_x0000_i1166" DrawAspect="Content" ObjectID="_1722174312" r:id="rId278"/>
        </w:object>
      </w:r>
      <w:r>
        <w:tab/>
      </w:r>
      <w:r>
        <w:tab/>
      </w:r>
      <w:r>
        <w:tab/>
      </w:r>
      <w:r>
        <w:tab/>
      </w:r>
      <w:r>
        <w:tab/>
      </w:r>
      <w:r>
        <w:tab/>
      </w:r>
      <w:r>
        <w:tab/>
        <w:t xml:space="preserve">     (23)</w:t>
      </w:r>
    </w:p>
    <w:p w:rsidR="003357BC" w:rsidRDefault="00B02E7D" w:rsidP="005D5B92">
      <w:pPr>
        <w:spacing w:line="276" w:lineRule="auto"/>
        <w:jc w:val="both"/>
      </w:pPr>
      <w:r>
        <w:t xml:space="preserve">The use of </w:t>
      </w:r>
      <w:r w:rsidRPr="00C55EC4">
        <w:rPr>
          <w:position w:val="-12"/>
        </w:rPr>
        <w:object w:dxaOrig="260" w:dyaOrig="360">
          <v:shape id="_x0000_i1167" type="#_x0000_t75" style="width:13.3pt;height:18pt" o:ole="">
            <v:imagedata r:id="rId273" o:title=""/>
          </v:shape>
          <o:OLEObject Type="Embed" ProgID="Equation.DSMT4" ShapeID="_x0000_i1167" DrawAspect="Content" ObjectID="_1722174313" r:id="rId279"/>
        </w:object>
      </w:r>
      <w:r>
        <w:t xml:space="preserve"> that is different from </w:t>
      </w:r>
      <w:r w:rsidRPr="00C55EC4">
        <w:rPr>
          <w:position w:val="-12"/>
        </w:rPr>
        <w:object w:dxaOrig="260" w:dyaOrig="360">
          <v:shape id="_x0000_i1168" type="#_x0000_t75" style="width:13.3pt;height:18pt" o:ole="">
            <v:imagedata r:id="rId275" o:title=""/>
          </v:shape>
          <o:OLEObject Type="Embed" ProgID="Equation.DSMT4" ShapeID="_x0000_i1168" DrawAspect="Content" ObjectID="_1722174314" r:id="rId280"/>
        </w:object>
      </w:r>
      <w:r>
        <w:t xml:space="preserve"> in the linking function also breaks any correlation based on unobserved factors between the total count and the fractional split model, allowing for a closed-form and simple structure for the proposed MDCNTEV model. Similar to our study, earlier two-stage models assume independence between the two stages conditional on observed characteristics, by constructing the linking function as being purely deterministic; but, instead of using the traditional deterministic form, we introduce the error terms </w:t>
      </w:r>
      <w:r w:rsidRPr="00C55EC4">
        <w:rPr>
          <w:position w:val="-12"/>
        </w:rPr>
        <w:object w:dxaOrig="260" w:dyaOrig="360">
          <v:shape id="_x0000_i1169" type="#_x0000_t75" style="width:13.3pt;height:18pt" o:ole="">
            <v:imagedata r:id="rId273" o:title=""/>
          </v:shape>
          <o:OLEObject Type="Embed" ProgID="Equation.DSMT4" ShapeID="_x0000_i1169" DrawAspect="Content" ObjectID="_1722174315" r:id="rId281"/>
        </w:object>
      </w:r>
      <w:r>
        <w:t xml:space="preserve"> in our linking function, which immediately accommodates heteroscedasticity in the total count model</w:t>
      </w:r>
      <w:r w:rsidR="00FD5BC7">
        <w:t xml:space="preserve"> (as discussed later in this section)</w:t>
      </w:r>
      <w:r>
        <w:t xml:space="preserve">. </w:t>
      </w:r>
      <w:r w:rsidR="00FD5BC7">
        <w:t>Then</w:t>
      </w:r>
      <w:r w:rsidR="003357BC">
        <w:t>,</w:t>
      </w:r>
      <w:r>
        <w:t xml:space="preserve"> by retaining independence (conditional on observed characteristics), we are able to write the </w:t>
      </w:r>
      <w:r w:rsidR="003357BC">
        <w:t>choice probabilities in our model as a product of the probability from the first stage count model and the probability from the second stage fractional split model, as we now set out to do.</w:t>
      </w:r>
      <w:r>
        <w:t xml:space="preserve"> </w:t>
      </w:r>
    </w:p>
    <w:p w:rsidR="00495DCD" w:rsidRPr="004035E1" w:rsidRDefault="00495DCD" w:rsidP="003357BC">
      <w:pPr>
        <w:spacing w:line="276" w:lineRule="auto"/>
        <w:ind w:firstLine="720"/>
        <w:jc w:val="both"/>
      </w:pPr>
      <w:r w:rsidRPr="004035E1">
        <w:t xml:space="preserve">To obtain the probability of observing each count value, one needs the distribution of the underlying latent variable </w:t>
      </w:r>
      <w:r w:rsidR="00341938" w:rsidRPr="004035E1">
        <w:rPr>
          <w:position w:val="-12"/>
        </w:rPr>
        <w:object w:dxaOrig="320" w:dyaOrig="380" w14:anchorId="1BF00B43">
          <v:shape id="_x0000_i1170" type="#_x0000_t75" style="width:16.3pt;height:19.3pt" o:ole="">
            <v:imagedata r:id="rId282" o:title=""/>
          </v:shape>
          <o:OLEObject Type="Embed" ProgID="Equation.DSMT4" ShapeID="_x0000_i1170" DrawAspect="Content" ObjectID="_1722174316" r:id="rId283"/>
        </w:object>
      </w:r>
      <w:r w:rsidRPr="004035E1">
        <w:t xml:space="preserve"> after adding the linking function as above. To obtain this distribution, we re-write </w:t>
      </w:r>
      <w:r w:rsidR="00341938" w:rsidRPr="004035E1">
        <w:rPr>
          <w:position w:val="-12"/>
        </w:rPr>
        <w:object w:dxaOrig="320" w:dyaOrig="380" w14:anchorId="62ECDD55">
          <v:shape id="_x0000_i1171" type="#_x0000_t75" style="width:16.3pt;height:19.3pt" o:ole="">
            <v:imagedata r:id="rId284" o:title=""/>
          </v:shape>
          <o:OLEObject Type="Embed" ProgID="Equation.DSMT4" ShapeID="_x0000_i1171" DrawAspect="Content" ObjectID="_1722174317" r:id="rId285"/>
        </w:object>
      </w:r>
      <w:r w:rsidR="003F4131" w:rsidRPr="004035E1">
        <w:t xml:space="preserve"> </w:t>
      </w:r>
      <w:r w:rsidRPr="004035E1">
        <w:t>using Equation (</w:t>
      </w:r>
      <w:r w:rsidR="00C546E9">
        <w:t>1</w:t>
      </w:r>
      <w:r w:rsidR="00CC4A8A">
        <w:t>8</w:t>
      </w:r>
      <w:r w:rsidRPr="004035E1">
        <w:t>) as follows:</w:t>
      </w:r>
    </w:p>
    <w:p w:rsidR="003357BC" w:rsidRDefault="003357BC">
      <w:r>
        <w:br w:type="page"/>
      </w:r>
    </w:p>
    <w:p w:rsidR="00495DCD" w:rsidRPr="004035E1" w:rsidRDefault="00937BC5" w:rsidP="00E714EB">
      <w:pPr>
        <w:spacing w:before="60" w:line="276" w:lineRule="auto"/>
        <w:jc w:val="both"/>
      </w:pPr>
      <w:r w:rsidRPr="004035E1">
        <w:rPr>
          <w:position w:val="-32"/>
        </w:rPr>
        <w:object w:dxaOrig="7540" w:dyaOrig="760" w14:anchorId="33F3F779">
          <v:shape id="_x0000_i1172" type="#_x0000_t75" style="width:377.55pt;height:39pt" o:ole="">
            <v:imagedata r:id="rId286" o:title=""/>
          </v:shape>
          <o:OLEObject Type="Embed" ProgID="Equation.DSMT4" ShapeID="_x0000_i1172" DrawAspect="Content" ObjectID="_1722174318" r:id="rId287"/>
        </w:object>
      </w:r>
      <w:r w:rsidR="00495DCD" w:rsidRPr="004035E1">
        <w:t xml:space="preserve"> </w:t>
      </w:r>
    </w:p>
    <w:p w:rsidR="00495DCD" w:rsidRPr="004035E1" w:rsidRDefault="00495DCD" w:rsidP="00E714EB">
      <w:pPr>
        <w:tabs>
          <w:tab w:val="right" w:pos="9360"/>
        </w:tabs>
        <w:spacing w:after="60" w:line="276" w:lineRule="auto"/>
        <w:jc w:val="both"/>
      </w:pPr>
      <w:r w:rsidRPr="004035E1">
        <w:t xml:space="preserve">with </w:t>
      </w:r>
      <w:r w:rsidR="00937BC5" w:rsidRPr="004035E1">
        <w:rPr>
          <w:position w:val="-32"/>
        </w:rPr>
        <w:object w:dxaOrig="4200" w:dyaOrig="760" w14:anchorId="31699E85">
          <v:shape id="_x0000_i1173" type="#_x0000_t75" style="width:208.7pt;height:39pt" o:ole="">
            <v:imagedata r:id="rId288" o:title=""/>
          </v:shape>
          <o:OLEObject Type="Embed" ProgID="Equation.DSMT4" ShapeID="_x0000_i1173" DrawAspect="Content" ObjectID="_1722174319" r:id="rId289"/>
        </w:object>
      </w:r>
      <w:r w:rsidRPr="004035E1">
        <w:t xml:space="preserve"> </w:t>
      </w:r>
      <w:r w:rsidR="00DE411C">
        <w:tab/>
      </w:r>
      <w:r w:rsidR="004A5BF5" w:rsidRPr="004035E1">
        <w:t>(</w:t>
      </w:r>
      <w:r w:rsidR="00243FC5">
        <w:t>24</w:t>
      </w:r>
      <w:r w:rsidR="004A5BF5" w:rsidRPr="004035E1">
        <w:t>)</w:t>
      </w:r>
    </w:p>
    <w:p w:rsidR="00495DCD" w:rsidRPr="004035E1" w:rsidRDefault="00FF4284" w:rsidP="004035E1">
      <w:pPr>
        <w:spacing w:line="276" w:lineRule="auto"/>
        <w:jc w:val="both"/>
      </w:pPr>
      <w:r w:rsidRPr="004035E1">
        <w:t xml:space="preserve">Of course, once again the </w:t>
      </w:r>
      <w:r w:rsidR="00754A51" w:rsidRPr="004035E1">
        <w:t xml:space="preserve">parameter </w:t>
      </w:r>
      <w:r w:rsidR="00712EB7" w:rsidRPr="004035E1">
        <w:rPr>
          <w:position w:val="-6"/>
        </w:rPr>
        <w:object w:dxaOrig="220" w:dyaOrig="279" w14:anchorId="3BF32BAF">
          <v:shape id="_x0000_i1174" type="#_x0000_t75" style="width:10.7pt;height:13.7pt" o:ole="" o:preferrelative="f">
            <v:imagedata r:id="rId290" o:title=""/>
            <o:lock v:ext="edit" aspectratio="f"/>
          </v:shape>
          <o:OLEObject Type="Embed" ProgID="Equation.DSMT4" ShapeID="_x0000_i1174" DrawAspect="Content" ObjectID="_1722174320" r:id="rId291"/>
        </w:object>
      </w:r>
      <w:r w:rsidR="00754A51" w:rsidRPr="004035E1">
        <w:t xml:space="preserve"> influencing the variance of </w:t>
      </w:r>
      <w:r w:rsidRPr="004035E1">
        <w:rPr>
          <w:position w:val="-10"/>
        </w:rPr>
        <w:object w:dxaOrig="200" w:dyaOrig="260" w14:anchorId="7ADFAA78">
          <v:shape id="_x0000_i1175" type="#_x0000_t75" style="width:9.85pt;height:13.3pt" o:ole="">
            <v:imagedata r:id="rId292" o:title=""/>
          </v:shape>
          <o:OLEObject Type="Embed" ProgID="Equation.DSMT4" ShapeID="_x0000_i1175" DrawAspect="Content" ObjectID="_1722174321" r:id="rId293"/>
        </w:object>
      </w:r>
      <w:r w:rsidRPr="004035E1">
        <w:t xml:space="preserve"> is not identifiable, and may be arbitrarily set to one. The implied linking parameter, </w:t>
      </w:r>
      <w:r w:rsidRPr="004035E1">
        <w:rPr>
          <w:position w:val="-6"/>
        </w:rPr>
        <w:object w:dxaOrig="220" w:dyaOrig="340" w14:anchorId="719BABE3">
          <v:shape id="_x0000_i1176" type="#_x0000_t75" style="width:10.7pt;height:16.7pt" o:ole="">
            <v:imagedata r:id="rId294" o:title=""/>
          </v:shape>
          <o:OLEObject Type="Embed" ProgID="Equation.DSMT4" ShapeID="_x0000_i1176" DrawAspect="Content" ObjectID="_1722174322" r:id="rId295"/>
        </w:object>
      </w:r>
      <w:r w:rsidRPr="004035E1">
        <w:t xml:space="preserve">, is then </w:t>
      </w:r>
      <w:r w:rsidR="00E714EB" w:rsidRPr="004035E1">
        <w:rPr>
          <w:position w:val="-24"/>
        </w:rPr>
        <w:object w:dxaOrig="1180" w:dyaOrig="620" w14:anchorId="7C1E0BB0">
          <v:shape id="_x0000_i1177" type="#_x0000_t75" style="width:59.55pt;height:31.3pt" o:ole="">
            <v:imagedata r:id="rId296" o:title=""/>
          </v:shape>
          <o:OLEObject Type="Embed" ProgID="Equation.DSMT4" ShapeID="_x0000_i1177" DrawAspect="Content" ObjectID="_1722174323" r:id="rId297"/>
        </w:object>
      </w:r>
      <w:r w:rsidRPr="004035E1">
        <w:t xml:space="preserve"> As importantly, t</w:t>
      </w:r>
      <w:r w:rsidR="00495DCD" w:rsidRPr="004035E1">
        <w:t xml:space="preserve">he distribution function of </w:t>
      </w:r>
      <w:r w:rsidR="00495DCD" w:rsidRPr="004035E1">
        <w:rPr>
          <w:position w:val="-10"/>
        </w:rPr>
        <w:object w:dxaOrig="200" w:dyaOrig="260" w14:anchorId="27B35241">
          <v:shape id="_x0000_i1178" type="#_x0000_t75" style="width:9.85pt;height:13.3pt" o:ole="">
            <v:imagedata r:id="rId298" o:title=""/>
          </v:shape>
          <o:OLEObject Type="Embed" ProgID="Equation.DSMT4" ShapeID="_x0000_i1178" DrawAspect="Content" ObjectID="_1722174324" r:id="rId299"/>
        </w:object>
      </w:r>
      <w:r w:rsidR="00F77749" w:rsidRPr="004035E1">
        <w:t xml:space="preserve"> </w:t>
      </w:r>
      <w:r w:rsidR="00495DCD" w:rsidRPr="004035E1">
        <w:t xml:space="preserve">takes a surprisingly elegant form </w:t>
      </w:r>
      <w:r w:rsidR="00C6313A" w:rsidRPr="004035E1">
        <w:t xml:space="preserve">with the survival distribution as follows: </w:t>
      </w:r>
    </w:p>
    <w:p w:rsidR="00495DCD" w:rsidRPr="004035E1" w:rsidRDefault="00937BC5" w:rsidP="00E714EB">
      <w:pPr>
        <w:tabs>
          <w:tab w:val="right" w:pos="9360"/>
        </w:tabs>
        <w:spacing w:before="60" w:after="60" w:line="276" w:lineRule="auto"/>
        <w:jc w:val="both"/>
      </w:pPr>
      <w:r w:rsidRPr="004035E1">
        <w:rPr>
          <w:position w:val="-60"/>
        </w:rPr>
        <w:object w:dxaOrig="3460" w:dyaOrig="980" w14:anchorId="25675012">
          <v:shape id="_x0000_i1179" type="#_x0000_t75" style="width:172.7pt;height:48.45pt" o:ole="">
            <v:imagedata r:id="rId300" o:title=""/>
          </v:shape>
          <o:OLEObject Type="Embed" ProgID="Equation.DSMT4" ShapeID="_x0000_i1179" DrawAspect="Content" ObjectID="_1722174325" r:id="rId301"/>
        </w:object>
      </w:r>
      <w:r w:rsidR="006D01D1" w:rsidRPr="004035E1">
        <w:tab/>
        <w:t xml:space="preserve">  (</w:t>
      </w:r>
      <w:r w:rsidR="00243FC5">
        <w:t>25</w:t>
      </w:r>
      <w:r w:rsidR="006D01D1" w:rsidRPr="004035E1">
        <w:t>)</w:t>
      </w:r>
    </w:p>
    <w:p w:rsidR="00FE2016" w:rsidRPr="004035E1" w:rsidRDefault="00C6313A" w:rsidP="004035E1">
      <w:pPr>
        <w:spacing w:line="276" w:lineRule="auto"/>
        <w:jc w:val="both"/>
      </w:pPr>
      <w:r w:rsidRPr="004035E1">
        <w:t>Bhat (2022) recently</w:t>
      </w:r>
      <w:r w:rsidR="00FE2016" w:rsidRPr="004035E1">
        <w:t xml:space="preserve"> </w:t>
      </w:r>
      <w:r w:rsidRPr="004035E1">
        <w:t xml:space="preserve">studied the properties of the random variable </w:t>
      </w:r>
      <w:r w:rsidRPr="004035E1">
        <w:rPr>
          <w:position w:val="-10"/>
        </w:rPr>
        <w:object w:dxaOrig="200" w:dyaOrig="260" w14:anchorId="07778ED2">
          <v:shape id="_x0000_i1180" type="#_x0000_t75" style="width:9.85pt;height:13.3pt" o:ole="">
            <v:imagedata r:id="rId298" o:title=""/>
          </v:shape>
          <o:OLEObject Type="Embed" ProgID="Equation.DSMT4" ShapeID="_x0000_i1180" DrawAspect="Content" ObjectID="_1722174326" r:id="rId302"/>
        </w:object>
      </w:r>
      <w:r w:rsidRPr="004035E1">
        <w:t xml:space="preserve">, which he labels as having a minLogistic distribution. This distribution </w:t>
      </w:r>
      <w:r w:rsidR="00505653" w:rsidRPr="004035E1">
        <w:t>is unimodal</w:t>
      </w:r>
      <w:r w:rsidR="007A06AC" w:rsidRPr="004035E1">
        <w:t xml:space="preserve"> (which facilitates stable estimation)</w:t>
      </w:r>
      <w:r w:rsidR="00C90611" w:rsidRPr="004035E1">
        <w:t xml:space="preserve">, </w:t>
      </w:r>
      <w:r w:rsidR="00FE2016" w:rsidRPr="004035E1">
        <w:t>with mean and variance as follows</w:t>
      </w:r>
      <w:r w:rsidR="00754A51" w:rsidRPr="004035E1">
        <w:t xml:space="preserve"> (with </w:t>
      </w:r>
      <w:r w:rsidR="00754A51" w:rsidRPr="004035E1">
        <w:rPr>
          <w:position w:val="-6"/>
        </w:rPr>
        <w:object w:dxaOrig="220" w:dyaOrig="279" w14:anchorId="10AEBE52">
          <v:shape id="_x0000_i1181" type="#_x0000_t75" style="width:10.7pt;height:13.7pt" o:ole="">
            <v:imagedata r:id="rId303" o:title=""/>
          </v:shape>
          <o:OLEObject Type="Embed" ProgID="Equation.DSMT4" ShapeID="_x0000_i1181" DrawAspect="Content" ObjectID="_1722174327" r:id="rId304"/>
        </w:object>
      </w:r>
      <w:r w:rsidR="00754A51" w:rsidRPr="004035E1">
        <w:t xml:space="preserve"> set to one for identification)</w:t>
      </w:r>
      <w:r w:rsidR="00FE2016" w:rsidRPr="004035E1">
        <w:t>:</w:t>
      </w:r>
    </w:p>
    <w:bookmarkStart w:id="8" w:name="_Hlk97021112"/>
    <w:p w:rsidR="00FE2016" w:rsidRPr="004035E1" w:rsidRDefault="00937BC5" w:rsidP="00E714EB">
      <w:pPr>
        <w:tabs>
          <w:tab w:val="right" w:pos="9360"/>
        </w:tabs>
        <w:spacing w:before="60" w:after="60" w:line="276" w:lineRule="auto"/>
        <w:jc w:val="both"/>
      </w:pPr>
      <w:r w:rsidRPr="004035E1">
        <w:rPr>
          <w:position w:val="-168"/>
        </w:rPr>
        <w:object w:dxaOrig="6500" w:dyaOrig="3480" w14:anchorId="1AC813D4">
          <v:shape id="_x0000_i1182" type="#_x0000_t75" style="width:325.7pt;height:173.55pt" o:ole="">
            <v:imagedata r:id="rId305" o:title=""/>
          </v:shape>
          <o:OLEObject Type="Embed" ProgID="Equation.DSMT4" ShapeID="_x0000_i1182" DrawAspect="Content" ObjectID="_1722174328" r:id="rId306"/>
        </w:object>
      </w:r>
      <w:bookmarkEnd w:id="8"/>
      <w:r w:rsidR="006D01D1" w:rsidRPr="004035E1">
        <w:tab/>
        <w:t xml:space="preserve"> (</w:t>
      </w:r>
      <w:r w:rsidR="00D45C17">
        <w:t>2</w:t>
      </w:r>
      <w:r w:rsidR="00243FC5">
        <w:t>6</w:t>
      </w:r>
      <w:r w:rsidR="006D01D1" w:rsidRPr="004035E1">
        <w:t>)</w:t>
      </w:r>
    </w:p>
    <w:p w:rsidR="00495DCD" w:rsidRPr="004035E1" w:rsidRDefault="00C47649" w:rsidP="004035E1">
      <w:pPr>
        <w:spacing w:line="276" w:lineRule="auto"/>
        <w:jc w:val="both"/>
      </w:pPr>
      <w:r w:rsidRPr="004035E1">
        <w:t xml:space="preserve">Thus, introducing the stochastic linking function into the underlying count propensity variable </w:t>
      </w:r>
      <w:r w:rsidRPr="004035E1">
        <w:rPr>
          <w:position w:val="-12"/>
        </w:rPr>
        <w:object w:dxaOrig="320" w:dyaOrig="380" w14:anchorId="08AD5CCC">
          <v:shape id="_x0000_i1183" type="#_x0000_t75" style="width:16.3pt;height:19.3pt" o:ole="">
            <v:imagedata r:id="rId282" o:title=""/>
          </v:shape>
          <o:OLEObject Type="Embed" ProgID="Equation.DSMT4" ShapeID="_x0000_i1183" DrawAspect="Content" ObjectID="_1722174329" r:id="rId307"/>
        </w:object>
      </w:r>
      <w:r w:rsidRPr="004035E1">
        <w:t xml:space="preserve"> leads to a change in the mean of the underlying propensity variable </w:t>
      </w:r>
      <w:r w:rsidRPr="004035E1">
        <w:rPr>
          <w:position w:val="-12"/>
        </w:rPr>
        <w:object w:dxaOrig="320" w:dyaOrig="380" w14:anchorId="7DCDBB19">
          <v:shape id="_x0000_i1184" type="#_x0000_t75" style="width:16.3pt;height:19.3pt" o:ole="">
            <v:imagedata r:id="rId282" o:title=""/>
          </v:shape>
          <o:OLEObject Type="Embed" ProgID="Equation.DSMT4" ShapeID="_x0000_i1184" DrawAspect="Content" ObjectID="_1722174330" r:id="rId308"/>
        </w:object>
      </w:r>
      <w:r w:rsidRPr="004035E1">
        <w:t xml:space="preserve"> as well as </w:t>
      </w:r>
      <w:r w:rsidR="005869D4" w:rsidRPr="004035E1">
        <w:t xml:space="preserve">heteroscedasticity across individuals (because the value of </w:t>
      </w:r>
      <w:r w:rsidR="005869D4" w:rsidRPr="004035E1">
        <w:rPr>
          <w:position w:val="-12"/>
        </w:rPr>
        <w:object w:dxaOrig="279" w:dyaOrig="360" w14:anchorId="588FA8BD">
          <v:shape id="_x0000_i1185" type="#_x0000_t75" style="width:13.7pt;height:18pt" o:ole="">
            <v:imagedata r:id="rId309" o:title=""/>
          </v:shape>
          <o:OLEObject Type="Embed" ProgID="Equation.DSMT4" ShapeID="_x0000_i1185" DrawAspect="Content" ObjectID="_1722174331" r:id="rId310"/>
        </w:object>
      </w:r>
      <w:r w:rsidR="005869D4" w:rsidRPr="004035E1">
        <w:t xml:space="preserve"> varies across individuals)</w:t>
      </w:r>
      <w:r w:rsidR="007A06AC" w:rsidRPr="004035E1">
        <w:t xml:space="preserve">, while also changing the distributional shape of the </w:t>
      </w:r>
      <w:r w:rsidR="007A06AC" w:rsidRPr="004035E1">
        <w:rPr>
          <w:position w:val="-12"/>
        </w:rPr>
        <w:object w:dxaOrig="320" w:dyaOrig="380" w14:anchorId="1A4941D7">
          <v:shape id="_x0000_i1186" type="#_x0000_t75" style="width:16.3pt;height:19.3pt" o:ole="">
            <v:imagedata r:id="rId282" o:title=""/>
          </v:shape>
          <o:OLEObject Type="Embed" ProgID="Equation.DSMT4" ShapeID="_x0000_i1186" DrawAspect="Content" ObjectID="_1722174332" r:id="rId311"/>
        </w:object>
      </w:r>
      <w:r w:rsidR="007A06AC" w:rsidRPr="004035E1">
        <w:t xml:space="preserve"> variable from a reverse-Gumbel to a minLogistic distribution</w:t>
      </w:r>
      <w:r w:rsidR="005869D4" w:rsidRPr="004035E1">
        <w:t>.</w:t>
      </w:r>
      <w:r w:rsidR="00502499" w:rsidRPr="004035E1">
        <w:rPr>
          <w:rStyle w:val="FootnoteReference"/>
        </w:rPr>
        <w:footnoteReference w:id="8"/>
      </w:r>
      <w:r w:rsidR="005869D4" w:rsidRPr="004035E1">
        <w:t xml:space="preserve"> </w:t>
      </w:r>
      <w:r w:rsidR="00C546E9">
        <w:t>In particular, a</w:t>
      </w:r>
      <w:r w:rsidR="00C546E9" w:rsidRPr="004035E1">
        <w:t xml:space="preserve">s </w:t>
      </w:r>
      <w:r w:rsidR="00C546E9">
        <w:t xml:space="preserve">also </w:t>
      </w:r>
      <w:r w:rsidR="00C546E9" w:rsidRPr="004035E1">
        <w:t xml:space="preserve">indicated earlier, as the price of any inside good </w:t>
      </w:r>
      <w:r w:rsidR="00C546E9" w:rsidRPr="004035E1">
        <w:rPr>
          <w:i/>
        </w:rPr>
        <w:t>k</w:t>
      </w:r>
      <w:r w:rsidR="00C546E9" w:rsidRPr="004035E1">
        <w:t xml:space="preserve"> </w:t>
      </w:r>
      <w:r w:rsidR="00937BC5" w:rsidRPr="004035E1">
        <w:rPr>
          <w:position w:val="-12"/>
        </w:rPr>
        <w:object w:dxaOrig="480" w:dyaOrig="360" w14:anchorId="076F8D28">
          <v:shape id="_x0000_i1187" type="#_x0000_t75" style="width:24pt;height:18pt" o:ole="">
            <v:imagedata r:id="rId312" o:title=""/>
          </v:shape>
          <o:OLEObject Type="Embed" ProgID="Equation.DSMT4" ShapeID="_x0000_i1187" DrawAspect="Content" ObjectID="_1722174333" r:id="rId313"/>
        </w:object>
      </w:r>
      <w:r w:rsidR="00C546E9" w:rsidRPr="004035E1">
        <w:t xml:space="preserve"> </w:t>
      </w:r>
      <w:r w:rsidR="00C546E9" w:rsidRPr="004035E1">
        <w:lastRenderedPageBreak/>
        <w:t xml:space="preserve">decreases, or as the non-cost systematic (log) baseline utility element for any inside good </w:t>
      </w:r>
      <w:r w:rsidR="00C546E9" w:rsidRPr="004035E1">
        <w:rPr>
          <w:i/>
        </w:rPr>
        <w:t xml:space="preserve">k </w:t>
      </w:r>
      <w:r w:rsidR="00937BC5" w:rsidRPr="004035E1">
        <w:rPr>
          <w:position w:val="-12"/>
        </w:rPr>
        <w:object w:dxaOrig="639" w:dyaOrig="360" w14:anchorId="5D86E5E9">
          <v:shape id="_x0000_i1188" type="#_x0000_t75" style="width:32.55pt;height:18pt" o:ole="">
            <v:imagedata r:id="rId314" o:title=""/>
          </v:shape>
          <o:OLEObject Type="Embed" ProgID="Equation.DSMT4" ShapeID="_x0000_i1188" DrawAspect="Content" ObjectID="_1722174334" r:id="rId315"/>
        </w:object>
      </w:r>
      <w:r w:rsidR="00C546E9" w:rsidRPr="004035E1">
        <w:t xml:space="preserve"> increases, the value of </w:t>
      </w:r>
      <w:r w:rsidR="00C546E9" w:rsidRPr="00257B39">
        <w:rPr>
          <w:position w:val="-12"/>
        </w:rPr>
        <w:object w:dxaOrig="279" w:dyaOrig="360" w14:anchorId="1B2F0632">
          <v:shape id="_x0000_i1189" type="#_x0000_t75" style="width:13.7pt;height:18pt" o:ole="">
            <v:imagedata r:id="rId316" o:title=""/>
          </v:shape>
          <o:OLEObject Type="Embed" ProgID="Equation.DSMT4" ShapeID="_x0000_i1189" DrawAspect="Content" ObjectID="_1722174335" r:id="rId317"/>
        </w:object>
      </w:r>
      <w:r w:rsidR="00C546E9" w:rsidRPr="004035E1">
        <w:t xml:space="preserve"> </w:t>
      </w:r>
      <w:r w:rsidR="00C546E9">
        <w:t xml:space="preserve">increases, </w:t>
      </w:r>
      <w:r w:rsidR="00937BC5" w:rsidRPr="00257B39">
        <w:rPr>
          <w:position w:val="-10"/>
        </w:rPr>
        <w:object w:dxaOrig="540" w:dyaOrig="320" w14:anchorId="760D6AE0">
          <v:shape id="_x0000_i1190" type="#_x0000_t75" style="width:24pt;height:15.85pt" o:ole="">
            <v:imagedata r:id="rId318" o:title=""/>
          </v:shape>
          <o:OLEObject Type="Embed" ProgID="Equation.DSMT4" ShapeID="_x0000_i1190" DrawAspect="Content" ObjectID="_1722174336" r:id="rId319"/>
        </w:object>
      </w:r>
      <w:r w:rsidR="00C546E9">
        <w:t xml:space="preserve"> decreases, </w:t>
      </w:r>
      <w:r w:rsidR="00C546E9" w:rsidRPr="004035E1">
        <w:t xml:space="preserve">and the count propensity in group </w:t>
      </w:r>
      <w:r w:rsidR="00C546E9" w:rsidRPr="004035E1">
        <w:rPr>
          <w:i/>
        </w:rPr>
        <w:t>G</w:t>
      </w:r>
      <w:r w:rsidR="00C546E9" w:rsidRPr="004035E1">
        <w:t xml:space="preserve">, </w:t>
      </w:r>
      <w:r w:rsidR="00937BC5" w:rsidRPr="004035E1">
        <w:rPr>
          <w:position w:val="-12"/>
        </w:rPr>
        <w:object w:dxaOrig="320" w:dyaOrig="380" w14:anchorId="7BCA14D9">
          <v:shape id="_x0000_i1191" type="#_x0000_t75" style="width:15.85pt;height:18pt" o:ole="">
            <v:imagedata r:id="rId320" o:title=""/>
          </v:shape>
          <o:OLEObject Type="Embed" ProgID="Equation.DSMT4" ShapeID="_x0000_i1191" DrawAspect="Content" ObjectID="_1722174337" r:id="rId321"/>
        </w:object>
      </w:r>
      <w:r w:rsidR="00C546E9" w:rsidRPr="004035E1">
        <w:t xml:space="preserve">, increases. </w:t>
      </w:r>
      <w:r w:rsidR="00495DCD" w:rsidRPr="004035E1">
        <w:t xml:space="preserve">The probability of observing an individual </w:t>
      </w:r>
      <w:r w:rsidR="00C546E9">
        <w:t>with</w:t>
      </w:r>
      <w:r w:rsidR="00495DCD" w:rsidRPr="004035E1">
        <w:t xml:space="preserve"> a total count of </w:t>
      </w:r>
      <w:r w:rsidR="00B60EF9" w:rsidRPr="00B60EF9">
        <w:rPr>
          <w:position w:val="-10"/>
        </w:rPr>
        <w:object w:dxaOrig="220" w:dyaOrig="260" w14:anchorId="128EC43E">
          <v:shape id="_x0000_i1192" type="#_x0000_t75" style="width:10.7pt;height:13.3pt" o:ole="">
            <v:imagedata r:id="rId322" o:title=""/>
          </v:shape>
          <o:OLEObject Type="Embed" ProgID="Equation.DSMT4" ShapeID="_x0000_i1192" DrawAspect="Content" ObjectID="_1722174338" r:id="rId323"/>
        </w:object>
      </w:r>
      <w:r w:rsidR="00495DCD" w:rsidRPr="004035E1">
        <w:t xml:space="preserve">, where </w:t>
      </w:r>
      <w:r w:rsidR="00B60EF9" w:rsidRPr="00B60EF9">
        <w:rPr>
          <w:position w:val="-10"/>
        </w:rPr>
        <w:object w:dxaOrig="220" w:dyaOrig="260" w14:anchorId="0A0B384C">
          <v:shape id="_x0000_i1193" type="#_x0000_t75" style="width:10.7pt;height:13.3pt" o:ole="">
            <v:imagedata r:id="rId324" o:title=""/>
          </v:shape>
          <o:OLEObject Type="Embed" ProgID="Equation.DSMT4" ShapeID="_x0000_i1193" DrawAspect="Content" ObjectID="_1722174339" r:id="rId325"/>
        </w:object>
      </w:r>
      <w:r w:rsidR="00495DCD" w:rsidRPr="004035E1">
        <w:t xml:space="preserve"> is a specific value of count, may be obtained as follows:</w:t>
      </w:r>
    </w:p>
    <w:p w:rsidR="004024FF" w:rsidRPr="004035E1" w:rsidRDefault="00AD48B0" w:rsidP="00E714EB">
      <w:pPr>
        <w:tabs>
          <w:tab w:val="right" w:pos="9360"/>
        </w:tabs>
        <w:spacing w:before="60" w:after="60" w:line="276" w:lineRule="auto"/>
        <w:jc w:val="both"/>
      </w:pPr>
      <w:r w:rsidRPr="00AD48B0">
        <w:rPr>
          <w:position w:val="-154"/>
        </w:rPr>
        <w:object w:dxaOrig="6220" w:dyaOrig="2280" w14:anchorId="6B7B70CE">
          <v:shape id="_x0000_i1194" type="#_x0000_t75" style="width:310.7pt;height:114pt" o:ole="">
            <v:imagedata r:id="rId326" o:title=""/>
          </v:shape>
          <o:OLEObject Type="Embed" ProgID="Equation.DSMT4" ShapeID="_x0000_i1194" DrawAspect="Content" ObjectID="_1722174340" r:id="rId327"/>
        </w:object>
      </w:r>
      <w:r w:rsidR="00676A9D" w:rsidRPr="004035E1">
        <w:tab/>
      </w:r>
      <w:r w:rsidR="006D01D1" w:rsidRPr="004035E1">
        <w:t>(</w:t>
      </w:r>
      <w:r w:rsidR="0002083A">
        <w:t>2</w:t>
      </w:r>
      <w:r w:rsidR="00243FC5">
        <w:t>7</w:t>
      </w:r>
      <w:r w:rsidR="006D01D1" w:rsidRPr="004035E1">
        <w:t>)</w:t>
      </w:r>
    </w:p>
    <w:p w:rsidR="000142D2" w:rsidRDefault="00495DCD" w:rsidP="004035E1">
      <w:pPr>
        <w:spacing w:line="276" w:lineRule="auto"/>
        <w:jc w:val="both"/>
      </w:pPr>
      <w:r w:rsidRPr="004035E1">
        <w:t xml:space="preserve">The expression above for total count is dependent on both the fractional split model as well as count model </w:t>
      </w:r>
      <w:r w:rsidR="00E74AD4">
        <w:t xml:space="preserve">parameters </w:t>
      </w:r>
      <w:r w:rsidRPr="004035E1">
        <w:t xml:space="preserve">(the fractional split parameters are embedded in the </w:t>
      </w:r>
      <w:r w:rsidRPr="004035E1">
        <w:rPr>
          <w:position w:val="-12"/>
        </w:rPr>
        <w:object w:dxaOrig="279" w:dyaOrig="360" w14:anchorId="79A38DB0">
          <v:shape id="_x0000_i1195" type="#_x0000_t75" style="width:13.7pt;height:18pt" o:ole="">
            <v:imagedata r:id="rId328" o:title=""/>
          </v:shape>
          <o:OLEObject Type="Embed" ProgID="Equation.DSMT4" ShapeID="_x0000_i1195" DrawAspect="Content" ObjectID="_1722174341" r:id="rId329"/>
        </w:object>
      </w:r>
      <w:r w:rsidRPr="004035E1">
        <w:t xml:space="preserve"> elements).</w:t>
      </w:r>
      <w:r w:rsidR="007A06AC" w:rsidRPr="004035E1">
        <w:rPr>
          <w:rStyle w:val="FootnoteReference"/>
        </w:rPr>
        <w:footnoteReference w:id="9"/>
      </w:r>
      <w:r w:rsidRPr="004035E1">
        <w:t xml:space="preserve"> </w:t>
      </w:r>
    </w:p>
    <w:p w:rsidR="000D0F61" w:rsidRDefault="000D0F61" w:rsidP="004035E1">
      <w:pPr>
        <w:spacing w:line="276" w:lineRule="auto"/>
        <w:jc w:val="both"/>
      </w:pPr>
    </w:p>
    <w:p w:rsidR="00495DCD" w:rsidRPr="004035E1" w:rsidRDefault="00495DCD" w:rsidP="000142D2">
      <w:pPr>
        <w:spacing w:line="276" w:lineRule="auto"/>
        <w:jc w:val="both"/>
        <w:rPr>
          <w:b/>
        </w:rPr>
      </w:pPr>
      <w:r w:rsidRPr="004035E1">
        <w:rPr>
          <w:b/>
        </w:rPr>
        <w:t>2.</w:t>
      </w:r>
      <w:r w:rsidR="00516C13" w:rsidRPr="004035E1">
        <w:rPr>
          <w:b/>
        </w:rPr>
        <w:t>4</w:t>
      </w:r>
      <w:r w:rsidRPr="004035E1">
        <w:rPr>
          <w:b/>
        </w:rPr>
        <w:t>. Estimation Technique</w:t>
      </w:r>
    </w:p>
    <w:p w:rsidR="00550639" w:rsidRPr="004035E1" w:rsidRDefault="004C6DF6" w:rsidP="000142D2">
      <w:pPr>
        <w:spacing w:line="276" w:lineRule="auto"/>
        <w:jc w:val="both"/>
      </w:pPr>
      <w:r w:rsidRPr="004035E1">
        <w:t xml:space="preserve">As already discussed, </w:t>
      </w:r>
      <w:r w:rsidR="00495DCD" w:rsidRPr="004035E1">
        <w:t xml:space="preserve">our overall model of total count and fractional split </w:t>
      </w:r>
      <w:r w:rsidRPr="004035E1">
        <w:t xml:space="preserve">is </w:t>
      </w:r>
      <w:r w:rsidR="00495DCD" w:rsidRPr="004035E1">
        <w:t>consistent with a two-stage budgeting approach within a utilit</w:t>
      </w:r>
      <w:r w:rsidR="008F6F06" w:rsidRPr="004035E1">
        <w:t xml:space="preserve">y-theoretic </w:t>
      </w:r>
      <w:r w:rsidR="00495DCD" w:rsidRPr="004035E1">
        <w:t>planning framework</w:t>
      </w:r>
      <w:r w:rsidRPr="004035E1">
        <w:t xml:space="preserve">. </w:t>
      </w:r>
      <w:r w:rsidR="00495DCD" w:rsidRPr="004035E1">
        <w:t xml:space="preserve">The net econometric consequence for estimation purposes is that the total count model can be separately analyzed in a first stage (as long </w:t>
      </w:r>
      <w:r w:rsidR="008F6F06" w:rsidRPr="004035E1">
        <w:t xml:space="preserve">as </w:t>
      </w:r>
      <w:r w:rsidR="000A153B" w:rsidRPr="004035E1">
        <w:rPr>
          <w:position w:val="-12"/>
        </w:rPr>
        <w:object w:dxaOrig="840" w:dyaOrig="360" w14:anchorId="127F86B6">
          <v:shape id="_x0000_i1196" type="#_x0000_t75" style="width:42pt;height:18pt" o:ole="">
            <v:imagedata r:id="rId330" o:title=""/>
          </v:shape>
          <o:OLEObject Type="Embed" ProgID="Equation.DSMT4" ShapeID="_x0000_i1196" DrawAspect="Content" ObjectID="_1722174342" r:id="rId331"/>
        </w:object>
      </w:r>
      <w:r w:rsidR="008F6F06" w:rsidRPr="004035E1">
        <w:t xml:space="preserve"> </w:t>
      </w:r>
      <w:r w:rsidR="00495DCD" w:rsidRPr="004035E1">
        <w:t xml:space="preserve">is introduced at this first stage), and the fractional split among the </w:t>
      </w:r>
      <w:r w:rsidR="00495DCD" w:rsidRPr="004035E1">
        <w:lastRenderedPageBreak/>
        <w:t xml:space="preserve">many alternative </w:t>
      </w:r>
      <w:r w:rsidR="00495DCD" w:rsidRPr="004035E1">
        <w:rPr>
          <w:i/>
        </w:rPr>
        <w:t>k</w:t>
      </w:r>
      <w:r w:rsidR="00937BC5">
        <w:t xml:space="preserve"> </w:t>
      </w:r>
      <w:r w:rsidR="000D0F61" w:rsidRPr="00937BC5">
        <w:rPr>
          <w:position w:val="-10"/>
        </w:rPr>
        <w:object w:dxaOrig="1420" w:dyaOrig="320">
          <v:shape id="_x0000_i1197" type="#_x0000_t75" style="width:71.15pt;height:15.85pt" o:ole="" o:preferrelative="f">
            <v:imagedata r:id="rId332" o:title=""/>
            <o:lock v:ext="edit" aspectratio="f"/>
          </v:shape>
          <o:OLEObject Type="Embed" ProgID="Equation.DSMT4" ShapeID="_x0000_i1197" DrawAspect="Content" ObjectID="_1722174343" r:id="rId333"/>
        </w:object>
      </w:r>
      <w:r w:rsidR="00495DCD" w:rsidRPr="004035E1">
        <w:t xml:space="preserve"> can be separately analyzed in a second stage. Thus, the appropriate likelihood function to maximize in the two-stage budgeting approach corresponds to the product of the likelihood function of the count model (considering the randomness in th</w:t>
      </w:r>
      <w:r w:rsidR="008F6F06" w:rsidRPr="004035E1">
        <w:t xml:space="preserve">e </w:t>
      </w:r>
      <w:r w:rsidR="008F6F06" w:rsidRPr="004035E1">
        <w:rPr>
          <w:position w:val="-12"/>
        </w:rPr>
        <w:object w:dxaOrig="840" w:dyaOrig="360" w14:anchorId="415FABA4">
          <v:shape id="_x0000_i1198" type="#_x0000_t75" style="width:42pt;height:18pt" o:ole="">
            <v:imagedata r:id="rId330" o:title=""/>
          </v:shape>
          <o:OLEObject Type="Embed" ProgID="Equation.DSMT4" ShapeID="_x0000_i1198" DrawAspect="Content" ObjectID="_1722174344" r:id="rId334"/>
        </w:object>
      </w:r>
      <w:r w:rsidR="00937BC5">
        <w:t xml:space="preserve"> </w:t>
      </w:r>
      <w:r w:rsidR="00495DCD" w:rsidRPr="004035E1">
        <w:t>variable) and the likelihood of the MDCEV model</w:t>
      </w:r>
      <w:r w:rsidR="00315767" w:rsidRPr="004035E1">
        <w:t xml:space="preserve"> conditional on a non-zero count for the product group</w:t>
      </w:r>
      <w:r w:rsidR="00495DCD" w:rsidRPr="004035E1">
        <w:t xml:space="preserve">. </w:t>
      </w:r>
      <w:r w:rsidR="00550639" w:rsidRPr="004035E1">
        <w:t>For the case of zero count to the product group, the likelihood function is:</w:t>
      </w:r>
    </w:p>
    <w:p w:rsidR="00550639" w:rsidRPr="004035E1" w:rsidRDefault="00426861" w:rsidP="00937BC5">
      <w:pPr>
        <w:tabs>
          <w:tab w:val="right" w:pos="9360"/>
        </w:tabs>
        <w:spacing w:before="120" w:after="60" w:line="276" w:lineRule="auto"/>
        <w:jc w:val="both"/>
      </w:pPr>
      <w:r w:rsidRPr="004035E1">
        <w:rPr>
          <w:position w:val="-82"/>
        </w:rPr>
        <w:object w:dxaOrig="6560" w:dyaOrig="1760" w14:anchorId="0E487CE9">
          <v:shape id="_x0000_i1199" type="#_x0000_t75" style="width:326.55pt;height:87.85pt" o:ole="">
            <v:imagedata r:id="rId335" o:title=""/>
          </v:shape>
          <o:OLEObject Type="Embed" ProgID="Equation.DSMT4" ShapeID="_x0000_i1199" DrawAspect="Content" ObjectID="_1722174345" r:id="rId336"/>
        </w:object>
      </w:r>
      <w:r w:rsidR="00550639" w:rsidRPr="004035E1">
        <w:t xml:space="preserve"> </w:t>
      </w:r>
      <w:r w:rsidR="006D01D1" w:rsidRPr="004035E1">
        <w:tab/>
        <w:t xml:space="preserve"> (2</w:t>
      </w:r>
      <w:r w:rsidR="00243FC5">
        <w:t>8</w:t>
      </w:r>
      <w:r w:rsidR="006D01D1" w:rsidRPr="004035E1">
        <w:t>)</w:t>
      </w:r>
    </w:p>
    <w:p w:rsidR="00495DCD" w:rsidRDefault="00495DCD" w:rsidP="004035E1">
      <w:pPr>
        <w:spacing w:line="276" w:lineRule="auto"/>
        <w:jc w:val="both"/>
      </w:pPr>
      <w:r w:rsidRPr="004035E1">
        <w:t>Th</w:t>
      </w:r>
      <w:r w:rsidR="00F70720" w:rsidRPr="004035E1">
        <w:t xml:space="preserve">e </w:t>
      </w:r>
      <w:r w:rsidRPr="004035E1">
        <w:t xml:space="preserve">likelihood function for a specific individual having a count value of </w:t>
      </w:r>
      <w:r w:rsidR="00937BC5" w:rsidRPr="00937BC5">
        <w:rPr>
          <w:i/>
        </w:rPr>
        <w:t>g</w:t>
      </w:r>
      <w:r w:rsidR="00F70720" w:rsidRPr="004035E1">
        <w:t xml:space="preserve"> (</w:t>
      </w:r>
      <w:r w:rsidR="00937BC5" w:rsidRPr="00937BC5">
        <w:rPr>
          <w:i/>
        </w:rPr>
        <w:t>g</w:t>
      </w:r>
      <w:r w:rsidR="00937BC5">
        <w:t xml:space="preserve"> </w:t>
      </w:r>
      <w:r w:rsidR="00F70720" w:rsidRPr="004035E1">
        <w:t>&gt;</w:t>
      </w:r>
      <w:r w:rsidR="00937BC5">
        <w:t xml:space="preserve"> </w:t>
      </w:r>
      <w:r w:rsidR="00F70720" w:rsidRPr="004035E1">
        <w:t>0)</w:t>
      </w:r>
      <w:r w:rsidRPr="004035E1">
        <w:t xml:space="preserve">, and consuming the first </w:t>
      </w:r>
      <w:r w:rsidRPr="004035E1">
        <w:rPr>
          <w:i/>
        </w:rPr>
        <w:t>M</w:t>
      </w:r>
      <w:r w:rsidRPr="004035E1">
        <w:t xml:space="preserve"> goods at levels </w:t>
      </w:r>
      <w:r w:rsidR="00C5305D" w:rsidRPr="004035E1">
        <w:rPr>
          <w:position w:val="-12"/>
        </w:rPr>
        <w:object w:dxaOrig="300" w:dyaOrig="400" w14:anchorId="60C7B7B7">
          <v:shape id="_x0000_i1200" type="#_x0000_t75" style="width:15pt;height:20.55pt" o:ole="">
            <v:imagedata r:id="rId337" o:title=""/>
          </v:shape>
          <o:OLEObject Type="Embed" ProgID="Equation.DSMT4" ShapeID="_x0000_i1200" DrawAspect="Content" ObjectID="_1722174346" r:id="rId338"/>
        </w:object>
      </w:r>
      <w:r w:rsidRPr="004035E1">
        <w:t xml:space="preserve"> (</w:t>
      </w:r>
      <w:r w:rsidR="00937BC5" w:rsidRPr="004035E1">
        <w:rPr>
          <w:position w:val="-10"/>
        </w:rPr>
        <w:object w:dxaOrig="1340" w:dyaOrig="320" w14:anchorId="68DFD9AB">
          <v:shape id="_x0000_i1201" type="#_x0000_t75" style="width:66.45pt;height:15.85pt" o:ole="" o:preferrelative="f">
            <v:imagedata r:id="rId83" o:title=""/>
            <o:lock v:ext="edit" aspectratio="f"/>
          </v:shape>
          <o:OLEObject Type="Embed" ProgID="Equation.DSMT4" ShapeID="_x0000_i1201" DrawAspect="Content" ObjectID="_1722174347" r:id="rId339"/>
        </w:object>
      </w:r>
      <w:r w:rsidRPr="004035E1">
        <w:t xml:space="preserve">), and </w:t>
      </w:r>
      <w:r w:rsidR="00C5305D" w:rsidRPr="004035E1">
        <w:rPr>
          <w:position w:val="-28"/>
        </w:rPr>
        <w:object w:dxaOrig="1400" w:dyaOrig="680" w14:anchorId="6EAE6E6D">
          <v:shape id="_x0000_i1202" type="#_x0000_t75" style="width:69.45pt;height:33pt" o:ole="">
            <v:imagedata r:id="rId340" o:title=""/>
          </v:shape>
          <o:OLEObject Type="Embed" ProgID="Equation.DSMT4" ShapeID="_x0000_i1202" DrawAspect="Content" ObjectID="_1722174348" r:id="rId341"/>
        </w:object>
      </w:r>
      <w:r w:rsidRPr="004035E1">
        <w:t xml:space="preserve"> may be obtained from Equations (</w:t>
      </w:r>
      <w:r w:rsidR="00B60EF9">
        <w:t>6</w:t>
      </w:r>
      <w:r w:rsidRPr="004035E1">
        <w:t>) and (</w:t>
      </w:r>
      <w:r w:rsidR="006B4851">
        <w:t>2</w:t>
      </w:r>
      <w:r w:rsidR="004B7448">
        <w:t>7</w:t>
      </w:r>
      <w:r w:rsidRPr="004035E1">
        <w:t>) as follows:</w:t>
      </w:r>
    </w:p>
    <w:p w:rsidR="00D76D5F" w:rsidRPr="004035E1" w:rsidRDefault="004B7448" w:rsidP="00E714EB">
      <w:pPr>
        <w:tabs>
          <w:tab w:val="right" w:pos="9360"/>
        </w:tabs>
        <w:spacing w:before="60" w:after="60" w:line="276" w:lineRule="auto"/>
        <w:jc w:val="both"/>
      </w:pPr>
      <w:r w:rsidRPr="00D76D5F">
        <w:rPr>
          <w:position w:val="-38"/>
        </w:rPr>
        <w:object w:dxaOrig="6920" w:dyaOrig="880" w14:anchorId="34CF4EB9">
          <v:shape id="_x0000_i1203" type="#_x0000_t75" style="width:346.3pt;height:43.7pt" o:ole="">
            <v:imagedata r:id="rId342" o:title=""/>
          </v:shape>
          <o:OLEObject Type="Embed" ProgID="Equation.DSMT4" ShapeID="_x0000_i1203" DrawAspect="Content" ObjectID="_1722174349" r:id="rId343"/>
        </w:object>
      </w:r>
      <w:r w:rsidR="00D76D5F">
        <w:t xml:space="preserve"> </w:t>
      </w:r>
      <w:r w:rsidR="00D76D5F">
        <w:tab/>
        <w:t>(2</w:t>
      </w:r>
      <w:r w:rsidR="00243FC5">
        <w:t>9</w:t>
      </w:r>
      <w:r w:rsidR="00D76D5F">
        <w:t>)</w:t>
      </w:r>
    </w:p>
    <w:p w:rsidR="008F6F06" w:rsidRPr="004035E1" w:rsidRDefault="00AB3EC6" w:rsidP="004035E1">
      <w:pPr>
        <w:pStyle w:val="FootnoteText"/>
        <w:spacing w:line="276" w:lineRule="auto"/>
        <w:jc w:val="both"/>
        <w:rPr>
          <w:sz w:val="24"/>
          <w:szCs w:val="24"/>
        </w:rPr>
      </w:pPr>
      <w:r w:rsidRPr="004035E1">
        <w:rPr>
          <w:sz w:val="24"/>
          <w:szCs w:val="24"/>
        </w:rPr>
        <w:t xml:space="preserve">The second line in </w:t>
      </w:r>
      <w:r w:rsidR="00E74AD4">
        <w:rPr>
          <w:sz w:val="24"/>
          <w:szCs w:val="24"/>
        </w:rPr>
        <w:t>the above equation i</w:t>
      </w:r>
      <w:r w:rsidRPr="004035E1">
        <w:rPr>
          <w:sz w:val="24"/>
          <w:szCs w:val="24"/>
        </w:rPr>
        <w:t xml:space="preserve">s a result of the error term </w:t>
      </w:r>
      <w:r w:rsidRPr="004035E1">
        <w:rPr>
          <w:position w:val="-10"/>
          <w:sz w:val="24"/>
          <w:szCs w:val="24"/>
        </w:rPr>
        <w:object w:dxaOrig="200" w:dyaOrig="260" w14:anchorId="100BE441">
          <v:shape id="_x0000_i1204" type="#_x0000_t75" style="width:9.85pt;height:13.3pt" o:ole="">
            <v:imagedata r:id="rId344" o:title=""/>
          </v:shape>
          <o:OLEObject Type="Embed" ProgID="Equation.DSMT4" ShapeID="_x0000_i1204" DrawAspect="Content" ObjectID="_1722174350" r:id="rId345"/>
        </w:object>
      </w:r>
      <w:r w:rsidRPr="004035E1">
        <w:rPr>
          <w:sz w:val="24"/>
          <w:szCs w:val="24"/>
        </w:rPr>
        <w:t xml:space="preserve"> in the count model being independent of the error vector </w:t>
      </w:r>
      <w:r w:rsidR="00D76D5F" w:rsidRPr="004035E1">
        <w:rPr>
          <w:position w:val="-12"/>
          <w:sz w:val="24"/>
          <w:szCs w:val="24"/>
        </w:rPr>
        <w:object w:dxaOrig="1660" w:dyaOrig="360" w14:anchorId="33404B4F">
          <v:shape id="_x0000_i1205" type="#_x0000_t75" style="width:82.7pt;height:18pt" o:ole="" o:preferrelative="f">
            <v:imagedata r:id="rId346" o:title=""/>
            <o:lock v:ext="edit" aspectratio="f"/>
          </v:shape>
          <o:OLEObject Type="Embed" ProgID="Equation.DSMT4" ShapeID="_x0000_i1205" DrawAspect="Content" ObjectID="_1722174351" r:id="rId347"/>
        </w:object>
      </w:r>
      <w:r w:rsidRPr="004035E1">
        <w:rPr>
          <w:sz w:val="24"/>
          <w:szCs w:val="24"/>
        </w:rPr>
        <w:t xml:space="preserve"> in the fractional MDCEV model. </w:t>
      </w:r>
      <w:r w:rsidR="00676A9D" w:rsidRPr="004035E1">
        <w:rPr>
          <w:sz w:val="24"/>
          <w:szCs w:val="24"/>
        </w:rPr>
        <w:t>However, note that parameters of the fractional MDCEV model also appear in the count model probabili</w:t>
      </w:r>
      <w:r w:rsidR="00B60EF9">
        <w:rPr>
          <w:sz w:val="24"/>
          <w:szCs w:val="24"/>
        </w:rPr>
        <w:t>ty</w:t>
      </w:r>
      <w:r w:rsidR="00676A9D" w:rsidRPr="004035E1">
        <w:rPr>
          <w:sz w:val="24"/>
          <w:szCs w:val="24"/>
        </w:rPr>
        <w:t xml:space="preserve">. </w:t>
      </w:r>
      <w:r w:rsidR="008F6F06" w:rsidRPr="004035E1">
        <w:rPr>
          <w:sz w:val="24"/>
          <w:szCs w:val="24"/>
        </w:rPr>
        <w:t xml:space="preserve">Similar </w:t>
      </w:r>
      <w:r w:rsidRPr="004035E1">
        <w:rPr>
          <w:sz w:val="24"/>
          <w:szCs w:val="24"/>
        </w:rPr>
        <w:t>equations as Equation (</w:t>
      </w:r>
      <w:r w:rsidR="00E74AD4">
        <w:rPr>
          <w:sz w:val="24"/>
          <w:szCs w:val="24"/>
        </w:rPr>
        <w:t>2</w:t>
      </w:r>
      <w:r w:rsidR="004B7448">
        <w:rPr>
          <w:sz w:val="24"/>
          <w:szCs w:val="24"/>
        </w:rPr>
        <w:t>9</w:t>
      </w:r>
      <w:r w:rsidRPr="004035E1">
        <w:rPr>
          <w:sz w:val="24"/>
          <w:szCs w:val="24"/>
        </w:rPr>
        <w:t xml:space="preserve">) </w:t>
      </w:r>
      <w:r w:rsidR="008F6F06" w:rsidRPr="004035E1">
        <w:rPr>
          <w:sz w:val="24"/>
          <w:szCs w:val="24"/>
        </w:rPr>
        <w:t xml:space="preserve">may be written for the case of a total count value of </w:t>
      </w:r>
      <w:r w:rsidR="00937BC5" w:rsidRPr="00937BC5">
        <w:rPr>
          <w:i/>
          <w:sz w:val="24"/>
          <w:szCs w:val="24"/>
        </w:rPr>
        <w:t>g</w:t>
      </w:r>
      <w:r w:rsidR="008F6F06" w:rsidRPr="00937BC5">
        <w:rPr>
          <w:sz w:val="24"/>
          <w:szCs w:val="24"/>
        </w:rPr>
        <w:t xml:space="preserve"> </w:t>
      </w:r>
      <w:r w:rsidR="00D76D5F" w:rsidRPr="004035E1">
        <w:rPr>
          <w:sz w:val="24"/>
          <w:szCs w:val="24"/>
        </w:rPr>
        <w:t>(</w:t>
      </w:r>
      <w:r w:rsidR="00D76D5F" w:rsidRPr="00D76D5F">
        <w:rPr>
          <w:i/>
          <w:sz w:val="24"/>
          <w:szCs w:val="24"/>
        </w:rPr>
        <w:t>g</w:t>
      </w:r>
      <w:r w:rsidR="00D76D5F">
        <w:rPr>
          <w:i/>
          <w:sz w:val="24"/>
          <w:szCs w:val="24"/>
        </w:rPr>
        <w:t xml:space="preserve"> </w:t>
      </w:r>
      <w:r w:rsidR="00D76D5F" w:rsidRPr="004035E1">
        <w:rPr>
          <w:sz w:val="24"/>
          <w:szCs w:val="24"/>
        </w:rPr>
        <w:t>&gt;</w:t>
      </w:r>
      <w:r w:rsidR="00D76D5F">
        <w:rPr>
          <w:sz w:val="24"/>
          <w:szCs w:val="24"/>
        </w:rPr>
        <w:t xml:space="preserve"> </w:t>
      </w:r>
      <w:r w:rsidR="00D76D5F" w:rsidRPr="004035E1">
        <w:rPr>
          <w:sz w:val="24"/>
          <w:szCs w:val="24"/>
        </w:rPr>
        <w:t>0)</w:t>
      </w:r>
      <w:r w:rsidR="00FA49C8" w:rsidRPr="004035E1">
        <w:rPr>
          <w:sz w:val="24"/>
          <w:szCs w:val="24"/>
        </w:rPr>
        <w:t xml:space="preserve"> </w:t>
      </w:r>
      <w:r w:rsidR="00B60EF9">
        <w:rPr>
          <w:sz w:val="24"/>
          <w:szCs w:val="24"/>
        </w:rPr>
        <w:t xml:space="preserve">with </w:t>
      </w:r>
      <w:r w:rsidR="008F6F06" w:rsidRPr="004035E1">
        <w:rPr>
          <w:sz w:val="24"/>
          <w:szCs w:val="24"/>
        </w:rPr>
        <w:t>fractional allocation to all the inside goods (based on Equation (</w:t>
      </w:r>
      <w:r w:rsidR="00B60EF9">
        <w:rPr>
          <w:sz w:val="24"/>
          <w:szCs w:val="24"/>
        </w:rPr>
        <w:t>7</w:t>
      </w:r>
      <w:r w:rsidR="008F6F06" w:rsidRPr="004035E1">
        <w:rPr>
          <w:sz w:val="24"/>
          <w:szCs w:val="24"/>
        </w:rPr>
        <w:t xml:space="preserve">)) and the case of a total count value of </w:t>
      </w:r>
      <w:r w:rsidR="00937BC5" w:rsidRPr="00937BC5">
        <w:rPr>
          <w:i/>
          <w:sz w:val="24"/>
          <w:szCs w:val="24"/>
        </w:rPr>
        <w:t>g</w:t>
      </w:r>
      <w:r w:rsidR="00E74AD4" w:rsidRPr="004035E1">
        <w:rPr>
          <w:sz w:val="24"/>
          <w:szCs w:val="24"/>
        </w:rPr>
        <w:t xml:space="preserve"> (</w:t>
      </w:r>
      <w:r w:rsidR="00D76D5F" w:rsidRPr="00D76D5F">
        <w:rPr>
          <w:i/>
          <w:sz w:val="24"/>
          <w:szCs w:val="24"/>
        </w:rPr>
        <w:t>g</w:t>
      </w:r>
      <w:r w:rsidR="00D76D5F">
        <w:rPr>
          <w:i/>
          <w:sz w:val="24"/>
          <w:szCs w:val="24"/>
        </w:rPr>
        <w:t xml:space="preserve"> </w:t>
      </w:r>
      <w:r w:rsidR="00E74AD4" w:rsidRPr="004035E1">
        <w:rPr>
          <w:sz w:val="24"/>
          <w:szCs w:val="24"/>
        </w:rPr>
        <w:t>&gt;</w:t>
      </w:r>
      <w:r w:rsidR="00D76D5F">
        <w:rPr>
          <w:sz w:val="24"/>
          <w:szCs w:val="24"/>
        </w:rPr>
        <w:t xml:space="preserve"> </w:t>
      </w:r>
      <w:r w:rsidR="00E74AD4" w:rsidRPr="004035E1">
        <w:rPr>
          <w:sz w:val="24"/>
          <w:szCs w:val="24"/>
        </w:rPr>
        <w:t xml:space="preserve">0) </w:t>
      </w:r>
      <w:r w:rsidR="008F6F06" w:rsidRPr="004035E1">
        <w:rPr>
          <w:sz w:val="24"/>
          <w:szCs w:val="24"/>
        </w:rPr>
        <w:t>and the fractional allocation to only one inside good (based on Equation (</w:t>
      </w:r>
      <w:r w:rsidR="00B60EF9">
        <w:rPr>
          <w:sz w:val="24"/>
          <w:szCs w:val="24"/>
        </w:rPr>
        <w:t>8</w:t>
      </w:r>
      <w:r w:rsidR="008F6F06" w:rsidRPr="004035E1">
        <w:rPr>
          <w:sz w:val="24"/>
          <w:szCs w:val="24"/>
        </w:rPr>
        <w:t xml:space="preserve">)). </w:t>
      </w:r>
    </w:p>
    <w:p w:rsidR="008F6F06" w:rsidRPr="004035E1" w:rsidRDefault="00495DCD" w:rsidP="004035E1">
      <w:pPr>
        <w:spacing w:line="276" w:lineRule="auto"/>
        <w:ind w:firstLine="720"/>
        <w:jc w:val="both"/>
      </w:pPr>
      <w:r w:rsidRPr="004035E1">
        <w:t>The above model formulation does not consider unobserved heterogeneity in the sensitivity to exogenous variables</w:t>
      </w:r>
      <w:r w:rsidR="00F172DD">
        <w:t xml:space="preserve"> beyond that introduced through the </w:t>
      </w:r>
      <w:r w:rsidR="00F172DD" w:rsidRPr="00F172DD">
        <w:rPr>
          <w:position w:val="-12"/>
        </w:rPr>
        <w:object w:dxaOrig="260" w:dyaOrig="360" w14:anchorId="241B8DE2">
          <v:shape id="_x0000_i1206" type="#_x0000_t75" style="width:13.3pt;height:18pt" o:ole="">
            <v:imagedata r:id="rId348" o:title=""/>
          </v:shape>
          <o:OLEObject Type="Embed" ProgID="Equation.DSMT4" ShapeID="_x0000_i1206" DrawAspect="Content" ObjectID="_1722174352" r:id="rId349"/>
        </w:object>
      </w:r>
      <w:r w:rsidR="00F172DD">
        <w:t xml:space="preserve"> terms </w:t>
      </w:r>
      <w:r w:rsidR="00E11D72">
        <w:t>in the linking function</w:t>
      </w:r>
      <w:r w:rsidRPr="004035E1">
        <w:t xml:space="preserve">. </w:t>
      </w:r>
      <w:r w:rsidR="00E11D72">
        <w:t xml:space="preserve">Such additional unobserved heterogeneity </w:t>
      </w:r>
      <w:r w:rsidRPr="004035E1">
        <w:t xml:space="preserve">may be introduced in a straightforward way by allowing the </w:t>
      </w:r>
      <w:r w:rsidR="00A87CF1" w:rsidRPr="004035E1">
        <w:rPr>
          <w:position w:val="-10"/>
        </w:rPr>
        <w:object w:dxaOrig="240" w:dyaOrig="320" w14:anchorId="501ECB1A">
          <v:shape id="_x0000_i1207" type="#_x0000_t75" style="width:12pt;height:16.3pt" o:ole="">
            <v:imagedata r:id="rId350" o:title=""/>
          </v:shape>
          <o:OLEObject Type="Embed" ProgID="Equation.DSMT4" ShapeID="_x0000_i1207" DrawAspect="Content" ObjectID="_1722174353" r:id="rId351"/>
        </w:object>
      </w:r>
      <w:r w:rsidR="00A87CF1" w:rsidRPr="004035E1">
        <w:t xml:space="preserve">and </w:t>
      </w:r>
      <w:r w:rsidR="00A87CF1" w:rsidRPr="004035E1">
        <w:rPr>
          <w:position w:val="-10"/>
        </w:rPr>
        <w:object w:dxaOrig="200" w:dyaOrig="260" w14:anchorId="48628088">
          <v:shape id="_x0000_i1208" type="#_x0000_t75" style="width:9.85pt;height:13.3pt" o:ole="">
            <v:imagedata r:id="rId352" o:title=""/>
          </v:shape>
          <o:OLEObject Type="Embed" ProgID="Equation.DSMT4" ShapeID="_x0000_i1208" DrawAspect="Content" ObjectID="_1722174354" r:id="rId353"/>
        </w:object>
      </w:r>
      <w:r w:rsidR="00B60EF9">
        <w:t xml:space="preserve"> </w:t>
      </w:r>
      <w:r w:rsidRPr="004035E1">
        <w:t xml:space="preserve">parameters to be randomly distributed. </w:t>
      </w:r>
      <w:r w:rsidR="008F6F06" w:rsidRPr="004035E1">
        <w:t xml:space="preserve">For example, assuming a specific continuous parametric distribution (say </w:t>
      </w:r>
      <w:r w:rsidR="00547D70" w:rsidRPr="004035E1">
        <w:rPr>
          <w:position w:val="-10"/>
        </w:rPr>
        <w:object w:dxaOrig="240" w:dyaOrig="380" w14:anchorId="05E9C451">
          <v:shape id="_x0000_i1209" type="#_x0000_t75" style="width:12pt;height:18pt" o:ole="" o:preferrelative="f">
            <v:imagedata r:id="rId354" o:title=""/>
            <o:lock v:ext="edit" aspectratio="f"/>
          </v:shape>
          <o:OLEObject Type="Embed" ProgID="Equation.DSMT4" ShapeID="_x0000_i1209" DrawAspect="Content" ObjectID="_1722174355" r:id="rId355"/>
        </w:object>
      </w:r>
      <w:r w:rsidR="008F6F06" w:rsidRPr="004035E1">
        <w:t xml:space="preserve">) for </w:t>
      </w:r>
      <w:r w:rsidR="00A87CF1" w:rsidRPr="004035E1">
        <w:rPr>
          <w:position w:val="-10"/>
        </w:rPr>
        <w:object w:dxaOrig="1120" w:dyaOrig="320" w14:anchorId="741D01E8">
          <v:shape id="_x0000_i1210" type="#_x0000_t75" style="width:55.7pt;height:16.3pt" o:ole="">
            <v:imagedata r:id="rId356" o:title=""/>
          </v:shape>
          <o:OLEObject Type="Embed" ProgID="Equation.DSMT4" ShapeID="_x0000_i1210" DrawAspect="Content" ObjectID="_1722174356" r:id="rId357"/>
        </w:object>
      </w:r>
      <w:r w:rsidR="008F6F06" w:rsidRPr="004035E1">
        <w:t xml:space="preserve"> with an underlying parameter vector </w:t>
      </w:r>
      <w:r w:rsidR="008F6F06" w:rsidRPr="004035E1">
        <w:rPr>
          <w:position w:val="-10"/>
        </w:rPr>
        <w:object w:dxaOrig="220" w:dyaOrig="320" w14:anchorId="17DF211D">
          <v:shape id="_x0000_i1211" type="#_x0000_t75" style="width:10.7pt;height:16.3pt" o:ole="">
            <v:imagedata r:id="rId358" o:title=""/>
          </v:shape>
          <o:OLEObject Type="Embed" ProgID="Equation.DSMT4" ShapeID="_x0000_i1211" DrawAspect="Content" ObjectID="_1722174357" r:id="rId359"/>
        </w:object>
      </w:r>
      <w:r w:rsidR="008F6F06" w:rsidRPr="004035E1">
        <w:t xml:space="preserve">, the likelihood function for the case of a </w:t>
      </w:r>
      <w:r w:rsidR="009C0DC5" w:rsidRPr="004035E1">
        <w:t>count value of</w:t>
      </w:r>
      <w:r w:rsidR="00E74AD4">
        <w:t xml:space="preserve"> </w:t>
      </w:r>
      <w:r w:rsidR="00073149" w:rsidRPr="00073149">
        <w:rPr>
          <w:i/>
        </w:rPr>
        <w:t>g</w:t>
      </w:r>
      <w:r w:rsidR="008F6F06" w:rsidRPr="004035E1">
        <w:t xml:space="preserve">, and the fractional allocation to the first </w:t>
      </w:r>
      <w:r w:rsidR="008F6F06" w:rsidRPr="004035E1">
        <w:rPr>
          <w:i/>
        </w:rPr>
        <w:t>M</w:t>
      </w:r>
      <w:r w:rsidR="008F6F06" w:rsidRPr="004035E1">
        <w:t xml:space="preserve"> inside goods in the product group, is:</w:t>
      </w:r>
    </w:p>
    <w:p w:rsidR="008F6F06" w:rsidRPr="004035E1" w:rsidRDefault="008F6F06" w:rsidP="00E714EB">
      <w:pPr>
        <w:tabs>
          <w:tab w:val="right" w:pos="9360"/>
        </w:tabs>
        <w:spacing w:before="60" w:after="60" w:line="276" w:lineRule="auto"/>
        <w:jc w:val="both"/>
      </w:pPr>
      <w:r w:rsidRPr="004035E1">
        <w:t xml:space="preserve"> </w:t>
      </w:r>
      <w:r w:rsidR="004B7448" w:rsidRPr="004035E1">
        <w:rPr>
          <w:position w:val="-34"/>
        </w:rPr>
        <w:object w:dxaOrig="7000" w:dyaOrig="639" w14:anchorId="0FE81186">
          <v:shape id="_x0000_i1212" type="#_x0000_t75" style="width:345pt;height:32.15pt" o:ole="">
            <v:imagedata r:id="rId360" o:title=""/>
          </v:shape>
          <o:OLEObject Type="Embed" ProgID="Equation.DSMT4" ShapeID="_x0000_i1212" DrawAspect="Content" ObjectID="_1722174358" r:id="rId361"/>
        </w:object>
      </w:r>
      <w:r w:rsidRPr="004035E1">
        <w:tab/>
        <w:t>(</w:t>
      </w:r>
      <w:r w:rsidR="00243FC5">
        <w:t>30</w:t>
      </w:r>
      <w:r w:rsidRPr="004035E1">
        <w:t>)</w:t>
      </w:r>
    </w:p>
    <w:p w:rsidR="00FA6827" w:rsidRPr="004035E1" w:rsidRDefault="00B60EF9" w:rsidP="004035E1">
      <w:pPr>
        <w:spacing w:line="276" w:lineRule="auto"/>
        <w:jc w:val="both"/>
      </w:pPr>
      <w:r>
        <w:t xml:space="preserve">where </w:t>
      </w:r>
      <w:r w:rsidRPr="00257B39">
        <w:rPr>
          <w:position w:val="-10"/>
        </w:rPr>
        <w:object w:dxaOrig="820" w:dyaOrig="320" w14:anchorId="54F505CA">
          <v:shape id="_x0000_i1213" type="#_x0000_t75" style="width:40.7pt;height:16.3pt" o:ole="">
            <v:imagedata r:id="rId362" o:title=""/>
          </v:shape>
          <o:OLEObject Type="Embed" ProgID="Equation.DSMT4" ShapeID="_x0000_i1213" DrawAspect="Content" ObjectID="_1722174359" r:id="rId363"/>
        </w:object>
      </w:r>
      <w:r>
        <w:t xml:space="preserve"> denotes the occurrence of a zero total count and </w:t>
      </w:r>
      <w:r w:rsidRPr="00257B39">
        <w:rPr>
          <w:position w:val="-10"/>
        </w:rPr>
        <w:object w:dxaOrig="820" w:dyaOrig="320" w14:anchorId="56EBF47E">
          <v:shape id="_x0000_i1214" type="#_x0000_t75" style="width:40.7pt;height:16.3pt" o:ole="">
            <v:imagedata r:id="rId364" o:title=""/>
          </v:shape>
          <o:OLEObject Type="Embed" ProgID="Equation.DSMT4" ShapeID="_x0000_i1214" DrawAspect="Content" ObjectID="_1722174360" r:id="rId365"/>
        </w:object>
      </w:r>
      <w:r>
        <w:t xml:space="preserve"> denotes the occurrence of a non-zero count. </w:t>
      </w:r>
      <w:r w:rsidR="008F6F06" w:rsidRPr="004035E1">
        <w:t xml:space="preserve">The log-likelihood function may be developed across all individuals, and the parameters may be estimated using a maximum likelihood estimation approach (or a maximum simulated likelihood approach in the case of </w:t>
      </w:r>
      <w:r>
        <w:t xml:space="preserve">the model with </w:t>
      </w:r>
      <w:r w:rsidR="008F6F06" w:rsidRPr="004035E1">
        <w:t xml:space="preserve">unobserved heterogeneity effects). </w:t>
      </w:r>
    </w:p>
    <w:p w:rsidR="00992816" w:rsidRPr="004035E1" w:rsidRDefault="00992816" w:rsidP="004035E1">
      <w:pPr>
        <w:spacing w:line="276" w:lineRule="auto"/>
        <w:jc w:val="both"/>
      </w:pPr>
    </w:p>
    <w:p w:rsidR="00F85118" w:rsidRPr="00916214" w:rsidRDefault="00F85118" w:rsidP="004A471C">
      <w:pPr>
        <w:keepNext/>
        <w:keepLines/>
        <w:spacing w:line="276" w:lineRule="auto"/>
        <w:jc w:val="both"/>
        <w:rPr>
          <w:b/>
        </w:rPr>
      </w:pPr>
      <w:r w:rsidRPr="00916214">
        <w:rPr>
          <w:b/>
        </w:rPr>
        <w:t>2.</w:t>
      </w:r>
      <w:r w:rsidR="00516C13" w:rsidRPr="00916214">
        <w:rPr>
          <w:b/>
        </w:rPr>
        <w:t>5</w:t>
      </w:r>
      <w:r w:rsidRPr="00916214">
        <w:rPr>
          <w:b/>
        </w:rPr>
        <w:t>. Forecasting Approach</w:t>
      </w:r>
    </w:p>
    <w:p w:rsidR="00C95427" w:rsidRPr="004035E1" w:rsidRDefault="00C95427" w:rsidP="004A471C">
      <w:pPr>
        <w:keepNext/>
        <w:keepLines/>
        <w:spacing w:after="60" w:line="276" w:lineRule="auto"/>
        <w:jc w:val="both"/>
      </w:pPr>
      <w:r w:rsidRPr="004035E1">
        <w:t>Once estimated, the model may be used to forecast the total count investment in the product group of interest (including zero count) and the</w:t>
      </w:r>
      <w:r w:rsidR="00F85118" w:rsidRPr="004035E1">
        <w:t xml:space="preserve"> </w:t>
      </w:r>
      <w:r w:rsidRPr="004035E1">
        <w:t>count</w:t>
      </w:r>
      <w:r w:rsidR="00F85118" w:rsidRPr="004035E1">
        <w:t>s of i</w:t>
      </w:r>
      <w:r w:rsidRPr="004035E1">
        <w:t>ndividual good</w:t>
      </w:r>
      <w:r w:rsidR="00F85118" w:rsidRPr="004035E1">
        <w:t xml:space="preserve"> consumptions</w:t>
      </w:r>
      <w:r w:rsidRPr="004035E1">
        <w:t xml:space="preserve"> within the product group of interest for a non-zero total count. The split of the total count is obtained from the fractional MDCEV model. However, simply applying the fractions to a positive integer count would not provide an integer value for the counts for individual goods in the product category. While these non-integer values for the intensity of consumptions of individual goods may be viewed as expected values over the group of individuals with a certain vector set of characteristics, it may be desirable to have a forecasting mechanism that predicts, even at a specific individual level, integer counts for the individual good-level </w:t>
      </w:r>
      <w:r w:rsidR="00B60EF9">
        <w:t>consumptions</w:t>
      </w:r>
      <w:r w:rsidRPr="004035E1">
        <w:t>. An approach to accomplish this is presented below:</w:t>
      </w:r>
    </w:p>
    <w:p w:rsidR="00C95427" w:rsidRPr="004035E1" w:rsidRDefault="00C95427" w:rsidP="004A471C">
      <w:pPr>
        <w:numPr>
          <w:ilvl w:val="0"/>
          <w:numId w:val="2"/>
        </w:numPr>
        <w:spacing w:after="60" w:line="276" w:lineRule="auto"/>
        <w:ind w:left="360"/>
        <w:jc w:val="both"/>
      </w:pPr>
      <w:r w:rsidRPr="004035E1">
        <w:t xml:space="preserve">Step 1: Compute the </w:t>
      </w:r>
      <w:r w:rsidR="00627148" w:rsidRPr="004035E1">
        <w:t xml:space="preserve">count </w:t>
      </w:r>
      <w:r w:rsidRPr="004035E1">
        <w:t xml:space="preserve">probability </w:t>
      </w:r>
      <w:r w:rsidR="00FB75A9" w:rsidRPr="004035E1">
        <w:t xml:space="preserve">of each count value </w:t>
      </w:r>
      <w:r w:rsidRPr="004035E1">
        <w:t xml:space="preserve">for the product group </w:t>
      </w:r>
      <w:r w:rsidRPr="004035E1">
        <w:rPr>
          <w:i/>
        </w:rPr>
        <w:t>G</w:t>
      </w:r>
      <w:r w:rsidRPr="004035E1">
        <w:t xml:space="preserve"> using Equation (</w:t>
      </w:r>
      <w:r w:rsidR="006B4851">
        <w:t>2</w:t>
      </w:r>
      <w:r w:rsidR="004B7448">
        <w:t>7</w:t>
      </w:r>
      <w:r w:rsidRPr="004035E1">
        <w:t xml:space="preserve">). </w:t>
      </w:r>
      <w:r w:rsidR="00FB75A9" w:rsidRPr="004035E1">
        <w:t>In doing so, if there is a typical upper limit exhibited by the empirical data, set the upper bound value for this upper limit to</w:t>
      </w:r>
      <w:r w:rsidR="00547D70">
        <w:t xml:space="preserve"> ∞.</w:t>
      </w:r>
      <w:r w:rsidR="00FB75A9" w:rsidRPr="004035E1">
        <w:t xml:space="preserve"> Stack these probabilities consecutively starting from the probability of zero count. </w:t>
      </w:r>
      <w:r w:rsidRPr="004035E1">
        <w:t xml:space="preserve">Draw a random variable from the uniform distribution. </w:t>
      </w:r>
      <w:r w:rsidR="00FB75A9" w:rsidRPr="004035E1">
        <w:t>Identify the count value on which this random draw falls in the stacked set of count probabilities. Declare this as the total count value prediction</w:t>
      </w:r>
      <w:r w:rsidR="008D3CA1" w:rsidRPr="004035E1">
        <w:t xml:space="preserve"> </w:t>
      </w:r>
      <w:r w:rsidR="000110EE" w:rsidRPr="004035E1">
        <w:rPr>
          <w:position w:val="-12"/>
        </w:rPr>
        <w:object w:dxaOrig="380" w:dyaOrig="360" w14:anchorId="2AA2D266">
          <v:shape id="_x0000_i1215" type="#_x0000_t75" style="width:19.3pt;height:18pt" o:ole="">
            <v:imagedata r:id="rId366" o:title=""/>
          </v:shape>
          <o:OLEObject Type="Embed" ProgID="Equation.DSMT4" ShapeID="_x0000_i1215" DrawAspect="Content" ObjectID="_1722174361" r:id="rId367"/>
        </w:object>
      </w:r>
      <w:r w:rsidR="00FB75A9" w:rsidRPr="004035E1">
        <w:t>for the individual.</w:t>
      </w:r>
      <w:r w:rsidRPr="004035E1">
        <w:t xml:space="preserve"> </w:t>
      </w:r>
    </w:p>
    <w:p w:rsidR="00FB4390" w:rsidRPr="004035E1" w:rsidRDefault="001F564F" w:rsidP="004A471C">
      <w:pPr>
        <w:numPr>
          <w:ilvl w:val="0"/>
          <w:numId w:val="2"/>
        </w:numPr>
        <w:spacing w:after="60" w:line="276" w:lineRule="auto"/>
        <w:ind w:left="360"/>
        <w:jc w:val="both"/>
      </w:pPr>
      <w:r w:rsidRPr="004035E1">
        <w:t xml:space="preserve">Step 2: </w:t>
      </w:r>
      <w:r w:rsidR="00FB75A9" w:rsidRPr="004035E1">
        <w:t>If</w:t>
      </w:r>
      <w:r w:rsidR="008D3CA1" w:rsidRPr="004035E1">
        <w:t xml:space="preserve"> </w:t>
      </w:r>
      <w:r w:rsidR="00547D70" w:rsidRPr="004035E1">
        <w:rPr>
          <w:position w:val="-12"/>
        </w:rPr>
        <w:object w:dxaOrig="380" w:dyaOrig="360" w14:anchorId="436E5045">
          <v:shape id="_x0000_i1216" type="#_x0000_t75" style="width:18pt;height:17.55pt" o:ole="">
            <v:imagedata r:id="rId368" o:title=""/>
          </v:shape>
          <o:OLEObject Type="Embed" ProgID="Equation.DSMT4" ShapeID="_x0000_i1216" DrawAspect="Content" ObjectID="_1722174362" r:id="rId369"/>
        </w:object>
      </w:r>
      <w:r w:rsidR="008D3CA1" w:rsidRPr="004035E1">
        <w:t>=0</w:t>
      </w:r>
      <w:r w:rsidR="00FB75A9" w:rsidRPr="004035E1">
        <w:t xml:space="preserve">, declare a zero allocation for product group </w:t>
      </w:r>
      <w:r w:rsidR="00FB75A9" w:rsidRPr="004035E1">
        <w:rPr>
          <w:i/>
        </w:rPr>
        <w:t>G</w:t>
      </w:r>
      <w:r w:rsidR="00FB75A9" w:rsidRPr="004035E1">
        <w:t xml:space="preserve"> for the observation and put </w:t>
      </w:r>
      <w:r w:rsidR="00547D70" w:rsidRPr="004035E1">
        <w:rPr>
          <w:position w:val="-12"/>
        </w:rPr>
        <w:object w:dxaOrig="3420" w:dyaOrig="360" w14:anchorId="7A0A5043">
          <v:shape id="_x0000_i1217" type="#_x0000_t75" style="width:171pt;height:18pt" o:ole="">
            <v:imagedata r:id="rId370" o:title=""/>
          </v:shape>
          <o:OLEObject Type="Embed" ProgID="Equation.DSMT4" ShapeID="_x0000_i1217" DrawAspect="Content" ObjectID="_1722174363" r:id="rId371"/>
        </w:object>
      </w:r>
      <w:r w:rsidR="00FB75A9" w:rsidRPr="004035E1">
        <w:t xml:space="preserve">. </w:t>
      </w:r>
    </w:p>
    <w:p w:rsidR="00C95427" w:rsidRPr="004035E1" w:rsidRDefault="00C95427" w:rsidP="004A471C">
      <w:pPr>
        <w:numPr>
          <w:ilvl w:val="0"/>
          <w:numId w:val="4"/>
        </w:numPr>
        <w:spacing w:after="60" w:line="276" w:lineRule="auto"/>
        <w:ind w:left="360"/>
        <w:jc w:val="both"/>
      </w:pPr>
      <w:r w:rsidRPr="004035E1">
        <w:t xml:space="preserve">Step </w:t>
      </w:r>
      <w:r w:rsidR="001F564F" w:rsidRPr="004035E1">
        <w:t>3</w:t>
      </w:r>
      <w:r w:rsidRPr="004035E1">
        <w:t xml:space="preserve">: Draw </w:t>
      </w:r>
      <w:r w:rsidRPr="004035E1">
        <w:rPr>
          <w:i/>
        </w:rPr>
        <w:t>K</w:t>
      </w:r>
      <w:r w:rsidRPr="004035E1">
        <w:t xml:space="preserve"> independent realizations of </w:t>
      </w:r>
      <w:bookmarkStart w:id="10" w:name="_Hlk88090862"/>
      <w:r w:rsidRPr="004035E1">
        <w:rPr>
          <w:position w:val="-12"/>
        </w:rPr>
        <w:object w:dxaOrig="260" w:dyaOrig="360" w14:anchorId="78B61B70">
          <v:shape id="_x0000_i1218" type="#_x0000_t75" style="width:12.45pt;height:18pt" o:ole="">
            <v:imagedata r:id="rId372" o:title=""/>
          </v:shape>
          <o:OLEObject Type="Embed" ProgID="Equation.DSMT4" ShapeID="_x0000_i1218" DrawAspect="Content" ObjectID="_1722174364" r:id="rId373"/>
        </w:object>
      </w:r>
      <w:bookmarkEnd w:id="10"/>
      <w:r w:rsidRPr="004035E1">
        <w:t xml:space="preserve">, one for each good </w:t>
      </w:r>
      <w:r w:rsidRPr="004035E1">
        <w:rPr>
          <w:position w:val="-10"/>
        </w:rPr>
        <w:object w:dxaOrig="1620" w:dyaOrig="320" w14:anchorId="7D4796B0">
          <v:shape id="_x0000_i1219" type="#_x0000_t75" style="width:80.55pt;height:16.3pt" o:ole="">
            <v:imagedata r:id="rId374" o:title=""/>
          </v:shape>
          <o:OLEObject Type="Embed" ProgID="Equation.DSMT4" ShapeID="_x0000_i1219" DrawAspect="Content" ObjectID="_1722174365" r:id="rId375"/>
        </w:object>
      </w:r>
      <w:r w:rsidRPr="004035E1">
        <w:t xml:space="preserve"> from the reverse extreme value distribution with location parameter of 0 and the scale parameter equal to one; label this distribution as </w:t>
      </w:r>
      <w:proofErr w:type="gramStart"/>
      <w:r w:rsidRPr="004035E1">
        <w:t>REV(</w:t>
      </w:r>
      <w:proofErr w:type="gramEnd"/>
      <w:r w:rsidRPr="004035E1">
        <w:t>0,</w:t>
      </w:r>
      <w:r w:rsidRPr="004035E1">
        <w:rPr>
          <w:position w:val="-10"/>
        </w:rPr>
        <w:object w:dxaOrig="240" w:dyaOrig="320" w14:anchorId="3E6CD9A5">
          <v:shape id="_x0000_i1220" type="#_x0000_t75" style="width:12pt;height:15.85pt" o:ole="">
            <v:imagedata r:id="rId376" o:title=""/>
          </v:shape>
          <o:OLEObject Type="Embed" ProgID="Equation.DSMT4" ShapeID="_x0000_i1220" DrawAspect="Content" ObjectID="_1722174366" r:id="rId377"/>
        </w:object>
      </w:r>
      <w:r w:rsidRPr="004035E1">
        <w:t xml:space="preserve">. Compute </w:t>
      </w:r>
      <w:r w:rsidRPr="004035E1">
        <w:rPr>
          <w:position w:val="-12"/>
        </w:rPr>
        <w:object w:dxaOrig="320" w:dyaOrig="360" w14:anchorId="70E66495">
          <v:shape id="_x0000_i1221" type="#_x0000_t75" style="width:16.3pt;height:18pt" o:ole="">
            <v:imagedata r:id="rId378" o:title=""/>
          </v:shape>
          <o:OLEObject Type="Embed" ProgID="Equation.DSMT4" ShapeID="_x0000_i1221" DrawAspect="Content" ObjectID="_1722174367" r:id="rId379"/>
        </w:object>
      </w:r>
      <w:r w:rsidRPr="004035E1">
        <w:t xml:space="preserve"> using Equation (</w:t>
      </w:r>
      <w:r w:rsidR="00EA4476" w:rsidRPr="004035E1">
        <w:t>2</w:t>
      </w:r>
      <w:r w:rsidRPr="004035E1">
        <w:t>).</w:t>
      </w:r>
    </w:p>
    <w:p w:rsidR="00C95427" w:rsidRPr="004035E1" w:rsidRDefault="00C95427" w:rsidP="004A471C">
      <w:pPr>
        <w:numPr>
          <w:ilvl w:val="0"/>
          <w:numId w:val="4"/>
        </w:numPr>
        <w:spacing w:after="60" w:line="276" w:lineRule="auto"/>
        <w:ind w:left="360"/>
        <w:jc w:val="both"/>
      </w:pPr>
      <w:r w:rsidRPr="004035E1">
        <w:t xml:space="preserve">Step </w:t>
      </w:r>
      <w:r w:rsidR="001F564F" w:rsidRPr="004035E1">
        <w:t>4</w:t>
      </w:r>
      <w:r w:rsidRPr="004035E1">
        <w:t xml:space="preserve">: Re-order the goods in descending order of </w:t>
      </w:r>
      <w:r w:rsidRPr="004035E1">
        <w:rPr>
          <w:position w:val="-12"/>
        </w:rPr>
        <w:object w:dxaOrig="320" w:dyaOrig="360" w14:anchorId="51AD9992">
          <v:shape id="_x0000_i1222" type="#_x0000_t75" style="width:16.3pt;height:18pt" o:ole="">
            <v:imagedata r:id="rId378" o:title=""/>
          </v:shape>
          <o:OLEObject Type="Embed" ProgID="Equation.DSMT4" ShapeID="_x0000_i1222" DrawAspect="Content" ObjectID="_1722174368" r:id="rId380"/>
        </w:object>
      </w:r>
      <w:r w:rsidRPr="004035E1">
        <w:t xml:space="preserve">; set a new index </w:t>
      </w:r>
      <w:r w:rsidR="00EA3C82" w:rsidRPr="004035E1">
        <w:rPr>
          <w:i/>
        </w:rPr>
        <w:t>h</w:t>
      </w:r>
      <w:r w:rsidRPr="004035E1">
        <w:t xml:space="preserve"> </w:t>
      </w:r>
      <w:r w:rsidR="00C879FF" w:rsidRPr="004035E1">
        <w:rPr>
          <w:position w:val="-10"/>
        </w:rPr>
        <w:object w:dxaOrig="1420" w:dyaOrig="320" w14:anchorId="0BE9502E">
          <v:shape id="_x0000_i1223" type="#_x0000_t75" style="width:69.45pt;height:15.85pt" o:ole="">
            <v:imagedata r:id="rId381" o:title=""/>
          </v:shape>
          <o:OLEObject Type="Embed" ProgID="Equation.DSMT4" ShapeID="_x0000_i1223" DrawAspect="Content" ObjectID="_1722174369" r:id="rId382"/>
        </w:object>
      </w:r>
      <w:r w:rsidRPr="004035E1">
        <w:t xml:space="preserve"> for this new ordering of the inside goods. Let </w:t>
      </w:r>
      <w:r w:rsidR="00EA3C82" w:rsidRPr="004035E1">
        <w:rPr>
          <w:position w:val="-12"/>
        </w:rPr>
        <w:object w:dxaOrig="320" w:dyaOrig="360" w14:anchorId="10B5BBE5">
          <v:shape id="_x0000_i1224" type="#_x0000_t75" style="width:15.85pt;height:18pt" o:ole="">
            <v:imagedata r:id="rId383" o:title=""/>
          </v:shape>
          <o:OLEObject Type="Embed" ProgID="Equation.DSMT4" ShapeID="_x0000_i1224" DrawAspect="Content" ObjectID="_1722174370" r:id="rId384"/>
        </w:object>
      </w:r>
      <w:r w:rsidRPr="004035E1">
        <w:t xml:space="preserve"> be the re-ordered vector of values of </w:t>
      </w:r>
      <w:r w:rsidRPr="004035E1">
        <w:rPr>
          <w:position w:val="-12"/>
        </w:rPr>
        <w:object w:dxaOrig="320" w:dyaOrig="360" w14:anchorId="26F60919">
          <v:shape id="_x0000_i1225" type="#_x0000_t75" style="width:16.3pt;height:18pt" o:ole="">
            <v:imagedata r:id="rId378" o:title=""/>
          </v:shape>
          <o:OLEObject Type="Embed" ProgID="Equation.DSMT4" ShapeID="_x0000_i1225" DrawAspect="Content" ObjectID="_1722174371" r:id="rId385"/>
        </w:object>
      </w:r>
      <w:r w:rsidRPr="004035E1">
        <w:t xml:space="preserve"> and </w:t>
      </w:r>
      <w:r w:rsidR="00EA3C82" w:rsidRPr="004035E1">
        <w:rPr>
          <w:position w:val="-12"/>
        </w:rPr>
        <w:object w:dxaOrig="260" w:dyaOrig="360" w14:anchorId="47C7D3CE">
          <v:shape id="_x0000_i1226" type="#_x0000_t75" style="width:13.3pt;height:18pt" o:ole="">
            <v:imagedata r:id="rId386" o:title=""/>
          </v:shape>
          <o:OLEObject Type="Embed" ProgID="Equation.DSMT4" ShapeID="_x0000_i1226" DrawAspect="Content" ObjectID="_1722174372" r:id="rId387"/>
        </w:object>
      </w:r>
      <w:r w:rsidRPr="004035E1">
        <w:t xml:space="preserve"> be the re-ordered vector of values of </w:t>
      </w:r>
      <w:r w:rsidR="00EA3C82" w:rsidRPr="004035E1">
        <w:rPr>
          <w:position w:val="-12"/>
        </w:rPr>
        <w:object w:dxaOrig="340" w:dyaOrig="360" w14:anchorId="581569DD">
          <v:shape id="_x0000_i1227" type="#_x0000_t75" style="width:16.7pt;height:18pt" o:ole="">
            <v:imagedata r:id="rId388" o:title=""/>
          </v:shape>
          <o:OLEObject Type="Embed" ProgID="Equation.DSMT4" ShapeID="_x0000_i1227" DrawAspect="Content" ObjectID="_1722174373" r:id="rId389"/>
        </w:object>
      </w:r>
      <w:r w:rsidRPr="004035E1">
        <w:t xml:space="preserve"> </w:t>
      </w:r>
    </w:p>
    <w:p w:rsidR="00C95427" w:rsidRPr="004035E1" w:rsidRDefault="00C95427" w:rsidP="004A471C">
      <w:pPr>
        <w:numPr>
          <w:ilvl w:val="0"/>
          <w:numId w:val="4"/>
        </w:numPr>
        <w:spacing w:after="60" w:line="276" w:lineRule="auto"/>
        <w:ind w:left="360"/>
        <w:jc w:val="both"/>
      </w:pPr>
      <w:r w:rsidRPr="004035E1">
        <w:t>Step</w:t>
      </w:r>
      <w:r w:rsidR="001F564F" w:rsidRPr="004035E1">
        <w:t xml:space="preserve"> 5</w:t>
      </w:r>
      <w:r w:rsidRPr="004035E1">
        <w:t xml:space="preserve">: </w:t>
      </w:r>
      <w:r w:rsidR="008D3CA1" w:rsidRPr="004035E1">
        <w:t xml:space="preserve">If </w:t>
      </w:r>
      <w:r w:rsidR="000110EE" w:rsidRPr="004035E1">
        <w:rPr>
          <w:position w:val="-12"/>
        </w:rPr>
        <w:object w:dxaOrig="380" w:dyaOrig="360" w14:anchorId="488B2FEE">
          <v:shape id="_x0000_i1228" type="#_x0000_t75" style="width:19.3pt;height:18pt" o:ole="">
            <v:imagedata r:id="rId390" o:title=""/>
          </v:shape>
          <o:OLEObject Type="Embed" ProgID="Equation.DSMT4" ShapeID="_x0000_i1228" DrawAspect="Content" ObjectID="_1722174374" r:id="rId391"/>
        </w:object>
      </w:r>
      <w:r w:rsidR="008D3CA1" w:rsidRPr="004035E1">
        <w:t xml:space="preserve">=1, </w:t>
      </w:r>
      <w:r w:rsidR="005743BF" w:rsidRPr="004035E1">
        <w:t xml:space="preserve">set </w:t>
      </w:r>
      <w:r w:rsidR="007E54AF" w:rsidRPr="004035E1">
        <w:rPr>
          <w:position w:val="-12"/>
        </w:rPr>
        <w:object w:dxaOrig="700" w:dyaOrig="400" w14:anchorId="1EBAA5D7">
          <v:shape id="_x0000_i1229" type="#_x0000_t75" style="width:34.3pt;height:19.3pt" o:ole="">
            <v:imagedata r:id="rId392" o:title=""/>
          </v:shape>
          <o:OLEObject Type="Embed" ProgID="Equation.DSMT4" ShapeID="_x0000_i1229" DrawAspect="Content" ObjectID="_1722174375" r:id="rId393"/>
        </w:object>
      </w:r>
      <w:r w:rsidR="00D76D5F">
        <w:t xml:space="preserve"> </w:t>
      </w:r>
      <w:r w:rsidR="005743BF" w:rsidRPr="004035E1">
        <w:t xml:space="preserve">and </w:t>
      </w:r>
      <w:r w:rsidR="00EA3C82" w:rsidRPr="004035E1">
        <w:rPr>
          <w:position w:val="-12"/>
        </w:rPr>
        <w:object w:dxaOrig="760" w:dyaOrig="360" w14:anchorId="7978DD8D">
          <v:shape id="_x0000_i1230" type="#_x0000_t75" style="width:37.7pt;height:18pt" o:ole="">
            <v:imagedata r:id="rId394" o:title=""/>
          </v:shape>
          <o:OLEObject Type="Embed" ProgID="Equation.DSMT4" ShapeID="_x0000_i1230" DrawAspect="Content" ObjectID="_1722174376" r:id="rId395"/>
        </w:object>
      </w:r>
      <w:r w:rsidR="00D76D5F">
        <w:t xml:space="preserve"> </w:t>
      </w:r>
      <w:r w:rsidR="00BB6792" w:rsidRPr="004035E1">
        <w:t xml:space="preserve">for </w:t>
      </w:r>
      <w:r w:rsidR="00EA3C82" w:rsidRPr="004035E1">
        <w:rPr>
          <w:i/>
        </w:rPr>
        <w:t>h</w:t>
      </w:r>
      <w:r w:rsidR="00BB6792" w:rsidRPr="004035E1">
        <w:t>=1;</w:t>
      </w:r>
      <w:r w:rsidR="00BB6792" w:rsidRPr="004035E1">
        <w:rPr>
          <w:i/>
        </w:rPr>
        <w:t xml:space="preserve"> </w:t>
      </w:r>
      <w:r w:rsidR="00BB6792" w:rsidRPr="004035E1">
        <w:t>and</w:t>
      </w:r>
      <w:r w:rsidR="00D76D5F">
        <w:t xml:space="preserve"> </w:t>
      </w:r>
      <w:r w:rsidR="007E54AF" w:rsidRPr="004035E1">
        <w:rPr>
          <w:position w:val="-12"/>
        </w:rPr>
        <w:object w:dxaOrig="680" w:dyaOrig="400" w14:anchorId="2CD8701F">
          <v:shape id="_x0000_i1231" type="#_x0000_t75" style="width:34.3pt;height:19.3pt" o:ole="">
            <v:imagedata r:id="rId396" o:title=""/>
          </v:shape>
          <o:OLEObject Type="Embed" ProgID="Equation.DSMT4" ShapeID="_x0000_i1231" DrawAspect="Content" ObjectID="_1722174377" r:id="rId397"/>
        </w:object>
      </w:r>
      <w:r w:rsidR="00D76D5F">
        <w:t xml:space="preserve"> </w:t>
      </w:r>
      <w:proofErr w:type="spellStart"/>
      <w:r w:rsidR="00D76D5F">
        <w:t>and</w:t>
      </w:r>
      <w:proofErr w:type="spellEnd"/>
      <w:r w:rsidR="00D76D5F">
        <w:t xml:space="preserve"> </w:t>
      </w:r>
      <w:r w:rsidR="00D76D5F" w:rsidRPr="004035E1">
        <w:rPr>
          <w:position w:val="-12"/>
        </w:rPr>
        <w:object w:dxaOrig="760" w:dyaOrig="360" w14:anchorId="06521F85">
          <v:shape id="_x0000_i1232" type="#_x0000_t75" style="width:37.7pt;height:18pt" o:ole="">
            <v:imagedata r:id="rId398" o:title=""/>
          </v:shape>
          <o:OLEObject Type="Embed" ProgID="Equation.DSMT4" ShapeID="_x0000_i1232" DrawAspect="Content" ObjectID="_1722174378" r:id="rId399"/>
        </w:object>
      </w:r>
      <w:r w:rsidR="00F41191">
        <w:t xml:space="preserve"> for </w:t>
      </w:r>
      <w:r w:rsidR="00D76D5F">
        <w:t xml:space="preserve"> </w:t>
      </w:r>
      <w:r w:rsidR="00547D70" w:rsidRPr="00F41191">
        <w:rPr>
          <w:position w:val="-10"/>
        </w:rPr>
        <w:object w:dxaOrig="1280" w:dyaOrig="320" w14:anchorId="178FE505">
          <v:shape id="_x0000_i1233" type="#_x0000_t75" style="width:63.45pt;height:15.85pt" o:ole="">
            <v:imagedata r:id="rId400" o:title=""/>
          </v:shape>
          <o:OLEObject Type="Embed" ProgID="Equation.DSMT4" ShapeID="_x0000_i1233" DrawAspect="Content" ObjectID="_1722174379" r:id="rId401"/>
        </w:object>
      </w:r>
      <w:r w:rsidR="00F41191">
        <w:t xml:space="preserve">. </w:t>
      </w:r>
      <w:r w:rsidR="005743BF" w:rsidRPr="004035E1">
        <w:t xml:space="preserve">Declare the consumptions as </w:t>
      </w:r>
      <w:r w:rsidR="005743BF" w:rsidRPr="004035E1">
        <w:rPr>
          <w:position w:val="-12"/>
        </w:rPr>
        <w:object w:dxaOrig="1820" w:dyaOrig="360" w14:anchorId="0651B109">
          <v:shape id="_x0000_i1234" type="#_x0000_t75" style="width:91.3pt;height:18pt" o:ole="">
            <v:imagedata r:id="rId402" o:title=""/>
          </v:shape>
          <o:OLEObject Type="Embed" ProgID="Equation.DSMT4" ShapeID="_x0000_i1234" DrawAspect="Content" ObjectID="_1722174380" r:id="rId403"/>
        </w:object>
      </w:r>
      <w:r w:rsidR="005743BF" w:rsidRPr="004035E1">
        <w:t xml:space="preserve"> </w:t>
      </w:r>
      <w:r w:rsidR="000110EE" w:rsidRPr="004035E1">
        <w:t>STOP.</w:t>
      </w:r>
    </w:p>
    <w:p w:rsidR="00165E70" w:rsidRPr="004035E1" w:rsidRDefault="00C95427" w:rsidP="004A471C">
      <w:pPr>
        <w:numPr>
          <w:ilvl w:val="0"/>
          <w:numId w:val="2"/>
        </w:numPr>
        <w:spacing w:after="60" w:line="276" w:lineRule="auto"/>
        <w:ind w:left="360"/>
        <w:jc w:val="both"/>
      </w:pPr>
      <w:r w:rsidRPr="004035E1">
        <w:t xml:space="preserve">Step </w:t>
      </w:r>
      <w:r w:rsidR="001F564F" w:rsidRPr="004035E1">
        <w:t>6</w:t>
      </w:r>
      <w:r w:rsidRPr="004035E1">
        <w:t xml:space="preserve">: </w:t>
      </w:r>
      <w:r w:rsidR="000110EE" w:rsidRPr="004035E1">
        <w:t xml:space="preserve">Set </w:t>
      </w:r>
      <w:r w:rsidR="000110EE" w:rsidRPr="004035E1">
        <w:rPr>
          <w:i/>
        </w:rPr>
        <w:t xml:space="preserve">M </w:t>
      </w:r>
      <w:r w:rsidR="000110EE" w:rsidRPr="004035E1">
        <w:t xml:space="preserve">= 2 and </w:t>
      </w:r>
      <w:r w:rsidR="007E54AF" w:rsidRPr="004035E1">
        <w:rPr>
          <w:position w:val="-12"/>
        </w:rPr>
        <w:object w:dxaOrig="760" w:dyaOrig="400" w14:anchorId="07014CF0">
          <v:shape id="_x0000_i1235" type="#_x0000_t75" style="width:37.7pt;height:19.3pt" o:ole="">
            <v:imagedata r:id="rId404" o:title=""/>
          </v:shape>
          <o:OLEObject Type="Embed" ProgID="Equation.DSMT4" ShapeID="_x0000_i1235" DrawAspect="Content" ObjectID="_1722174381" r:id="rId405"/>
        </w:object>
      </w:r>
    </w:p>
    <w:p w:rsidR="00C95427" w:rsidRPr="004035E1" w:rsidRDefault="00165E70" w:rsidP="004035E1">
      <w:pPr>
        <w:numPr>
          <w:ilvl w:val="0"/>
          <w:numId w:val="2"/>
        </w:numPr>
        <w:spacing w:line="276" w:lineRule="auto"/>
        <w:ind w:left="360"/>
        <w:jc w:val="both"/>
      </w:pPr>
      <w:r w:rsidRPr="004035E1">
        <w:t xml:space="preserve">Step </w:t>
      </w:r>
      <w:r w:rsidR="001F564F" w:rsidRPr="004035E1">
        <w:t>7</w:t>
      </w:r>
      <w:r w:rsidRPr="004035E1">
        <w:t xml:space="preserve">: </w:t>
      </w:r>
      <w:r w:rsidR="00C95427" w:rsidRPr="004035E1">
        <w:t xml:space="preserve">If </w:t>
      </w:r>
      <w:r w:rsidR="00EA3C82" w:rsidRPr="004035E1">
        <w:rPr>
          <w:position w:val="-68"/>
        </w:rPr>
        <w:object w:dxaOrig="1520" w:dyaOrig="1060" w14:anchorId="57F13C2C">
          <v:shape id="_x0000_i1236" type="#_x0000_t75" style="width:78.45pt;height:53.15pt" o:ole="">
            <v:imagedata r:id="rId406" o:title=""/>
          </v:shape>
          <o:OLEObject Type="Embed" ProgID="Equation.DSMT4" ShapeID="_x0000_i1236" DrawAspect="Content" ObjectID="_1722174382" r:id="rId407"/>
        </w:object>
      </w:r>
      <w:r w:rsidR="00C95427" w:rsidRPr="004035E1">
        <w:t xml:space="preserve"> set </w:t>
      </w:r>
      <w:r w:rsidR="007E54AF" w:rsidRPr="004035E1">
        <w:rPr>
          <w:position w:val="-12"/>
        </w:rPr>
        <w:object w:dxaOrig="2680" w:dyaOrig="400" w14:anchorId="5C9E4B89">
          <v:shape id="_x0000_i1237" type="#_x0000_t75" style="width:136.7pt;height:20.55pt" o:ole="">
            <v:imagedata r:id="rId408" o:title=""/>
          </v:shape>
          <o:OLEObject Type="Embed" ProgID="Equation.DSMT4" ShapeID="_x0000_i1237" DrawAspect="Content" ObjectID="_1722174383" r:id="rId409"/>
        </w:object>
      </w:r>
      <w:r w:rsidR="00547D70">
        <w:t xml:space="preserve">and </w:t>
      </w:r>
      <w:r w:rsidR="00C95427" w:rsidRPr="00E11D72">
        <w:rPr>
          <w:i/>
        </w:rPr>
        <w:t xml:space="preserve">go to Step </w:t>
      </w:r>
      <w:r w:rsidR="001F564F" w:rsidRPr="00E11D72">
        <w:rPr>
          <w:i/>
        </w:rPr>
        <w:t>9</w:t>
      </w:r>
      <w:r w:rsidR="00C95427" w:rsidRPr="004035E1">
        <w:t xml:space="preserve">. Else, set </w:t>
      </w:r>
      <w:r w:rsidR="007E54AF" w:rsidRPr="004035E1">
        <w:rPr>
          <w:position w:val="-12"/>
        </w:rPr>
        <w:object w:dxaOrig="300" w:dyaOrig="400" w14:anchorId="3FC4A1A8">
          <v:shape id="_x0000_i1238" type="#_x0000_t75" style="width:15pt;height:19.3pt" o:ole="">
            <v:imagedata r:id="rId410" o:title=""/>
          </v:shape>
          <o:OLEObject Type="Embed" ProgID="Equation.DSMT4" ShapeID="_x0000_i1238" DrawAspect="Content" ObjectID="_1722174384" r:id="rId411"/>
        </w:object>
      </w:r>
      <w:r w:rsidR="00C95427" w:rsidRPr="004035E1">
        <w:t xml:space="preserve"> using the formula below:</w:t>
      </w:r>
    </w:p>
    <w:p w:rsidR="007F0EB5" w:rsidRPr="004035E1" w:rsidRDefault="007E54AF" w:rsidP="0002083A">
      <w:pPr>
        <w:tabs>
          <w:tab w:val="right" w:pos="9360"/>
        </w:tabs>
        <w:spacing w:line="276" w:lineRule="auto"/>
        <w:ind w:left="360"/>
        <w:jc w:val="both"/>
      </w:pPr>
      <w:r w:rsidRPr="004035E1">
        <w:rPr>
          <w:position w:val="-62"/>
        </w:rPr>
        <w:object w:dxaOrig="4099" w:dyaOrig="1500" w14:anchorId="757A9088">
          <v:shape id="_x0000_i1239" type="#_x0000_t75" style="width:208.3pt;height:75pt" o:ole="">
            <v:imagedata r:id="rId412" o:title=""/>
          </v:shape>
          <o:OLEObject Type="Embed" ProgID="Equation.DSMT4" ShapeID="_x0000_i1239" DrawAspect="Content" ObjectID="_1722174385" r:id="rId413"/>
        </w:object>
      </w:r>
      <w:r w:rsidR="00C95427" w:rsidRPr="004035E1">
        <w:t xml:space="preserve">  </w:t>
      </w:r>
      <w:r w:rsidR="00C95427" w:rsidRPr="004035E1">
        <w:tab/>
        <w:t>(</w:t>
      </w:r>
      <w:r w:rsidR="00357D65">
        <w:t>31</w:t>
      </w:r>
      <w:r w:rsidR="00C95427" w:rsidRPr="004035E1">
        <w:t>)</w:t>
      </w:r>
    </w:p>
    <w:p w:rsidR="00C95427" w:rsidRPr="004035E1" w:rsidRDefault="00C95427" w:rsidP="004A471C">
      <w:pPr>
        <w:numPr>
          <w:ilvl w:val="0"/>
          <w:numId w:val="2"/>
        </w:numPr>
        <w:spacing w:after="60" w:line="276" w:lineRule="auto"/>
        <w:ind w:left="360"/>
        <w:jc w:val="both"/>
      </w:pPr>
      <w:r w:rsidRPr="004035E1">
        <w:t xml:space="preserve">Step </w:t>
      </w:r>
      <w:r w:rsidR="001F564F" w:rsidRPr="004035E1">
        <w:t>8</w:t>
      </w:r>
      <w:r w:rsidRPr="004035E1">
        <w:t xml:space="preserve">: Set </w:t>
      </w:r>
      <w:r w:rsidRPr="004035E1">
        <w:rPr>
          <w:i/>
        </w:rPr>
        <w:t xml:space="preserve">M </w:t>
      </w:r>
      <w:r w:rsidRPr="004035E1">
        <w:t xml:space="preserve">= </w:t>
      </w:r>
      <w:r w:rsidRPr="004035E1">
        <w:rPr>
          <w:i/>
        </w:rPr>
        <w:t xml:space="preserve">M </w:t>
      </w:r>
      <w:r w:rsidRPr="004035E1">
        <w:t xml:space="preserve">+ 1. If </w:t>
      </w:r>
      <w:r w:rsidRPr="004035E1">
        <w:rPr>
          <w:i/>
        </w:rPr>
        <w:t xml:space="preserve">M </w:t>
      </w:r>
      <w:r w:rsidRPr="004035E1">
        <w:t xml:space="preserve">= </w:t>
      </w:r>
      <w:r w:rsidRPr="004035E1">
        <w:rPr>
          <w:i/>
        </w:rPr>
        <w:t>K</w:t>
      </w:r>
      <w:r w:rsidRPr="004035E1">
        <w:t xml:space="preserve">, </w:t>
      </w:r>
      <w:r w:rsidR="00E11D72" w:rsidRPr="00E11D72">
        <w:rPr>
          <w:i/>
        </w:rPr>
        <w:t>go to step</w:t>
      </w:r>
      <w:r w:rsidR="00E11D72" w:rsidRPr="004035E1">
        <w:t xml:space="preserve"> </w:t>
      </w:r>
      <w:r w:rsidR="001F564F" w:rsidRPr="00C879FF">
        <w:rPr>
          <w:i/>
        </w:rPr>
        <w:t>9</w:t>
      </w:r>
      <w:r w:rsidRPr="004035E1">
        <w:t xml:space="preserve">. Otherwise, </w:t>
      </w:r>
      <w:r w:rsidR="00E11D72" w:rsidRPr="00E11D72">
        <w:rPr>
          <w:i/>
        </w:rPr>
        <w:t>go to step 7</w:t>
      </w:r>
      <w:r w:rsidRPr="004035E1">
        <w:t xml:space="preserve">. </w:t>
      </w:r>
    </w:p>
    <w:p w:rsidR="00C95427" w:rsidRPr="004035E1" w:rsidRDefault="00C95427" w:rsidP="004A471C">
      <w:pPr>
        <w:numPr>
          <w:ilvl w:val="0"/>
          <w:numId w:val="5"/>
        </w:numPr>
        <w:spacing w:after="60" w:line="276" w:lineRule="auto"/>
        <w:jc w:val="both"/>
      </w:pPr>
      <w:r w:rsidRPr="004035E1">
        <w:t xml:space="preserve">Step </w:t>
      </w:r>
      <w:r w:rsidR="001F564F" w:rsidRPr="004035E1">
        <w:t>9</w:t>
      </w:r>
      <w:r w:rsidRPr="004035E1">
        <w:t xml:space="preserve">: Compute the </w:t>
      </w:r>
      <w:r w:rsidR="00165E70" w:rsidRPr="004035E1">
        <w:t xml:space="preserve">first-level (not necessarily integer) </w:t>
      </w:r>
      <w:r w:rsidRPr="004035E1">
        <w:t>intensity consumption</w:t>
      </w:r>
      <w:r w:rsidR="00E533F7" w:rsidRPr="004035E1">
        <w:t>s</w:t>
      </w:r>
      <w:r w:rsidRPr="004035E1">
        <w:t xml:space="preserve"> for each of the inside goods as the product of the predicted continuous allocation for the product group and the fractional allocation to each inside good: </w:t>
      </w:r>
      <w:r w:rsidR="007E54AF" w:rsidRPr="004035E1">
        <w:rPr>
          <w:position w:val="-12"/>
        </w:rPr>
        <w:object w:dxaOrig="3140" w:dyaOrig="400" w14:anchorId="7A079DD3">
          <v:shape id="_x0000_i1240" type="#_x0000_t75" style="width:156.45pt;height:20.55pt" o:ole="" o:preferrelative="f">
            <v:imagedata r:id="rId414" o:title=""/>
            <o:lock v:ext="edit" aspectratio="f"/>
          </v:shape>
          <o:OLEObject Type="Embed" ProgID="Equation.DSMT4" ShapeID="_x0000_i1240" DrawAspect="Content" ObjectID="_1722174386" r:id="rId415"/>
        </w:object>
      </w:r>
      <w:r w:rsidR="00547D70">
        <w:t xml:space="preserve"> </w:t>
      </w:r>
      <w:r w:rsidR="00547D70" w:rsidRPr="004035E1">
        <w:rPr>
          <w:position w:val="-12"/>
        </w:rPr>
        <w:object w:dxaOrig="3320" w:dyaOrig="360">
          <v:shape id="_x0000_i1241" type="#_x0000_t75" style="width:165.85pt;height:18pt" o:ole="" o:preferrelative="f">
            <v:imagedata r:id="rId416" o:title=""/>
            <o:lock v:ext="edit" aspectratio="f"/>
          </v:shape>
          <o:OLEObject Type="Embed" ProgID="Equation.DSMT4" ShapeID="_x0000_i1241" DrawAspect="Content" ObjectID="_1722174387" r:id="rId417"/>
        </w:object>
      </w:r>
    </w:p>
    <w:p w:rsidR="00C02201" w:rsidRPr="004035E1" w:rsidRDefault="00C95427" w:rsidP="004A471C">
      <w:pPr>
        <w:numPr>
          <w:ilvl w:val="0"/>
          <w:numId w:val="5"/>
        </w:numPr>
        <w:spacing w:after="60" w:line="276" w:lineRule="auto"/>
        <w:jc w:val="both"/>
      </w:pPr>
      <w:r w:rsidRPr="004035E1">
        <w:t>Step 1</w:t>
      </w:r>
      <w:r w:rsidR="001F564F" w:rsidRPr="004035E1">
        <w:t>0</w:t>
      </w:r>
      <w:r w:rsidRPr="004035E1">
        <w:t xml:space="preserve">: </w:t>
      </w:r>
      <w:r w:rsidR="00E533F7" w:rsidRPr="004035E1">
        <w:t xml:space="preserve">Consider only the goods </w:t>
      </w:r>
      <w:r w:rsidR="00E533F7" w:rsidRPr="004035E1">
        <w:rPr>
          <w:position w:val="-10"/>
        </w:rPr>
        <w:object w:dxaOrig="1320" w:dyaOrig="320" w14:anchorId="113EA190">
          <v:shape id="_x0000_i1242" type="#_x0000_t75" style="width:65.55pt;height:16.3pt" o:ole="">
            <v:imagedata r:id="rId418" o:title=""/>
          </v:shape>
          <o:OLEObject Type="Embed" ProgID="Equation.DSMT4" ShapeID="_x0000_i1242" DrawAspect="Content" ObjectID="_1722174388" r:id="rId419"/>
        </w:object>
      </w:r>
      <w:r w:rsidR="00E533F7" w:rsidRPr="004035E1">
        <w:t xml:space="preserve"> with </w:t>
      </w:r>
      <w:r w:rsidR="00A81C37" w:rsidRPr="004035E1">
        <w:rPr>
          <w:position w:val="-12"/>
        </w:rPr>
        <w:object w:dxaOrig="300" w:dyaOrig="400" w14:anchorId="2AC8D92C">
          <v:shape id="_x0000_i1243" type="#_x0000_t75" style="width:15pt;height:19.3pt" o:ole="">
            <v:imagedata r:id="rId420" o:title=""/>
          </v:shape>
          <o:OLEObject Type="Embed" ProgID="Equation.DSMT4" ShapeID="_x0000_i1243" DrawAspect="Content" ObjectID="_1722174389" r:id="rId421"/>
        </w:object>
      </w:r>
      <w:r w:rsidR="00E533F7" w:rsidRPr="004035E1">
        <w:t>&gt;0. S</w:t>
      </w:r>
      <w:r w:rsidR="00C02201" w:rsidRPr="004035E1">
        <w:t xml:space="preserve">et </w:t>
      </w:r>
      <w:r w:rsidR="00C02201" w:rsidRPr="004035E1">
        <w:rPr>
          <w:i/>
        </w:rPr>
        <w:t>s</w:t>
      </w:r>
      <w:r w:rsidR="00E533F7" w:rsidRPr="004035E1">
        <w:t>=1</w:t>
      </w:r>
      <w:r w:rsidR="00E74F06" w:rsidRPr="004035E1">
        <w:t>,</w:t>
      </w:r>
      <w:r w:rsidR="00A81C37" w:rsidRPr="004035E1">
        <w:rPr>
          <w:position w:val="-12"/>
        </w:rPr>
        <w:object w:dxaOrig="2400" w:dyaOrig="400" w14:anchorId="764027E0">
          <v:shape id="_x0000_i1244" type="#_x0000_t75" style="width:120.45pt;height:19.3pt" o:ole="">
            <v:imagedata r:id="rId422" o:title=""/>
          </v:shape>
          <o:OLEObject Type="Embed" ProgID="Equation.DSMT4" ShapeID="_x0000_i1244" DrawAspect="Content" ObjectID="_1722174390" r:id="rId423"/>
        </w:object>
      </w:r>
      <w:r w:rsidR="004D74A2" w:rsidRPr="004035E1">
        <w:t xml:space="preserve"> Also, set </w:t>
      </w:r>
      <w:r w:rsidR="004D74A2" w:rsidRPr="004035E1">
        <w:rPr>
          <w:position w:val="-12"/>
        </w:rPr>
        <w:object w:dxaOrig="760" w:dyaOrig="360" w14:anchorId="1646B3BD">
          <v:shape id="_x0000_i1245" type="#_x0000_t75" style="width:37.7pt;height:18pt" o:ole="">
            <v:imagedata r:id="rId424" o:title=""/>
          </v:shape>
          <o:OLEObject Type="Embed" ProgID="Equation.DSMT4" ShapeID="_x0000_i1245" DrawAspect="Content" ObjectID="_1722174391" r:id="rId425"/>
        </w:object>
      </w:r>
      <w:r w:rsidR="004D74A2" w:rsidRPr="004035E1">
        <w:t xml:space="preserve"> for </w:t>
      </w:r>
      <w:r w:rsidR="004D74A2" w:rsidRPr="004035E1">
        <w:rPr>
          <w:position w:val="-10"/>
        </w:rPr>
        <w:object w:dxaOrig="2240" w:dyaOrig="320" w14:anchorId="316A1AC6">
          <v:shape id="_x0000_i1246" type="#_x0000_t75" style="width:111.85pt;height:16.3pt" o:ole="">
            <v:imagedata r:id="rId426" o:title=""/>
          </v:shape>
          <o:OLEObject Type="Embed" ProgID="Equation.DSMT4" ShapeID="_x0000_i1246" DrawAspect="Content" ObjectID="_1722174392" r:id="rId427"/>
        </w:object>
      </w:r>
    </w:p>
    <w:p w:rsidR="004D74A2" w:rsidRPr="004035E1" w:rsidRDefault="004D74A2" w:rsidP="004A471C">
      <w:pPr>
        <w:numPr>
          <w:ilvl w:val="0"/>
          <w:numId w:val="5"/>
        </w:numPr>
        <w:spacing w:after="60" w:line="276" w:lineRule="auto"/>
        <w:jc w:val="both"/>
      </w:pPr>
      <w:r w:rsidRPr="004035E1">
        <w:t>Step 1</w:t>
      </w:r>
      <w:r w:rsidR="001F564F" w:rsidRPr="004035E1">
        <w:t>1</w:t>
      </w:r>
      <w:r w:rsidRPr="004035E1">
        <w:t xml:space="preserve">: </w:t>
      </w:r>
      <w:r w:rsidR="00D239E0" w:rsidRPr="004035E1">
        <w:t xml:space="preserve">Partition </w:t>
      </w:r>
      <w:r w:rsidR="00D239E0" w:rsidRPr="004035E1">
        <w:rPr>
          <w:position w:val="-12"/>
        </w:rPr>
        <w:object w:dxaOrig="360" w:dyaOrig="360" w14:anchorId="4E91F1D9">
          <v:shape id="_x0000_i1247" type="#_x0000_t75" style="width:18pt;height:18pt" o:ole="">
            <v:imagedata r:id="rId428" o:title=""/>
          </v:shape>
          <o:OLEObject Type="Embed" ProgID="Equation.DSMT4" ShapeID="_x0000_i1247" DrawAspect="Content" ObjectID="_1722174393" r:id="rId429"/>
        </w:object>
      </w:r>
      <w:r w:rsidR="00D239E0" w:rsidRPr="004035E1">
        <w:t xml:space="preserve"> into an integer part (</w:t>
      </w:r>
      <w:r w:rsidR="00D239E0" w:rsidRPr="004035E1">
        <w:rPr>
          <w:position w:val="-12"/>
        </w:rPr>
        <w:object w:dxaOrig="360" w:dyaOrig="360" w14:anchorId="4FF7FC74">
          <v:shape id="_x0000_i1248" type="#_x0000_t75" style="width:18pt;height:18pt" o:ole="">
            <v:imagedata r:id="rId430" o:title=""/>
          </v:shape>
          <o:OLEObject Type="Embed" ProgID="Equation.DSMT4" ShapeID="_x0000_i1248" DrawAspect="Content" ObjectID="_1722174394" r:id="rId431"/>
        </w:object>
      </w:r>
      <w:r w:rsidR="00D239E0" w:rsidRPr="004035E1">
        <w:t>) and a remainder decimal part (</w:t>
      </w:r>
      <w:r w:rsidR="0046337B" w:rsidRPr="004035E1">
        <w:rPr>
          <w:position w:val="-12"/>
        </w:rPr>
        <w:object w:dxaOrig="340" w:dyaOrig="360" w14:anchorId="779CDA2F">
          <v:shape id="_x0000_i1249" type="#_x0000_t75" style="width:16.7pt;height:18pt" o:ole="">
            <v:imagedata r:id="rId432" o:title=""/>
          </v:shape>
          <o:OLEObject Type="Embed" ProgID="Equation.DSMT4" ShapeID="_x0000_i1249" DrawAspect="Content" ObjectID="_1722174395" r:id="rId433"/>
        </w:object>
      </w:r>
      <w:r w:rsidR="00D239E0" w:rsidRPr="004035E1">
        <w:t xml:space="preserve">). </w:t>
      </w:r>
      <w:r w:rsidR="005F3862" w:rsidRPr="004035E1">
        <w:t xml:space="preserve">Draw a random variable from the </w:t>
      </w:r>
      <w:r w:rsidR="00293184" w:rsidRPr="004035E1">
        <w:t xml:space="preserve">standard </w:t>
      </w:r>
      <w:r w:rsidR="005F3862" w:rsidRPr="004035E1">
        <w:t>uniform</w:t>
      </w:r>
      <w:r w:rsidR="00293184" w:rsidRPr="004035E1">
        <w:t xml:space="preserve"> distribution</w:t>
      </w:r>
      <w:r w:rsidR="005F3862" w:rsidRPr="004035E1">
        <w:t xml:space="preserve">. </w:t>
      </w:r>
      <w:r w:rsidR="008D34A8" w:rsidRPr="004035E1">
        <w:t xml:space="preserve">Let the result be </w:t>
      </w:r>
      <w:r w:rsidR="008D34A8" w:rsidRPr="004035E1">
        <w:rPr>
          <w:position w:val="-6"/>
        </w:rPr>
        <w:object w:dxaOrig="240" w:dyaOrig="279" w14:anchorId="576B3A6E">
          <v:shape id="_x0000_i1250" type="#_x0000_t75" style="width:12pt;height:13.7pt" o:ole="">
            <v:imagedata r:id="rId434" o:title=""/>
          </v:shape>
          <o:OLEObject Type="Embed" ProgID="Equation.DSMT4" ShapeID="_x0000_i1250" DrawAspect="Content" ObjectID="_1722174396" r:id="rId435"/>
        </w:object>
      </w:r>
      <w:r w:rsidR="008D34A8" w:rsidRPr="004035E1">
        <w:t xml:space="preserve"> If </w:t>
      </w:r>
      <w:r w:rsidR="007F0111" w:rsidRPr="004035E1">
        <w:rPr>
          <w:position w:val="-12"/>
        </w:rPr>
        <w:object w:dxaOrig="720" w:dyaOrig="360" w14:anchorId="47AD6374">
          <v:shape id="_x0000_i1251" type="#_x0000_t75" style="width:36.45pt;height:18pt" o:ole="">
            <v:imagedata r:id="rId436" o:title=""/>
          </v:shape>
          <o:OLEObject Type="Embed" ProgID="Equation.DSMT4" ShapeID="_x0000_i1251" DrawAspect="Content" ObjectID="_1722174397" r:id="rId437"/>
        </w:object>
      </w:r>
      <w:r w:rsidR="008D34A8" w:rsidRPr="004035E1">
        <w:t xml:space="preserve">, set </w:t>
      </w:r>
      <w:r w:rsidR="008D34A8" w:rsidRPr="004035E1">
        <w:rPr>
          <w:position w:val="-12"/>
        </w:rPr>
        <w:object w:dxaOrig="920" w:dyaOrig="360" w14:anchorId="61CD3CA5">
          <v:shape id="_x0000_i1252" type="#_x0000_t75" style="width:46.3pt;height:18pt" o:ole="">
            <v:imagedata r:id="rId438" o:title=""/>
          </v:shape>
          <o:OLEObject Type="Embed" ProgID="Equation.DSMT4" ShapeID="_x0000_i1252" DrawAspect="Content" ObjectID="_1722174398" r:id="rId439"/>
        </w:object>
      </w:r>
      <w:r w:rsidR="008D34A8" w:rsidRPr="004035E1">
        <w:t xml:space="preserve">, else </w:t>
      </w:r>
      <w:r w:rsidR="008D34A8" w:rsidRPr="004035E1">
        <w:rPr>
          <w:position w:val="-12"/>
        </w:rPr>
        <w:object w:dxaOrig="1300" w:dyaOrig="360" w14:anchorId="199C682D">
          <v:shape id="_x0000_i1253" type="#_x0000_t75" style="width:64.3pt;height:18pt" o:ole="">
            <v:imagedata r:id="rId440" o:title=""/>
          </v:shape>
          <o:OLEObject Type="Embed" ProgID="Equation.DSMT4" ShapeID="_x0000_i1253" DrawAspect="Content" ObjectID="_1722174399" r:id="rId441"/>
        </w:object>
      </w:r>
      <w:r w:rsidR="008D34A8" w:rsidRPr="004035E1">
        <w:t xml:space="preserve"> Compute </w:t>
      </w:r>
      <w:r w:rsidR="00120A96" w:rsidRPr="004035E1">
        <w:rPr>
          <w:position w:val="-12"/>
        </w:rPr>
        <w:object w:dxaOrig="1100" w:dyaOrig="380" w14:anchorId="20553ED9">
          <v:shape id="_x0000_i1254" type="#_x0000_t75" style="width:55.3pt;height:19.3pt" o:ole="">
            <v:imagedata r:id="rId442" o:title=""/>
          </v:shape>
          <o:OLEObject Type="Embed" ProgID="Equation.DSMT4" ShapeID="_x0000_i1254" DrawAspect="Content" ObjectID="_1722174400" r:id="rId443"/>
        </w:object>
      </w:r>
      <w:r w:rsidR="008D34A8" w:rsidRPr="004035E1">
        <w:t xml:space="preserve">. </w:t>
      </w:r>
    </w:p>
    <w:p w:rsidR="005743BF" w:rsidRPr="004035E1" w:rsidRDefault="004D74A2" w:rsidP="004035E1">
      <w:pPr>
        <w:numPr>
          <w:ilvl w:val="0"/>
          <w:numId w:val="5"/>
        </w:numPr>
        <w:spacing w:line="276" w:lineRule="auto"/>
        <w:jc w:val="both"/>
      </w:pPr>
      <w:r w:rsidRPr="004035E1">
        <w:t>Step 1</w:t>
      </w:r>
      <w:r w:rsidR="001F564F" w:rsidRPr="004035E1">
        <w:t>2</w:t>
      </w:r>
      <w:r w:rsidRPr="004035E1">
        <w:t xml:space="preserve">: If </w:t>
      </w:r>
      <w:r w:rsidR="00120A96" w:rsidRPr="00291C49">
        <w:rPr>
          <w:position w:val="-4"/>
        </w:rPr>
        <w:object w:dxaOrig="220" w:dyaOrig="300" w14:anchorId="22EE6732">
          <v:shape id="_x0000_i1255" type="#_x0000_t75" style="width:10.7pt;height:15pt" o:ole="">
            <v:imagedata r:id="rId444" o:title=""/>
          </v:shape>
          <o:OLEObject Type="Embed" ProgID="Equation.DSMT4" ShapeID="_x0000_i1255" DrawAspect="Content" ObjectID="_1722174401" r:id="rId445"/>
        </w:object>
      </w:r>
      <w:r w:rsidRPr="004035E1">
        <w:t xml:space="preserve">=0, set </w:t>
      </w:r>
      <w:r w:rsidR="00C879FF" w:rsidRPr="004035E1">
        <w:rPr>
          <w:position w:val="-12"/>
        </w:rPr>
        <w:object w:dxaOrig="3100" w:dyaOrig="360" w14:anchorId="0158BCAA">
          <v:shape id="_x0000_i1256" type="#_x0000_t75" style="width:156pt;height:18pt" o:ole="">
            <v:imagedata r:id="rId446" o:title=""/>
          </v:shape>
          <o:OLEObject Type="Embed" ProgID="Equation.DSMT4" ShapeID="_x0000_i1256" DrawAspect="Content" ObjectID="_1722174402" r:id="rId447"/>
        </w:object>
      </w:r>
      <w:r w:rsidRPr="004035E1">
        <w:t xml:space="preserve"> Declare </w:t>
      </w:r>
      <w:r w:rsidR="0046337B" w:rsidRPr="004035E1">
        <w:t xml:space="preserve">the inside good intensity consumptions as </w:t>
      </w:r>
      <w:r w:rsidR="00C879FF" w:rsidRPr="004035E1">
        <w:rPr>
          <w:position w:val="-12"/>
        </w:rPr>
        <w:object w:dxaOrig="760" w:dyaOrig="360" w14:anchorId="444A7137">
          <v:shape id="_x0000_i1257" type="#_x0000_t75" style="width:39pt;height:18pt" o:ole="">
            <v:imagedata r:id="rId424" o:title=""/>
          </v:shape>
          <o:OLEObject Type="Embed" ProgID="Equation.DSMT4" ShapeID="_x0000_i1257" DrawAspect="Content" ObjectID="_1722174403" r:id="rId448"/>
        </w:object>
      </w:r>
      <w:r w:rsidR="00C879FF">
        <w:t xml:space="preserve"> </w:t>
      </w:r>
      <w:r w:rsidR="00C879FF" w:rsidRPr="004035E1">
        <w:rPr>
          <w:position w:val="-10"/>
        </w:rPr>
        <w:object w:dxaOrig="1420" w:dyaOrig="320">
          <v:shape id="_x0000_i1258" type="#_x0000_t75" style="width:69.45pt;height:15.85pt" o:ole="">
            <v:imagedata r:id="rId381" o:title=""/>
          </v:shape>
          <o:OLEObject Type="Embed" ProgID="Equation.DSMT4" ShapeID="_x0000_i1258" DrawAspect="Content" ObjectID="_1722174404" r:id="rId449"/>
        </w:object>
      </w:r>
      <w:r w:rsidR="0046337B" w:rsidRPr="004035E1">
        <w:t xml:space="preserve">. </w:t>
      </w:r>
      <w:r w:rsidR="005743BF" w:rsidRPr="004035E1">
        <w:t>STOP.</w:t>
      </w:r>
    </w:p>
    <w:p w:rsidR="00C95427" w:rsidRPr="004035E1" w:rsidRDefault="005743BF" w:rsidP="00F41191">
      <w:pPr>
        <w:numPr>
          <w:ilvl w:val="0"/>
          <w:numId w:val="5"/>
        </w:numPr>
        <w:spacing w:line="276" w:lineRule="auto"/>
        <w:jc w:val="both"/>
      </w:pPr>
      <w:r w:rsidRPr="004035E1">
        <w:t>Step 1</w:t>
      </w:r>
      <w:r w:rsidR="001F564F" w:rsidRPr="004035E1">
        <w:t>3</w:t>
      </w:r>
      <w:r w:rsidRPr="004035E1">
        <w:t xml:space="preserve">: If </w:t>
      </w:r>
      <w:r w:rsidRPr="004035E1">
        <w:rPr>
          <w:i/>
        </w:rPr>
        <w:t>s</w:t>
      </w:r>
      <w:r w:rsidRPr="004035E1">
        <w:t xml:space="preserve"> =</w:t>
      </w:r>
      <w:r w:rsidR="00516C13" w:rsidRPr="004035E1">
        <w:rPr>
          <w:i/>
        </w:rPr>
        <w:t>M</w:t>
      </w:r>
      <w:r w:rsidR="000A153B">
        <w:t>–</w:t>
      </w:r>
      <w:r w:rsidR="00516C13" w:rsidRPr="004035E1">
        <w:t>1</w:t>
      </w:r>
      <w:r w:rsidRPr="004035E1">
        <w:t xml:space="preserve">, </w:t>
      </w:r>
      <w:r w:rsidR="0046337B" w:rsidRPr="004035E1">
        <w:t xml:space="preserve">set </w:t>
      </w:r>
      <w:r w:rsidR="00120A96" w:rsidRPr="004035E1">
        <w:rPr>
          <w:position w:val="-12"/>
        </w:rPr>
        <w:object w:dxaOrig="880" w:dyaOrig="380" w14:anchorId="76E6324E">
          <v:shape id="_x0000_i1259" type="#_x0000_t75" style="width:43.7pt;height:19.3pt" o:ole="">
            <v:imagedata r:id="rId450" o:title=""/>
          </v:shape>
          <o:OLEObject Type="Embed" ProgID="Equation.DSMT4" ShapeID="_x0000_i1259" DrawAspect="Content" ObjectID="_1722174405" r:id="rId451"/>
        </w:object>
      </w:r>
      <w:r w:rsidRPr="004035E1">
        <w:t xml:space="preserve"> </w:t>
      </w:r>
      <w:r w:rsidR="00F85118" w:rsidRPr="004035E1">
        <w:t xml:space="preserve">STOP. </w:t>
      </w:r>
      <w:r w:rsidRPr="004035E1">
        <w:t xml:space="preserve">Else, set </w:t>
      </w:r>
      <w:r w:rsidR="0046337B" w:rsidRPr="004035E1">
        <w:rPr>
          <w:i/>
        </w:rPr>
        <w:t>s</w:t>
      </w:r>
      <w:r w:rsidR="0046337B" w:rsidRPr="004035E1">
        <w:t xml:space="preserve"> = </w:t>
      </w:r>
      <w:r w:rsidR="0046337B" w:rsidRPr="004035E1">
        <w:rPr>
          <w:i/>
        </w:rPr>
        <w:t>s</w:t>
      </w:r>
      <w:r w:rsidR="0046337B" w:rsidRPr="004035E1">
        <w:t xml:space="preserve">+1, compute </w:t>
      </w:r>
      <w:r w:rsidR="00A81C37" w:rsidRPr="004035E1">
        <w:rPr>
          <w:position w:val="-62"/>
        </w:rPr>
        <w:object w:dxaOrig="1740" w:dyaOrig="1359" w14:anchorId="7824D225">
          <v:shape id="_x0000_i1260" type="#_x0000_t75" style="width:87pt;height:67.7pt" o:ole="">
            <v:imagedata r:id="rId452" o:title=""/>
          </v:shape>
          <o:OLEObject Type="Embed" ProgID="Equation.DSMT4" ShapeID="_x0000_i1260" DrawAspect="Content" ObjectID="_1722174406" r:id="rId453"/>
        </w:object>
      </w:r>
      <w:r w:rsidR="0046337B" w:rsidRPr="004035E1">
        <w:t xml:space="preserve">and </w:t>
      </w:r>
      <w:r w:rsidR="00E11D72" w:rsidRPr="00E11D72">
        <w:rPr>
          <w:i/>
        </w:rPr>
        <w:t>go to step 11</w:t>
      </w:r>
      <w:r w:rsidR="0046337B" w:rsidRPr="004035E1">
        <w:t xml:space="preserve">. </w:t>
      </w:r>
    </w:p>
    <w:p w:rsidR="00992816" w:rsidRPr="004035E1" w:rsidRDefault="00992816" w:rsidP="004035E1">
      <w:pPr>
        <w:spacing w:line="276" w:lineRule="auto"/>
        <w:jc w:val="both"/>
      </w:pPr>
    </w:p>
    <w:p w:rsidR="00516C13" w:rsidRPr="004035E1" w:rsidRDefault="00516C13" w:rsidP="00916214">
      <w:pPr>
        <w:numPr>
          <w:ilvl w:val="0"/>
          <w:numId w:val="11"/>
        </w:numPr>
        <w:spacing w:line="276" w:lineRule="auto"/>
        <w:ind w:left="360"/>
        <w:jc w:val="both"/>
        <w:rPr>
          <w:b/>
          <w:caps/>
        </w:rPr>
      </w:pPr>
      <w:r w:rsidRPr="004035E1">
        <w:rPr>
          <w:b/>
          <w:caps/>
        </w:rPr>
        <w:t>An Empirical Demonstration</w:t>
      </w:r>
    </w:p>
    <w:p w:rsidR="00516C13" w:rsidRDefault="00E6653B" w:rsidP="004035E1">
      <w:pPr>
        <w:spacing w:line="276" w:lineRule="auto"/>
        <w:jc w:val="both"/>
      </w:pPr>
      <w:r w:rsidRPr="004035E1">
        <w:t>An</w:t>
      </w:r>
      <w:r w:rsidR="004679C6" w:rsidRPr="004035E1">
        <w:t xml:space="preserve"> </w:t>
      </w:r>
      <w:r w:rsidRPr="004035E1">
        <w:t xml:space="preserve">application of the </w:t>
      </w:r>
      <w:r w:rsidR="004679C6" w:rsidRPr="004035E1">
        <w:t xml:space="preserve">MDCNTEV model is </w:t>
      </w:r>
      <w:r w:rsidRPr="004035E1">
        <w:t xml:space="preserve">demonstrated in the context of individuals’ multivariate count of </w:t>
      </w:r>
      <w:r w:rsidR="003D0C4B" w:rsidRPr="004035E1">
        <w:t>recreational</w:t>
      </w:r>
      <w:r w:rsidRPr="004035E1">
        <w:t xml:space="preserve"> episodes </w:t>
      </w:r>
      <w:r w:rsidR="00E74AD4">
        <w:t>(</w:t>
      </w:r>
      <w:r w:rsidR="00883D8A" w:rsidRPr="004035E1">
        <w:t>over a four week period</w:t>
      </w:r>
      <w:r w:rsidR="00E74AD4">
        <w:t>)</w:t>
      </w:r>
      <w:r w:rsidR="00883D8A" w:rsidRPr="004035E1">
        <w:t xml:space="preserve"> </w:t>
      </w:r>
      <w:r w:rsidRPr="004035E1">
        <w:t xml:space="preserve">to </w:t>
      </w:r>
      <w:r w:rsidR="000B00A0" w:rsidRPr="004035E1">
        <w:t xml:space="preserve">each of multiple </w:t>
      </w:r>
      <w:r w:rsidRPr="004035E1">
        <w:t xml:space="preserve">possible </w:t>
      </w:r>
      <w:r w:rsidR="00883D8A" w:rsidRPr="004035E1">
        <w:t xml:space="preserve">tourism </w:t>
      </w:r>
      <w:r w:rsidRPr="004035E1">
        <w:t>destination locations</w:t>
      </w:r>
      <w:r w:rsidR="003D0C4B" w:rsidRPr="004035E1">
        <w:t xml:space="preserve">. The growing amount of recreational </w:t>
      </w:r>
      <w:r w:rsidR="00883D8A" w:rsidRPr="004035E1">
        <w:t xml:space="preserve">tourism </w:t>
      </w:r>
      <w:r w:rsidR="003D0C4B" w:rsidRPr="004035E1">
        <w:t>trips, mostly undertaken using the personal auto mode, has led to increased attention on this leisure travel market</w:t>
      </w:r>
      <w:r w:rsidR="00883D8A" w:rsidRPr="004035E1">
        <w:t xml:space="preserve">, especially </w:t>
      </w:r>
      <w:r w:rsidR="003D0C4B" w:rsidRPr="004035E1">
        <w:t xml:space="preserve">because of </w:t>
      </w:r>
      <w:r w:rsidR="00883D8A" w:rsidRPr="004035E1">
        <w:t xml:space="preserve">the </w:t>
      </w:r>
      <w:r w:rsidR="003D0C4B" w:rsidRPr="004035E1">
        <w:t xml:space="preserve">contribution to </w:t>
      </w:r>
      <w:r w:rsidR="00883D8A" w:rsidRPr="004035E1">
        <w:t xml:space="preserve">such trips to </w:t>
      </w:r>
      <w:r w:rsidR="003D0C4B" w:rsidRPr="004035E1">
        <w:t>traffic on city streets and between cities in close proximity.</w:t>
      </w:r>
      <w:r w:rsidR="003D0C4B" w:rsidRPr="004035E1">
        <w:rPr>
          <w:b/>
        </w:rPr>
        <w:t xml:space="preserve"> </w:t>
      </w:r>
      <w:r w:rsidR="003D0C4B" w:rsidRPr="004035E1">
        <w:t>At the same time, unraveling the “push and pull</w:t>
      </w:r>
      <w:r w:rsidR="00A4152E">
        <w:t>”</w:t>
      </w:r>
      <w:r w:rsidR="003D0C4B" w:rsidRPr="004035E1">
        <w:t xml:space="preserve"> factors associated with leisure activity decisions helps cities and regions position themselves as unique and even exotic destinations, with an eye on generating jobs and revenue. This confluence of interest on recreational travel from the transportation and tourism domains has led to many studies in this space in the past decade, particularly those that consider such leisure destination choices as </w:t>
      </w:r>
      <w:r w:rsidR="00CE1BF6" w:rsidRPr="004035E1">
        <w:t>intrinsically arising from a combination of variety-seeking and loyalty behavior based on</w:t>
      </w:r>
      <w:r w:rsidR="00CE1BF6" w:rsidRPr="004035E1">
        <w:rPr>
          <w:b/>
        </w:rPr>
        <w:t xml:space="preserve"> </w:t>
      </w:r>
      <w:r w:rsidR="00CE1BF6" w:rsidRPr="004035E1">
        <w:t>Iso-Ahola’s (1983) theory of vacation participation in which the individual/family balances needs for familiarity and novelty, within budget constraints, to provide an “optimally arousing experience”.</w:t>
      </w:r>
      <w:r w:rsidR="003D0C4B" w:rsidRPr="004035E1">
        <w:t xml:space="preserve"> </w:t>
      </w:r>
      <w:r w:rsidR="003D0C4B" w:rsidRPr="004035E1">
        <w:lastRenderedPageBreak/>
        <w:t xml:space="preserve">Examples of such </w:t>
      </w:r>
      <w:r w:rsidR="00CE1BF6" w:rsidRPr="004035E1">
        <w:t xml:space="preserve">studies </w:t>
      </w:r>
      <w:r w:rsidR="003D0C4B" w:rsidRPr="004035E1">
        <w:t xml:space="preserve">include </w:t>
      </w:r>
      <w:r w:rsidR="003D0C4B" w:rsidRPr="00F41191">
        <w:t>Van Nostrand et al. (2013), Bhat et al. (2013</w:t>
      </w:r>
      <w:r w:rsidR="007608D4" w:rsidRPr="00F41191">
        <w:t xml:space="preserve">, </w:t>
      </w:r>
      <w:r w:rsidR="00CE1BF6" w:rsidRPr="00F41191">
        <w:t>201</w:t>
      </w:r>
      <w:r w:rsidR="007608D4" w:rsidRPr="00F41191">
        <w:t>6</w:t>
      </w:r>
      <w:r w:rsidR="00B215AD">
        <w:t>b</w:t>
      </w:r>
      <w:r w:rsidR="00CE1BF6" w:rsidRPr="00F41191">
        <w:t>)</w:t>
      </w:r>
      <w:r w:rsidR="00E0503B" w:rsidRPr="00F41191">
        <w:t xml:space="preserve">, and </w:t>
      </w:r>
      <w:proofErr w:type="spellStart"/>
      <w:r w:rsidR="00E0503B" w:rsidRPr="00F41191">
        <w:t>Kuriyama</w:t>
      </w:r>
      <w:proofErr w:type="spellEnd"/>
      <w:r w:rsidR="00E0503B" w:rsidRPr="00F41191">
        <w:t xml:space="preserve"> et al. (2020)</w:t>
      </w:r>
      <w:r w:rsidR="003D0C4B" w:rsidRPr="00F41191">
        <w:t xml:space="preserve">. </w:t>
      </w:r>
      <w:r w:rsidR="00CE1BF6" w:rsidRPr="00F41191">
        <w:t>But, unlike these earlier studies in the transportation, tourism, and recreational fields that approximate the counts to each destination</w:t>
      </w:r>
      <w:r w:rsidR="00CE1BF6" w:rsidRPr="004035E1">
        <w:t xml:space="preserve"> location as a continuous quantity, the current paper explicitly acknowledge</w:t>
      </w:r>
      <w:r w:rsidR="007C4052">
        <w:t>s</w:t>
      </w:r>
      <w:r w:rsidR="00CE1BF6" w:rsidRPr="004035E1">
        <w:t xml:space="preserve"> the discrete nature of the intensity of participation. Also, unlike </w:t>
      </w:r>
      <w:r w:rsidR="00E0503B">
        <w:t xml:space="preserve">most of </w:t>
      </w:r>
      <w:r w:rsidR="00CE1BF6" w:rsidRPr="004035E1">
        <w:t xml:space="preserve">these earlier studies, </w:t>
      </w:r>
      <w:r w:rsidR="007C4052">
        <w:t xml:space="preserve">as well as the study by </w:t>
      </w:r>
      <w:proofErr w:type="spellStart"/>
      <w:r w:rsidR="007C4052">
        <w:t>Kuriyama</w:t>
      </w:r>
      <w:proofErr w:type="spellEnd"/>
      <w:r w:rsidR="007C4052">
        <w:t xml:space="preserve"> and </w:t>
      </w:r>
      <w:proofErr w:type="spellStart"/>
      <w:r w:rsidR="007C4052">
        <w:t>Hanemann</w:t>
      </w:r>
      <w:proofErr w:type="spellEnd"/>
      <w:r w:rsidR="007C4052">
        <w:t xml:space="preserve"> (2006), </w:t>
      </w:r>
      <w:r w:rsidR="00CE1BF6" w:rsidRPr="004035E1">
        <w:t xml:space="preserve">we also consider the possibility of a zero count, representing </w:t>
      </w:r>
      <w:r w:rsidR="007608D4">
        <w:t>zero</w:t>
      </w:r>
      <w:r w:rsidR="00CE1BF6" w:rsidRPr="004035E1">
        <w:t xml:space="preserve"> long distance personal auto leisure trips made by the individual’s household (more generally, the earlier studies assume that the total number of leisure trips across all destinations is known, and focus on how this total number of trips is allocated across destination regions, while the current study models th</w:t>
      </w:r>
      <w:r w:rsidR="00E74AD4">
        <w:t>e</w:t>
      </w:r>
      <w:r w:rsidR="00CE1BF6" w:rsidRPr="004035E1">
        <w:t xml:space="preserve"> total number of leisure trips jointly with destination choice</w:t>
      </w:r>
      <w:r w:rsidR="00D45C17">
        <w:t>)</w:t>
      </w:r>
      <w:r w:rsidR="00CE1BF6" w:rsidRPr="004035E1">
        <w:t xml:space="preserve">. </w:t>
      </w:r>
      <w:r w:rsidR="007C4052">
        <w:t xml:space="preserve">To our knowledge, this is the first application of a horizontal choice multivariate count data model </w:t>
      </w:r>
      <w:r w:rsidR="00B81E4C">
        <w:t xml:space="preserve">that accounts for the integer nature of the intensity of participation, while also accommodating zero total participation count. </w:t>
      </w:r>
    </w:p>
    <w:p w:rsidR="0091672F" w:rsidRPr="004035E1" w:rsidRDefault="0091672F" w:rsidP="004035E1">
      <w:pPr>
        <w:spacing w:line="276" w:lineRule="auto"/>
        <w:jc w:val="both"/>
      </w:pPr>
    </w:p>
    <w:p w:rsidR="00516C13" w:rsidRPr="004035E1" w:rsidRDefault="00516C13" w:rsidP="004035E1">
      <w:pPr>
        <w:spacing w:line="276" w:lineRule="auto"/>
        <w:jc w:val="both"/>
        <w:rPr>
          <w:b/>
        </w:rPr>
      </w:pPr>
      <w:r w:rsidRPr="004035E1">
        <w:rPr>
          <w:b/>
        </w:rPr>
        <w:t>3.1. Data and Sample Description</w:t>
      </w:r>
    </w:p>
    <w:p w:rsidR="00B74DAA" w:rsidRPr="004035E1" w:rsidRDefault="00CE1BF6" w:rsidP="004035E1">
      <w:pPr>
        <w:spacing w:line="276" w:lineRule="auto"/>
        <w:jc w:val="both"/>
      </w:pPr>
      <w:r w:rsidRPr="004035E1">
        <w:t xml:space="preserve">The empirical analysis is undertaken </w:t>
      </w:r>
      <w:r w:rsidR="00E6653B" w:rsidRPr="004035E1">
        <w:t xml:space="preserve">using data drawn from the 2012 New Zealand Domestic Travel Survey (DTS) </w:t>
      </w:r>
      <w:r w:rsidR="004C1352" w:rsidRPr="004035E1">
        <w:t xml:space="preserve">(see </w:t>
      </w:r>
      <w:r w:rsidR="004C1352" w:rsidRPr="004035E1">
        <w:rPr>
          <w:color w:val="000000"/>
        </w:rPr>
        <w:t>Ministry of Business, Innovation and Employment, 2013).</w:t>
      </w:r>
      <w:r w:rsidR="004C1352" w:rsidRPr="004035E1">
        <w:t xml:space="preserve"> </w:t>
      </w:r>
      <w:r w:rsidR="005F6092" w:rsidRPr="004035E1">
        <w:t xml:space="preserve">The DTS was targeted at individuals and not households in that only one randomly selected individual (over the age of 15 years) from each sampled household was interviewed. </w:t>
      </w:r>
      <w:r w:rsidR="00DB4D77" w:rsidRPr="004035E1">
        <w:t>Respondents were asked to provide information on all long distance leisure trips of over 40 kilometers one-way made four weeks prior to the survey date</w:t>
      </w:r>
      <w:r w:rsidR="00DE03D3" w:rsidRPr="004035E1">
        <w:t>. Individual and household socio-demographic information was also elicited</w:t>
      </w:r>
      <w:r w:rsidR="00DB4D77" w:rsidRPr="004035E1">
        <w:t xml:space="preserve">. </w:t>
      </w:r>
      <w:r w:rsidR="000B00A0" w:rsidRPr="004035E1">
        <w:t xml:space="preserve">For the </w:t>
      </w:r>
      <w:r w:rsidR="00E74AD4">
        <w:t xml:space="preserve">current </w:t>
      </w:r>
      <w:r w:rsidR="000B00A0" w:rsidRPr="004035E1">
        <w:t xml:space="preserve">analysis, </w:t>
      </w:r>
      <w:r w:rsidR="00D45F66" w:rsidRPr="004035E1">
        <w:t xml:space="preserve">only those individuals residing in the North Island of </w:t>
      </w:r>
      <w:r w:rsidR="000B00A0" w:rsidRPr="004035E1">
        <w:t xml:space="preserve">New Zealand </w:t>
      </w:r>
      <w:r w:rsidR="00D45F66" w:rsidRPr="004035E1">
        <w:t>are considered</w:t>
      </w:r>
      <w:r w:rsidR="00E31734" w:rsidRPr="004035E1">
        <w:t>. T</w:t>
      </w:r>
      <w:r w:rsidR="00D45F66" w:rsidRPr="004035E1">
        <w:t xml:space="preserve">he travel of these </w:t>
      </w:r>
      <w:r w:rsidR="00E31734" w:rsidRPr="004035E1">
        <w:t>individuals</w:t>
      </w:r>
      <w:r w:rsidR="00D45F66" w:rsidRPr="004035E1">
        <w:t xml:space="preserve"> </w:t>
      </w:r>
      <w:r w:rsidR="00E31734" w:rsidRPr="004035E1">
        <w:t xml:space="preserve">using </w:t>
      </w:r>
      <w:r w:rsidR="00F33CE8" w:rsidRPr="004035E1">
        <w:t xml:space="preserve">a personal auto </w:t>
      </w:r>
      <w:r w:rsidR="00E31734" w:rsidRPr="004035E1">
        <w:t>to</w:t>
      </w:r>
      <w:r w:rsidR="00D45F66" w:rsidRPr="004035E1">
        <w:t xml:space="preserve"> </w:t>
      </w:r>
      <w:r w:rsidR="0020641D" w:rsidRPr="004035E1">
        <w:t>nine</w:t>
      </w:r>
      <w:r w:rsidR="00D45F66" w:rsidRPr="004035E1">
        <w:t xml:space="preserve"> </w:t>
      </w:r>
      <w:r w:rsidR="000B00A0" w:rsidRPr="004035E1">
        <w:t xml:space="preserve">aggregate destination regions </w:t>
      </w:r>
      <w:r w:rsidR="00D45F66" w:rsidRPr="004035E1">
        <w:t xml:space="preserve">in the North Island is </w:t>
      </w:r>
      <w:r w:rsidR="00E31734" w:rsidRPr="004035E1">
        <w:t>considered.</w:t>
      </w:r>
      <w:r w:rsidR="00D45F66" w:rsidRPr="004035E1">
        <w:rPr>
          <w:rStyle w:val="FootnoteReference"/>
        </w:rPr>
        <w:footnoteReference w:id="10"/>
      </w:r>
      <w:r w:rsidR="00D45F66" w:rsidRPr="004035E1">
        <w:t xml:space="preserve"> </w:t>
      </w:r>
      <w:r w:rsidR="000B00A0" w:rsidRPr="004035E1">
        <w:t>Th</w:t>
      </w:r>
      <w:r w:rsidR="0020641D" w:rsidRPr="004035E1">
        <w:t>e</w:t>
      </w:r>
      <w:r w:rsidR="000B00A0" w:rsidRPr="004035E1">
        <w:t xml:space="preserve"> regional </w:t>
      </w:r>
      <w:r w:rsidR="0020641D" w:rsidRPr="004035E1">
        <w:t xml:space="preserve">spatial </w:t>
      </w:r>
      <w:r w:rsidR="000B00A0" w:rsidRPr="004035E1">
        <w:t xml:space="preserve">classification scheme </w:t>
      </w:r>
      <w:r w:rsidR="0020641D" w:rsidRPr="004035E1">
        <w:t xml:space="preserve">of the North Island into nine regions </w:t>
      </w:r>
      <w:r w:rsidR="000B00A0" w:rsidRPr="004035E1">
        <w:t>is the same as that used by the Department of Tourism of New Zealand for its marketing campaigns, and is also the commonly used geo-political partitioning of the country</w:t>
      </w:r>
      <w:r w:rsidR="004B0DFE" w:rsidRPr="004035E1">
        <w:t xml:space="preserve"> (see Figure 1)</w:t>
      </w:r>
      <w:r w:rsidR="000B00A0" w:rsidRPr="004035E1">
        <w:t>.</w:t>
      </w:r>
      <w:r w:rsidR="005675E6">
        <w:rPr>
          <w:rStyle w:val="FootnoteReference"/>
        </w:rPr>
        <w:footnoteReference w:id="11"/>
      </w:r>
      <w:r w:rsidR="000B00A0" w:rsidRPr="004035E1">
        <w:t xml:space="preserve"> From the </w:t>
      </w:r>
      <w:r w:rsidR="005F6092" w:rsidRPr="004035E1">
        <w:t>survey</w:t>
      </w:r>
      <w:r w:rsidR="000B00A0" w:rsidRPr="004035E1">
        <w:t xml:space="preserve">, the total count of long distance trips is obtained, as is the count of trips to each of the </w:t>
      </w:r>
      <w:r w:rsidR="0020641D" w:rsidRPr="004035E1">
        <w:t>nine</w:t>
      </w:r>
      <w:r w:rsidR="000B00A0" w:rsidRPr="004035E1">
        <w:t xml:space="preserve"> destination regions</w:t>
      </w:r>
      <w:r w:rsidR="0020641D" w:rsidRPr="004035E1">
        <w:t xml:space="preserve"> of North </w:t>
      </w:r>
      <w:r w:rsidR="00D45C17">
        <w:t>I</w:t>
      </w:r>
      <w:r w:rsidR="0020641D" w:rsidRPr="004035E1">
        <w:t>sland by residents of the North Island</w:t>
      </w:r>
      <w:r w:rsidR="000B00A0" w:rsidRPr="004035E1">
        <w:t xml:space="preserve">. </w:t>
      </w:r>
      <w:r w:rsidR="005F6092" w:rsidRPr="004035E1">
        <w:t xml:space="preserve"> Survey records are supplemented with a network level of service file that provided information on land travel distance and highway</w:t>
      </w:r>
      <w:r w:rsidR="00E31734" w:rsidRPr="004035E1">
        <w:t xml:space="preserve"> </w:t>
      </w:r>
      <w:r w:rsidR="005F6092" w:rsidRPr="004035E1">
        <w:t xml:space="preserve">travel time between </w:t>
      </w:r>
      <w:r w:rsidR="000B00A0" w:rsidRPr="004035E1">
        <w:t xml:space="preserve">the residential city of each respondent and the </w:t>
      </w:r>
      <w:r w:rsidR="0020641D" w:rsidRPr="004035E1">
        <w:t>nine</w:t>
      </w:r>
      <w:r w:rsidR="000B00A0" w:rsidRPr="004035E1">
        <w:t xml:space="preserve"> destination regions.</w:t>
      </w:r>
      <w:r w:rsidR="00E31734" w:rsidRPr="004035E1">
        <w:t xml:space="preserve"> Travel cost skims are then computed as a function of the respondent’s reported household income, the estimated cost of </w:t>
      </w:r>
      <w:r w:rsidR="00E31734" w:rsidRPr="004035E1">
        <w:lastRenderedPageBreak/>
        <w:t xml:space="preserve">vehicle fuel on land, and the land travel distance and highway travel time skims, following the standard approach of valuing travel time at a fixed proportion of one-half of the wage rate (see </w:t>
      </w:r>
      <w:r w:rsidR="007608D4">
        <w:t>Bhat et al., 2016</w:t>
      </w:r>
      <w:r w:rsidR="00B215AD">
        <w:t>b</w:t>
      </w:r>
      <w:r w:rsidR="007608D4">
        <w:t xml:space="preserve"> </w:t>
      </w:r>
      <w:r w:rsidR="00E31734" w:rsidRPr="004035E1">
        <w:t xml:space="preserve">for a detailed discussion). </w:t>
      </w:r>
    </w:p>
    <w:p w:rsidR="00B74DAA" w:rsidRPr="004035E1" w:rsidRDefault="000B00A0" w:rsidP="004035E1">
      <w:pPr>
        <w:pStyle w:val="ListParagraph"/>
        <w:spacing w:after="0"/>
        <w:ind w:left="0" w:firstLine="720"/>
        <w:jc w:val="both"/>
        <w:rPr>
          <w:rFonts w:ascii="Times New Roman" w:hAnsi="Times New Roman"/>
          <w:sz w:val="24"/>
          <w:szCs w:val="24"/>
        </w:rPr>
      </w:pPr>
      <w:r w:rsidRPr="004035E1">
        <w:rPr>
          <w:rFonts w:ascii="Times New Roman" w:hAnsi="Times New Roman"/>
          <w:sz w:val="24"/>
          <w:szCs w:val="24"/>
        </w:rPr>
        <w:t xml:space="preserve">Additionally, </w:t>
      </w:r>
      <w:r w:rsidR="005F6092" w:rsidRPr="004035E1">
        <w:rPr>
          <w:rFonts w:ascii="Times New Roman" w:hAnsi="Times New Roman"/>
          <w:sz w:val="24"/>
          <w:szCs w:val="24"/>
        </w:rPr>
        <w:t>a disaggregate spatial land-cover characteristics data obtained from the 2012 Land Cover Database (LCDB) of the Land Resource Information System (LRIS) of New Zealand</w:t>
      </w:r>
      <w:r w:rsidRPr="004035E1">
        <w:rPr>
          <w:rFonts w:ascii="Times New Roman" w:hAnsi="Times New Roman"/>
          <w:sz w:val="24"/>
          <w:szCs w:val="24"/>
        </w:rPr>
        <w:t xml:space="preserve"> was used to compute information related to the </w:t>
      </w:r>
      <w:r w:rsidR="005F6092" w:rsidRPr="004035E1">
        <w:rPr>
          <w:rFonts w:ascii="Times New Roman" w:hAnsi="Times New Roman"/>
          <w:sz w:val="24"/>
          <w:szCs w:val="24"/>
        </w:rPr>
        <w:t xml:space="preserve">total land area </w:t>
      </w:r>
      <w:r w:rsidRPr="004035E1">
        <w:rPr>
          <w:rFonts w:ascii="Times New Roman" w:hAnsi="Times New Roman"/>
          <w:sz w:val="24"/>
          <w:szCs w:val="24"/>
        </w:rPr>
        <w:t xml:space="preserve">of each destination, as well as the land-cover in </w:t>
      </w:r>
      <w:r w:rsidR="005F6092" w:rsidRPr="004035E1">
        <w:rPr>
          <w:rFonts w:ascii="Times New Roman" w:hAnsi="Times New Roman"/>
          <w:sz w:val="24"/>
          <w:szCs w:val="24"/>
        </w:rPr>
        <w:t xml:space="preserve">six broadly defined categories: </w:t>
      </w:r>
      <w:r w:rsidR="00495210" w:rsidRPr="004035E1">
        <w:rPr>
          <w:rFonts w:ascii="Times New Roman" w:hAnsi="Times New Roman"/>
          <w:sz w:val="24"/>
          <w:szCs w:val="24"/>
        </w:rPr>
        <w:t>urban area (including central business districts, commercial and industrial areas, urban parklands, urban dumps, and housing and transportation-related land cover), water area (including rivers, land/ponds, freshwater, and estuarine open water), wetland area (context-dependent combinations of areas such as herbaceous freshwater vegetation, flaxland, and saline vegetation), agricultural area (including vineyards and orchards, perennial crops, short rotation cropland, and grasslands), bare-land area, and forest area (pine forests, mangroves, deciduous hardwoods and other exotic/indigenous forest areas).</w:t>
      </w:r>
      <w:r w:rsidR="00644207" w:rsidRPr="004035E1">
        <w:rPr>
          <w:rFonts w:ascii="Times New Roman" w:hAnsi="Times New Roman"/>
          <w:sz w:val="24"/>
          <w:szCs w:val="24"/>
        </w:rPr>
        <w:t xml:space="preserve"> Using these land-cover areas, </w:t>
      </w:r>
      <w:r w:rsidR="00B74DAA" w:rsidRPr="004035E1">
        <w:rPr>
          <w:rFonts w:ascii="Times New Roman" w:hAnsi="Times New Roman"/>
          <w:sz w:val="24"/>
          <w:szCs w:val="24"/>
        </w:rPr>
        <w:t xml:space="preserve">two measures are computed for use in the empirical analysis. The first measure is </w:t>
      </w:r>
      <w:r w:rsidR="00644207" w:rsidRPr="004035E1">
        <w:rPr>
          <w:rFonts w:ascii="Times New Roman" w:hAnsi="Times New Roman"/>
          <w:sz w:val="24"/>
          <w:szCs w:val="24"/>
        </w:rPr>
        <w:t>a land-cover accessibility measure of the Hansen-type (Fotheringham, 1983)</w:t>
      </w:r>
      <w:r w:rsidR="00B74DAA" w:rsidRPr="004035E1">
        <w:rPr>
          <w:rFonts w:ascii="Times New Roman" w:hAnsi="Times New Roman"/>
          <w:sz w:val="24"/>
          <w:szCs w:val="24"/>
        </w:rPr>
        <w:t xml:space="preserve">, </w:t>
      </w:r>
      <w:r w:rsidR="00644207" w:rsidRPr="004035E1">
        <w:rPr>
          <w:rFonts w:ascii="Times New Roman" w:hAnsi="Times New Roman"/>
          <w:sz w:val="24"/>
          <w:szCs w:val="24"/>
        </w:rPr>
        <w:t xml:space="preserve">computed for individual </w:t>
      </w:r>
      <w:r w:rsidR="00644207" w:rsidRPr="004035E1">
        <w:rPr>
          <w:rFonts w:ascii="Times New Roman" w:hAnsi="Times New Roman"/>
          <w:i/>
          <w:sz w:val="24"/>
          <w:szCs w:val="24"/>
        </w:rPr>
        <w:t>q</w:t>
      </w:r>
      <w:r w:rsidR="00644207" w:rsidRPr="004035E1">
        <w:rPr>
          <w:rFonts w:ascii="Times New Roman" w:hAnsi="Times New Roman"/>
          <w:sz w:val="24"/>
          <w:szCs w:val="24"/>
        </w:rPr>
        <w:t xml:space="preserve"> and land-cover type </w:t>
      </w:r>
      <w:r w:rsidR="00644207" w:rsidRPr="004035E1">
        <w:rPr>
          <w:rFonts w:ascii="Times New Roman" w:hAnsi="Times New Roman"/>
          <w:i/>
          <w:sz w:val="24"/>
          <w:szCs w:val="24"/>
        </w:rPr>
        <w:t>i</w:t>
      </w:r>
      <w:r w:rsidR="00644207" w:rsidRPr="004035E1">
        <w:rPr>
          <w:rFonts w:ascii="Times New Roman" w:hAnsi="Times New Roman"/>
          <w:sz w:val="24"/>
          <w:szCs w:val="24"/>
        </w:rPr>
        <w:t xml:space="preserve"> as presented by destination region </w:t>
      </w:r>
      <w:r w:rsidR="00644207" w:rsidRPr="004035E1">
        <w:rPr>
          <w:rFonts w:ascii="Times New Roman" w:hAnsi="Times New Roman"/>
          <w:i/>
          <w:sz w:val="24"/>
          <w:szCs w:val="24"/>
        </w:rPr>
        <w:t>k</w:t>
      </w:r>
      <w:r w:rsidR="00644207" w:rsidRPr="004035E1">
        <w:rPr>
          <w:rFonts w:ascii="Times New Roman" w:hAnsi="Times New Roman"/>
          <w:sz w:val="24"/>
          <w:szCs w:val="24"/>
        </w:rPr>
        <w:t xml:space="preserve"> as</w:t>
      </w:r>
      <w:r w:rsidR="00547D70">
        <w:rPr>
          <w:rFonts w:ascii="Times New Roman" w:hAnsi="Times New Roman"/>
          <w:sz w:val="24"/>
          <w:szCs w:val="24"/>
        </w:rPr>
        <w:t xml:space="preserve"> </w:t>
      </w:r>
      <w:r w:rsidR="00547D70" w:rsidRPr="00547D70">
        <w:rPr>
          <w:rFonts w:ascii="Times New Roman" w:hAnsi="Times New Roman"/>
          <w:position w:val="-14"/>
          <w:sz w:val="24"/>
          <w:szCs w:val="24"/>
        </w:rPr>
        <w:object w:dxaOrig="2380" w:dyaOrig="380">
          <v:shape id="_x0000_i1261" type="#_x0000_t75" style="width:119.15pt;height:18pt" o:ole="">
            <v:imagedata r:id="rId454" o:title=""/>
          </v:shape>
          <o:OLEObject Type="Embed" ProgID="Equation.DSMT4" ShapeID="_x0000_i1261" DrawAspect="Content" ObjectID="_1722174407" r:id="rId455"/>
        </w:object>
      </w:r>
      <w:r w:rsidR="00644207" w:rsidRPr="004035E1">
        <w:rPr>
          <w:rFonts w:ascii="Times New Roman" w:hAnsi="Times New Roman"/>
          <w:sz w:val="24"/>
          <w:szCs w:val="24"/>
        </w:rPr>
        <w:t xml:space="preserve"> where </w:t>
      </w:r>
      <w:r w:rsidR="00547D70" w:rsidRPr="00547D70">
        <w:rPr>
          <w:rFonts w:ascii="Times New Roman" w:hAnsi="Times New Roman"/>
          <w:position w:val="-12"/>
          <w:sz w:val="24"/>
          <w:szCs w:val="24"/>
        </w:rPr>
        <w:object w:dxaOrig="480" w:dyaOrig="360">
          <v:shape id="_x0000_i1262" type="#_x0000_t75" style="width:24pt;height:18pt" o:ole="">
            <v:imagedata r:id="rId456" o:title=""/>
          </v:shape>
          <o:OLEObject Type="Embed" ProgID="Equation.DSMT4" ShapeID="_x0000_i1262" DrawAspect="Content" ObjectID="_1722174408" r:id="rId457"/>
        </w:object>
      </w:r>
      <w:r w:rsidR="00547D70">
        <w:rPr>
          <w:rFonts w:ascii="Times New Roman" w:hAnsi="Times New Roman"/>
          <w:sz w:val="24"/>
          <w:szCs w:val="24"/>
        </w:rPr>
        <w:t xml:space="preserve"> </w:t>
      </w:r>
      <w:r w:rsidR="00644207" w:rsidRPr="004035E1">
        <w:rPr>
          <w:rFonts w:ascii="Times New Roman" w:hAnsi="Times New Roman"/>
          <w:sz w:val="24"/>
          <w:szCs w:val="24"/>
        </w:rPr>
        <w:t xml:space="preserve">is the percentage area in land-cover category </w:t>
      </w:r>
      <w:r w:rsidR="00644207" w:rsidRPr="004035E1">
        <w:rPr>
          <w:rFonts w:ascii="Times New Roman" w:hAnsi="Times New Roman"/>
          <w:i/>
          <w:sz w:val="24"/>
          <w:szCs w:val="24"/>
        </w:rPr>
        <w:t xml:space="preserve">i </w:t>
      </w:r>
      <w:r w:rsidR="00644207" w:rsidRPr="004035E1">
        <w:rPr>
          <w:rFonts w:ascii="Times New Roman" w:hAnsi="Times New Roman"/>
          <w:sz w:val="24"/>
          <w:szCs w:val="24"/>
        </w:rPr>
        <w:t>(</w:t>
      </w:r>
      <w:r w:rsidR="00644207" w:rsidRPr="004035E1">
        <w:rPr>
          <w:rFonts w:ascii="Times New Roman" w:hAnsi="Times New Roman"/>
          <w:i/>
          <w:sz w:val="24"/>
          <w:szCs w:val="24"/>
        </w:rPr>
        <w:t>i</w:t>
      </w:r>
      <w:r w:rsidR="00644207" w:rsidRPr="004035E1">
        <w:rPr>
          <w:rFonts w:ascii="Times New Roman" w:hAnsi="Times New Roman"/>
          <w:sz w:val="24"/>
          <w:szCs w:val="24"/>
        </w:rPr>
        <w:t xml:space="preserve"> = urban, water, wetland, agricultural, bare-land, and forest) in destination region </w:t>
      </w:r>
      <w:r w:rsidR="00644207" w:rsidRPr="004035E1">
        <w:rPr>
          <w:rFonts w:ascii="Times New Roman" w:hAnsi="Times New Roman"/>
          <w:i/>
          <w:sz w:val="24"/>
          <w:szCs w:val="24"/>
        </w:rPr>
        <w:t>k</w:t>
      </w:r>
      <w:r w:rsidR="00644207" w:rsidRPr="004035E1">
        <w:rPr>
          <w:rFonts w:ascii="Times New Roman" w:hAnsi="Times New Roman"/>
          <w:sz w:val="24"/>
          <w:szCs w:val="24"/>
        </w:rPr>
        <w:t>,</w:t>
      </w:r>
      <w:r w:rsidR="00547D70">
        <w:rPr>
          <w:rFonts w:ascii="Times New Roman" w:hAnsi="Times New Roman"/>
          <w:sz w:val="24"/>
          <w:szCs w:val="24"/>
        </w:rPr>
        <w:t xml:space="preserve"> </w:t>
      </w:r>
      <w:r w:rsidR="00547D70" w:rsidRPr="00547D70">
        <w:rPr>
          <w:rFonts w:ascii="Times New Roman" w:hAnsi="Times New Roman"/>
          <w:position w:val="-14"/>
          <w:sz w:val="24"/>
          <w:szCs w:val="24"/>
        </w:rPr>
        <w:object w:dxaOrig="460" w:dyaOrig="380">
          <v:shape id="_x0000_i1263" type="#_x0000_t75" style="width:24pt;height:18pt" o:ole="">
            <v:imagedata r:id="rId458" o:title=""/>
          </v:shape>
          <o:OLEObject Type="Embed" ProgID="Equation.DSMT4" ShapeID="_x0000_i1263" DrawAspect="Content" ObjectID="_1722174409" r:id="rId459"/>
        </w:object>
      </w:r>
      <w:r w:rsidR="00644207" w:rsidRPr="004035E1">
        <w:rPr>
          <w:rFonts w:ascii="Times New Roman" w:hAnsi="Times New Roman"/>
          <w:sz w:val="24"/>
          <w:szCs w:val="24"/>
        </w:rPr>
        <w:t xml:space="preserve"> is the travel time (in hours) from individual </w:t>
      </w:r>
      <w:r w:rsidR="00644207" w:rsidRPr="004035E1">
        <w:rPr>
          <w:rFonts w:ascii="Times New Roman" w:hAnsi="Times New Roman"/>
          <w:i/>
          <w:sz w:val="24"/>
          <w:szCs w:val="24"/>
        </w:rPr>
        <w:t>q</w:t>
      </w:r>
      <w:r w:rsidR="00644207" w:rsidRPr="004035E1">
        <w:rPr>
          <w:rFonts w:ascii="Times New Roman" w:hAnsi="Times New Roman"/>
          <w:sz w:val="24"/>
          <w:szCs w:val="24"/>
        </w:rPr>
        <w:t xml:space="preserve">’s residence city to the centroid of destination region </w:t>
      </w:r>
      <w:r w:rsidR="00644207" w:rsidRPr="004035E1">
        <w:rPr>
          <w:rFonts w:ascii="Times New Roman" w:hAnsi="Times New Roman"/>
          <w:i/>
          <w:sz w:val="24"/>
          <w:szCs w:val="24"/>
        </w:rPr>
        <w:t>k</w:t>
      </w:r>
      <w:r w:rsidR="00644207" w:rsidRPr="00531079">
        <w:rPr>
          <w:rFonts w:ascii="Times New Roman" w:hAnsi="Times New Roman"/>
          <w:sz w:val="24"/>
          <w:szCs w:val="24"/>
        </w:rPr>
        <w:t>,</w:t>
      </w:r>
      <w:r w:rsidR="00644207" w:rsidRPr="004035E1">
        <w:rPr>
          <w:rFonts w:ascii="Times New Roman" w:hAnsi="Times New Roman"/>
          <w:i/>
          <w:sz w:val="24"/>
          <w:szCs w:val="24"/>
        </w:rPr>
        <w:t xml:space="preserve"> </w:t>
      </w:r>
      <w:r w:rsidR="00644207" w:rsidRPr="004035E1">
        <w:rPr>
          <w:rFonts w:ascii="Times New Roman" w:hAnsi="Times New Roman"/>
          <w:sz w:val="24"/>
          <w:szCs w:val="24"/>
        </w:rPr>
        <w:t xml:space="preserve">and </w:t>
      </w:r>
      <w:r w:rsidR="00644207" w:rsidRPr="004035E1">
        <w:rPr>
          <w:rFonts w:ascii="Times New Roman" w:hAnsi="Times New Roman"/>
          <w:i/>
          <w:sz w:val="24"/>
          <w:szCs w:val="24"/>
        </w:rPr>
        <w:t>f</w:t>
      </w:r>
      <w:r w:rsidR="00644207" w:rsidRPr="004035E1">
        <w:rPr>
          <w:rFonts w:ascii="Times New Roman" w:hAnsi="Times New Roman"/>
          <w:sz w:val="24"/>
          <w:szCs w:val="24"/>
        </w:rPr>
        <w:t>(.) is a function.</w:t>
      </w:r>
      <w:r w:rsidR="00B74DAA" w:rsidRPr="004035E1">
        <w:rPr>
          <w:rFonts w:ascii="Times New Roman" w:hAnsi="Times New Roman"/>
          <w:sz w:val="24"/>
          <w:szCs w:val="24"/>
        </w:rPr>
        <w:t xml:space="preserve"> </w:t>
      </w:r>
      <w:r w:rsidR="00644207" w:rsidRPr="004035E1">
        <w:rPr>
          <w:rFonts w:ascii="Times New Roman" w:hAnsi="Times New Roman"/>
          <w:sz w:val="24"/>
          <w:szCs w:val="24"/>
        </w:rPr>
        <w:t xml:space="preserve">In our specifications, we considered both a linear form, </w:t>
      </w:r>
      <w:r w:rsidR="00547D70" w:rsidRPr="004035E1">
        <w:rPr>
          <w:rFonts w:ascii="Times New Roman" w:eastAsia="Times New Roman" w:hAnsi="Times New Roman"/>
          <w:position w:val="-14"/>
          <w:sz w:val="24"/>
          <w:szCs w:val="24"/>
        </w:rPr>
        <w:object w:dxaOrig="1500" w:dyaOrig="380" w14:anchorId="379EC05D">
          <v:shape id="_x0000_i1264" type="#_x0000_t75" style="width:75pt;height:18pt" o:ole="" o:preferrelative="f">
            <v:imagedata r:id="rId460" o:title=""/>
            <o:lock v:ext="edit" aspectratio="f"/>
          </v:shape>
          <o:OLEObject Type="Embed" ProgID="Equation.3" ShapeID="_x0000_i1264" DrawAspect="Content" ObjectID="_1722174410" r:id="rId461"/>
        </w:object>
      </w:r>
      <w:r w:rsidR="00644207" w:rsidRPr="004035E1">
        <w:rPr>
          <w:rFonts w:ascii="Times New Roman" w:eastAsia="Times New Roman" w:hAnsi="Times New Roman"/>
          <w:sz w:val="24"/>
          <w:szCs w:val="24"/>
        </w:rPr>
        <w:t xml:space="preserve">, </w:t>
      </w:r>
      <w:r w:rsidR="00644207" w:rsidRPr="004035E1">
        <w:rPr>
          <w:rFonts w:ascii="Times New Roman" w:hAnsi="Times New Roman"/>
          <w:sz w:val="24"/>
          <w:szCs w:val="24"/>
        </w:rPr>
        <w:t xml:space="preserve">as well as a logarithmic form, </w:t>
      </w:r>
      <w:bookmarkStart w:id="12" w:name="_Hlk109490533"/>
      <w:r w:rsidR="00F41191" w:rsidRPr="004035E1">
        <w:rPr>
          <w:rFonts w:ascii="Times New Roman" w:hAnsi="Times New Roman"/>
          <w:position w:val="-14"/>
          <w:sz w:val="24"/>
          <w:szCs w:val="24"/>
        </w:rPr>
        <w:object w:dxaOrig="1939" w:dyaOrig="380" w14:anchorId="6046916A">
          <v:shape id="_x0000_i1265" type="#_x0000_t75" style="width:96.85pt;height:18pt" o:ole="" o:preferrelative="f">
            <v:imagedata r:id="rId462" o:title=""/>
            <o:lock v:ext="edit" aspectratio="f"/>
          </v:shape>
          <o:OLEObject Type="Embed" ProgID="Equation.3" ShapeID="_x0000_i1265" DrawAspect="Content" ObjectID="_1722174411" r:id="rId463"/>
        </w:object>
      </w:r>
      <w:bookmarkEnd w:id="12"/>
      <w:r w:rsidR="00644207" w:rsidRPr="004035E1">
        <w:rPr>
          <w:rFonts w:ascii="Times New Roman" w:hAnsi="Times New Roman"/>
          <w:sz w:val="24"/>
          <w:szCs w:val="24"/>
        </w:rPr>
        <w:t xml:space="preserve"> The logarithmic form penalizes destination regions less for being far away from the residential location of the individual. </w:t>
      </w:r>
      <w:r w:rsidR="00644207" w:rsidRPr="004035E1">
        <w:rPr>
          <w:rFonts w:ascii="Times New Roman" w:eastAsia="Times New Roman" w:hAnsi="Times New Roman"/>
          <w:sz w:val="24"/>
          <w:szCs w:val="24"/>
        </w:rPr>
        <w:t xml:space="preserve">Based on our specification tests, the linear form </w:t>
      </w:r>
      <w:r w:rsidR="00B74DAA" w:rsidRPr="004035E1">
        <w:rPr>
          <w:rFonts w:ascii="Times New Roman" w:hAnsi="Times New Roman"/>
          <w:sz w:val="24"/>
          <w:szCs w:val="24"/>
        </w:rPr>
        <w:t xml:space="preserve">turned out to be </w:t>
      </w:r>
      <w:r w:rsidR="00644207" w:rsidRPr="004035E1">
        <w:rPr>
          <w:rFonts w:ascii="Times New Roman" w:eastAsia="Times New Roman" w:hAnsi="Times New Roman"/>
          <w:sz w:val="24"/>
          <w:szCs w:val="24"/>
        </w:rPr>
        <w:t>the preferred functional form for</w:t>
      </w:r>
      <w:r w:rsidR="00F41191" w:rsidRPr="004035E1">
        <w:rPr>
          <w:rFonts w:ascii="Times New Roman" w:hAnsi="Times New Roman"/>
          <w:position w:val="-14"/>
          <w:sz w:val="24"/>
          <w:szCs w:val="24"/>
        </w:rPr>
        <w:object w:dxaOrig="840" w:dyaOrig="380" w14:anchorId="0E45835A">
          <v:shape id="_x0000_i1266" type="#_x0000_t75" style="width:42pt;height:18pt" o:ole="" o:preferrelative="f">
            <v:imagedata r:id="rId464" o:title=""/>
            <o:lock v:ext="edit" aspectratio="f"/>
          </v:shape>
          <o:OLEObject Type="Embed" ProgID="Equation.3" ShapeID="_x0000_i1266" DrawAspect="Content" ObjectID="_1722174412" r:id="rId465"/>
        </w:object>
      </w:r>
      <w:r w:rsidR="00644207" w:rsidRPr="004035E1">
        <w:rPr>
          <w:rFonts w:ascii="Times New Roman" w:hAnsi="Times New Roman"/>
          <w:sz w:val="24"/>
          <w:szCs w:val="24"/>
        </w:rPr>
        <w:t>.</w:t>
      </w:r>
      <w:r w:rsidR="00B74DAA" w:rsidRPr="004035E1">
        <w:rPr>
          <w:rFonts w:ascii="Times New Roman" w:hAnsi="Times New Roman"/>
          <w:sz w:val="24"/>
          <w:szCs w:val="24"/>
        </w:rPr>
        <w:t xml:space="preserve"> The second measure computed using the land cover areas for each destination is an overall land cover diversity index for each destination region computed from the land-cover percentage by category as follows</w:t>
      </w:r>
      <w:r w:rsidR="00D45C17">
        <w:rPr>
          <w:rFonts w:ascii="Times New Roman" w:hAnsi="Times New Roman"/>
          <w:sz w:val="24"/>
          <w:szCs w:val="24"/>
        </w:rPr>
        <w:t xml:space="preserve"> (see Bhat et al., 2016</w:t>
      </w:r>
      <w:r w:rsidR="00B215AD">
        <w:rPr>
          <w:rFonts w:ascii="Times New Roman" w:hAnsi="Times New Roman"/>
          <w:sz w:val="24"/>
          <w:szCs w:val="24"/>
        </w:rPr>
        <w:t>b</w:t>
      </w:r>
      <w:r w:rsidR="00D45C17">
        <w:rPr>
          <w:rFonts w:ascii="Times New Roman" w:hAnsi="Times New Roman"/>
          <w:sz w:val="24"/>
          <w:szCs w:val="24"/>
        </w:rPr>
        <w:t>)</w:t>
      </w:r>
      <w:r w:rsidR="00B74DAA" w:rsidRPr="004035E1">
        <w:rPr>
          <w:rFonts w:ascii="Times New Roman" w:hAnsi="Times New Roman"/>
          <w:sz w:val="24"/>
          <w:szCs w:val="24"/>
        </w:rPr>
        <w:t>:</w:t>
      </w:r>
    </w:p>
    <w:p w:rsidR="00B74DAA" w:rsidRPr="004035E1" w:rsidRDefault="00B74DAA" w:rsidP="00C879FF">
      <w:pPr>
        <w:tabs>
          <w:tab w:val="right" w:pos="9360"/>
        </w:tabs>
        <w:spacing w:after="60" w:line="276" w:lineRule="auto"/>
        <w:jc w:val="both"/>
      </w:pPr>
      <w:r w:rsidRPr="004035E1">
        <w:t xml:space="preserve">Land-cover diversity index </w:t>
      </w:r>
      <w:r w:rsidR="00F41191" w:rsidRPr="004035E1">
        <w:rPr>
          <w:position w:val="-64"/>
        </w:rPr>
        <w:object w:dxaOrig="2760" w:dyaOrig="1400" w14:anchorId="1BCCC021">
          <v:shape id="_x0000_i1267" type="#_x0000_t75" style="width:137.55pt;height:69.45pt" o:ole="" o:preferrelative="f">
            <v:imagedata r:id="rId466" o:title=""/>
            <o:lock v:ext="edit" aspectratio="f"/>
          </v:shape>
          <o:OLEObject Type="Embed" ProgID="Equation.3" ShapeID="_x0000_i1267" DrawAspect="Content" ObjectID="_1722174413" r:id="rId467"/>
        </w:object>
      </w:r>
      <w:r w:rsidRPr="004035E1">
        <w:tab/>
        <w:t xml:space="preserve"> (</w:t>
      </w:r>
      <w:r w:rsidR="00357D65">
        <w:t>32</w:t>
      </w:r>
      <w:r w:rsidRPr="004035E1">
        <w:t>)</w:t>
      </w:r>
    </w:p>
    <w:p w:rsidR="00DE03D3" w:rsidRPr="004035E1" w:rsidRDefault="00B74DAA" w:rsidP="0091672F">
      <w:pPr>
        <w:pStyle w:val="ListParagraph"/>
        <w:spacing w:after="0"/>
        <w:ind w:left="0"/>
        <w:jc w:val="both"/>
        <w:rPr>
          <w:rFonts w:ascii="Times New Roman" w:hAnsi="Times New Roman"/>
          <w:sz w:val="24"/>
          <w:szCs w:val="24"/>
        </w:rPr>
      </w:pPr>
      <w:r w:rsidRPr="004035E1">
        <w:rPr>
          <w:rFonts w:ascii="Times New Roman" w:hAnsi="Times New Roman"/>
          <w:sz w:val="24"/>
          <w:szCs w:val="24"/>
        </w:rPr>
        <w:t xml:space="preserve">where </w:t>
      </w:r>
      <w:r w:rsidR="00547D70" w:rsidRPr="00547D70">
        <w:rPr>
          <w:rFonts w:ascii="Times New Roman" w:hAnsi="Times New Roman"/>
          <w:position w:val="-12"/>
          <w:sz w:val="24"/>
          <w:szCs w:val="24"/>
        </w:rPr>
        <w:object w:dxaOrig="480" w:dyaOrig="360">
          <v:shape id="_x0000_i1268" type="#_x0000_t75" style="width:24pt;height:18pt" o:ole="">
            <v:imagedata r:id="rId456" o:title=""/>
          </v:shape>
          <o:OLEObject Type="Embed" ProgID="Equation.DSMT4" ShapeID="_x0000_i1268" DrawAspect="Content" ObjectID="_1722174414" r:id="rId468"/>
        </w:object>
      </w:r>
      <w:r w:rsidR="00547D70">
        <w:rPr>
          <w:rFonts w:ascii="Times New Roman" w:hAnsi="Times New Roman"/>
          <w:sz w:val="24"/>
          <w:szCs w:val="24"/>
        </w:rPr>
        <w:t xml:space="preserve"> </w:t>
      </w:r>
      <w:r w:rsidRPr="004035E1">
        <w:rPr>
          <w:rFonts w:ascii="Times New Roman" w:hAnsi="Times New Roman"/>
          <w:sz w:val="24"/>
          <w:szCs w:val="24"/>
        </w:rPr>
        <w:t xml:space="preserve">is the percentage area in land-cover category </w:t>
      </w:r>
      <w:r w:rsidRPr="004035E1">
        <w:rPr>
          <w:rFonts w:ascii="Times New Roman" w:hAnsi="Times New Roman"/>
          <w:i/>
          <w:sz w:val="24"/>
          <w:szCs w:val="24"/>
        </w:rPr>
        <w:t xml:space="preserve">i </w:t>
      </w:r>
      <w:r w:rsidRPr="004035E1">
        <w:rPr>
          <w:rFonts w:ascii="Times New Roman" w:hAnsi="Times New Roman"/>
          <w:sz w:val="24"/>
          <w:szCs w:val="24"/>
        </w:rPr>
        <w:t xml:space="preserve">in destination region </w:t>
      </w:r>
      <w:r w:rsidRPr="004035E1">
        <w:rPr>
          <w:rFonts w:ascii="Times New Roman" w:hAnsi="Times New Roman"/>
          <w:i/>
          <w:sz w:val="24"/>
          <w:szCs w:val="24"/>
        </w:rPr>
        <w:t>k</w:t>
      </w:r>
      <w:r w:rsidRPr="004035E1">
        <w:rPr>
          <w:rFonts w:ascii="Times New Roman" w:hAnsi="Times New Roman"/>
          <w:sz w:val="24"/>
          <w:szCs w:val="24"/>
        </w:rPr>
        <w:t xml:space="preserve"> (as earlier) and </w:t>
      </w:r>
      <w:r w:rsidRPr="004035E1">
        <w:rPr>
          <w:rFonts w:ascii="Times New Roman" w:hAnsi="Times New Roman"/>
          <w:i/>
          <w:sz w:val="24"/>
          <w:szCs w:val="24"/>
        </w:rPr>
        <w:t>I</w:t>
      </w:r>
      <w:r w:rsidRPr="004035E1">
        <w:rPr>
          <w:rFonts w:ascii="Times New Roman" w:hAnsi="Times New Roman"/>
          <w:sz w:val="24"/>
          <w:szCs w:val="24"/>
        </w:rPr>
        <w:t>=6 (that is, we have six land cover categories) in our empirical context</w:t>
      </w:r>
      <w:r w:rsidRPr="004035E1">
        <w:rPr>
          <w:rFonts w:ascii="Times New Roman" w:eastAsia="Times New Roman" w:hAnsi="Times New Roman"/>
          <w:sz w:val="24"/>
          <w:szCs w:val="24"/>
        </w:rPr>
        <w:t xml:space="preserve">. </w:t>
      </w:r>
      <w:r w:rsidRPr="004035E1">
        <w:rPr>
          <w:rFonts w:ascii="Times New Roman" w:hAnsi="Times New Roman"/>
          <w:sz w:val="24"/>
          <w:szCs w:val="24"/>
        </w:rPr>
        <w:t xml:space="preserve">The functional form would assign the value of zero if a region’s land-cover is only in one category, and would assign a value of 1 if a region’s land-cover is equally split among the different land cover categories. While the first accessibility measure captures </w:t>
      </w:r>
      <w:r w:rsidR="00644207" w:rsidRPr="004035E1">
        <w:rPr>
          <w:rFonts w:ascii="Times New Roman" w:hAnsi="Times New Roman"/>
          <w:sz w:val="24"/>
          <w:szCs w:val="24"/>
        </w:rPr>
        <w:t>any preferences individuals have for specific types of activities that may be featured in each destination region</w:t>
      </w:r>
      <w:r w:rsidRPr="004035E1">
        <w:rPr>
          <w:rFonts w:ascii="Times New Roman" w:hAnsi="Times New Roman"/>
          <w:sz w:val="24"/>
          <w:szCs w:val="24"/>
        </w:rPr>
        <w:t xml:space="preserve">, the second measure recognizes that </w:t>
      </w:r>
      <w:r w:rsidR="00644207" w:rsidRPr="004035E1">
        <w:rPr>
          <w:rFonts w:ascii="Times New Roman" w:hAnsi="Times New Roman"/>
          <w:sz w:val="24"/>
          <w:szCs w:val="24"/>
        </w:rPr>
        <w:t xml:space="preserve">some individuals may be drawn to destination regions that have a good diversity of activity participation opportunities. </w:t>
      </w:r>
    </w:p>
    <w:p w:rsidR="00105B19" w:rsidRPr="004035E1" w:rsidRDefault="00DE03D3" w:rsidP="004035E1">
      <w:pPr>
        <w:pStyle w:val="ListParagraph"/>
        <w:spacing w:after="0"/>
        <w:ind w:left="0" w:firstLine="720"/>
        <w:jc w:val="both"/>
        <w:rPr>
          <w:rFonts w:ascii="Times New Roman" w:hAnsi="Times New Roman"/>
          <w:sz w:val="24"/>
          <w:szCs w:val="24"/>
        </w:rPr>
      </w:pPr>
      <w:r w:rsidRPr="004035E1">
        <w:rPr>
          <w:rFonts w:ascii="Times New Roman" w:hAnsi="Times New Roman"/>
          <w:sz w:val="24"/>
          <w:szCs w:val="24"/>
        </w:rPr>
        <w:lastRenderedPageBreak/>
        <w:t xml:space="preserve">The final data sample used in the estimation included </w:t>
      </w:r>
      <w:r w:rsidR="004C1352" w:rsidRPr="004035E1">
        <w:rPr>
          <w:rFonts w:ascii="Times New Roman" w:hAnsi="Times New Roman"/>
          <w:sz w:val="24"/>
          <w:szCs w:val="24"/>
        </w:rPr>
        <w:t>5,</w:t>
      </w:r>
      <w:r w:rsidR="00B605AA" w:rsidRPr="004035E1">
        <w:rPr>
          <w:rFonts w:ascii="Times New Roman" w:hAnsi="Times New Roman"/>
          <w:sz w:val="24"/>
          <w:szCs w:val="24"/>
        </w:rPr>
        <w:t>62</w:t>
      </w:r>
      <w:r w:rsidR="004C1352" w:rsidRPr="004035E1">
        <w:rPr>
          <w:rFonts w:ascii="Times New Roman" w:hAnsi="Times New Roman"/>
          <w:sz w:val="24"/>
          <w:szCs w:val="24"/>
        </w:rPr>
        <w:t>2</w:t>
      </w:r>
      <w:r w:rsidRPr="004035E1">
        <w:rPr>
          <w:rFonts w:ascii="Times New Roman" w:hAnsi="Times New Roman"/>
          <w:sz w:val="24"/>
          <w:szCs w:val="24"/>
        </w:rPr>
        <w:t xml:space="preserve"> individuals</w:t>
      </w:r>
      <w:r w:rsidR="00220286" w:rsidRPr="004035E1">
        <w:rPr>
          <w:rFonts w:ascii="Times New Roman" w:hAnsi="Times New Roman"/>
          <w:sz w:val="24"/>
          <w:szCs w:val="24"/>
        </w:rPr>
        <w:t xml:space="preserve">. </w:t>
      </w:r>
      <w:r w:rsidR="00AD7B77" w:rsidRPr="004035E1">
        <w:rPr>
          <w:rFonts w:ascii="Times New Roman" w:hAnsi="Times New Roman"/>
          <w:sz w:val="24"/>
          <w:szCs w:val="24"/>
        </w:rPr>
        <w:t xml:space="preserve">Among these, </w:t>
      </w:r>
      <w:r w:rsidR="00105B19" w:rsidRPr="004035E1">
        <w:rPr>
          <w:rFonts w:ascii="Times New Roman" w:hAnsi="Times New Roman"/>
          <w:sz w:val="24"/>
          <w:szCs w:val="24"/>
        </w:rPr>
        <w:t>3051 individuals do not make any trips. This constitutes 54.3% of individuals. Earlier studies typically do not consider this high fraction of individuals</w:t>
      </w:r>
      <w:r w:rsidR="00E74AD4">
        <w:rPr>
          <w:rFonts w:ascii="Times New Roman" w:hAnsi="Times New Roman"/>
          <w:sz w:val="24"/>
          <w:szCs w:val="24"/>
        </w:rPr>
        <w:t xml:space="preserve"> in </w:t>
      </w:r>
      <w:r w:rsidR="00105B19" w:rsidRPr="004035E1">
        <w:rPr>
          <w:rFonts w:ascii="Times New Roman" w:hAnsi="Times New Roman"/>
          <w:sz w:val="24"/>
          <w:szCs w:val="24"/>
        </w:rPr>
        <w:t>a multiple discrete allocation model, because the “budget” (total number of trips made) for the multiple discrete model is considered a given</w:t>
      </w:r>
      <w:r w:rsidR="00DB4E7C">
        <w:rPr>
          <w:rFonts w:ascii="Times New Roman" w:hAnsi="Times New Roman"/>
          <w:sz w:val="24"/>
          <w:szCs w:val="24"/>
        </w:rPr>
        <w:t xml:space="preserve"> and positive</w:t>
      </w:r>
      <w:r w:rsidR="00105B19" w:rsidRPr="004035E1">
        <w:rPr>
          <w:rFonts w:ascii="Times New Roman" w:hAnsi="Times New Roman"/>
          <w:sz w:val="24"/>
          <w:szCs w:val="24"/>
        </w:rPr>
        <w:t xml:space="preserve">. This exogeneity of the total count of trips from the allocation </w:t>
      </w:r>
      <w:r w:rsidR="00E74AD4">
        <w:rPr>
          <w:rFonts w:ascii="Times New Roman" w:hAnsi="Times New Roman"/>
          <w:sz w:val="24"/>
          <w:szCs w:val="24"/>
        </w:rPr>
        <w:t xml:space="preserve">model </w:t>
      </w:r>
      <w:r w:rsidR="00105B19" w:rsidRPr="004035E1">
        <w:rPr>
          <w:rFonts w:ascii="Times New Roman" w:hAnsi="Times New Roman"/>
          <w:sz w:val="24"/>
          <w:szCs w:val="24"/>
        </w:rPr>
        <w:t>delinks how characteristics of individual regions can themselves influence whether or not an individual makes a trip and how many trips. Our two-stage budgeting model accommodates for this linkage.</w:t>
      </w:r>
    </w:p>
    <w:p w:rsidR="00CE1BF6" w:rsidRPr="004035E1" w:rsidRDefault="00220286" w:rsidP="004035E1">
      <w:pPr>
        <w:pStyle w:val="ListParagraph"/>
        <w:spacing w:after="0"/>
        <w:ind w:left="0" w:firstLine="720"/>
        <w:jc w:val="both"/>
        <w:rPr>
          <w:rFonts w:ascii="Times New Roman" w:hAnsi="Times New Roman"/>
          <w:sz w:val="24"/>
          <w:szCs w:val="24"/>
        </w:rPr>
      </w:pPr>
      <w:r w:rsidRPr="004035E1">
        <w:rPr>
          <w:rFonts w:ascii="Times New Roman" w:hAnsi="Times New Roman"/>
          <w:sz w:val="24"/>
          <w:szCs w:val="24"/>
        </w:rPr>
        <w:t xml:space="preserve">Table </w:t>
      </w:r>
      <w:r w:rsidR="007608D4">
        <w:rPr>
          <w:rFonts w:ascii="Times New Roman" w:hAnsi="Times New Roman"/>
          <w:sz w:val="24"/>
          <w:szCs w:val="24"/>
        </w:rPr>
        <w:t>1</w:t>
      </w:r>
      <w:r w:rsidRPr="004035E1">
        <w:rPr>
          <w:rFonts w:ascii="Times New Roman" w:hAnsi="Times New Roman"/>
          <w:sz w:val="24"/>
          <w:szCs w:val="24"/>
        </w:rPr>
        <w:t xml:space="preserve"> provides the distribution of the</w:t>
      </w:r>
      <w:r w:rsidR="00105B19" w:rsidRPr="004035E1">
        <w:rPr>
          <w:rFonts w:ascii="Times New Roman" w:hAnsi="Times New Roman"/>
          <w:sz w:val="24"/>
          <w:szCs w:val="24"/>
        </w:rPr>
        <w:t xml:space="preserve"> 2571 </w:t>
      </w:r>
      <w:r w:rsidRPr="004035E1">
        <w:rPr>
          <w:rFonts w:ascii="Times New Roman" w:hAnsi="Times New Roman"/>
          <w:sz w:val="24"/>
          <w:szCs w:val="24"/>
        </w:rPr>
        <w:t xml:space="preserve">individuals </w:t>
      </w:r>
      <w:r w:rsidR="00105B19" w:rsidRPr="004035E1">
        <w:rPr>
          <w:rFonts w:ascii="Times New Roman" w:hAnsi="Times New Roman"/>
          <w:sz w:val="24"/>
          <w:szCs w:val="24"/>
        </w:rPr>
        <w:t xml:space="preserve">who make one or more trips </w:t>
      </w:r>
      <w:r w:rsidRPr="004035E1">
        <w:rPr>
          <w:rFonts w:ascii="Times New Roman" w:hAnsi="Times New Roman"/>
          <w:sz w:val="24"/>
          <w:szCs w:val="24"/>
        </w:rPr>
        <w:t>by the number of leisure trips made during the four week period before they were surveyed and by the number of distinct leisure destination regions visited.</w:t>
      </w:r>
      <w:r w:rsidR="00DE03D3" w:rsidRPr="004035E1">
        <w:rPr>
          <w:rFonts w:ascii="Times New Roman" w:hAnsi="Times New Roman"/>
          <w:sz w:val="24"/>
          <w:szCs w:val="24"/>
        </w:rPr>
        <w:t xml:space="preserve"> </w:t>
      </w:r>
      <w:r w:rsidRPr="004035E1">
        <w:rPr>
          <w:rFonts w:ascii="Times New Roman" w:hAnsi="Times New Roman"/>
          <w:sz w:val="24"/>
          <w:szCs w:val="24"/>
        </w:rPr>
        <w:t>A</w:t>
      </w:r>
      <w:r w:rsidR="00DE03D3" w:rsidRPr="004035E1">
        <w:rPr>
          <w:rFonts w:ascii="Times New Roman" w:hAnsi="Times New Roman"/>
          <w:sz w:val="24"/>
          <w:szCs w:val="24"/>
        </w:rPr>
        <w:t xml:space="preserve"> sizeable fraction of individuals mak</w:t>
      </w:r>
      <w:r w:rsidRPr="004035E1">
        <w:rPr>
          <w:rFonts w:ascii="Times New Roman" w:hAnsi="Times New Roman"/>
          <w:sz w:val="24"/>
          <w:szCs w:val="24"/>
        </w:rPr>
        <w:t>e</w:t>
      </w:r>
      <w:r w:rsidR="00DE03D3" w:rsidRPr="004035E1">
        <w:rPr>
          <w:rFonts w:ascii="Times New Roman" w:hAnsi="Times New Roman"/>
          <w:sz w:val="24"/>
          <w:szCs w:val="24"/>
        </w:rPr>
        <w:t xml:space="preserve"> </w:t>
      </w:r>
      <w:r w:rsidRPr="004035E1">
        <w:rPr>
          <w:rFonts w:ascii="Times New Roman" w:hAnsi="Times New Roman"/>
          <w:sz w:val="24"/>
          <w:szCs w:val="24"/>
        </w:rPr>
        <w:t>one trip (</w:t>
      </w:r>
      <w:r w:rsidR="00105B19" w:rsidRPr="004035E1">
        <w:rPr>
          <w:rFonts w:ascii="Times New Roman" w:hAnsi="Times New Roman"/>
          <w:sz w:val="24"/>
          <w:szCs w:val="24"/>
        </w:rPr>
        <w:t>71.8</w:t>
      </w:r>
      <w:r w:rsidRPr="004035E1">
        <w:rPr>
          <w:rFonts w:ascii="Times New Roman" w:hAnsi="Times New Roman"/>
          <w:sz w:val="24"/>
          <w:szCs w:val="24"/>
        </w:rPr>
        <w:t xml:space="preserve">% of individuals). However, there is a non-insignificant percentage </w:t>
      </w:r>
      <w:r w:rsidR="00105B19" w:rsidRPr="004035E1">
        <w:rPr>
          <w:rFonts w:ascii="Times New Roman" w:hAnsi="Times New Roman"/>
          <w:sz w:val="24"/>
          <w:szCs w:val="24"/>
        </w:rPr>
        <w:t xml:space="preserve">(29.2%) </w:t>
      </w:r>
      <w:r w:rsidRPr="004035E1">
        <w:rPr>
          <w:rFonts w:ascii="Times New Roman" w:hAnsi="Times New Roman"/>
          <w:sz w:val="24"/>
          <w:szCs w:val="24"/>
        </w:rPr>
        <w:t xml:space="preserve">of individuals making </w:t>
      </w:r>
      <w:r w:rsidR="00DE03D3" w:rsidRPr="004035E1">
        <w:rPr>
          <w:rFonts w:ascii="Times New Roman" w:hAnsi="Times New Roman"/>
          <w:sz w:val="24"/>
          <w:szCs w:val="24"/>
        </w:rPr>
        <w:t xml:space="preserve">more than one leisure trip. As expected, most individuals who undertake more than one trip during the survey period prefer to travel to multiple destinations </w:t>
      </w:r>
      <w:r w:rsidR="00C11801" w:rsidRPr="004035E1">
        <w:rPr>
          <w:rFonts w:ascii="Times New Roman" w:hAnsi="Times New Roman"/>
          <w:sz w:val="24"/>
          <w:szCs w:val="24"/>
        </w:rPr>
        <w:t xml:space="preserve">(see the second row and beyond in Table </w:t>
      </w:r>
      <w:r w:rsidR="00E74AD4">
        <w:rPr>
          <w:rFonts w:ascii="Times New Roman" w:hAnsi="Times New Roman"/>
          <w:sz w:val="24"/>
          <w:szCs w:val="24"/>
        </w:rPr>
        <w:t>1</w:t>
      </w:r>
      <w:r w:rsidR="00C11801" w:rsidRPr="004035E1">
        <w:rPr>
          <w:rFonts w:ascii="Times New Roman" w:hAnsi="Times New Roman"/>
          <w:sz w:val="24"/>
          <w:szCs w:val="24"/>
        </w:rPr>
        <w:t xml:space="preserve">). For example, </w:t>
      </w:r>
      <w:r w:rsidR="00105B19" w:rsidRPr="004035E1">
        <w:rPr>
          <w:rFonts w:ascii="Times New Roman" w:hAnsi="Times New Roman"/>
          <w:sz w:val="24"/>
          <w:szCs w:val="24"/>
        </w:rPr>
        <w:t>61</w:t>
      </w:r>
      <w:r w:rsidR="00C11801" w:rsidRPr="004035E1">
        <w:rPr>
          <w:rFonts w:ascii="Times New Roman" w:hAnsi="Times New Roman"/>
          <w:sz w:val="24"/>
          <w:szCs w:val="24"/>
        </w:rPr>
        <w:t xml:space="preserve">% of individuals making two trips during the survey period visit more than one distinct destination region, while </w:t>
      </w:r>
      <w:r w:rsidR="00105B19" w:rsidRPr="004035E1">
        <w:rPr>
          <w:rFonts w:ascii="Times New Roman" w:hAnsi="Times New Roman"/>
          <w:sz w:val="24"/>
          <w:szCs w:val="24"/>
        </w:rPr>
        <w:t>close to 70</w:t>
      </w:r>
      <w:r w:rsidR="00C11801" w:rsidRPr="004035E1">
        <w:rPr>
          <w:rFonts w:ascii="Times New Roman" w:hAnsi="Times New Roman"/>
          <w:sz w:val="24"/>
          <w:szCs w:val="24"/>
        </w:rPr>
        <w:t xml:space="preserve">% of individuals making three trips visit more than one distinct region. </w:t>
      </w:r>
    </w:p>
    <w:p w:rsidR="00A74ED1" w:rsidRPr="004035E1" w:rsidRDefault="00644207" w:rsidP="004035E1">
      <w:pPr>
        <w:spacing w:line="276" w:lineRule="auto"/>
        <w:ind w:firstLine="720"/>
        <w:jc w:val="both"/>
      </w:pPr>
      <w:r w:rsidRPr="004035E1">
        <w:t xml:space="preserve">Table </w:t>
      </w:r>
      <w:r w:rsidR="007608D4">
        <w:t>2</w:t>
      </w:r>
      <w:r w:rsidRPr="004035E1">
        <w:t xml:space="preserve"> provides descriptive statistics for each of the </w:t>
      </w:r>
      <w:r w:rsidR="00105B19" w:rsidRPr="004035E1">
        <w:t>nine</w:t>
      </w:r>
      <w:r w:rsidRPr="004035E1">
        <w:t xml:space="preserve"> destination regions. The </w:t>
      </w:r>
      <w:r w:rsidR="002D62D3" w:rsidRPr="004035E1">
        <w:t>second</w:t>
      </w:r>
      <w:r w:rsidRPr="004035E1">
        <w:t xml:space="preserve"> broad column presents the mean and standard deviations for the travel impedance skim measures of total travel time, travel distance, and travel cost for each destination region. Not surprisingly,</w:t>
      </w:r>
      <w:r w:rsidR="00067EA4" w:rsidRPr="004035E1">
        <w:t xml:space="preserve"> given the spatial layout of the North Island (see Figure 1),</w:t>
      </w:r>
      <w:r w:rsidRPr="004035E1">
        <w:t xml:space="preserve"> the travel impedance measures are the highest for the Northland region (the northernmost region</w:t>
      </w:r>
      <w:r w:rsidR="00DB4E7C">
        <w:t xml:space="preserve"> of the island</w:t>
      </w:r>
      <w:r w:rsidRPr="004035E1">
        <w:t>)</w:t>
      </w:r>
      <w:r w:rsidR="00105B19" w:rsidRPr="004035E1">
        <w:t xml:space="preserve">, the </w:t>
      </w:r>
      <w:r w:rsidR="00067EA4" w:rsidRPr="004035E1">
        <w:t xml:space="preserve">Wellington region (the southernmost region of the </w:t>
      </w:r>
      <w:r w:rsidR="00DB4E7C">
        <w:t>i</w:t>
      </w:r>
      <w:r w:rsidR="00067EA4" w:rsidRPr="004035E1">
        <w:t xml:space="preserve">sland), and the Gisborne region (the </w:t>
      </w:r>
      <w:r w:rsidR="00E74AD4">
        <w:t>eas</w:t>
      </w:r>
      <w:r w:rsidR="00067EA4" w:rsidRPr="004035E1">
        <w:t xml:space="preserve">ternmost point of the </w:t>
      </w:r>
      <w:r w:rsidR="00DB4E7C">
        <w:t>i</w:t>
      </w:r>
      <w:r w:rsidR="00067EA4" w:rsidRPr="004035E1">
        <w:t>sland)</w:t>
      </w:r>
      <w:r w:rsidRPr="004035E1">
        <w:t xml:space="preserve">. As expected, the impedance measures </w:t>
      </w:r>
      <w:r w:rsidR="00067EA4" w:rsidRPr="004035E1">
        <w:t>are the least for the Auckland and the Waikato regions</w:t>
      </w:r>
      <w:r w:rsidR="002F353D" w:rsidRPr="004035E1">
        <w:t>, not only because of the spatial layout of the Island, but also because these two regions are two of the most populous regions of the Island</w:t>
      </w:r>
      <w:r w:rsidR="007608D4">
        <w:t xml:space="preserve"> from where vacation leisure trips originate</w:t>
      </w:r>
      <w:r w:rsidR="00D66C51" w:rsidRPr="004035E1">
        <w:t>.</w:t>
      </w:r>
      <w:r w:rsidR="002F353D" w:rsidRPr="004035E1">
        <w:t xml:space="preserve"> </w:t>
      </w:r>
      <w:r w:rsidR="00067EA4" w:rsidRPr="004035E1">
        <w:t xml:space="preserve"> </w:t>
      </w:r>
      <w:r w:rsidR="002F353D" w:rsidRPr="004035E1">
        <w:t>In fact, 5</w:t>
      </w:r>
      <w:r w:rsidR="00A53163" w:rsidRPr="004035E1">
        <w:t>1</w:t>
      </w:r>
      <w:r w:rsidR="002F353D" w:rsidRPr="004035E1">
        <w:t xml:space="preserve">% of all individuals in the sample reside in the Auckland and Waikato regions, </w:t>
      </w:r>
      <w:r w:rsidR="00A53163" w:rsidRPr="004035E1">
        <w:t>which is close to the 2013 population representation of 55% for these two regions as a percentage of the North Island population</w:t>
      </w:r>
      <w:r w:rsidR="00D66C51" w:rsidRPr="004035E1">
        <w:t>.</w:t>
      </w:r>
      <w:r w:rsidR="00D66C51" w:rsidRPr="004035E1">
        <w:rPr>
          <w:rStyle w:val="FootnoteReference"/>
        </w:rPr>
        <w:footnoteReference w:id="12"/>
      </w:r>
      <w:r w:rsidR="00A53163" w:rsidRPr="004035E1">
        <w:t xml:space="preserve"> </w:t>
      </w:r>
      <w:r w:rsidR="00D66C51" w:rsidRPr="004035E1">
        <w:t xml:space="preserve">Auckland, in particular, is home to 37% </w:t>
      </w:r>
      <w:r w:rsidR="003B1FFA">
        <w:t xml:space="preserve">of </w:t>
      </w:r>
      <w:r w:rsidR="00D66C51" w:rsidRPr="004035E1">
        <w:t xml:space="preserve">all individuals in the sample, similar to its dominant representation in the North Island population (the only other region that comes close to the populations of Auckland and Waikato is the Wellington region, home to 14.6% of the North Island population in 2013, and home to 14.9% of the North Island individuals represented in our sample; but the Wellington region is at the southern tip of the North Island, and so has a high travel impedance on average in Table </w:t>
      </w:r>
      <w:r w:rsidR="003B1FFA">
        <w:t>2</w:t>
      </w:r>
      <w:r w:rsidR="00D66C51" w:rsidRPr="004035E1">
        <w:t xml:space="preserve">). </w:t>
      </w:r>
      <w:r w:rsidR="005A3A78" w:rsidRPr="004035E1">
        <w:t>Consistent with the population representation, the Auckland and Waikato regions con</w:t>
      </w:r>
      <w:r w:rsidR="003B1FFA">
        <w:t>tribute</w:t>
      </w:r>
      <w:r w:rsidR="005A3A78" w:rsidRPr="004035E1">
        <w:t xml:space="preserve"> </w:t>
      </w:r>
      <w:r w:rsidR="002F353D" w:rsidRPr="004035E1">
        <w:t xml:space="preserve">49.2% of all trip origins in the sample. </w:t>
      </w:r>
    </w:p>
    <w:p w:rsidR="003B1FFA" w:rsidRDefault="00644207" w:rsidP="004035E1">
      <w:pPr>
        <w:autoSpaceDE w:val="0"/>
        <w:autoSpaceDN w:val="0"/>
        <w:adjustRightInd w:val="0"/>
        <w:spacing w:line="276" w:lineRule="auto"/>
        <w:ind w:firstLine="720"/>
        <w:jc w:val="both"/>
      </w:pPr>
      <w:r w:rsidRPr="004035E1">
        <w:t xml:space="preserve">The </w:t>
      </w:r>
      <w:r w:rsidR="002D62D3" w:rsidRPr="004035E1">
        <w:t xml:space="preserve">third </w:t>
      </w:r>
      <w:r w:rsidR="007608D4">
        <w:t xml:space="preserve">main </w:t>
      </w:r>
      <w:r w:rsidRPr="004035E1">
        <w:t xml:space="preserve">column in Table </w:t>
      </w:r>
      <w:r w:rsidR="007608D4">
        <w:t>2</w:t>
      </w:r>
      <w:r w:rsidRPr="004035E1">
        <w:t xml:space="preserve"> provides the </w:t>
      </w:r>
      <w:r w:rsidR="002D62D3" w:rsidRPr="004035E1">
        <w:t xml:space="preserve">land diversity index for each region. Again, Auckland and Waikato come out on top as the most diverse land cover regions in the island, with Northland, Bay of Plenty, and Wellington also showing good land cover diversities relative to other regions. </w:t>
      </w:r>
      <w:r w:rsidR="00F75F63" w:rsidRPr="004035E1">
        <w:t xml:space="preserve">Auckland, in particular, has a high diversity index, thanks to the famous urban tourist </w:t>
      </w:r>
      <w:r w:rsidR="00F75F63" w:rsidRPr="004035E1">
        <w:lastRenderedPageBreak/>
        <w:t>attraction of the City of Auckland as well as such attractions as the Tiritiri Matangi Islands, a haven for nature hikers who want to experience the rich flora and fauna of the region up close</w:t>
      </w:r>
      <w:r w:rsidR="00514E8B">
        <w:t xml:space="preserve"> </w:t>
      </w:r>
      <w:r w:rsidR="00514E8B" w:rsidRPr="004035E1">
        <w:t>(especially of a host of endangered species of birds, each with a unique bird call pattern)</w:t>
      </w:r>
      <w:r w:rsidR="00F75F63" w:rsidRPr="004035E1">
        <w:t xml:space="preserve">. </w:t>
      </w:r>
      <w:r w:rsidR="002D62D3" w:rsidRPr="004035E1">
        <w:t xml:space="preserve">Of course, while activity diversity opportunities of a destination may be important for some individuals, </w:t>
      </w:r>
      <w:r w:rsidR="000F703D" w:rsidRPr="004035E1">
        <w:t xml:space="preserve">accessibility to </w:t>
      </w:r>
      <w:r w:rsidR="002D62D3" w:rsidRPr="004035E1">
        <w:t xml:space="preserve">specific </w:t>
      </w:r>
      <w:r w:rsidR="000F703D" w:rsidRPr="004035E1">
        <w:t>activities may be important to others, which is captured in our analysis using the six land cover-specific accessibility measures</w:t>
      </w:r>
      <w:r w:rsidR="00DE2328" w:rsidRPr="004035E1">
        <w:t xml:space="preserve"> (not shown in Table </w:t>
      </w:r>
      <w:r w:rsidR="007608D4">
        <w:t>2</w:t>
      </w:r>
      <w:r w:rsidR="00DE2328" w:rsidRPr="004035E1">
        <w:t xml:space="preserve"> to conserve on space)</w:t>
      </w:r>
      <w:r w:rsidR="000F703D" w:rsidRPr="004035E1">
        <w:t xml:space="preserve">. </w:t>
      </w:r>
    </w:p>
    <w:p w:rsidR="000F703D" w:rsidRPr="004035E1" w:rsidRDefault="000F703D" w:rsidP="004035E1">
      <w:pPr>
        <w:autoSpaceDE w:val="0"/>
        <w:autoSpaceDN w:val="0"/>
        <w:adjustRightInd w:val="0"/>
        <w:spacing w:line="276" w:lineRule="auto"/>
        <w:ind w:firstLine="720"/>
        <w:jc w:val="both"/>
      </w:pPr>
      <w:r w:rsidRPr="004035E1">
        <w:t xml:space="preserve">The remaining columns of Table </w:t>
      </w:r>
      <w:r w:rsidR="007608D4">
        <w:t>2</w:t>
      </w:r>
      <w:r w:rsidRPr="004035E1">
        <w:t xml:space="preserve"> provide descriptive statistics related to leisure trip patterns, starting with the number of individuals visiting each region (see the fourth </w:t>
      </w:r>
      <w:r w:rsidR="003B1FFA">
        <w:t xml:space="preserve">main </w:t>
      </w:r>
      <w:r w:rsidRPr="004035E1">
        <w:t xml:space="preserve">column of Table </w:t>
      </w:r>
      <w:r w:rsidR="007608D4">
        <w:t>2</w:t>
      </w:r>
      <w:r w:rsidRPr="004035E1">
        <w:t>). The Waikato region is clearly the one patronized by the most number of individuals, but Auckland</w:t>
      </w:r>
      <w:r w:rsidR="00EE2BF3" w:rsidRPr="004035E1">
        <w:t xml:space="preserve"> and </w:t>
      </w:r>
      <w:r w:rsidRPr="004035E1">
        <w:t>Bay of Plent</w:t>
      </w:r>
      <w:r w:rsidR="00EE2BF3" w:rsidRPr="004035E1">
        <w:t xml:space="preserve">y </w:t>
      </w:r>
      <w:r w:rsidRPr="004035E1">
        <w:t xml:space="preserve">also draw quite a few individuals. However, to get a better picture of attractiveness, the </w:t>
      </w:r>
      <w:r w:rsidR="00EE2BF3" w:rsidRPr="004035E1">
        <w:t xml:space="preserve">fifth </w:t>
      </w:r>
      <w:r w:rsidR="00D45C17">
        <w:t xml:space="preserve">main </w:t>
      </w:r>
      <w:r w:rsidR="00EE2BF3" w:rsidRPr="004035E1">
        <w:t xml:space="preserve">column provides a size measure for each region, and the </w:t>
      </w:r>
      <w:r w:rsidR="00F75F63" w:rsidRPr="004035E1">
        <w:t>sixth</w:t>
      </w:r>
      <w:r w:rsidRPr="004035E1">
        <w:t xml:space="preserve"> </w:t>
      </w:r>
      <w:r w:rsidR="00D45C17">
        <w:t xml:space="preserve">main </w:t>
      </w:r>
      <w:r w:rsidRPr="004035E1">
        <w:t>column normalizes the number of people visiting by the area of each region. This column shows that</w:t>
      </w:r>
      <w:r w:rsidR="00F75F63" w:rsidRPr="004035E1">
        <w:t>,</w:t>
      </w:r>
      <w:r w:rsidRPr="004035E1">
        <w:t xml:space="preserve"> on a per unit area basis, Auckland is by far the most popular destination, followed by Wellington</w:t>
      </w:r>
      <w:r w:rsidR="00F75F63" w:rsidRPr="004035E1">
        <w:t>, Bay of Plenty, and Waikato</w:t>
      </w:r>
      <w:r w:rsidRPr="004035E1">
        <w:t xml:space="preserve">. Interestingly, as indicated earlier, these are </w:t>
      </w:r>
      <w:r w:rsidR="00F75F63" w:rsidRPr="004035E1">
        <w:t xml:space="preserve">also </w:t>
      </w:r>
      <w:r w:rsidRPr="004035E1">
        <w:t xml:space="preserve">destinations with </w:t>
      </w:r>
      <w:r w:rsidR="00F75F63" w:rsidRPr="004035E1">
        <w:t>high land diversity index values</w:t>
      </w:r>
      <w:r w:rsidR="00DE2328" w:rsidRPr="004035E1">
        <w:t xml:space="preserve">, </w:t>
      </w:r>
      <w:r w:rsidR="00DE2328" w:rsidRPr="004035E1">
        <w:rPr>
          <w:lang w:val="en"/>
        </w:rPr>
        <w:t>suggesting a generally positive relationship between land cover diversity and tourist draw</w:t>
      </w:r>
      <w:r w:rsidR="003B1FFA">
        <w:rPr>
          <w:lang w:val="en"/>
        </w:rPr>
        <w:t xml:space="preserve"> on a per unit area basis</w:t>
      </w:r>
      <w:r w:rsidR="00F75F63" w:rsidRPr="004035E1">
        <w:t xml:space="preserve">. </w:t>
      </w:r>
      <w:r w:rsidR="003B1FFA">
        <w:t xml:space="preserve">To capture the </w:t>
      </w:r>
      <w:r w:rsidR="00E04928" w:rsidRPr="004035E1">
        <w:t xml:space="preserve">volume </w:t>
      </w:r>
      <w:r w:rsidR="00DE2328" w:rsidRPr="004035E1">
        <w:t>of activity opportunities</w:t>
      </w:r>
      <w:r w:rsidR="00E04928" w:rsidRPr="004035E1">
        <w:t xml:space="preserve"> effect</w:t>
      </w:r>
      <w:r w:rsidR="00DE2328" w:rsidRPr="004035E1">
        <w:t xml:space="preserve">, we </w:t>
      </w:r>
      <w:r w:rsidR="003B1FFA">
        <w:t xml:space="preserve">consider the </w:t>
      </w:r>
      <w:r w:rsidR="00DE2328" w:rsidRPr="004035E1">
        <w:t xml:space="preserve">logarithm of </w:t>
      </w:r>
      <w:r w:rsidR="003B1FFA">
        <w:t xml:space="preserve">the </w:t>
      </w:r>
      <w:r w:rsidR="00DE2328" w:rsidRPr="004035E1">
        <w:t>area of each region in the empirical analysis.</w:t>
      </w:r>
      <w:r w:rsidR="00E04928" w:rsidRPr="004035E1">
        <w:rPr>
          <w:rStyle w:val="FootnoteReference"/>
        </w:rPr>
        <w:footnoteReference w:id="13"/>
      </w:r>
      <w:r w:rsidR="00DE2328" w:rsidRPr="004035E1">
        <w:t xml:space="preserve"> </w:t>
      </w:r>
      <w:r w:rsidRPr="004035E1">
        <w:t>The s</w:t>
      </w:r>
      <w:r w:rsidR="00E11D72">
        <w:t>eventh</w:t>
      </w:r>
      <w:r w:rsidRPr="004035E1">
        <w:t xml:space="preserve"> broad column presents statistics on the number of visits to a destination region among those who visited the destination region at least once. The mean and</w:t>
      </w:r>
      <w:r w:rsidR="00DB3C52" w:rsidRPr="004035E1">
        <w:t xml:space="preserve"> range </w:t>
      </w:r>
      <w:r w:rsidRPr="004035E1">
        <w:t xml:space="preserve">from this column suggest that Auckland, Waikato, Bay of Plenty, </w:t>
      </w:r>
      <w:r w:rsidR="002D2E98" w:rsidRPr="004035E1">
        <w:t xml:space="preserve">and </w:t>
      </w:r>
      <w:r w:rsidRPr="004035E1">
        <w:t>Wellington</w:t>
      </w:r>
      <w:r w:rsidR="002D2E98" w:rsidRPr="004035E1">
        <w:t xml:space="preserve"> </w:t>
      </w:r>
      <w:r w:rsidRPr="004035E1">
        <w:t xml:space="preserve">have the most loyal following. </w:t>
      </w:r>
    </w:p>
    <w:p w:rsidR="00C11801" w:rsidRPr="004035E1" w:rsidRDefault="00C11801" w:rsidP="004035E1">
      <w:pPr>
        <w:pStyle w:val="ListParagraph"/>
        <w:spacing w:after="0"/>
        <w:ind w:left="0"/>
        <w:jc w:val="both"/>
        <w:rPr>
          <w:rFonts w:ascii="Times New Roman" w:hAnsi="Times New Roman"/>
          <w:sz w:val="24"/>
          <w:szCs w:val="24"/>
        </w:rPr>
      </w:pPr>
    </w:p>
    <w:p w:rsidR="00E04928" w:rsidRPr="004035E1" w:rsidRDefault="00516C13" w:rsidP="004035E1">
      <w:pPr>
        <w:keepNext/>
        <w:keepLines/>
        <w:spacing w:line="276" w:lineRule="auto"/>
        <w:ind w:left="720" w:hanging="720"/>
        <w:jc w:val="both"/>
        <w:rPr>
          <w:b/>
        </w:rPr>
      </w:pPr>
      <w:r w:rsidRPr="004035E1">
        <w:rPr>
          <w:b/>
        </w:rPr>
        <w:t>3.2</w:t>
      </w:r>
      <w:r w:rsidR="00F41191">
        <w:rPr>
          <w:b/>
        </w:rPr>
        <w:t>.</w:t>
      </w:r>
      <w:r w:rsidR="00E04928" w:rsidRPr="004035E1">
        <w:rPr>
          <w:b/>
        </w:rPr>
        <w:t xml:space="preserve"> Model Estimation Results</w:t>
      </w:r>
    </w:p>
    <w:p w:rsidR="00ED2537" w:rsidRPr="004035E1" w:rsidRDefault="00E04928" w:rsidP="004035E1">
      <w:pPr>
        <w:spacing w:line="276" w:lineRule="auto"/>
        <w:jc w:val="both"/>
      </w:pPr>
      <w:r w:rsidRPr="004035E1">
        <w:t>The number of destination region alternatives in the</w:t>
      </w:r>
      <w:r w:rsidR="0052546A" w:rsidRPr="004035E1">
        <w:t xml:space="preserve"> fractional MDCEV </w:t>
      </w:r>
      <w:r w:rsidRPr="004035E1">
        <w:t xml:space="preserve">model is </w:t>
      </w:r>
      <w:r w:rsidR="003C0759" w:rsidRPr="004035E1">
        <w:t>nine</w:t>
      </w:r>
      <w:r w:rsidRPr="004035E1">
        <w:t xml:space="preserve">. Thus, rather than including </w:t>
      </w:r>
      <w:r w:rsidR="003C0759" w:rsidRPr="004035E1">
        <w:t>nine</w:t>
      </w:r>
      <w:r w:rsidRPr="004035E1">
        <w:t xml:space="preserve"> alternative-specific constants in the baseline preference and </w:t>
      </w:r>
      <w:r w:rsidR="003C0759" w:rsidRPr="004035E1">
        <w:t>nine</w:t>
      </w:r>
      <w:r w:rsidRPr="004035E1">
        <w:t xml:space="preserve"> region-specific satiation parameters (in addition to other explanatory variables)</w:t>
      </w:r>
      <w:r w:rsidR="0052546A" w:rsidRPr="004035E1">
        <w:t xml:space="preserve"> in the MDCEV fractional destination allocation model</w:t>
      </w:r>
      <w:r w:rsidRPr="004035E1">
        <w:t>, we adopted an “unlabele</w:t>
      </w:r>
      <w:r w:rsidR="003C0759" w:rsidRPr="004035E1">
        <w:t xml:space="preserve">d” </w:t>
      </w:r>
      <w:r w:rsidRPr="004035E1">
        <w:t>specification in which the baseline preferences and satiations are captured through attributes of the individual regions</w:t>
      </w:r>
      <w:r w:rsidR="0052546A" w:rsidRPr="004035E1">
        <w:t xml:space="preserve"> and/or interactions of </w:t>
      </w:r>
      <w:r w:rsidR="00ED2537" w:rsidRPr="004035E1">
        <w:t>individual demographics with the regional attributes. Also, while t</w:t>
      </w:r>
      <w:r w:rsidR="0052546A" w:rsidRPr="004035E1">
        <w:t>he focus here is on demonstrating the application of the proposed model rather than necessarily on substantive interpretations and policy implications</w:t>
      </w:r>
      <w:r w:rsidR="00ED2537" w:rsidRPr="004035E1">
        <w:t xml:space="preserve">, </w:t>
      </w:r>
      <w:r w:rsidR="0052546A" w:rsidRPr="004035E1">
        <w:t xml:space="preserve">we did undertake a rigorous specification analysis with the data available to arrive at the best possible specification (for example, considering alternative functional forms for continuous independent variables such as </w:t>
      </w:r>
      <w:r w:rsidR="00CA49D3" w:rsidRPr="004035E1">
        <w:t xml:space="preserve">household </w:t>
      </w:r>
      <w:r w:rsidR="0052546A" w:rsidRPr="004035E1">
        <w:t xml:space="preserve">income, including a linear form, piecewise linear forms in the form of spline functions, and dummy variable specifications for different groupings). </w:t>
      </w:r>
    </w:p>
    <w:p w:rsidR="0052546A" w:rsidRPr="004035E1" w:rsidRDefault="0052546A" w:rsidP="004035E1">
      <w:pPr>
        <w:spacing w:line="276" w:lineRule="auto"/>
        <w:ind w:firstLine="720"/>
        <w:jc w:val="both"/>
      </w:pPr>
      <w:r w:rsidRPr="004035E1">
        <w:lastRenderedPageBreak/>
        <w:t xml:space="preserve">Several types of variables were considered in the first stage total count model as well as the second stage fractional MDCEV model. These included household sociodemographics (household size, presence and number of children, age of individual as an indicator of lifecycle stage, number of adults in household, traveling party size, household income, family structure, and destination attributes). Further, to accommodate heterogeneity across individuals in the effect of observed variables not only in the baseline preference function (the </w:t>
      </w:r>
      <w:r w:rsidRPr="004035E1">
        <w:rPr>
          <w:position w:val="-12"/>
        </w:rPr>
        <w:object w:dxaOrig="320" w:dyaOrig="360" w14:anchorId="18F380D1">
          <v:shape id="_x0000_i1269" type="#_x0000_t75" style="width:16.3pt;height:18pt" o:ole="">
            <v:imagedata r:id="rId469" o:title=""/>
          </v:shape>
          <o:OLEObject Type="Embed" ProgID="Equation.DSMT4" ShapeID="_x0000_i1269" DrawAspect="Content" ObjectID="_1722174415" r:id="rId470"/>
        </w:object>
      </w:r>
      <w:r w:rsidRPr="004035E1">
        <w:t xml:space="preserve"> function as in Equation (</w:t>
      </w:r>
      <w:r w:rsidR="00D45C17">
        <w:t>1</w:t>
      </w:r>
      <w:r w:rsidRPr="004035E1">
        <w:t xml:space="preserve">)), but also in the satiation parameters (the </w:t>
      </w:r>
      <w:r w:rsidRPr="004035E1">
        <w:rPr>
          <w:position w:val="-12"/>
        </w:rPr>
        <w:object w:dxaOrig="279" w:dyaOrig="360" w14:anchorId="50A188B3">
          <v:shape id="_x0000_i1270" type="#_x0000_t75" style="width:13.7pt;height:18pt" o:ole="">
            <v:imagedata r:id="rId35" o:title=""/>
          </v:shape>
          <o:OLEObject Type="Embed" ProgID="Equation.3" ShapeID="_x0000_i1270" DrawAspect="Content" ObjectID="_1722174416" r:id="rId471"/>
        </w:object>
      </w:r>
      <w:r w:rsidRPr="004035E1">
        <w:t xml:space="preserve"> parameters), we parameterized the satiation parameters as </w:t>
      </w:r>
      <w:r w:rsidRPr="004035E1">
        <w:rPr>
          <w:position w:val="-12"/>
        </w:rPr>
        <w:object w:dxaOrig="1040" w:dyaOrig="360" w14:anchorId="60060C66">
          <v:shape id="_x0000_i1271" type="#_x0000_t75" style="width:52.7pt;height:18pt" o:ole="">
            <v:imagedata r:id="rId472" o:title=""/>
          </v:shape>
          <o:OLEObject Type="Embed" ProgID="Equation.DSMT4" ShapeID="_x0000_i1271" DrawAspect="Content" ObjectID="_1722174417" r:id="rId473"/>
        </w:object>
      </w:r>
      <w:r w:rsidRPr="004035E1">
        <w:t xml:space="preserve">, where </w:t>
      </w:r>
      <w:r w:rsidRPr="004035E1">
        <w:rPr>
          <w:position w:val="-12"/>
        </w:rPr>
        <w:object w:dxaOrig="300" w:dyaOrig="360" w14:anchorId="631688EF">
          <v:shape id="_x0000_i1272" type="#_x0000_t75" style="width:15pt;height:18pt" o:ole="">
            <v:imagedata r:id="rId474" o:title=""/>
          </v:shape>
          <o:OLEObject Type="Embed" ProgID="Equation.3" ShapeID="_x0000_i1272" DrawAspect="Content" ObjectID="_1722174418" r:id="rId475"/>
        </w:object>
      </w:r>
      <w:r w:rsidRPr="004035E1">
        <w:t xml:space="preserve"> is a vector of decision maker-related characteristics and </w:t>
      </w:r>
      <w:r w:rsidRPr="004035E1">
        <w:rPr>
          <w:position w:val="-12"/>
        </w:rPr>
        <w:object w:dxaOrig="279" w:dyaOrig="360" w14:anchorId="72901788">
          <v:shape id="_x0000_i1273" type="#_x0000_t75" style="width:14.55pt;height:18pt" o:ole="">
            <v:imagedata r:id="rId476" o:title=""/>
          </v:shape>
          <o:OLEObject Type="Embed" ProgID="Equation.DSMT4" ShapeID="_x0000_i1273" DrawAspect="Content" ObjectID="_1722174419" r:id="rId477"/>
        </w:object>
      </w:r>
      <w:r w:rsidRPr="004035E1">
        <w:t xml:space="preserve"> is a vector to be estimated (note that </w:t>
      </w:r>
      <w:r w:rsidR="00F41191" w:rsidRPr="004035E1">
        <w:rPr>
          <w:position w:val="-12"/>
        </w:rPr>
        <w:object w:dxaOrig="1180" w:dyaOrig="360" w14:anchorId="1CE3AD07">
          <v:shape id="_x0000_i1274" type="#_x0000_t75" style="width:59.55pt;height:18pt" o:ole="">
            <v:imagedata r:id="rId478" o:title=""/>
          </v:shape>
          <o:OLEObject Type="Embed" ProgID="Equation.DSMT4" ShapeID="_x0000_i1274" DrawAspect="Content" ObjectID="_1722174420" r:id="rId479"/>
        </w:object>
      </w:r>
      <w:r w:rsidRPr="004035E1">
        <w:t xml:space="preserve"> This allows the discrete choice decision of </w:t>
      </w:r>
      <w:r w:rsidR="00ED2537" w:rsidRPr="004035E1">
        <w:t xml:space="preserve">traveling to a destination </w:t>
      </w:r>
      <w:r w:rsidRPr="004035E1">
        <w:t>) less closely tied to the</w:t>
      </w:r>
      <w:r w:rsidR="00ED2537" w:rsidRPr="004035E1">
        <w:t xml:space="preserve"> count </w:t>
      </w:r>
      <w:r w:rsidRPr="004035E1">
        <w:t xml:space="preserve">choice of the </w:t>
      </w:r>
      <w:r w:rsidR="00ED2537" w:rsidRPr="004035E1">
        <w:t xml:space="preserve">number of times of traveling to that destination </w:t>
      </w:r>
      <w:r w:rsidRPr="004035E1">
        <w:t xml:space="preserve">(see Bhat, 2008). </w:t>
      </w:r>
    </w:p>
    <w:p w:rsidR="00F97302" w:rsidRPr="004035E1" w:rsidRDefault="00F97302" w:rsidP="004035E1">
      <w:pPr>
        <w:spacing w:line="276" w:lineRule="auto"/>
        <w:ind w:firstLine="720"/>
        <w:jc w:val="both"/>
      </w:pPr>
    </w:p>
    <w:p w:rsidR="0083100C" w:rsidRPr="00F41191" w:rsidRDefault="00516C13" w:rsidP="004035E1">
      <w:pPr>
        <w:spacing w:line="276" w:lineRule="auto"/>
        <w:jc w:val="both"/>
        <w:rPr>
          <w:b/>
          <w:i/>
        </w:rPr>
      </w:pPr>
      <w:r w:rsidRPr="00F41191">
        <w:rPr>
          <w:b/>
          <w:i/>
        </w:rPr>
        <w:t>3.2</w:t>
      </w:r>
      <w:r w:rsidR="0083100C" w:rsidRPr="00F41191">
        <w:rPr>
          <w:b/>
          <w:i/>
        </w:rPr>
        <w:t>.</w:t>
      </w:r>
      <w:r w:rsidRPr="00F41191">
        <w:rPr>
          <w:b/>
          <w:i/>
        </w:rPr>
        <w:t>1</w:t>
      </w:r>
      <w:r w:rsidR="00F41191" w:rsidRPr="00F41191">
        <w:rPr>
          <w:b/>
          <w:i/>
        </w:rPr>
        <w:t>.</w:t>
      </w:r>
      <w:r w:rsidR="0083100C" w:rsidRPr="00F41191">
        <w:rPr>
          <w:b/>
          <w:i/>
        </w:rPr>
        <w:t xml:space="preserve"> Baseline Utility Parameters</w:t>
      </w:r>
    </w:p>
    <w:p w:rsidR="0083100C" w:rsidRPr="004035E1" w:rsidRDefault="00F97302" w:rsidP="003B1FFA">
      <w:pPr>
        <w:autoSpaceDE w:val="0"/>
        <w:autoSpaceDN w:val="0"/>
        <w:adjustRightInd w:val="0"/>
        <w:spacing w:line="276" w:lineRule="auto"/>
        <w:jc w:val="both"/>
      </w:pPr>
      <w:r w:rsidRPr="004035E1">
        <w:rPr>
          <w:iCs/>
        </w:rPr>
        <w:t xml:space="preserve">The parameter estimates in </w:t>
      </w:r>
      <w:r w:rsidR="00E11D72">
        <w:rPr>
          <w:iCs/>
        </w:rPr>
        <w:t xml:space="preserve">the top row panel of </w:t>
      </w:r>
      <w:r w:rsidRPr="004035E1">
        <w:rPr>
          <w:iCs/>
        </w:rPr>
        <w:t xml:space="preserve">Table </w:t>
      </w:r>
      <w:r w:rsidR="00514E8B">
        <w:rPr>
          <w:iCs/>
        </w:rPr>
        <w:t>3</w:t>
      </w:r>
      <w:r w:rsidRPr="004035E1">
        <w:rPr>
          <w:iCs/>
        </w:rPr>
        <w:t xml:space="preserve"> relate to the impact of variables on the logarithm of the baseline preference. As expected, </w:t>
      </w:r>
      <w:r w:rsidR="0083100C" w:rsidRPr="004035E1">
        <w:t xml:space="preserve">the effect of </w:t>
      </w:r>
      <w:r w:rsidRPr="004035E1">
        <w:t xml:space="preserve">the destination </w:t>
      </w:r>
      <w:r w:rsidR="0083100C" w:rsidRPr="004035E1">
        <w:t xml:space="preserve">size </w:t>
      </w:r>
      <w:r w:rsidRPr="004035E1">
        <w:t>variable</w:t>
      </w:r>
      <w:r w:rsidR="0083100C" w:rsidRPr="004035E1">
        <w:t xml:space="preserve"> in the baseline utility function is positive and less than one, indicating the inelastic </w:t>
      </w:r>
      <w:r w:rsidR="00ED4762" w:rsidRPr="004035E1">
        <w:t xml:space="preserve">and positive </w:t>
      </w:r>
      <w:r w:rsidR="0083100C" w:rsidRPr="004035E1">
        <w:t xml:space="preserve">effect of </w:t>
      </w:r>
      <w:r w:rsidRPr="004035E1">
        <w:t xml:space="preserve">area </w:t>
      </w:r>
      <w:r w:rsidR="0083100C" w:rsidRPr="004035E1">
        <w:t>size on the baseline utility</w:t>
      </w:r>
      <w:r w:rsidR="004A1D15">
        <w:t>.</w:t>
      </w:r>
    </w:p>
    <w:p w:rsidR="005043EA" w:rsidRPr="004035E1" w:rsidRDefault="0083100C" w:rsidP="004035E1">
      <w:pPr>
        <w:spacing w:line="276" w:lineRule="auto"/>
        <w:ind w:firstLine="720"/>
        <w:jc w:val="both"/>
      </w:pPr>
      <w:r w:rsidRPr="004035E1">
        <w:t xml:space="preserve">The land cover accessibility measures </w:t>
      </w:r>
      <w:r w:rsidR="00495210" w:rsidRPr="004035E1">
        <w:t xml:space="preserve">suggest that </w:t>
      </w:r>
      <w:r w:rsidRPr="004035E1">
        <w:t xml:space="preserve">regions with high </w:t>
      </w:r>
      <w:r w:rsidR="00495210" w:rsidRPr="004035E1">
        <w:t xml:space="preserve">wetland </w:t>
      </w:r>
      <w:r w:rsidRPr="004035E1">
        <w:t xml:space="preserve">land cover </w:t>
      </w:r>
      <w:r w:rsidR="00495210" w:rsidRPr="004035E1">
        <w:t xml:space="preserve">tend to </w:t>
      </w:r>
      <w:r w:rsidRPr="004035E1">
        <w:t>“pull” leisure trips</w:t>
      </w:r>
      <w:r w:rsidR="00495210" w:rsidRPr="004035E1">
        <w:t xml:space="preserve">, while there is an opposite effect for regions with high urban and forest cover. </w:t>
      </w:r>
      <w:r w:rsidR="00CF7DA1" w:rsidRPr="004035E1">
        <w:t xml:space="preserve">Wetland areas are likely associated with nature tourism, with </w:t>
      </w:r>
      <w:r w:rsidR="009953E6" w:rsidRPr="004035E1">
        <w:t xml:space="preserve">the opportunity for </w:t>
      </w:r>
      <w:r w:rsidR="00CF7DA1" w:rsidRPr="004035E1">
        <w:t xml:space="preserve">activities </w:t>
      </w:r>
      <w:r w:rsidR="00514E8B">
        <w:t xml:space="preserve">such </w:t>
      </w:r>
      <w:r w:rsidR="00CF7DA1" w:rsidRPr="004035E1">
        <w:t xml:space="preserve">as fishing and hunting, </w:t>
      </w:r>
      <w:r w:rsidR="00AF6358" w:rsidRPr="004035E1">
        <w:t xml:space="preserve">and enjoying the flora and fauna associated with such wetlands (for example, </w:t>
      </w:r>
      <w:r w:rsidR="00CF7DA1" w:rsidRPr="004035E1">
        <w:t>bird-watching</w:t>
      </w:r>
      <w:r w:rsidR="00AF6358" w:rsidRPr="004035E1">
        <w:t>,</w:t>
      </w:r>
      <w:r w:rsidR="00CF7DA1" w:rsidRPr="004035E1">
        <w:t xml:space="preserve"> as </w:t>
      </w:r>
      <w:r w:rsidR="00E33AB4" w:rsidRPr="004035E1">
        <w:t xml:space="preserve">the bays and estuaries typically associated with </w:t>
      </w:r>
      <w:r w:rsidR="00CF7DA1" w:rsidRPr="004035E1">
        <w:t xml:space="preserve">wetlands </w:t>
      </w:r>
      <w:r w:rsidR="00057284" w:rsidRPr="004035E1">
        <w:t xml:space="preserve">also serve as seabird colonies and </w:t>
      </w:r>
      <w:r w:rsidR="00CF7DA1" w:rsidRPr="004035E1">
        <w:t xml:space="preserve">can </w:t>
      </w:r>
      <w:r w:rsidR="00057284" w:rsidRPr="004035E1">
        <w:t xml:space="preserve">also </w:t>
      </w:r>
      <w:r w:rsidR="00CF7DA1" w:rsidRPr="004035E1">
        <w:t>be transit points for migrating birds</w:t>
      </w:r>
      <w:r w:rsidR="00AF6358" w:rsidRPr="004035E1">
        <w:t xml:space="preserve">). On the other hand, urban areas, typically dominated by commercial and industrial areas, urban dumps, and housing and transportation-related land cover may not be the most appealing for leisure trips taken away from home. </w:t>
      </w:r>
      <w:r w:rsidR="0053642E" w:rsidRPr="004035E1">
        <w:t>Similarly, forest land cover</w:t>
      </w:r>
      <w:r w:rsidR="00E33AB4" w:rsidRPr="004035E1">
        <w:t xml:space="preserve"> with pine forests and deciduous hardwoods</w:t>
      </w:r>
      <w:r w:rsidR="0053642E" w:rsidRPr="004035E1">
        <w:t xml:space="preserve">, while useful for preserving vegetation and aiding in tempering climate change concerns, may not provide much opportunity for leisure activity.  </w:t>
      </w:r>
      <w:r w:rsidR="00057284" w:rsidRPr="004035E1">
        <w:t>A</w:t>
      </w:r>
      <w:r w:rsidRPr="004035E1">
        <w:t xml:space="preserve">gricultural land-cover accessibility </w:t>
      </w:r>
      <w:r w:rsidR="00057284" w:rsidRPr="004035E1">
        <w:t xml:space="preserve">also impacts destination visitation preference, though only for those with low incomes. </w:t>
      </w:r>
      <w:r w:rsidR="005043EA" w:rsidRPr="004035E1">
        <w:t xml:space="preserve">This is perhaps a reflection of a conscious effort to narrow down destination possibilities to those that have little uncertainty in terms of pleasure value as well as financial investment, such as </w:t>
      </w:r>
      <w:r w:rsidRPr="004035E1">
        <w:t>visiting vineyards for a relaxed wine-tasting escapade</w:t>
      </w:r>
      <w:r w:rsidR="005043EA" w:rsidRPr="004035E1">
        <w:t xml:space="preserve">. </w:t>
      </w:r>
    </w:p>
    <w:p w:rsidR="003B1FFA" w:rsidRDefault="0083100C" w:rsidP="004035E1">
      <w:pPr>
        <w:spacing w:line="276" w:lineRule="auto"/>
        <w:ind w:firstLine="720"/>
        <w:jc w:val="both"/>
      </w:pPr>
      <w:r w:rsidRPr="004035E1">
        <w:t>The</w:t>
      </w:r>
      <w:r w:rsidR="00ED4762" w:rsidRPr="004035E1">
        <w:t xml:space="preserve"> </w:t>
      </w:r>
      <w:r w:rsidRPr="004035E1">
        <w:t xml:space="preserve">land-cover diversity index </w:t>
      </w:r>
      <w:r w:rsidR="00ED4762" w:rsidRPr="004035E1">
        <w:t xml:space="preserve">effect </w:t>
      </w:r>
      <w:r w:rsidRPr="004035E1">
        <w:t>on the baseline function indicate</w:t>
      </w:r>
      <w:r w:rsidR="00ED4762" w:rsidRPr="004035E1">
        <w:t>s</w:t>
      </w:r>
      <w:r w:rsidRPr="004035E1">
        <w:t xml:space="preserve"> </w:t>
      </w:r>
      <w:r w:rsidR="00ED4762" w:rsidRPr="004035E1">
        <w:t xml:space="preserve">a generally high preference for visitation to regions with a good diversity of activities for all individuals, as also clearly evidenced in the substantial “pull” of leisure trips to Auckland in the descriptive statistics. This “pull” is tempered for those with low incomes </w:t>
      </w:r>
      <w:r w:rsidR="00CA49D3" w:rsidRPr="004035E1">
        <w:t>(</w:t>
      </w:r>
      <w:r w:rsidR="00514E8B">
        <w:t xml:space="preserve">annual </w:t>
      </w:r>
      <w:r w:rsidR="00CA49D3" w:rsidRPr="004035E1">
        <w:t xml:space="preserve">household income less than </w:t>
      </w:r>
      <w:r w:rsidR="00514E8B">
        <w:t>NZ $50,000)</w:t>
      </w:r>
      <w:r w:rsidR="003B1FFA">
        <w:t>, indicating that high</w:t>
      </w:r>
      <w:r w:rsidR="00D45C17">
        <w:t>er</w:t>
      </w:r>
      <w:r w:rsidR="003B1FFA">
        <w:t xml:space="preserve"> </w:t>
      </w:r>
      <w:r w:rsidR="00ED4762" w:rsidRPr="004035E1">
        <w:t>income individuals</w:t>
      </w:r>
      <w:r w:rsidR="003B1FFA">
        <w:t xml:space="preserve">, in part because of their financial ability to pursue multiple activities, </w:t>
      </w:r>
      <w:r w:rsidR="00D45C17">
        <w:t>appear</w:t>
      </w:r>
      <w:r w:rsidRPr="004035E1">
        <w:t xml:space="preserve"> </w:t>
      </w:r>
      <w:r w:rsidR="00D45C17">
        <w:t xml:space="preserve">to be more </w:t>
      </w:r>
      <w:r w:rsidR="003B1FFA">
        <w:t xml:space="preserve">predisposed </w:t>
      </w:r>
      <w:r w:rsidR="00D45C17">
        <w:t xml:space="preserve">than their lower income peers </w:t>
      </w:r>
      <w:r w:rsidR="003B1FFA">
        <w:t>to visit regions with a high diversity mix of activities.</w:t>
      </w:r>
    </w:p>
    <w:p w:rsidR="00E06B8F" w:rsidRPr="004035E1" w:rsidRDefault="00E06B8F" w:rsidP="004035E1">
      <w:pPr>
        <w:spacing w:line="276" w:lineRule="auto"/>
        <w:ind w:firstLine="720"/>
        <w:jc w:val="both"/>
      </w:pPr>
      <w:r w:rsidRPr="004035E1">
        <w:lastRenderedPageBreak/>
        <w:t xml:space="preserve">The </w:t>
      </w:r>
      <w:r w:rsidR="00CF0C27" w:rsidRPr="004035E1">
        <w:rPr>
          <w:position w:val="-6"/>
        </w:rPr>
        <w:object w:dxaOrig="240" w:dyaOrig="220" w14:anchorId="65719951">
          <v:shape id="_x0000_i1275" type="#_x0000_t75" style="width:12pt;height:10.7pt" o:ole="" o:preferrelative="f">
            <v:imagedata r:id="rId480" o:title=""/>
            <o:lock v:ext="edit" aspectratio="f"/>
          </v:shape>
          <o:OLEObject Type="Embed" ProgID="Equation.DSMT4" ShapeID="_x0000_i1275" DrawAspect="Content" ObjectID="_1722174421" r:id="rId481"/>
        </w:object>
      </w:r>
      <w:r w:rsidRPr="004035E1">
        <w:t xml:space="preserve"> coefficient is effectively the negative of the inverse coefficient on the logarithm of price in the baseline utility preference (see Equation (</w:t>
      </w:r>
      <w:r w:rsidR="00514E8B">
        <w:t>2</w:t>
      </w:r>
      <w:r w:rsidRPr="004035E1">
        <w:t xml:space="preserve">)). </w:t>
      </w:r>
      <w:r w:rsidR="000A4271" w:rsidRPr="004035E1">
        <w:t xml:space="preserve">This value is estimated as </w:t>
      </w:r>
      <w:r w:rsidR="004C2992">
        <w:t>2</w:t>
      </w:r>
      <w:r w:rsidR="000A4271" w:rsidRPr="004035E1">
        <w:t>.</w:t>
      </w:r>
      <w:r w:rsidR="004C2992">
        <w:t>667</w:t>
      </w:r>
      <w:r w:rsidR="000A4271" w:rsidRPr="004035E1">
        <w:t xml:space="preserve"> in the proposed linked model</w:t>
      </w:r>
      <w:r w:rsidR="00514E8B">
        <w:t>,</w:t>
      </w:r>
      <w:r w:rsidR="00E3580E" w:rsidRPr="004035E1">
        <w:t xml:space="preserve"> </w:t>
      </w:r>
      <w:r w:rsidR="000A4271" w:rsidRPr="004035E1">
        <w:t>with the effective ln(price) coefficient</w:t>
      </w:r>
      <w:r w:rsidR="00E11D72">
        <w:t xml:space="preserve"> </w:t>
      </w:r>
      <w:r w:rsidR="00DB4E7C" w:rsidRPr="00E11D72">
        <w:rPr>
          <w:position w:val="-10"/>
        </w:rPr>
        <w:object w:dxaOrig="800" w:dyaOrig="320" w14:anchorId="5213A5F8">
          <v:shape id="_x0000_i1276" type="#_x0000_t75" style="width:39.45pt;height:15.85pt" o:ole="" o:preferrelative="f">
            <v:imagedata r:id="rId482" o:title=""/>
            <o:lock v:ext="edit" aspectratio="f"/>
          </v:shape>
          <o:OLEObject Type="Embed" ProgID="Equation.DSMT4" ShapeID="_x0000_i1276" DrawAspect="Content" ObjectID="_1722174422" r:id="rId483"/>
        </w:object>
      </w:r>
      <w:r w:rsidR="000A4271" w:rsidRPr="004035E1">
        <w:t xml:space="preserve"> being </w:t>
      </w:r>
      <w:r w:rsidR="00CF0C27">
        <w:t>–</w:t>
      </w:r>
      <w:r w:rsidR="000A4271" w:rsidRPr="004035E1">
        <w:t>0.3</w:t>
      </w:r>
      <w:r w:rsidR="00FA5F70">
        <w:t>75</w:t>
      </w:r>
      <w:r w:rsidR="000A4271" w:rsidRPr="004035E1">
        <w:t xml:space="preserve"> (with a t-stat of </w:t>
      </w:r>
      <w:r w:rsidR="00CF0C27">
        <w:t>–</w:t>
      </w:r>
      <w:r w:rsidR="002C1D65" w:rsidRPr="004035E1">
        <w:t>1</w:t>
      </w:r>
      <w:r w:rsidR="004C2992">
        <w:t>8.65</w:t>
      </w:r>
      <w:r w:rsidR="000A4271" w:rsidRPr="004035E1">
        <w:t xml:space="preserve"> against a test of zer</w:t>
      </w:r>
      <w:r w:rsidR="00E3580E" w:rsidRPr="004035E1">
        <w:t>o</w:t>
      </w:r>
      <w:r w:rsidR="000A4271" w:rsidRPr="004035E1">
        <w:t xml:space="preserve">). </w:t>
      </w:r>
      <w:r w:rsidR="00D01170" w:rsidRPr="004035E1">
        <w:t xml:space="preserve">In the unlinked model, this value is estimated as 1.854, implying an effective ln(price) coefficient of </w:t>
      </w:r>
      <w:r w:rsidR="00CF0C27">
        <w:t>–</w:t>
      </w:r>
      <w:r w:rsidR="00D01170" w:rsidRPr="004035E1">
        <w:t xml:space="preserve">0.539 (with a t-statistic of </w:t>
      </w:r>
      <w:r w:rsidR="00CF0C27">
        <w:t>–</w:t>
      </w:r>
      <w:r w:rsidR="00D01170" w:rsidRPr="004035E1">
        <w:t xml:space="preserve">14.98 against a test of zero). </w:t>
      </w:r>
      <w:r w:rsidR="000A4271" w:rsidRPr="004035E1">
        <w:t>As expected, destinations that incur a high travel cost are less likely to be patronized</w:t>
      </w:r>
      <w:r w:rsidR="00D01170" w:rsidRPr="004035E1">
        <w:t xml:space="preserve"> in both the unlinked and linked models, though our proposed model indicates a much more tempered effect of cost on destination region choice relative to the unlinked model</w:t>
      </w:r>
      <w:r w:rsidR="00EA19C6">
        <w:t xml:space="preserve"> (we are able to compare these two coefficients directly because the MDCEV model structure is the same in both the unlinked and linked models, with the error scale being normalized to one). </w:t>
      </w:r>
      <w:r w:rsidR="00035397">
        <w:t xml:space="preserve">Of course, the linked model also impacts the total count of trips through an income effect, which can then have an added effect on the consumption of other </w:t>
      </w:r>
      <w:r w:rsidR="00D45C17">
        <w:t xml:space="preserve">inside </w:t>
      </w:r>
      <w:r w:rsidR="00035397">
        <w:t xml:space="preserve">alternatives because of a price change in one alternative (see discussion in Section 3.2.4).  </w:t>
      </w:r>
    </w:p>
    <w:p w:rsidR="0083100C" w:rsidRPr="004035E1" w:rsidRDefault="0083100C" w:rsidP="004035E1">
      <w:pPr>
        <w:spacing w:line="276" w:lineRule="auto"/>
        <w:ind w:firstLine="720"/>
        <w:jc w:val="both"/>
      </w:pPr>
    </w:p>
    <w:p w:rsidR="0083100C" w:rsidRPr="00F41191" w:rsidRDefault="00516C13" w:rsidP="004035E1">
      <w:pPr>
        <w:spacing w:line="276" w:lineRule="auto"/>
        <w:jc w:val="both"/>
        <w:rPr>
          <w:b/>
          <w:i/>
        </w:rPr>
      </w:pPr>
      <w:r w:rsidRPr="00F41191">
        <w:rPr>
          <w:b/>
          <w:i/>
        </w:rPr>
        <w:t>3.2.2</w:t>
      </w:r>
      <w:r w:rsidR="00F41191" w:rsidRPr="00F41191">
        <w:rPr>
          <w:b/>
          <w:i/>
        </w:rPr>
        <w:t>.</w:t>
      </w:r>
      <w:r w:rsidR="0083100C" w:rsidRPr="00F41191">
        <w:rPr>
          <w:b/>
          <w:i/>
        </w:rPr>
        <w:t xml:space="preserve"> Satiation Effects</w:t>
      </w:r>
    </w:p>
    <w:p w:rsidR="0083100C" w:rsidRPr="004035E1" w:rsidRDefault="0083100C" w:rsidP="004035E1">
      <w:pPr>
        <w:spacing w:line="276" w:lineRule="auto"/>
        <w:jc w:val="both"/>
      </w:pPr>
      <w:r w:rsidRPr="004035E1">
        <w:t>These effects are presented</w:t>
      </w:r>
      <w:r w:rsidR="00E11D72">
        <w:t xml:space="preserve"> in </w:t>
      </w:r>
      <w:r w:rsidRPr="004035E1">
        <w:t xml:space="preserve">the bottom panel of Table </w:t>
      </w:r>
      <w:r w:rsidR="00492833">
        <w:t>3</w:t>
      </w:r>
      <w:r w:rsidRPr="004035E1">
        <w:t>. As indicated earlier, the satiation parameter is parameterized as</w:t>
      </w:r>
      <w:r w:rsidR="00F41191">
        <w:t xml:space="preserve"> </w:t>
      </w:r>
      <w:r w:rsidR="00F41191" w:rsidRPr="00F41191">
        <w:rPr>
          <w:position w:val="-12"/>
        </w:rPr>
        <w:object w:dxaOrig="279" w:dyaOrig="360" w14:anchorId="56D30A5C">
          <v:shape id="_x0000_i1277" type="#_x0000_t75" style="width:13.7pt;height:18pt" o:ole="">
            <v:imagedata r:id="rId484" o:title=""/>
          </v:shape>
          <o:OLEObject Type="Embed" ProgID="Equation.DSMT4" ShapeID="_x0000_i1277" DrawAspect="Content" ObjectID="_1722174423" r:id="rId485"/>
        </w:object>
      </w:r>
      <w:r w:rsidR="00C70907" w:rsidRPr="004035E1">
        <w:t>=</w:t>
      </w:r>
      <w:r w:rsidR="00CF0C27" w:rsidRPr="004035E1">
        <w:rPr>
          <w:position w:val="-12"/>
        </w:rPr>
        <w:object w:dxaOrig="1040" w:dyaOrig="360" w14:anchorId="79416181">
          <v:shape id="_x0000_i1278" type="#_x0000_t75" style="width:51.45pt;height:18pt" o:ole="">
            <v:imagedata r:id="rId472" o:title=""/>
          </v:shape>
          <o:OLEObject Type="Embed" ProgID="Equation.DSMT4" ShapeID="_x0000_i1278" DrawAspect="Content" ObjectID="_1722174424" r:id="rId486"/>
        </w:object>
      </w:r>
      <w:r w:rsidRPr="004035E1">
        <w:t xml:space="preserve">, and the satiation coefficients in Table </w:t>
      </w:r>
      <w:r w:rsidR="00492833">
        <w:t>3</w:t>
      </w:r>
      <w:r w:rsidRPr="004035E1">
        <w:t xml:space="preserve"> are the </w:t>
      </w:r>
      <w:r w:rsidR="00C70907" w:rsidRPr="004035E1">
        <w:rPr>
          <w:position w:val="-12"/>
        </w:rPr>
        <w:object w:dxaOrig="279" w:dyaOrig="360" w14:anchorId="5C469C41">
          <v:shape id="_x0000_i1279" type="#_x0000_t75" style="width:13.7pt;height:18pt" o:ole="">
            <v:imagedata r:id="rId487" o:title=""/>
          </v:shape>
          <o:OLEObject Type="Embed" ProgID="Equation.DSMT4" ShapeID="_x0000_i1279" DrawAspect="Content" ObjectID="_1722174425" r:id="rId488"/>
        </w:object>
      </w:r>
      <w:r w:rsidRPr="004035E1">
        <w:t xml:space="preserve"> parameters. A positive parameter on a variable implies that an increase in the variable has the effect of increasing the </w:t>
      </w:r>
      <w:r w:rsidR="00F41191" w:rsidRPr="00F41191">
        <w:rPr>
          <w:position w:val="-12"/>
        </w:rPr>
        <w:object w:dxaOrig="279" w:dyaOrig="360" w14:anchorId="1BE55656">
          <v:shape id="_x0000_i1280" type="#_x0000_t75" style="width:13.7pt;height:18pt" o:ole="">
            <v:imagedata r:id="rId484" o:title=""/>
          </v:shape>
          <o:OLEObject Type="Embed" ProgID="Equation.DSMT4" ShapeID="_x0000_i1280" DrawAspect="Content" ObjectID="_1722174426" r:id="rId489"/>
        </w:object>
      </w:r>
      <w:r w:rsidRPr="004035E1">
        <w:t xml:space="preserve"> parameter and decreasing satiation (that is, increasing repeat trips of the individual to a destination region), while a negative parameter has the effect of decreasing the </w:t>
      </w:r>
      <w:r w:rsidR="00F41191" w:rsidRPr="00F41191">
        <w:rPr>
          <w:position w:val="-12"/>
        </w:rPr>
        <w:object w:dxaOrig="279" w:dyaOrig="360" w14:anchorId="482DEA39">
          <v:shape id="_x0000_i1281" type="#_x0000_t75" style="width:13.7pt;height:18pt" o:ole="">
            <v:imagedata r:id="rId484" o:title=""/>
          </v:shape>
          <o:OLEObject Type="Embed" ProgID="Equation.DSMT4" ShapeID="_x0000_i1281" DrawAspect="Content" ObjectID="_1722174427" r:id="rId490"/>
        </w:object>
      </w:r>
      <w:r w:rsidR="00F41191">
        <w:t xml:space="preserve"> </w:t>
      </w:r>
      <w:r w:rsidRPr="004035E1">
        <w:t xml:space="preserve">parameter and increasing satiation (that is, decreasing repeat trips of the same individual to a destination region). </w:t>
      </w:r>
    </w:p>
    <w:p w:rsidR="0083100C" w:rsidRPr="008661A9" w:rsidRDefault="0083100C" w:rsidP="008661A9">
      <w:pPr>
        <w:autoSpaceDE w:val="0"/>
        <w:autoSpaceDN w:val="0"/>
        <w:adjustRightInd w:val="0"/>
        <w:spacing w:line="276" w:lineRule="auto"/>
        <w:ind w:firstLine="720"/>
        <w:jc w:val="both"/>
        <w:rPr>
          <w:rFonts w:ascii="URWPalladioL-Roma" w:hAnsi="URWPalladioL-Roma" w:cs="URWPalladioL-Roma"/>
          <w:sz w:val="20"/>
          <w:szCs w:val="20"/>
        </w:rPr>
      </w:pPr>
      <w:r w:rsidRPr="004035E1">
        <w:t xml:space="preserve">The wetland land-cover accessibility measure has a </w:t>
      </w:r>
      <w:r w:rsidR="004C2992">
        <w:t>positive</w:t>
      </w:r>
      <w:r w:rsidRPr="004035E1">
        <w:t xml:space="preserve"> effect</w:t>
      </w:r>
      <w:r w:rsidR="00C70907" w:rsidRPr="004035E1">
        <w:t xml:space="preserve"> on the satiation parameter</w:t>
      </w:r>
      <w:r w:rsidRPr="004035E1">
        <w:t xml:space="preserve">, </w:t>
      </w:r>
      <w:r w:rsidRPr="00CF0C27">
        <w:t>i.e.,</w:t>
      </w:r>
      <w:r w:rsidRPr="004035E1">
        <w:t xml:space="preserve"> destinations with higher wetland land cover</w:t>
      </w:r>
      <w:r w:rsidR="004C2992">
        <w:t xml:space="preserve"> not only </w:t>
      </w:r>
      <w:r w:rsidR="00C70907" w:rsidRPr="004035E1">
        <w:t>spur a visit to the destination,</w:t>
      </w:r>
      <w:r w:rsidRPr="004035E1">
        <w:t xml:space="preserve"> </w:t>
      </w:r>
      <w:r w:rsidR="004C2992">
        <w:t xml:space="preserve">but </w:t>
      </w:r>
      <w:r w:rsidR="00C70907" w:rsidRPr="004035E1">
        <w:t xml:space="preserve">also </w:t>
      </w:r>
      <w:r w:rsidRPr="004035E1">
        <w:t xml:space="preserve">lead to </w:t>
      </w:r>
      <w:r w:rsidR="004C2992">
        <w:t xml:space="preserve">more </w:t>
      </w:r>
      <w:r w:rsidRPr="004035E1">
        <w:t xml:space="preserve">repeat visits to such regions. </w:t>
      </w:r>
      <w:r w:rsidR="003C33DD">
        <w:t>This i</w:t>
      </w:r>
      <w:r w:rsidR="00DE27B2">
        <w:t xml:space="preserve">ndicates </w:t>
      </w:r>
      <w:r w:rsidR="003C33DD">
        <w:t xml:space="preserve">that leisure travelers interested in nature tourism appear to place a high priority for </w:t>
      </w:r>
      <w:r w:rsidR="00DE27B2">
        <w:t xml:space="preserve">repeat </w:t>
      </w:r>
      <w:r w:rsidR="003C33DD">
        <w:t>travel</w:t>
      </w:r>
      <w:r w:rsidR="00DE27B2">
        <w:t xml:space="preserve">, suggesting the strong draw </w:t>
      </w:r>
      <w:r w:rsidR="00FD5BC7">
        <w:t>for</w:t>
      </w:r>
      <w:r w:rsidR="00DE27B2">
        <w:t xml:space="preserve"> </w:t>
      </w:r>
      <w:r w:rsidR="00FD5BC7">
        <w:t xml:space="preserve">some </w:t>
      </w:r>
      <w:r w:rsidR="00DE27B2">
        <w:t xml:space="preserve">peaceful connection </w:t>
      </w:r>
      <w:r w:rsidR="00FD5BC7">
        <w:t xml:space="preserve">time </w:t>
      </w:r>
      <w:r w:rsidR="00DE27B2">
        <w:t xml:space="preserve">with nature. </w:t>
      </w:r>
      <w:r w:rsidR="00E93FF1" w:rsidRPr="004035E1">
        <w:t>R</w:t>
      </w:r>
      <w:r w:rsidR="00CA49D3" w:rsidRPr="004035E1">
        <w:t xml:space="preserve">egions with a high </w:t>
      </w:r>
      <w:r w:rsidR="00E93FF1" w:rsidRPr="004035E1">
        <w:t xml:space="preserve">land cover </w:t>
      </w:r>
      <w:r w:rsidR="00CA49D3" w:rsidRPr="004035E1">
        <w:t>diversity index</w:t>
      </w:r>
      <w:r w:rsidR="004C2992">
        <w:t>, on the other hand,</w:t>
      </w:r>
      <w:r w:rsidR="00E93FF1" w:rsidRPr="004035E1">
        <w:t xml:space="preserve"> </w:t>
      </w:r>
      <w:r w:rsidR="005C675D" w:rsidRPr="004035E1">
        <w:t>generally</w:t>
      </w:r>
      <w:r w:rsidR="00E93FF1" w:rsidRPr="004035E1">
        <w:t xml:space="preserve"> draw less repeat visits than those with a low land cover diversity index, particularly so for single adults, high income individuals, and adults </w:t>
      </w:r>
      <w:r w:rsidR="00492833">
        <w:t xml:space="preserve">younger than 48 years of age </w:t>
      </w:r>
      <w:r w:rsidR="00E93FF1" w:rsidRPr="004035E1">
        <w:t>(relative to non-single adults, low income individuals, and adults 48 years of age</w:t>
      </w:r>
      <w:r w:rsidR="00492833">
        <w:t xml:space="preserve"> o</w:t>
      </w:r>
      <w:r w:rsidR="00D45C17">
        <w:t>r</w:t>
      </w:r>
      <w:r w:rsidR="00492833">
        <w:t xml:space="preserve"> older</w:t>
      </w:r>
      <w:r w:rsidR="000A3BD3">
        <w:t>, respectively</w:t>
      </w:r>
      <w:r w:rsidR="00096759" w:rsidRPr="004035E1">
        <w:t>).</w:t>
      </w:r>
      <w:r w:rsidR="00096759" w:rsidRPr="004035E1">
        <w:rPr>
          <w:rStyle w:val="FootnoteReference"/>
        </w:rPr>
        <w:footnoteReference w:id="14"/>
      </w:r>
      <w:r w:rsidR="00E93FF1" w:rsidRPr="004035E1">
        <w:t xml:space="preserve"> </w:t>
      </w:r>
      <w:r w:rsidR="005C675D" w:rsidRPr="004035E1">
        <w:t>The only segment of the population</w:t>
      </w:r>
      <w:r w:rsidR="005D45C3">
        <w:t xml:space="preserve"> in which </w:t>
      </w:r>
      <w:r w:rsidR="005C675D" w:rsidRPr="004035E1">
        <w:t>there is a slight increase in repeat</w:t>
      </w:r>
      <w:r w:rsidR="005D45C3">
        <w:t>-</w:t>
      </w:r>
      <w:r w:rsidR="005C675D" w:rsidRPr="004035E1">
        <w:t>visit tendency to destinations with a high land cover diversity is non-single, low income individuals</w:t>
      </w:r>
      <w:r w:rsidR="00745739">
        <w:t xml:space="preserve"> 48 years of age or older</w:t>
      </w:r>
      <w:r w:rsidR="005C675D" w:rsidRPr="004035E1">
        <w:t xml:space="preserve">. Overall, it appears that individuals prefer a first visit to a new destination that has a good </w:t>
      </w:r>
      <w:r w:rsidR="005C675D" w:rsidRPr="004035E1">
        <w:lastRenderedPageBreak/>
        <w:t>diversity of activities, but then tune in to specific activities</w:t>
      </w:r>
      <w:r w:rsidR="00137785" w:rsidRPr="004035E1">
        <w:t xml:space="preserve"> in repeat visits</w:t>
      </w:r>
      <w:r w:rsidR="00DE27B2">
        <w:t>, and this is particularly so for nature-connecting activities</w:t>
      </w:r>
      <w:r w:rsidR="00137785" w:rsidRPr="004035E1">
        <w:t xml:space="preserve">. In this sense, </w:t>
      </w:r>
      <w:r w:rsidR="005C675D" w:rsidRPr="004035E1">
        <w:t xml:space="preserve">diversity of activities at a destination may actually hamper repeat visits </w:t>
      </w:r>
      <w:r w:rsidR="00137785" w:rsidRPr="004035E1">
        <w:t xml:space="preserve">if that </w:t>
      </w:r>
      <w:r w:rsidR="005C675D" w:rsidRPr="004035E1">
        <w:t>destination</w:t>
      </w:r>
      <w:r w:rsidR="00137785" w:rsidRPr="004035E1">
        <w:t xml:space="preserve"> has already been visited once</w:t>
      </w:r>
      <w:r w:rsidR="005C675D" w:rsidRPr="004035E1">
        <w:t xml:space="preserve">. </w:t>
      </w:r>
      <w:r w:rsidR="008661A9">
        <w:t>This is consistent with the results from Lawson et al. (2021) in their analysis of the motivating factors for domestic tourist travel to destinations in New Zealand</w:t>
      </w:r>
      <w:r w:rsidR="003B1FFA">
        <w:t xml:space="preserve">. These authors </w:t>
      </w:r>
      <w:r w:rsidR="008661A9">
        <w:t>found that “discovery and experiencing a place” (which is likely to be associated with diversity of activities) was important in early visits to a destination, but faded in importance relative to specific activity pursuits (such as outdoor exercise) in later visits. From a marketing strategy perspective, t</w:t>
      </w:r>
      <w:r w:rsidR="00492833">
        <w:t>his suggests that</w:t>
      </w:r>
      <w:r w:rsidR="00095FD3">
        <w:t xml:space="preserve">, if regions are able to collect </w:t>
      </w:r>
      <w:r w:rsidR="008661A9">
        <w:t xml:space="preserve">an inventory </w:t>
      </w:r>
      <w:r w:rsidR="00095FD3">
        <w:t>of visitors</w:t>
      </w:r>
      <w:r w:rsidR="008661A9">
        <w:t xml:space="preserve"> with contact information</w:t>
      </w:r>
      <w:r w:rsidR="00095FD3">
        <w:t>,</w:t>
      </w:r>
      <w:r w:rsidR="00492833">
        <w:t xml:space="preserve"> </w:t>
      </w:r>
      <w:r w:rsidR="005D45C3">
        <w:t xml:space="preserve">an effective </w:t>
      </w:r>
      <w:r w:rsidR="00492833">
        <w:t>marketing strateg</w:t>
      </w:r>
      <w:r w:rsidR="005D45C3">
        <w:t xml:space="preserve">y might be to </w:t>
      </w:r>
      <w:r w:rsidR="00492833">
        <w:t xml:space="preserve">emphasize </w:t>
      </w:r>
      <w:r w:rsidR="00095FD3">
        <w:t xml:space="preserve">activities </w:t>
      </w:r>
      <w:r w:rsidR="005D45C3">
        <w:t xml:space="preserve">within each broad leisure category more so than necessarily speak to the diversity of activities. </w:t>
      </w:r>
    </w:p>
    <w:p w:rsidR="00C11801" w:rsidRPr="004035E1" w:rsidRDefault="00137785" w:rsidP="004035E1">
      <w:pPr>
        <w:pStyle w:val="ListParagraph"/>
        <w:spacing w:after="0"/>
        <w:ind w:left="0"/>
        <w:jc w:val="both"/>
        <w:rPr>
          <w:rFonts w:ascii="Times New Roman" w:hAnsi="Times New Roman"/>
          <w:sz w:val="24"/>
          <w:szCs w:val="24"/>
        </w:rPr>
      </w:pPr>
      <w:r w:rsidRPr="004035E1">
        <w:rPr>
          <w:rFonts w:ascii="Times New Roman" w:hAnsi="Times New Roman"/>
          <w:sz w:val="24"/>
          <w:szCs w:val="24"/>
        </w:rPr>
        <w:tab/>
        <w:t xml:space="preserve">The constant coefficient has no substantive interpretation, and simply controls the overall level of satiation for destination visits. </w:t>
      </w:r>
    </w:p>
    <w:p w:rsidR="00137785" w:rsidRPr="004035E1" w:rsidRDefault="00137785" w:rsidP="004035E1">
      <w:pPr>
        <w:pStyle w:val="ListParagraph"/>
        <w:spacing w:after="0"/>
        <w:ind w:left="0"/>
        <w:jc w:val="both"/>
        <w:rPr>
          <w:rFonts w:ascii="Times New Roman" w:hAnsi="Times New Roman"/>
          <w:sz w:val="24"/>
          <w:szCs w:val="24"/>
        </w:rPr>
      </w:pPr>
    </w:p>
    <w:p w:rsidR="00137785" w:rsidRPr="00F41191" w:rsidRDefault="00137785" w:rsidP="004035E1">
      <w:pPr>
        <w:spacing w:line="276" w:lineRule="auto"/>
        <w:jc w:val="both"/>
        <w:rPr>
          <w:b/>
          <w:i/>
        </w:rPr>
      </w:pPr>
      <w:r w:rsidRPr="00F41191">
        <w:rPr>
          <w:b/>
          <w:i/>
        </w:rPr>
        <w:t>3.2.</w:t>
      </w:r>
      <w:r w:rsidR="00516C13" w:rsidRPr="00F41191">
        <w:rPr>
          <w:b/>
          <w:i/>
        </w:rPr>
        <w:t>3</w:t>
      </w:r>
      <w:r w:rsidR="00F41191" w:rsidRPr="00F41191">
        <w:rPr>
          <w:b/>
          <w:i/>
        </w:rPr>
        <w:t>.</w:t>
      </w:r>
      <w:r w:rsidRPr="00F41191">
        <w:rPr>
          <w:b/>
          <w:i/>
        </w:rPr>
        <w:t xml:space="preserve"> Count </w:t>
      </w:r>
      <w:r w:rsidR="00F41191" w:rsidRPr="00F41191">
        <w:rPr>
          <w:b/>
          <w:i/>
        </w:rPr>
        <w:t>D</w:t>
      </w:r>
      <w:r w:rsidRPr="00F41191">
        <w:rPr>
          <w:b/>
          <w:i/>
        </w:rPr>
        <w:t xml:space="preserve">ata </w:t>
      </w:r>
      <w:r w:rsidR="00F41191" w:rsidRPr="00F41191">
        <w:rPr>
          <w:b/>
          <w:i/>
        </w:rPr>
        <w:t>M</w:t>
      </w:r>
      <w:r w:rsidRPr="00F41191">
        <w:rPr>
          <w:b/>
          <w:i/>
        </w:rPr>
        <w:t xml:space="preserve">odel </w:t>
      </w:r>
      <w:r w:rsidR="00F41191" w:rsidRPr="00F41191">
        <w:rPr>
          <w:b/>
          <w:i/>
        </w:rPr>
        <w:t>C</w:t>
      </w:r>
      <w:r w:rsidRPr="00F41191">
        <w:rPr>
          <w:b/>
          <w:i/>
        </w:rPr>
        <w:t>omponent</w:t>
      </w:r>
    </w:p>
    <w:p w:rsidR="000A4271" w:rsidRPr="004035E1" w:rsidRDefault="00A87CF1" w:rsidP="00F41191">
      <w:pPr>
        <w:autoSpaceDE w:val="0"/>
        <w:autoSpaceDN w:val="0"/>
        <w:adjustRightInd w:val="0"/>
        <w:spacing w:line="276" w:lineRule="auto"/>
        <w:jc w:val="both"/>
      </w:pPr>
      <w:r w:rsidRPr="004035E1">
        <w:t>The count model parameters</w:t>
      </w:r>
      <w:r w:rsidR="00026A67">
        <w:t xml:space="preserve"> in Table 4</w:t>
      </w:r>
      <w:r w:rsidRPr="004035E1">
        <w:t xml:space="preserve"> </w:t>
      </w:r>
      <w:r w:rsidR="00E06B8F" w:rsidRPr="004035E1">
        <w:t xml:space="preserve">represent the elements of the threshold-specific vector </w:t>
      </w:r>
      <w:r w:rsidR="00E06B8F" w:rsidRPr="004035E1">
        <w:rPr>
          <w:position w:val="-6"/>
        </w:rPr>
        <w:object w:dxaOrig="200" w:dyaOrig="220" w14:anchorId="247F6367">
          <v:shape id="_x0000_i1282" type="#_x0000_t75" style="width:9.85pt;height:10.7pt" o:ole="">
            <v:imagedata r:id="rId491" o:title=""/>
          </v:shape>
          <o:OLEObject Type="Embed" ProgID="Equation.DSMT4" ShapeID="_x0000_i1282" DrawAspect="Content" ObjectID="_1722174428" r:id="rId492"/>
        </w:object>
      </w:r>
      <w:r w:rsidR="00E11D72">
        <w:t xml:space="preserve"> </w:t>
      </w:r>
      <w:r w:rsidR="00E06B8F" w:rsidRPr="004035E1">
        <w:t>and the</w:t>
      </w:r>
      <w:r w:rsidR="00CF0C27">
        <w:t xml:space="preserve"> </w:t>
      </w:r>
      <w:r w:rsidR="00CF0C27" w:rsidRPr="00CF0C27">
        <w:rPr>
          <w:b/>
        </w:rPr>
        <w:t>μ</w:t>
      </w:r>
      <w:r w:rsidR="00E06B8F" w:rsidRPr="004035E1">
        <w:t xml:space="preserve"> vector that </w:t>
      </w:r>
      <w:r w:rsidRPr="004035E1">
        <w:t>appear</w:t>
      </w:r>
      <w:r w:rsidR="00E06B8F" w:rsidRPr="004035E1">
        <w:t>s</w:t>
      </w:r>
      <w:r w:rsidRPr="004035E1">
        <w:t xml:space="preserve"> in the threshold function</w:t>
      </w:r>
      <w:r w:rsidR="00E06B8F" w:rsidRPr="004035E1">
        <w:t>s of the recast count model (see Equation 1</w:t>
      </w:r>
      <w:r w:rsidR="00F02F89">
        <w:t>9</w:t>
      </w:r>
      <w:r w:rsidR="00E06B8F" w:rsidRPr="004035E1">
        <w:t xml:space="preserve">). </w:t>
      </w:r>
      <w:r w:rsidR="000A4271" w:rsidRPr="004035E1">
        <w:t xml:space="preserve">The first </w:t>
      </w:r>
      <w:r w:rsidR="00D03B14" w:rsidRPr="004035E1">
        <w:t>three</w:t>
      </w:r>
      <w:r w:rsidR="00FD47F6" w:rsidRPr="004035E1">
        <w:t xml:space="preserve"> </w:t>
      </w:r>
      <w:r w:rsidR="00454930" w:rsidRPr="004035E1">
        <w:t>element</w:t>
      </w:r>
      <w:r w:rsidR="00FD47F6" w:rsidRPr="004035E1">
        <w:t>s</w:t>
      </w:r>
      <w:r w:rsidR="00454930" w:rsidRPr="004035E1">
        <w:t xml:space="preserve"> </w:t>
      </w:r>
      <w:r w:rsidR="000A4271" w:rsidRPr="004035E1">
        <w:t>present the threshold-specific constants</w:t>
      </w:r>
      <w:r w:rsidR="004A471C" w:rsidRPr="004035E1">
        <w:rPr>
          <w:position w:val="-12"/>
        </w:rPr>
        <w:object w:dxaOrig="400" w:dyaOrig="360" w14:anchorId="33780D64">
          <v:shape id="_x0000_i1283" type="#_x0000_t75" style="width:20.55pt;height:18pt" o:ole="" o:preferrelative="f">
            <v:imagedata r:id="rId493" o:title=""/>
            <o:lock v:ext="edit" aspectratio="f"/>
          </v:shape>
          <o:OLEObject Type="Embed" ProgID="Equation.3" ShapeID="_x0000_i1283" DrawAspect="Content" ObjectID="_1722174429" r:id="rId494"/>
        </w:object>
      </w:r>
      <w:r w:rsidR="000A4271" w:rsidRPr="004035E1">
        <w:t xml:space="preserve"> values) and the constant in the </w:t>
      </w:r>
      <w:r w:rsidR="00CF0C27" w:rsidRPr="00CF0C27">
        <w:rPr>
          <w:b/>
        </w:rPr>
        <w:t>μ</w:t>
      </w:r>
      <w:r w:rsidR="00CF0C27" w:rsidRPr="004035E1">
        <w:t xml:space="preserve"> </w:t>
      </w:r>
      <w:r w:rsidR="000A4271" w:rsidRPr="004035E1">
        <w:t xml:space="preserve">vector. </w:t>
      </w:r>
      <w:r w:rsidR="00FD47F6" w:rsidRPr="004035E1">
        <w:t>T</w:t>
      </w:r>
      <w:r w:rsidR="000A4271" w:rsidRPr="004035E1">
        <w:t xml:space="preserve">he threshold specific constants </w:t>
      </w:r>
      <w:r w:rsidR="004A471C" w:rsidRPr="004035E1">
        <w:rPr>
          <w:position w:val="-12"/>
        </w:rPr>
        <w:object w:dxaOrig="480" w:dyaOrig="360" w14:anchorId="4FB6057F">
          <v:shape id="_x0000_i1284" type="#_x0000_t75" style="width:24pt;height:18pt" o:ole="" o:preferrelative="f">
            <v:imagedata r:id="rId495" o:title=""/>
            <o:lock v:ext="edit" aspectratio="f"/>
          </v:shape>
          <o:OLEObject Type="Embed" ProgID="Equation.3" ShapeID="_x0000_i1284" DrawAspect="Content" ObjectID="_1722174430" r:id="rId496"/>
        </w:object>
      </w:r>
      <w:r w:rsidR="000A4271" w:rsidRPr="004035E1">
        <w:t xml:space="preserve"> provide flexibility in the count model to accommodate high or low probability masses for specific outcomes. </w:t>
      </w:r>
      <w:r w:rsidR="00FD47F6" w:rsidRPr="004035E1">
        <w:t xml:space="preserve">In the current empirical analysis, the best specification was reached with two threshold specific constants, one for </w:t>
      </w:r>
      <w:r w:rsidR="004A471C" w:rsidRPr="004035E1">
        <w:rPr>
          <w:position w:val="-12"/>
        </w:rPr>
        <w:object w:dxaOrig="300" w:dyaOrig="360" w14:anchorId="14FDBA8C">
          <v:shape id="_x0000_i1285" type="#_x0000_t75" style="width:15pt;height:18pt" o:ole="" o:preferrelative="f">
            <v:imagedata r:id="rId497" o:title=""/>
            <o:lock v:ext="edit" aspectratio="f"/>
          </v:shape>
          <o:OLEObject Type="Embed" ProgID="Equation.DSMT4" ShapeID="_x0000_i1285" DrawAspect="Content" ObjectID="_1722174431" r:id="rId498"/>
        </w:object>
      </w:r>
      <w:r w:rsidR="00FD47F6" w:rsidRPr="004035E1">
        <w:t xml:space="preserve"> (that gets added to the upper bound of the zero count range) and another for </w:t>
      </w:r>
      <w:r w:rsidR="004A471C" w:rsidRPr="004035E1">
        <w:rPr>
          <w:position w:val="-12"/>
        </w:rPr>
        <w:object w:dxaOrig="279" w:dyaOrig="360" w14:anchorId="64EA456E">
          <v:shape id="_x0000_i1286" type="#_x0000_t75" style="width:13.7pt;height:18pt" o:ole="" o:preferrelative="f">
            <v:imagedata r:id="rId499" o:title=""/>
            <o:lock v:ext="edit" aspectratio="f"/>
          </v:shape>
          <o:OLEObject Type="Embed" ProgID="Equation.DSMT4" ShapeID="_x0000_i1286" DrawAspect="Content" ObjectID="_1722174432" r:id="rId500"/>
        </w:object>
      </w:r>
      <w:r w:rsidR="00D03B14" w:rsidRPr="004035E1">
        <w:t xml:space="preserve"> (that gets added to the upper bound of the one count range). The positive values for both of these, and the higher positive value of </w:t>
      </w:r>
      <w:r w:rsidR="004A471C" w:rsidRPr="004035E1">
        <w:rPr>
          <w:position w:val="-12"/>
        </w:rPr>
        <w:object w:dxaOrig="300" w:dyaOrig="360" w14:anchorId="0A766C20">
          <v:shape id="_x0000_i1287" type="#_x0000_t75" style="width:15pt;height:18pt" o:ole="" o:preferrelative="f">
            <v:imagedata r:id="rId497" o:title=""/>
            <o:lock v:ext="edit" aspectratio="f"/>
          </v:shape>
          <o:OLEObject Type="Embed" ProgID="Equation.DSMT4" ShapeID="_x0000_i1287" DrawAspect="Content" ObjectID="_1722174433" r:id="rId501"/>
        </w:object>
      </w:r>
      <w:r w:rsidR="00D03B14" w:rsidRPr="004035E1">
        <w:t xml:space="preserve"> over </w:t>
      </w:r>
      <w:r w:rsidR="004A471C" w:rsidRPr="004035E1">
        <w:rPr>
          <w:position w:val="-12"/>
        </w:rPr>
        <w:object w:dxaOrig="279" w:dyaOrig="360" w14:anchorId="7C1EAEF6">
          <v:shape id="_x0000_i1288" type="#_x0000_t75" style="width:13.7pt;height:18pt" o:ole="" o:preferrelative="f">
            <v:imagedata r:id="rId499" o:title=""/>
            <o:lock v:ext="edit" aspectratio="f"/>
          </v:shape>
          <o:OLEObject Type="Embed" ProgID="Equation.DSMT4" ShapeID="_x0000_i1288" DrawAspect="Content" ObjectID="_1722174434" r:id="rId502"/>
        </w:object>
      </w:r>
      <w:r w:rsidR="00D03B14" w:rsidRPr="004035E1">
        <w:t>, reflect the inflated number of individuals who make zero counts for leisure trips and a less exaggerated, but still inflated number of individuals who make exactly one leisure trip during the four week survey period</w:t>
      </w:r>
      <w:r w:rsidR="005D45C3">
        <w:t xml:space="preserve"> (see Table 1)</w:t>
      </w:r>
      <w:r w:rsidR="00D03B14" w:rsidRPr="004035E1">
        <w:t xml:space="preserve">. The constant in the </w:t>
      </w:r>
      <w:r w:rsidR="00CF0C27" w:rsidRPr="00CF0C27">
        <w:rPr>
          <w:b/>
        </w:rPr>
        <w:t>μ</w:t>
      </w:r>
      <w:r w:rsidR="00D03B14" w:rsidRPr="004035E1">
        <w:t xml:space="preserve"> vector does not have any substantive interpretation, except for </w:t>
      </w:r>
      <w:r w:rsidR="00C51470" w:rsidRPr="004035E1">
        <w:t xml:space="preserve">mapping the latent propensity optimally to the observed counts, given the coefficients on other variables embedded in the threshold function. </w:t>
      </w:r>
    </w:p>
    <w:p w:rsidR="00137785" w:rsidRPr="004035E1" w:rsidRDefault="00137785" w:rsidP="005D45C3">
      <w:pPr>
        <w:spacing w:line="276" w:lineRule="auto"/>
        <w:ind w:firstLine="720"/>
        <w:jc w:val="both"/>
        <w:textAlignment w:val="baseline"/>
      </w:pPr>
      <w:r w:rsidRPr="004035E1">
        <w:t xml:space="preserve">For the </w:t>
      </w:r>
      <w:r w:rsidR="00C51470" w:rsidRPr="004035E1">
        <w:t xml:space="preserve">other variable coefficients in the </w:t>
      </w:r>
      <w:r w:rsidR="00CF0C27" w:rsidRPr="00CF0C27">
        <w:rPr>
          <w:b/>
        </w:rPr>
        <w:t>μ</w:t>
      </w:r>
      <w:r w:rsidR="00C51470" w:rsidRPr="004035E1">
        <w:t xml:space="preserve"> vector</w:t>
      </w:r>
      <w:r w:rsidRPr="004035E1">
        <w:t>, a positive coefficient shifts the threshold toward the left of the propensity scale, which has the effect of reducing the probability of the zero-trip outcome (increasing the overall probability of the non-zero outcome).</w:t>
      </w:r>
      <w:r w:rsidR="00D21860" w:rsidRPr="004035E1">
        <w:rPr>
          <w:rStyle w:val="FootnoteReference"/>
        </w:rPr>
        <w:footnoteReference w:id="15"/>
      </w:r>
      <w:r w:rsidRPr="004035E1">
        <w:t xml:space="preserve"> A negative coefficient, on the other hand, shifts the threshold toward the right of the propensity scale, which has the effect of increasing the probability of the zero-trip outcome (decreasing the overall probability of the non-zero outcome). </w:t>
      </w:r>
      <w:r w:rsidR="00040625" w:rsidRPr="004035E1">
        <w:t xml:space="preserve">Thus, the results </w:t>
      </w:r>
      <w:r w:rsidR="00E12F21" w:rsidRPr="004035E1">
        <w:t>indicate that single individuals</w:t>
      </w:r>
      <w:r w:rsidR="002122A4" w:rsidRPr="004035E1">
        <w:t xml:space="preserve">, in particular, but also </w:t>
      </w:r>
      <w:r w:rsidR="00E12F21" w:rsidRPr="004035E1">
        <w:t>couple</w:t>
      </w:r>
      <w:r w:rsidR="002122A4" w:rsidRPr="004035E1">
        <w:t xml:space="preserve"> </w:t>
      </w:r>
      <w:r w:rsidR="002122A4" w:rsidRPr="004035E1">
        <w:lastRenderedPageBreak/>
        <w:t>families,</w:t>
      </w:r>
      <w:r w:rsidR="00E12F21" w:rsidRPr="004035E1">
        <w:t xml:space="preserve"> are more likely to make non-zero leisure trips relative to nuclear family households, perhaps because of </w:t>
      </w:r>
      <w:r w:rsidR="002122A4" w:rsidRPr="004035E1">
        <w:t>fewer child care responsibilities</w:t>
      </w:r>
      <w:r w:rsidR="00DB4E7C">
        <w:t xml:space="preserve"> (while the base category includes both nuclear and joint families, nuclear family households dominate this base category)</w:t>
      </w:r>
      <w:r w:rsidR="002122A4" w:rsidRPr="004035E1">
        <w:t xml:space="preserve">. Single parents are also more likely to make non-zero leisure trips </w:t>
      </w:r>
      <w:r w:rsidR="006C45E4">
        <w:t>compared to</w:t>
      </w:r>
      <w:r w:rsidR="002122A4" w:rsidRPr="004035E1">
        <w:t xml:space="preserve"> nuclear family households</w:t>
      </w:r>
      <w:r w:rsidR="00745739">
        <w:t xml:space="preserve"> (with the </w:t>
      </w:r>
      <w:r w:rsidR="006C45E4">
        <w:t xml:space="preserve">additional </w:t>
      </w:r>
      <w:r w:rsidR="00745739">
        <w:t>propensity being the same as that for couples). The differing effects of the presence of children between nuclear families and single parent families is intr</w:t>
      </w:r>
      <w:r w:rsidR="006C45E4">
        <w:t xml:space="preserve">iguing, and certainly deserves additional investigation. Perhaps single parents find travel </w:t>
      </w:r>
      <w:r w:rsidR="0085300E" w:rsidRPr="004035E1">
        <w:t>as a way to better cope (through a change of their environment) with the sole responsibility for their children</w:t>
      </w:r>
      <w:r w:rsidR="002122A4" w:rsidRPr="004035E1">
        <w:t xml:space="preserve">. </w:t>
      </w:r>
      <w:r w:rsidR="00520741" w:rsidRPr="004035E1">
        <w:t xml:space="preserve">Besides, single parents appear to </w:t>
      </w:r>
      <w:r w:rsidR="004A1D15">
        <w:t>view</w:t>
      </w:r>
      <w:r w:rsidR="00520741" w:rsidRPr="004035E1">
        <w:t xml:space="preserve"> tourism travel as a way to have one-on-one interactions with their children</w:t>
      </w:r>
      <w:r w:rsidR="005E3379">
        <w:t xml:space="preserve">, </w:t>
      </w:r>
      <w:r w:rsidR="00520741" w:rsidRPr="004035E1">
        <w:t>treat such travel as an adventure</w:t>
      </w:r>
      <w:r w:rsidR="005E3379">
        <w:t xml:space="preserve">, and </w:t>
      </w:r>
      <w:r w:rsidR="006C45E4">
        <w:t xml:space="preserve">appear to be particularly interested in </w:t>
      </w:r>
      <w:r w:rsidR="005E3379" w:rsidRPr="005E3379">
        <w:t>expos</w:t>
      </w:r>
      <w:r w:rsidR="006C45E4">
        <w:t xml:space="preserve">ing </w:t>
      </w:r>
      <w:r w:rsidR="005E3379" w:rsidRPr="005E3379">
        <w:t xml:space="preserve">their children to new things </w:t>
      </w:r>
      <w:r w:rsidR="00520741" w:rsidRPr="004035E1">
        <w:t>(see Vartan, 2018</w:t>
      </w:r>
      <w:r w:rsidR="005E3379">
        <w:t xml:space="preserve"> and Camargo et al., 2021</w:t>
      </w:r>
      <w:r w:rsidR="00520741" w:rsidRPr="004035E1">
        <w:t xml:space="preserve">). </w:t>
      </w:r>
      <w:r w:rsidR="002122A4" w:rsidRPr="004035E1">
        <w:t xml:space="preserve">Overall, </w:t>
      </w:r>
      <w:r w:rsidR="00520741" w:rsidRPr="004035E1">
        <w:t xml:space="preserve">the household structure results indicate that </w:t>
      </w:r>
      <w:r w:rsidR="002122A4" w:rsidRPr="004035E1">
        <w:t xml:space="preserve">nuclear family households </w:t>
      </w:r>
      <w:r w:rsidR="00E11D72">
        <w:t xml:space="preserve">and joint family households </w:t>
      </w:r>
      <w:r w:rsidR="002122A4" w:rsidRPr="004035E1">
        <w:t xml:space="preserve">are the </w:t>
      </w:r>
      <w:r w:rsidR="006C45E4">
        <w:t xml:space="preserve">most </w:t>
      </w:r>
      <w:r w:rsidR="002122A4" w:rsidRPr="004035E1">
        <w:t xml:space="preserve">likely to </w:t>
      </w:r>
      <w:r w:rsidR="006C45E4">
        <w:t xml:space="preserve">make zero leisure </w:t>
      </w:r>
      <w:r w:rsidR="002122A4" w:rsidRPr="004035E1">
        <w:t xml:space="preserve">trips. Finally, older individuals (48 years or older) are </w:t>
      </w:r>
      <w:r w:rsidR="00E11D72">
        <w:t>less</w:t>
      </w:r>
      <w:r w:rsidR="002122A4" w:rsidRPr="004035E1">
        <w:t xml:space="preserve"> likely to have leisure trips relative to their younger peers, presumably a reflection of stay-at-home tendencies of middle-aged and older individuals</w:t>
      </w:r>
      <w:r w:rsidR="005E3379">
        <w:t>.</w:t>
      </w:r>
      <w:r w:rsidR="005D45C3">
        <w:t xml:space="preserve"> </w:t>
      </w:r>
    </w:p>
    <w:p w:rsidR="00516C13" w:rsidRPr="004035E1" w:rsidRDefault="00516C13" w:rsidP="004035E1">
      <w:pPr>
        <w:spacing w:line="276" w:lineRule="auto"/>
        <w:jc w:val="both"/>
        <w:textAlignment w:val="baseline"/>
        <w:rPr>
          <w:color w:val="000000"/>
        </w:rPr>
      </w:pPr>
    </w:p>
    <w:p w:rsidR="00516C13" w:rsidRPr="001F665A" w:rsidRDefault="00516C13" w:rsidP="004035E1">
      <w:pPr>
        <w:spacing w:line="276" w:lineRule="auto"/>
        <w:jc w:val="both"/>
        <w:textAlignment w:val="baseline"/>
        <w:rPr>
          <w:b/>
          <w:i/>
          <w:color w:val="000000"/>
        </w:rPr>
      </w:pPr>
      <w:r w:rsidRPr="001F665A">
        <w:rPr>
          <w:b/>
          <w:i/>
          <w:color w:val="000000"/>
        </w:rPr>
        <w:t>3.2.4. Linking Parameter</w:t>
      </w:r>
    </w:p>
    <w:p w:rsidR="00026A67" w:rsidRDefault="00520741" w:rsidP="00026A67">
      <w:pPr>
        <w:spacing w:line="276" w:lineRule="auto"/>
        <w:jc w:val="both"/>
      </w:pPr>
      <w:r w:rsidRPr="004035E1">
        <w:t>T</w:t>
      </w:r>
      <w:r w:rsidR="00137785" w:rsidRPr="004035E1">
        <w:t xml:space="preserve">he parameter that links the </w:t>
      </w:r>
      <w:r w:rsidR="004A5BF5" w:rsidRPr="004035E1">
        <w:t xml:space="preserve">fractional MDCEV </w:t>
      </w:r>
      <w:r w:rsidR="00137785" w:rsidRPr="004035E1">
        <w:t xml:space="preserve">model with the count model in our final model specification is </w:t>
      </w:r>
      <w:r w:rsidR="004A5BF5" w:rsidRPr="004035E1">
        <w:t xml:space="preserve">equal to </w:t>
      </w:r>
      <w:r w:rsidR="004A5BF5" w:rsidRPr="004035E1">
        <w:rPr>
          <w:position w:val="-6"/>
        </w:rPr>
        <w:object w:dxaOrig="480" w:dyaOrig="279" w14:anchorId="1D167243">
          <v:shape id="_x0000_i1289" type="#_x0000_t75" style="width:24pt;height:13.7pt" o:ole="">
            <v:imagedata r:id="rId503" o:title=""/>
          </v:shape>
          <o:OLEObject Type="Embed" ProgID="Equation.DSMT4" ShapeID="_x0000_i1289" DrawAspect="Content" ObjectID="_1722174435" r:id="rId504"/>
        </w:object>
      </w:r>
      <w:r w:rsidR="004A5BF5" w:rsidRPr="004035E1">
        <w:t xml:space="preserve"> (see the text surrounding Equation (</w:t>
      </w:r>
      <w:r w:rsidR="00F02F89">
        <w:t>24</w:t>
      </w:r>
      <w:r w:rsidR="004A5BF5" w:rsidRPr="004035E1">
        <w:t xml:space="preserve">)). This value is the same as the negative of the coefficient on the price variable, and is equal to </w:t>
      </w:r>
      <w:r w:rsidR="00E3580E" w:rsidRPr="004035E1">
        <w:t>0.3</w:t>
      </w:r>
      <w:r w:rsidR="00745739">
        <w:t>75</w:t>
      </w:r>
      <w:r w:rsidR="00E3580E" w:rsidRPr="004035E1">
        <w:t xml:space="preserve"> (and highly statistically significant with a t-statistic of 1</w:t>
      </w:r>
      <w:r w:rsidR="00745739">
        <w:t>8.65</w:t>
      </w:r>
      <w:r w:rsidR="00E3580E" w:rsidRPr="004035E1">
        <w:t xml:space="preserve">). </w:t>
      </w:r>
      <w:r w:rsidR="00745739">
        <w:t>T</w:t>
      </w:r>
      <w:r w:rsidR="00A12FAC" w:rsidRPr="004035E1">
        <w:t>he implication is that factors that increase</w:t>
      </w:r>
      <w:r w:rsidR="0003230C" w:rsidRPr="004035E1">
        <w:t xml:space="preserve"> </w:t>
      </w:r>
      <w:r w:rsidR="00A12FAC" w:rsidRPr="004035E1">
        <w:t xml:space="preserve">the attractiveness of any destination region or </w:t>
      </w:r>
      <w:r w:rsidR="00755C0B" w:rsidRPr="004035E1">
        <w:t xml:space="preserve">a </w:t>
      </w:r>
      <w:r w:rsidR="00A12FAC" w:rsidRPr="004035E1">
        <w:t xml:space="preserve">decrease </w:t>
      </w:r>
      <w:r w:rsidR="00755C0B" w:rsidRPr="004035E1">
        <w:t xml:space="preserve">in </w:t>
      </w:r>
      <w:r w:rsidR="00A12FAC" w:rsidRPr="004035E1">
        <w:t>the cost of travel to any destination region will lead to more non-zero counts of leisure tourism trips</w:t>
      </w:r>
      <w:r w:rsidR="00755C0B" w:rsidRPr="004035E1">
        <w:t>, while the unlinked model would completely ignore such destination choice effects on trip generation</w:t>
      </w:r>
      <w:r w:rsidR="00A12FAC" w:rsidRPr="004035E1">
        <w:t xml:space="preserve">. </w:t>
      </w:r>
      <w:r w:rsidR="00035397">
        <w:t xml:space="preserve">To demonstrate this, we consider a 15% reduction in cost to the northmost region (Northland) and the southmost region (Wellington), say through an improvement in the road transportation system that enables faster access to these regions. The net effect is that the mean cost to Northland falls from NZ$171.3 to NZ$145.6, and the mean cost to Wellington falls from NZ$198.1 to NZ$168.4. These drops are quite reasonable, as they still exceed the travel costs to the next inner region of the island at both the north and south ends. </w:t>
      </w:r>
      <w:r w:rsidR="00026A67">
        <w:t xml:space="preserve">We then compute the </w:t>
      </w:r>
      <w:r w:rsidR="00035397">
        <w:t xml:space="preserve">net predicted </w:t>
      </w:r>
      <w:r w:rsidR="00026A67">
        <w:t xml:space="preserve">percentage shifts </w:t>
      </w:r>
      <w:r w:rsidR="00035397">
        <w:t xml:space="preserve">on total visit counts to the nine regions after such a price change. </w:t>
      </w:r>
      <w:r w:rsidR="00026A67" w:rsidRPr="004035E1">
        <w:t xml:space="preserve">This prediction is done using the procedure laid out in Section </w:t>
      </w:r>
      <w:r w:rsidR="00026A67">
        <w:t>2.5</w:t>
      </w:r>
      <w:r w:rsidR="00026A67" w:rsidRPr="004035E1">
        <w:t xml:space="preserve"> in which we ensure that the predictions for each individual are counts. However, we run the procedure </w:t>
      </w:r>
      <w:r w:rsidR="00DB4E7C">
        <w:t xml:space="preserve">using </w:t>
      </w:r>
      <w:r w:rsidR="00026A67" w:rsidRPr="004035E1">
        <w:t xml:space="preserve">1000 draws per individual, predicting integer counts for the visits of every individual to each destination for each of the draw occasions. We </w:t>
      </w:r>
      <w:r w:rsidR="00026A67">
        <w:t>next</w:t>
      </w:r>
      <w:r w:rsidR="00026A67" w:rsidRPr="004035E1">
        <w:t xml:space="preserve"> aggregate the visit counts to each destination, and take a mean across the 1000 draws. The last step does not guarantee a positive integer count at the aggregate level, but these aggregate values are rounded off. </w:t>
      </w:r>
    </w:p>
    <w:p w:rsidR="005E2FFE" w:rsidRDefault="00026A67" w:rsidP="00026A67">
      <w:pPr>
        <w:spacing w:line="276" w:lineRule="auto"/>
        <w:ind w:firstLine="720"/>
        <w:jc w:val="both"/>
      </w:pPr>
      <w:r>
        <w:t>The results of the scenario described above are shown in Table 5</w:t>
      </w:r>
      <w:r w:rsidR="00BA5419">
        <w:t xml:space="preserve">. Point estimates are presented, with the 95% confidence bounds shown in parenthesis. In the following discussion, we  will focus on the point estimates (while the confidence bounds show a good bit of overlap between the linked model and the unlinked model results for the 15% travel cost reduction to the northmost </w:t>
      </w:r>
      <w:r w:rsidR="00BA5419">
        <w:lastRenderedPageBreak/>
        <w:t>and southmost regions of the North Island, the overlap is context-specific and is a function of the specific policy being considered; also the overlap reduces as the price “shock” is increased)</w:t>
      </w:r>
      <w:r>
        <w:t xml:space="preserve">. </w:t>
      </w:r>
      <w:r w:rsidR="00EE37CF">
        <w:t>Both models show a</w:t>
      </w:r>
      <w:r w:rsidR="00146536">
        <w:t xml:space="preserve"> relatively substantial </w:t>
      </w:r>
      <w:r w:rsidR="00EE37CF">
        <w:t>increase in trip visits to Northland and Wellington after the price drop</w:t>
      </w:r>
      <w:r w:rsidR="00146536">
        <w:t>. However, the effect on other regions is either tempered (in terms of the draw away) or even positive relative to the predictions from the unlinked model (except for the Auckland region, which sees a higher drop as predicted by our model relative to the unlinked</w:t>
      </w:r>
      <w:r w:rsidR="00B471B6">
        <w:t xml:space="preserve"> model</w:t>
      </w:r>
      <w:r w:rsidR="00146536">
        <w:t xml:space="preserve">, perhaps because </w:t>
      </w:r>
      <w:r w:rsidR="00B471B6">
        <w:t>of the compact nature of Auckland that encourages tourists to go beyond Auckland to Northland for their visits)</w:t>
      </w:r>
      <w:r w:rsidR="00146536">
        <w:t>.</w:t>
      </w:r>
      <w:r w:rsidR="00EE37CF">
        <w:t xml:space="preserve"> </w:t>
      </w:r>
      <w:r w:rsidR="00146536">
        <w:t>Th</w:t>
      </w:r>
      <w:r w:rsidR="00B471B6">
        <w:t xml:space="preserve">e tempered negative effects or even positive effects for other regions </w:t>
      </w:r>
      <w:r w:rsidR="00146536">
        <w:t xml:space="preserve">is because </w:t>
      </w:r>
      <w:r w:rsidR="00EE37CF">
        <w:t xml:space="preserve">the price decreases for travel to Northland and Wellington also lead to an overall trip visit count increase due to an income effect, </w:t>
      </w:r>
      <w:r w:rsidR="005E2FFE">
        <w:t xml:space="preserve">which then </w:t>
      </w:r>
      <w:r w:rsidR="00EE37CF">
        <w:t>tempers any reductions in visitations to other regions of the island due to the substitution effect</w:t>
      </w:r>
      <w:r w:rsidR="00E11D72">
        <w:t xml:space="preserve"> (the total count of leisure trips across all regions increases by </w:t>
      </w:r>
      <w:r w:rsidR="00B471B6">
        <w:t>1</w:t>
      </w:r>
      <w:r w:rsidR="00E11D72">
        <w:t>.7% as predicted by the linked model, while there is no change in total leisure trips in the unlinked model)</w:t>
      </w:r>
      <w:r w:rsidR="00EE37CF">
        <w:t xml:space="preserve">. This is clear from Table </w:t>
      </w:r>
      <w:r w:rsidR="00DB4E7C">
        <w:t>5</w:t>
      </w:r>
      <w:r w:rsidR="00EE37CF">
        <w:t xml:space="preserve">, where </w:t>
      </w:r>
      <w:r w:rsidR="005E2FFE">
        <w:t xml:space="preserve">the reductions </w:t>
      </w:r>
      <w:r w:rsidR="00860AF4">
        <w:t>(of trips)</w:t>
      </w:r>
      <w:r w:rsidR="005E2FFE">
        <w:t xml:space="preserve"> </w:t>
      </w:r>
      <w:r w:rsidR="00860AF4">
        <w:t xml:space="preserve">to </w:t>
      </w:r>
      <w:r w:rsidR="005E2FFE">
        <w:t xml:space="preserve">other regions </w:t>
      </w:r>
      <w:r w:rsidR="00860AF4">
        <w:t xml:space="preserve">as predicted by our model is lower than that predicted by our model for Bay of Plenty, Gisborne, and Taranaki. And the trips drawn to Waikato, Manawatu-Wanganui, and Hawke’s Bay actually increase. This latter effect </w:t>
      </w:r>
      <w:r w:rsidR="00273DF6">
        <w:t>ca</w:t>
      </w:r>
      <w:r w:rsidR="00B06854">
        <w:t>n</w:t>
      </w:r>
      <w:r w:rsidR="00860AF4">
        <w:t xml:space="preserve"> be attributed to the fact that, with large areas translating to more activity destination opportunities, these three regions </w:t>
      </w:r>
      <w:r w:rsidR="005E2FFE">
        <w:t xml:space="preserve">are </w:t>
      </w:r>
      <w:r w:rsidR="00860AF4">
        <w:t>the beneficiaries of much of the newly generated trips caused by the income effect</w:t>
      </w:r>
      <w:r w:rsidR="00DB4E7C">
        <w:t xml:space="preserve"> (note from the “area” column of Table 2 that Waikato, Manawatu-Wanganui and Hawke’s Bay are the three largest regions of the island)</w:t>
      </w:r>
      <w:r w:rsidR="00860AF4">
        <w:t xml:space="preserve">. </w:t>
      </w:r>
      <w:r w:rsidR="005E2FFE">
        <w:t xml:space="preserve">Overall, the implication is clear. </w:t>
      </w:r>
      <w:r w:rsidR="00860AF4">
        <w:t xml:space="preserve">Improvements in travel costs or attraction measures to one or more specific regions </w:t>
      </w:r>
      <w:r w:rsidR="005E2FFE">
        <w:t xml:space="preserve">may </w:t>
      </w:r>
      <w:r w:rsidR="00860AF4">
        <w:t xml:space="preserve">lead to </w:t>
      </w:r>
      <w:r w:rsidR="00B06854">
        <w:t xml:space="preserve">but </w:t>
      </w:r>
      <w:r w:rsidR="005E2FFE">
        <w:t>small reductions in tourist visits to</w:t>
      </w:r>
      <w:r w:rsidR="00860AF4">
        <w:t xml:space="preserve"> </w:t>
      </w:r>
      <w:r w:rsidR="00B06854">
        <w:t xml:space="preserve">some </w:t>
      </w:r>
      <w:r w:rsidR="00860AF4">
        <w:t>other</w:t>
      </w:r>
      <w:r w:rsidR="005E2FFE">
        <w:t xml:space="preserve"> regions</w:t>
      </w:r>
      <w:r w:rsidR="00860AF4">
        <w:t>,</w:t>
      </w:r>
      <w:r w:rsidR="005E2FFE">
        <w:t xml:space="preserve"> </w:t>
      </w:r>
      <w:r w:rsidR="00B06854">
        <w:t>and</w:t>
      </w:r>
      <w:r w:rsidR="00860AF4">
        <w:t xml:space="preserve"> </w:t>
      </w:r>
      <w:r w:rsidR="00B06854">
        <w:t xml:space="preserve">even </w:t>
      </w:r>
      <w:r w:rsidR="00860AF4">
        <w:t>increase</w:t>
      </w:r>
      <w:r w:rsidR="00B06854">
        <w:t>d</w:t>
      </w:r>
      <w:r w:rsidR="00860AF4">
        <w:t xml:space="preserve"> visits to s</w:t>
      </w:r>
      <w:r w:rsidR="00B06854">
        <w:t xml:space="preserve">ome </w:t>
      </w:r>
      <w:r w:rsidR="00860AF4">
        <w:t xml:space="preserve">other regions. </w:t>
      </w:r>
      <w:r w:rsidR="005E2FFE">
        <w:t xml:space="preserve">Thus, rather than fear competition as would be predicted by the unlinked model, the whole island is likely to benefit because of improvements in access and attractiveness of </w:t>
      </w:r>
      <w:r w:rsidR="00E11D72">
        <w:t>any</w:t>
      </w:r>
      <w:r w:rsidR="005E2FFE">
        <w:t xml:space="preserve"> region of the country</w:t>
      </w:r>
      <w:r w:rsidR="00B06854">
        <w:t>, as long as the improvements across regions are not that asymmetric to make one region substantially more attractive</w:t>
      </w:r>
      <w:r w:rsidR="005E2FFE">
        <w:t xml:space="preserve">. </w:t>
      </w:r>
    </w:p>
    <w:p w:rsidR="00137785" w:rsidRPr="004035E1" w:rsidRDefault="005E2FFE" w:rsidP="005E2FFE">
      <w:pPr>
        <w:spacing w:line="276" w:lineRule="auto"/>
        <w:ind w:firstLine="720"/>
        <w:jc w:val="both"/>
      </w:pPr>
      <w:r>
        <w:t>I</w:t>
      </w:r>
      <w:r w:rsidR="00457A13" w:rsidRPr="004035E1">
        <w:t xml:space="preserve">n addition to </w:t>
      </w:r>
      <w:r>
        <w:t xml:space="preserve">ignoring income effects, </w:t>
      </w:r>
      <w:r w:rsidR="00457A13" w:rsidRPr="004035E1">
        <w:t xml:space="preserve">the </w:t>
      </w:r>
      <w:r w:rsidR="00174501" w:rsidRPr="004035E1">
        <w:t xml:space="preserve">substantive effects of variables </w:t>
      </w:r>
      <w:r w:rsidR="00755C0B" w:rsidRPr="004035E1">
        <w:t xml:space="preserve">in both the destination allocation and the total count model </w:t>
      </w:r>
      <w:r>
        <w:t xml:space="preserve">components from the unlinked model are </w:t>
      </w:r>
      <w:r w:rsidR="00174501" w:rsidRPr="004035E1">
        <w:t xml:space="preserve">also </w:t>
      </w:r>
      <w:r>
        <w:t xml:space="preserve">different from that of the </w:t>
      </w:r>
      <w:r w:rsidR="00174501" w:rsidRPr="004035E1">
        <w:t xml:space="preserve">linked model. For instance, while the linked model indicates that low income individuals are less attracted (relative to high income individuals) for their first visits toward regions with high land cover diversity (and this effect is very highly statistically significant), the unlinked model suggests the opposite </w:t>
      </w:r>
      <w:r w:rsidR="00755C0B" w:rsidRPr="004035E1">
        <w:t xml:space="preserve">and statistically insignificant effect at the 0.05 level of significance (the </w:t>
      </w:r>
      <w:r w:rsidR="00174501" w:rsidRPr="004035E1">
        <w:t xml:space="preserve">coefficient </w:t>
      </w:r>
      <w:r w:rsidR="00755C0B" w:rsidRPr="004035E1">
        <w:t>estimate is +0.6911 with a t-statistic of 1.48).</w:t>
      </w:r>
      <w:r w:rsidR="00D01170" w:rsidRPr="004035E1">
        <w:t xml:space="preserve"> </w:t>
      </w:r>
      <w:r w:rsidR="003642B8" w:rsidRPr="004035E1">
        <w:t xml:space="preserve">Similarly, </w:t>
      </w:r>
      <w:r w:rsidR="0085300E" w:rsidRPr="004035E1">
        <w:t xml:space="preserve">while single parents are more likely to make non-zero leisure trips </w:t>
      </w:r>
      <w:r w:rsidR="006C45E4">
        <w:t xml:space="preserve">(relative to nuclear family household) </w:t>
      </w:r>
      <w:r w:rsidR="0085300E" w:rsidRPr="004035E1">
        <w:t xml:space="preserve">according to our model, </w:t>
      </w:r>
      <w:r w:rsidR="0003230C" w:rsidRPr="004035E1">
        <w:t xml:space="preserve">the unlinked model finds no statistically significant </w:t>
      </w:r>
      <w:r w:rsidR="006C45E4">
        <w:t xml:space="preserve">difference in leisure trip-making between single parent families and nuclear families. </w:t>
      </w:r>
      <w:r w:rsidR="0003230C" w:rsidRPr="004035E1">
        <w:t xml:space="preserve">This </w:t>
      </w:r>
      <w:r w:rsidR="00520741" w:rsidRPr="004035E1">
        <w:t xml:space="preserve">difference between the unlinked and linked models </w:t>
      </w:r>
      <w:r w:rsidR="0003230C" w:rsidRPr="004035E1">
        <w:t>is interesting</w:t>
      </w:r>
      <w:r w:rsidR="00520741" w:rsidRPr="004035E1">
        <w:t xml:space="preserve">. While </w:t>
      </w:r>
      <w:r w:rsidR="0003230C" w:rsidRPr="004035E1">
        <w:t>the tourism and hotel industry</w:t>
      </w:r>
      <w:r w:rsidR="00520741" w:rsidRPr="004035E1">
        <w:t xml:space="preserve"> has traditionally focused on “wooing” nuclear families because of the high fraction of such families, our results support the more recent efforts of the industry to pay attention to </w:t>
      </w:r>
      <w:r w:rsidR="0003230C" w:rsidRPr="004035E1">
        <w:t xml:space="preserve">the </w:t>
      </w:r>
      <w:r w:rsidR="006C45E4">
        <w:t>rising</w:t>
      </w:r>
      <w:r w:rsidR="0003230C" w:rsidRPr="004035E1">
        <w:t xml:space="preserve"> population segment of single parents</w:t>
      </w:r>
      <w:r w:rsidR="00520741" w:rsidRPr="004035E1">
        <w:t>,</w:t>
      </w:r>
      <w:r w:rsidR="0003230C" w:rsidRPr="004035E1">
        <w:t xml:space="preserve"> through such incentives as affordable child care facilities and single occupancy hotel room charges</w:t>
      </w:r>
      <w:r w:rsidR="005E3379">
        <w:t xml:space="preserve"> (see Camargo et al., 2021). </w:t>
      </w:r>
    </w:p>
    <w:p w:rsidR="001A7022" w:rsidRPr="004035E1" w:rsidRDefault="001A7022" w:rsidP="004035E1">
      <w:pPr>
        <w:spacing w:line="276" w:lineRule="auto"/>
        <w:jc w:val="both"/>
      </w:pPr>
    </w:p>
    <w:p w:rsidR="000F6C17" w:rsidRPr="004035E1" w:rsidRDefault="00916214" w:rsidP="001F665A">
      <w:pPr>
        <w:pStyle w:val="text"/>
        <w:spacing w:line="276" w:lineRule="auto"/>
        <w:jc w:val="both"/>
      </w:pPr>
      <w:r>
        <w:rPr>
          <w:b/>
        </w:rPr>
        <w:t>3.3</w:t>
      </w:r>
      <w:r w:rsidR="000F6C17" w:rsidRPr="004035E1">
        <w:rPr>
          <w:b/>
        </w:rPr>
        <w:t>. Data Fit Measures</w:t>
      </w:r>
    </w:p>
    <w:p w:rsidR="000F6C17" w:rsidRPr="004035E1" w:rsidRDefault="000F6C17" w:rsidP="004035E1">
      <w:pPr>
        <w:spacing w:line="276" w:lineRule="auto"/>
        <w:jc w:val="both"/>
        <w:rPr>
          <w:bCs/>
        </w:rPr>
      </w:pPr>
      <w:r w:rsidRPr="004035E1">
        <w:rPr>
          <w:bCs/>
        </w:rPr>
        <w:t>Data fit measures are presented in two forms – likelihood-based data fit measures and non-likelihood based data fit measures.</w:t>
      </w:r>
    </w:p>
    <w:p w:rsidR="000F6C17" w:rsidRPr="004035E1" w:rsidRDefault="000F6C17" w:rsidP="004035E1">
      <w:pPr>
        <w:spacing w:line="276" w:lineRule="auto"/>
        <w:jc w:val="both"/>
        <w:rPr>
          <w:i/>
        </w:rPr>
      </w:pPr>
    </w:p>
    <w:p w:rsidR="000F6C17" w:rsidRPr="001F665A" w:rsidRDefault="00916214" w:rsidP="004035E1">
      <w:pPr>
        <w:spacing w:line="276" w:lineRule="auto"/>
        <w:jc w:val="both"/>
        <w:rPr>
          <w:b/>
        </w:rPr>
      </w:pPr>
      <w:r w:rsidRPr="001F665A">
        <w:rPr>
          <w:b/>
          <w:i/>
        </w:rPr>
        <w:t>3.3</w:t>
      </w:r>
      <w:r w:rsidR="000F6C17" w:rsidRPr="001F665A">
        <w:rPr>
          <w:b/>
          <w:i/>
        </w:rPr>
        <w:t>.1. Likelihood-Based Data Fit Measures</w:t>
      </w:r>
    </w:p>
    <w:p w:rsidR="000F6C17" w:rsidRPr="004035E1" w:rsidRDefault="000F6C17" w:rsidP="004035E1">
      <w:pPr>
        <w:spacing w:line="276" w:lineRule="auto"/>
        <w:jc w:val="both"/>
        <w:rPr>
          <w:color w:val="000000"/>
        </w:rPr>
      </w:pPr>
      <w:r w:rsidRPr="004035E1">
        <w:t>As a base naïve model, we compute the log-likelihood of a</w:t>
      </w:r>
      <w:r w:rsidR="00220D7A" w:rsidRPr="004035E1">
        <w:t xml:space="preserve"> </w:t>
      </w:r>
      <w:r w:rsidRPr="004035E1">
        <w:t xml:space="preserve">model with only the </w:t>
      </w:r>
      <w:r w:rsidR="0055244A" w:rsidRPr="004035E1">
        <w:t xml:space="preserve">following parameters: (a) logarithm </w:t>
      </w:r>
      <w:r w:rsidR="00EB6E77">
        <w:t xml:space="preserve">of </w:t>
      </w:r>
      <w:r w:rsidR="0055244A" w:rsidRPr="004035E1">
        <w:t xml:space="preserve">area in the fractional split MDCEV baseline preference, (b) </w:t>
      </w:r>
      <w:r w:rsidRPr="004035E1">
        <w:t xml:space="preserve">constant in the </w:t>
      </w:r>
      <w:r w:rsidRPr="004035E1">
        <w:rPr>
          <w:position w:val="-6"/>
        </w:rPr>
        <w:object w:dxaOrig="260" w:dyaOrig="220" w14:anchorId="012A3B27">
          <v:shape id="_x0000_i1290" type="#_x0000_t75" style="width:13.3pt;height:10.7pt" o:ole="">
            <v:imagedata r:id="rId505" o:title=""/>
          </v:shape>
          <o:OLEObject Type="Embed" ProgID="Equation.DSMT4" ShapeID="_x0000_i1290" DrawAspect="Content" ObjectID="_1722174436" r:id="rId506"/>
        </w:object>
      </w:r>
      <w:r w:rsidRPr="004035E1">
        <w:t xml:space="preserve"> vector embedded in the </w:t>
      </w:r>
      <w:r w:rsidRPr="004035E1">
        <w:rPr>
          <w:position w:val="-10"/>
        </w:rPr>
        <w:object w:dxaOrig="260" w:dyaOrig="320" w14:anchorId="4C2BED3B">
          <v:shape id="_x0000_i1291" type="#_x0000_t75" style="width:13.3pt;height:16.3pt" o:ole="">
            <v:imagedata r:id="rId507" o:title=""/>
            <o:lock v:ext="edit" aspectratio="f"/>
          </v:shape>
          <o:OLEObject Type="Embed" ProgID="Equation.DSMT4" ShapeID="_x0000_i1291" DrawAspect="Content" ObjectID="_1722174437" r:id="rId508"/>
        </w:object>
      </w:r>
      <w:r w:rsidRPr="004035E1">
        <w:t xml:space="preserve"> parameter of the count thresholds, </w:t>
      </w:r>
      <w:r w:rsidR="0055244A" w:rsidRPr="004035E1">
        <w:t xml:space="preserve">and (c) the two </w:t>
      </w:r>
      <w:r w:rsidRPr="004035E1">
        <w:rPr>
          <w:position w:val="-12"/>
        </w:rPr>
        <w:object w:dxaOrig="279" w:dyaOrig="360" w14:anchorId="4C38D4C3">
          <v:shape id="_x0000_i1292" type="#_x0000_t75" style="width:13.7pt;height:18pt" o:ole="">
            <v:imagedata r:id="rId241" o:title=""/>
          </v:shape>
          <o:OLEObject Type="Embed" ProgID="Equation.DSMT4" ShapeID="_x0000_i1292" DrawAspect="Content" ObjectID="_1722174438" r:id="rId509"/>
        </w:object>
      </w:r>
      <w:r w:rsidRPr="004035E1">
        <w:t xml:space="preserve"> terms </w:t>
      </w:r>
      <w:r w:rsidR="0055244A" w:rsidRPr="004035E1">
        <w:t xml:space="preserve">in the threshold. </w:t>
      </w:r>
      <w:r w:rsidR="00AA2854">
        <w:t xml:space="preserve">We set the satiation parameters to one for all alternatives, and the scale for the count model error to one. </w:t>
      </w:r>
      <w:r w:rsidR="0055244A" w:rsidRPr="004035E1">
        <w:t xml:space="preserve">The price variable is </w:t>
      </w:r>
      <w:r w:rsidR="00AA2854">
        <w:t xml:space="preserve">also </w:t>
      </w:r>
      <w:r w:rsidR="0055244A" w:rsidRPr="004035E1">
        <w:t>set to one for all regions</w:t>
      </w:r>
      <w:r w:rsidR="00AA2854">
        <w:t xml:space="preserve"> (so there are four parameters estimated in this base naïve model: the coefficient on ln(area) in the baseline preference, the two count thresholds, and the constant in the count model)</w:t>
      </w:r>
      <w:r w:rsidR="0055244A" w:rsidRPr="004035E1">
        <w:t xml:space="preserve">. </w:t>
      </w:r>
      <w:r w:rsidR="00220D7A" w:rsidRPr="004035E1">
        <w:t xml:space="preserve">Note that </w:t>
      </w:r>
      <w:r w:rsidR="0055244A" w:rsidRPr="004035E1">
        <w:t xml:space="preserve">because of the inclusion of the two </w:t>
      </w:r>
      <w:r w:rsidR="0055244A" w:rsidRPr="004035E1">
        <w:rPr>
          <w:position w:val="-12"/>
        </w:rPr>
        <w:object w:dxaOrig="279" w:dyaOrig="360" w14:anchorId="3B472A76">
          <v:shape id="_x0000_i1293" type="#_x0000_t75" style="width:13.7pt;height:18pt" o:ole="">
            <v:imagedata r:id="rId241" o:title=""/>
          </v:shape>
          <o:OLEObject Type="Embed" ProgID="Equation.DSMT4" ShapeID="_x0000_i1293" DrawAspect="Content" ObjectID="_1722174439" r:id="rId510"/>
        </w:object>
      </w:r>
      <w:r w:rsidR="0055244A" w:rsidRPr="004035E1">
        <w:t xml:space="preserve"> terms, which appropriately adjust based on linkage or not, the log-likelihoods of the naïve model </w:t>
      </w:r>
      <w:r w:rsidR="00AA2854">
        <w:t xml:space="preserve">is </w:t>
      </w:r>
      <w:r w:rsidR="0055244A" w:rsidRPr="004035E1">
        <w:t>exactly the same regardless of linkage or not (the</w:t>
      </w:r>
      <w:r w:rsidR="00AA2854">
        <w:t xml:space="preserve"> log-likelihood value for this base naïve model is </w:t>
      </w:r>
      <w:r w:rsidR="00A878AA">
        <w:t>–</w:t>
      </w:r>
      <w:r w:rsidR="00AA2854">
        <w:t>15958.1</w:t>
      </w:r>
      <w:r w:rsidR="00436657">
        <w:t>)</w:t>
      </w:r>
      <w:r w:rsidR="00AA2854">
        <w:t xml:space="preserve">. </w:t>
      </w:r>
      <w:r w:rsidR="0055244A" w:rsidRPr="004035E1">
        <w:t xml:space="preserve"> </w:t>
      </w:r>
      <w:r w:rsidR="00496A2E" w:rsidRPr="004035E1">
        <w:t xml:space="preserve">Thus, for all likelihood-based data fit measures, we </w:t>
      </w:r>
      <w:r w:rsidR="00AA2854">
        <w:t xml:space="preserve">can use </w:t>
      </w:r>
      <w:r w:rsidR="00496A2E" w:rsidRPr="004035E1">
        <w:t>the log-likelihood of the naïve model</w:t>
      </w:r>
      <w:r w:rsidR="00AA2854">
        <w:t xml:space="preserve"> </w:t>
      </w:r>
      <w:r w:rsidR="00496A2E" w:rsidRPr="004035E1">
        <w:t xml:space="preserve">as the base model. </w:t>
      </w:r>
      <w:r w:rsidRPr="004035E1">
        <w:t>We also compute the Bayesian Information Criterion (BIC) values [</w:t>
      </w:r>
      <w:r w:rsidRPr="004035E1">
        <w:rPr>
          <w:position w:val="-10"/>
        </w:rPr>
        <w:object w:dxaOrig="1100" w:dyaOrig="340" w14:anchorId="3434C0BE">
          <v:shape id="_x0000_i1294" type="#_x0000_t75" style="width:54.45pt;height:17.55pt" o:ole="" o:preferrelative="f">
            <v:imagedata r:id="rId511" o:title=""/>
            <o:lock v:ext="edit" aspectratio="f"/>
          </v:shape>
          <o:OLEObject Type="Embed" ProgID="Equation.3" ShapeID="_x0000_i1294" DrawAspect="Content" ObjectID="_1722174440" r:id="rId512"/>
        </w:object>
      </w:r>
      <w:r w:rsidRPr="004035E1">
        <w:t>+ 0.5 (# of model parameters) log (sample size)] for the linked and unlinked models (</w:t>
      </w:r>
      <w:r w:rsidRPr="004035E1">
        <w:rPr>
          <w:position w:val="-10"/>
        </w:rPr>
        <w:object w:dxaOrig="600" w:dyaOrig="380" w14:anchorId="66D304A0">
          <v:shape id="_x0000_i1295" type="#_x0000_t75" style="width:30pt;height:19.3pt" o:ole="">
            <v:imagedata r:id="rId513" o:title=""/>
          </v:shape>
          <o:OLEObject Type="Embed" ProgID="Equation.DSMT4" ShapeID="_x0000_i1295" DrawAspect="Content" ObjectID="_1722174441" r:id="rId514"/>
        </w:object>
      </w:r>
      <w:r w:rsidRPr="004035E1">
        <w:t xml:space="preserve"> is the log-likelihood at convergence).</w:t>
      </w:r>
      <w:r w:rsidRPr="004035E1">
        <w:rPr>
          <w:rStyle w:val="FootnoteReference"/>
        </w:rPr>
        <w:footnoteReference w:id="16"/>
      </w:r>
      <w:r w:rsidRPr="004035E1">
        <w:t xml:space="preserve"> Finally, the two models </w:t>
      </w:r>
      <w:r w:rsidRPr="004035E1">
        <w:rPr>
          <w:color w:val="000000"/>
        </w:rPr>
        <w:t xml:space="preserve">are compared using a non-nested likelihood ratio test. The adjusted likelihood ratio index of each model is first computed with respect to the log-likelihood </w:t>
      </w:r>
      <w:r w:rsidR="00AA2854">
        <w:rPr>
          <w:color w:val="000000"/>
        </w:rPr>
        <w:t xml:space="preserve">of </w:t>
      </w:r>
      <w:r w:rsidRPr="004035E1">
        <w:rPr>
          <w:color w:val="000000"/>
        </w:rPr>
        <w:t>the base naive model:</w:t>
      </w:r>
    </w:p>
    <w:p w:rsidR="000F6C17" w:rsidRPr="004035E1" w:rsidRDefault="000F6C17" w:rsidP="004035E1">
      <w:pPr>
        <w:tabs>
          <w:tab w:val="right" w:pos="9360"/>
        </w:tabs>
        <w:spacing w:line="276" w:lineRule="auto"/>
        <w:jc w:val="both"/>
        <w:rPr>
          <w:color w:val="000000"/>
        </w:rPr>
      </w:pPr>
      <w:r w:rsidRPr="004035E1">
        <w:rPr>
          <w:color w:val="000000"/>
        </w:rPr>
        <w:t xml:space="preserve"> </w:t>
      </w:r>
      <w:r w:rsidRPr="004035E1">
        <w:rPr>
          <w:color w:val="000000"/>
          <w:position w:val="-28"/>
        </w:rPr>
        <w:object w:dxaOrig="1800" w:dyaOrig="720" w14:anchorId="48655287">
          <v:shape id="_x0000_i1296" type="#_x0000_t75" style="width:90pt;height:36.45pt" o:ole="" o:preferrelative="f">
            <v:imagedata r:id="rId515" o:title=""/>
            <o:lock v:ext="edit" aspectratio="f"/>
          </v:shape>
          <o:OLEObject Type="Embed" ProgID="Equation.DSMT4" ShapeID="_x0000_i1296" DrawAspect="Content" ObjectID="_1722174442" r:id="rId516"/>
        </w:object>
      </w:r>
      <w:r w:rsidRPr="004035E1">
        <w:rPr>
          <w:color w:val="000000"/>
        </w:rPr>
        <w:t>,</w:t>
      </w:r>
      <w:r w:rsidRPr="004035E1">
        <w:rPr>
          <w:color w:val="000000"/>
        </w:rPr>
        <w:tab/>
        <w:t xml:space="preserve"> (</w:t>
      </w:r>
      <w:r w:rsidR="00357D65">
        <w:rPr>
          <w:color w:val="000000"/>
        </w:rPr>
        <w:t>33</w:t>
      </w:r>
      <w:r w:rsidRPr="004035E1">
        <w:rPr>
          <w:color w:val="000000"/>
        </w:rPr>
        <w:t>)</w:t>
      </w:r>
    </w:p>
    <w:p w:rsidR="000F6C17" w:rsidRPr="004035E1" w:rsidRDefault="000F6C17" w:rsidP="004035E1">
      <w:pPr>
        <w:spacing w:line="276" w:lineRule="auto"/>
        <w:jc w:val="both"/>
        <w:rPr>
          <w:color w:val="000000"/>
        </w:rPr>
      </w:pPr>
      <w:r w:rsidRPr="004035E1">
        <w:rPr>
          <w:color w:val="000000"/>
        </w:rPr>
        <w:t xml:space="preserve">where </w:t>
      </w:r>
      <w:r w:rsidRPr="004035E1">
        <w:rPr>
          <w:color w:val="000000"/>
          <w:position w:val="-10"/>
        </w:rPr>
        <w:object w:dxaOrig="520" w:dyaOrig="400" w14:anchorId="721BEE2A">
          <v:shape id="_x0000_i1297" type="#_x0000_t75" style="width:25.7pt;height:20.55pt" o:ole="" o:preferrelative="f">
            <v:imagedata r:id="rId517" o:title=""/>
            <o:lock v:ext="edit" aspectratio="f"/>
          </v:shape>
          <o:OLEObject Type="Embed" ProgID="Equation.DSMT4" ShapeID="_x0000_i1297" DrawAspect="Content" ObjectID="_1722174443" r:id="rId518"/>
        </w:object>
      </w:r>
      <w:r w:rsidRPr="004035E1">
        <w:rPr>
          <w:color w:val="000000"/>
        </w:rPr>
        <w:t xml:space="preserve"> and </w:t>
      </w:r>
      <w:r w:rsidRPr="004035E1">
        <w:rPr>
          <w:color w:val="000000"/>
          <w:position w:val="-10"/>
        </w:rPr>
        <w:object w:dxaOrig="499" w:dyaOrig="320" w14:anchorId="348CBB64">
          <v:shape id="_x0000_i1298" type="#_x0000_t75" style="width:24.85pt;height:15.85pt" o:ole="" o:preferrelative="f">
            <v:imagedata r:id="rId519" o:title=""/>
            <o:lock v:ext="edit" aspectratio="f"/>
          </v:shape>
          <o:OLEObject Type="Embed" ProgID="Equation.DSMT4" ShapeID="_x0000_i1298" DrawAspect="Content" ObjectID="_1722174444" r:id="rId520"/>
        </w:object>
      </w:r>
      <w:r w:rsidRPr="004035E1">
        <w:rPr>
          <w:color w:val="000000"/>
        </w:rPr>
        <w:t xml:space="preserve"> are the log-likelihood functions at convergence and the base naïve model, respectively, and </w:t>
      </w:r>
      <w:r w:rsidRPr="004035E1">
        <w:rPr>
          <w:i/>
          <w:color w:val="000000"/>
        </w:rPr>
        <w:t>M</w:t>
      </w:r>
      <w:r w:rsidRPr="004035E1">
        <w:rPr>
          <w:color w:val="000000"/>
        </w:rPr>
        <w:t xml:space="preserve"> is the number of parameters </w:t>
      </w:r>
      <w:r w:rsidR="00496A2E" w:rsidRPr="004035E1">
        <w:rPr>
          <w:color w:val="000000"/>
        </w:rPr>
        <w:t xml:space="preserve">estimated in the model </w:t>
      </w:r>
      <w:r w:rsidRPr="004035E1">
        <w:rPr>
          <w:color w:val="000000"/>
        </w:rPr>
        <w:t>(excluding the</w:t>
      </w:r>
      <w:r w:rsidR="00496A2E" w:rsidRPr="004035E1">
        <w:rPr>
          <w:color w:val="000000"/>
        </w:rPr>
        <w:t xml:space="preserve"> number of parameters included in the base naïve model</w:t>
      </w:r>
      <w:r w:rsidRPr="004035E1">
        <w:rPr>
          <w:color w:val="000000"/>
        </w:rPr>
        <w:t xml:space="preserve">). If the difference in the indices is </w:t>
      </w:r>
      <w:r w:rsidRPr="004035E1">
        <w:rPr>
          <w:color w:val="000000"/>
          <w:position w:val="-12"/>
        </w:rPr>
        <w:object w:dxaOrig="1400" w:dyaOrig="360" w14:anchorId="15FDC82B">
          <v:shape id="_x0000_i1299" type="#_x0000_t75" style="width:69.45pt;height:18pt" o:ole="" o:preferrelative="f">
            <v:imagedata r:id="rId521" o:title=""/>
            <o:lock v:ext="edit" aspectratio="f"/>
          </v:shape>
          <o:OLEObject Type="Embed" ProgID="Equation.DSMT4" ShapeID="_x0000_i1299" DrawAspect="Content" ObjectID="_1722174445" r:id="rId522"/>
        </w:object>
      </w:r>
      <w:r w:rsidRPr="004035E1">
        <w:rPr>
          <w:color w:val="000000"/>
        </w:rPr>
        <w:t xml:space="preserve">, then the probability that this difference could have occurred by chance is no larger than </w:t>
      </w:r>
      <w:r w:rsidRPr="004035E1">
        <w:rPr>
          <w:color w:val="000000"/>
          <w:position w:val="-12"/>
        </w:rPr>
        <w:object w:dxaOrig="2940" w:dyaOrig="380" w14:anchorId="43F4CF1F">
          <v:shape id="_x0000_i1300" type="#_x0000_t75" style="width:147pt;height:18pt" o:ole="" o:preferrelative="f">
            <v:imagedata r:id="rId523" o:title=""/>
            <o:lock v:ext="edit" aspectratio="f"/>
          </v:shape>
          <o:OLEObject Type="Embed" ProgID="Equation.DSMT4" ShapeID="_x0000_i1300" DrawAspect="Content" ObjectID="_1722174446" r:id="rId524"/>
        </w:object>
      </w:r>
      <w:r w:rsidRPr="004035E1">
        <w:rPr>
          <w:color w:val="000000"/>
        </w:rPr>
        <w:t xml:space="preserve">, with a small value for the probability of chance occurrence suggesting that the difference is statistically significant and the model with the higher value for the adjusted likelihood ratio index is preferred. </w:t>
      </w:r>
    </w:p>
    <w:p w:rsidR="000F6C17" w:rsidRPr="004035E1" w:rsidRDefault="000F6C17" w:rsidP="004035E1">
      <w:pPr>
        <w:spacing w:line="276" w:lineRule="auto"/>
        <w:ind w:firstLine="720"/>
        <w:jc w:val="both"/>
        <w:rPr>
          <w:bCs/>
        </w:rPr>
      </w:pPr>
      <w:r w:rsidRPr="004035E1">
        <w:rPr>
          <w:bCs/>
        </w:rPr>
        <w:t xml:space="preserve">The likelihood based data fit measures are provided in Table </w:t>
      </w:r>
      <w:r w:rsidR="00026A67">
        <w:rPr>
          <w:bCs/>
        </w:rPr>
        <w:t>6</w:t>
      </w:r>
      <w:r w:rsidRPr="004035E1">
        <w:rPr>
          <w:bCs/>
        </w:rPr>
        <w:t xml:space="preserve">. Both the linked and unlinked model log-likelihood values are clearly superior to the base </w:t>
      </w:r>
      <w:r w:rsidR="002177C1" w:rsidRPr="004035E1">
        <w:rPr>
          <w:bCs/>
        </w:rPr>
        <w:t xml:space="preserve">naïve </w:t>
      </w:r>
      <w:r w:rsidRPr="004035E1">
        <w:rPr>
          <w:bCs/>
        </w:rPr>
        <w:t xml:space="preserve">model, as can be observed from the nested likelihood ratio test (fourth row).  </w:t>
      </w:r>
      <w:r w:rsidRPr="004035E1">
        <w:t xml:space="preserve">A further comparison between the </w:t>
      </w:r>
      <w:r w:rsidRPr="004035E1">
        <w:lastRenderedPageBreak/>
        <w:t>linked and unlinked models using the BIC and the non-nested likelihood ratio index tests (shown in the last two rows) indicates the clear data fit superiority of the proposed linked model over the unlinked model</w:t>
      </w:r>
      <w:r w:rsidR="003C0D4B" w:rsidRPr="004035E1">
        <w:t xml:space="preserve"> in the current empirical context</w:t>
      </w:r>
      <w:r w:rsidRPr="004035E1">
        <w:t xml:space="preserve">. </w:t>
      </w:r>
    </w:p>
    <w:p w:rsidR="000F6C17" w:rsidRPr="004035E1" w:rsidRDefault="000F6C17" w:rsidP="004035E1">
      <w:pPr>
        <w:spacing w:line="276" w:lineRule="auto"/>
        <w:jc w:val="both"/>
      </w:pPr>
    </w:p>
    <w:p w:rsidR="000F6C17" w:rsidRPr="001F665A" w:rsidRDefault="00916214" w:rsidP="004035E1">
      <w:pPr>
        <w:spacing w:line="276" w:lineRule="auto"/>
        <w:jc w:val="both"/>
        <w:rPr>
          <w:b/>
          <w:bCs/>
          <w:i/>
        </w:rPr>
      </w:pPr>
      <w:r w:rsidRPr="001F665A">
        <w:rPr>
          <w:b/>
          <w:bCs/>
          <w:i/>
        </w:rPr>
        <w:t>3.3</w:t>
      </w:r>
      <w:r w:rsidR="000F6C17" w:rsidRPr="001F665A">
        <w:rPr>
          <w:b/>
          <w:bCs/>
          <w:i/>
        </w:rPr>
        <w:t>.2. Non-Likelihood Fit Measures</w:t>
      </w:r>
    </w:p>
    <w:p w:rsidR="000F6C17" w:rsidRPr="004035E1" w:rsidRDefault="000F6C17" w:rsidP="004035E1">
      <w:pPr>
        <w:spacing w:line="276" w:lineRule="auto"/>
        <w:jc w:val="both"/>
      </w:pPr>
      <w:r w:rsidRPr="004035E1">
        <w:t>To further supplement the disaggregate likelihood-based performance</w:t>
      </w:r>
      <w:r w:rsidR="003C0D4B" w:rsidRPr="004035E1">
        <w:t xml:space="preserve">, we </w:t>
      </w:r>
      <w:r w:rsidRPr="004035E1">
        <w:t xml:space="preserve">evaluate the performance of the models intuitively and informally at a disaggregate and aggregate level. At the disaggregate level, we estimate an average probability of correct prediction for the </w:t>
      </w:r>
      <w:r w:rsidR="003C0D4B" w:rsidRPr="004035E1">
        <w:t>observed multivariate count outcome</w:t>
      </w:r>
      <w:r w:rsidRPr="004035E1">
        <w:t xml:space="preserve">. At the aggregate level, to keep the presentation manageable, we focus on </w:t>
      </w:r>
      <w:r w:rsidR="00D42DD3" w:rsidRPr="004035E1">
        <w:t>the univariate count of visits to each destination region, rather than consider the multivariate visit combinations to destinations. Specifically, we compare (a) the predicted total number of visits to each destination (which constitutes the multiple discrete-count dimension</w:t>
      </w:r>
      <w:r w:rsidR="00BB7E98" w:rsidRPr="004035E1">
        <w:t xml:space="preserve"> that considers the combination of participation propensity and satiation behavior</w:t>
      </w:r>
      <w:r w:rsidR="00D42DD3" w:rsidRPr="004035E1">
        <w:t xml:space="preserve">) to the actual number of visits to each destination, and (b) the predicted number of </w:t>
      </w:r>
      <w:r w:rsidR="00FC1130">
        <w:t xml:space="preserve">distinct </w:t>
      </w:r>
      <w:r w:rsidR="00D42DD3" w:rsidRPr="004035E1">
        <w:t xml:space="preserve">individuals visiting each destination </w:t>
      </w:r>
      <w:r w:rsidR="00FC1130">
        <w:t xml:space="preserve">(that is, the number of individuals visiting each destination at least once, </w:t>
      </w:r>
      <w:r w:rsidR="00D42DD3" w:rsidRPr="004035E1">
        <w:t>which constitutes the discrete dimension</w:t>
      </w:r>
      <w:r w:rsidR="009D43A1" w:rsidRPr="004035E1">
        <w:t xml:space="preserve"> of participation propensity</w:t>
      </w:r>
      <w:r w:rsidR="00D42DD3" w:rsidRPr="004035E1">
        <w:t xml:space="preserve">) to the actual number of individuals visiting each destination at least once. This prediction is done using the </w:t>
      </w:r>
      <w:r w:rsidR="009A7523">
        <w:t xml:space="preserve">same </w:t>
      </w:r>
      <w:r w:rsidR="00D42DD3" w:rsidRPr="004035E1">
        <w:t xml:space="preserve">procedure </w:t>
      </w:r>
      <w:r w:rsidR="009A7523">
        <w:t xml:space="preserve">as </w:t>
      </w:r>
      <w:r w:rsidR="00D42DD3" w:rsidRPr="004035E1">
        <w:t xml:space="preserve">laid out in Section </w:t>
      </w:r>
      <w:r w:rsidR="009A7523">
        <w:t xml:space="preserve">3.2.4. </w:t>
      </w:r>
      <w:r w:rsidRPr="004035E1">
        <w:t xml:space="preserve">We then design an informal heuristic diagnostic check of model fit </w:t>
      </w:r>
      <w:r w:rsidR="00EA56EC" w:rsidRPr="004035E1">
        <w:t xml:space="preserve">for each destination region </w:t>
      </w:r>
      <w:r w:rsidRPr="004035E1">
        <w:t xml:space="preserve">using </w:t>
      </w:r>
      <w:r w:rsidR="00EA56EC" w:rsidRPr="004035E1">
        <w:t xml:space="preserve">an </w:t>
      </w:r>
      <w:r w:rsidRPr="004035E1">
        <w:t>absolute percentage error (MAPE) statistic</w:t>
      </w:r>
      <w:r w:rsidR="00EA56EC" w:rsidRPr="004035E1">
        <w:t>,</w:t>
      </w:r>
      <w:r w:rsidRPr="004035E1">
        <w:t xml:space="preserve"> and </w:t>
      </w:r>
      <w:r w:rsidR="00EA56EC" w:rsidRPr="004035E1">
        <w:t xml:space="preserve">then compute </w:t>
      </w:r>
      <w:r w:rsidRPr="004035E1">
        <w:t>a weighted mean absolute percentage error (MAPE) statistic</w:t>
      </w:r>
      <w:r w:rsidR="00EA56EC" w:rsidRPr="004035E1">
        <w:t xml:space="preserve"> (</w:t>
      </w:r>
      <w:r w:rsidRPr="004035E1">
        <w:t xml:space="preserve">which is the MAPE for each </w:t>
      </w:r>
      <w:r w:rsidR="00EA56EC" w:rsidRPr="004035E1">
        <w:t xml:space="preserve">destination region </w:t>
      </w:r>
      <w:r w:rsidRPr="004035E1">
        <w:t xml:space="preserve">weighted by the actual percentage </w:t>
      </w:r>
      <w:r w:rsidR="00EA56EC" w:rsidRPr="004035E1">
        <w:t>draw to that destination region</w:t>
      </w:r>
      <w:r w:rsidRPr="004035E1">
        <w:t xml:space="preserve">). </w:t>
      </w:r>
    </w:p>
    <w:p w:rsidR="00B95432" w:rsidRPr="004035E1" w:rsidRDefault="000F6C17" w:rsidP="004035E1">
      <w:pPr>
        <w:spacing w:line="276" w:lineRule="auto"/>
        <w:ind w:firstLine="720"/>
        <w:jc w:val="both"/>
        <w:rPr>
          <w:bCs/>
        </w:rPr>
      </w:pPr>
      <w:r w:rsidRPr="004035E1">
        <w:rPr>
          <w:bCs/>
        </w:rPr>
        <w:t xml:space="preserve">In terms of the results, the average probability of correct prediction </w:t>
      </w:r>
      <w:r w:rsidR="0018160F" w:rsidRPr="004035E1">
        <w:rPr>
          <w:bCs/>
        </w:rPr>
        <w:t xml:space="preserve">at the multivariate count level is 0.3154 </w:t>
      </w:r>
      <w:r w:rsidR="00EA56EC" w:rsidRPr="004035E1">
        <w:rPr>
          <w:bCs/>
        </w:rPr>
        <w:t>f</w:t>
      </w:r>
      <w:r w:rsidR="0018160F" w:rsidRPr="004035E1">
        <w:rPr>
          <w:bCs/>
        </w:rPr>
        <w:t>or the unlinked model and 0.3</w:t>
      </w:r>
      <w:r w:rsidR="00523098">
        <w:rPr>
          <w:bCs/>
        </w:rPr>
        <w:t>715</w:t>
      </w:r>
      <w:r w:rsidR="0018160F" w:rsidRPr="004035E1">
        <w:rPr>
          <w:bCs/>
        </w:rPr>
        <w:t xml:space="preserve"> for our proposed linked model. This average probability may also be computed separately for the zero counts and for the non-zero counts. The </w:t>
      </w:r>
      <w:r w:rsidR="00EB6E77">
        <w:rPr>
          <w:bCs/>
        </w:rPr>
        <w:t xml:space="preserve">average probability of </w:t>
      </w:r>
      <w:r w:rsidR="0018160F" w:rsidRPr="004035E1">
        <w:rPr>
          <w:bCs/>
        </w:rPr>
        <w:t>correct pr</w:t>
      </w:r>
      <w:r w:rsidR="00EB6E77">
        <w:rPr>
          <w:bCs/>
        </w:rPr>
        <w:t xml:space="preserve">ediction for </w:t>
      </w:r>
      <w:r w:rsidR="0018160F" w:rsidRPr="004035E1">
        <w:rPr>
          <w:bCs/>
        </w:rPr>
        <w:t>zero counts is 0.5440 for the unlinked model and is 0.</w:t>
      </w:r>
      <w:r w:rsidR="00AD183F">
        <w:rPr>
          <w:bCs/>
        </w:rPr>
        <w:t>5478</w:t>
      </w:r>
      <w:r w:rsidR="0018160F" w:rsidRPr="004035E1">
        <w:rPr>
          <w:bCs/>
        </w:rPr>
        <w:t xml:space="preserve"> for the linked model</w:t>
      </w:r>
      <w:r w:rsidR="009D43A1" w:rsidRPr="004035E1">
        <w:rPr>
          <w:bCs/>
        </w:rPr>
        <w:t>, indicating that</w:t>
      </w:r>
      <w:r w:rsidR="0018160F" w:rsidRPr="004035E1">
        <w:rPr>
          <w:bCs/>
        </w:rPr>
        <w:t xml:space="preserve"> </w:t>
      </w:r>
      <w:r w:rsidR="00C5107F" w:rsidRPr="004035E1">
        <w:rPr>
          <w:bCs/>
        </w:rPr>
        <w:t xml:space="preserve">the linked count model does </w:t>
      </w:r>
      <w:r w:rsidR="00AD183F">
        <w:rPr>
          <w:bCs/>
        </w:rPr>
        <w:t>marginally</w:t>
      </w:r>
      <w:r w:rsidR="00C5107F" w:rsidRPr="004035E1">
        <w:rPr>
          <w:bCs/>
        </w:rPr>
        <w:t xml:space="preserve"> better in predicting zero counts</w:t>
      </w:r>
      <w:r w:rsidR="009D43A1" w:rsidRPr="004035E1">
        <w:rPr>
          <w:bCs/>
        </w:rPr>
        <w:t xml:space="preserve"> at the individual level</w:t>
      </w:r>
      <w:r w:rsidR="00AD183F">
        <w:rPr>
          <w:bCs/>
        </w:rPr>
        <w:t>.</w:t>
      </w:r>
      <w:r w:rsidR="00C5107F" w:rsidRPr="004035E1">
        <w:rPr>
          <w:bCs/>
        </w:rPr>
        <w:t xml:space="preserve"> The corresponding</w:t>
      </w:r>
      <w:r w:rsidR="00527E59" w:rsidRPr="004035E1">
        <w:rPr>
          <w:bCs/>
        </w:rPr>
        <w:t xml:space="preserve"> </w:t>
      </w:r>
      <w:r w:rsidR="00EB6E77">
        <w:rPr>
          <w:bCs/>
        </w:rPr>
        <w:t xml:space="preserve">average </w:t>
      </w:r>
      <w:r w:rsidR="00C5107F" w:rsidRPr="004035E1">
        <w:rPr>
          <w:bCs/>
        </w:rPr>
        <w:t>probability of correct prediction for non-zero counts is 0.2570 for the unlinked model and 0.</w:t>
      </w:r>
      <w:r w:rsidR="00AD183F">
        <w:rPr>
          <w:bCs/>
        </w:rPr>
        <w:t>4890</w:t>
      </w:r>
      <w:r w:rsidR="00C5107F" w:rsidRPr="004035E1">
        <w:rPr>
          <w:bCs/>
        </w:rPr>
        <w:t xml:space="preserve"> for the linked model, </w:t>
      </w:r>
      <w:r w:rsidR="00AD183F">
        <w:rPr>
          <w:bCs/>
        </w:rPr>
        <w:t>showing the substantial improvement for non-zero counts. T</w:t>
      </w:r>
      <w:r w:rsidR="00AD183F" w:rsidRPr="004035E1">
        <w:rPr>
          <w:bCs/>
        </w:rPr>
        <w:t xml:space="preserve">his is because of the linkage from the destination choice stage to the trip generation count stage in </w:t>
      </w:r>
      <w:r w:rsidR="00AD183F">
        <w:rPr>
          <w:bCs/>
        </w:rPr>
        <w:t xml:space="preserve">our proposed </w:t>
      </w:r>
      <w:r w:rsidR="00AD183F" w:rsidRPr="004035E1">
        <w:rPr>
          <w:bCs/>
        </w:rPr>
        <w:t>model</w:t>
      </w:r>
      <w:r w:rsidR="00AD183F">
        <w:rPr>
          <w:bCs/>
        </w:rPr>
        <w:t>,</w:t>
      </w:r>
      <w:r w:rsidR="00C5107F" w:rsidRPr="004035E1">
        <w:rPr>
          <w:bCs/>
        </w:rPr>
        <w:t xml:space="preserve"> demonstrating the importance of linkage in predicting </w:t>
      </w:r>
      <w:r w:rsidR="00AD183F">
        <w:rPr>
          <w:bCs/>
        </w:rPr>
        <w:t>the multivariate counts</w:t>
      </w:r>
      <w:r w:rsidR="00C5107F" w:rsidRPr="004035E1">
        <w:rPr>
          <w:bCs/>
        </w:rPr>
        <w:t xml:space="preserve">. </w:t>
      </w:r>
    </w:p>
    <w:p w:rsidR="00A92723" w:rsidRPr="004035E1" w:rsidRDefault="000F6C17" w:rsidP="0091672F">
      <w:pPr>
        <w:spacing w:line="276" w:lineRule="auto"/>
        <w:ind w:firstLine="720"/>
        <w:jc w:val="both"/>
        <w:rPr>
          <w:bCs/>
        </w:rPr>
      </w:pPr>
      <w:r w:rsidRPr="004035E1">
        <w:rPr>
          <w:bCs/>
        </w:rPr>
        <w:t xml:space="preserve">Moving on to the </w:t>
      </w:r>
      <w:r w:rsidR="00EA56EC" w:rsidRPr="004035E1">
        <w:rPr>
          <w:bCs/>
        </w:rPr>
        <w:t xml:space="preserve">aggregate </w:t>
      </w:r>
      <w:r w:rsidRPr="004035E1">
        <w:rPr>
          <w:bCs/>
        </w:rPr>
        <w:t>predictions</w:t>
      </w:r>
      <w:r w:rsidR="00EA56EC" w:rsidRPr="004035E1">
        <w:rPr>
          <w:bCs/>
        </w:rPr>
        <w:t xml:space="preserve">, Table </w:t>
      </w:r>
      <w:r w:rsidR="00026A67">
        <w:rPr>
          <w:bCs/>
        </w:rPr>
        <w:t>7</w:t>
      </w:r>
      <w:r w:rsidR="00EA56EC" w:rsidRPr="004035E1">
        <w:rPr>
          <w:bCs/>
        </w:rPr>
        <w:t xml:space="preserve"> provides the actual numbers, the predictions, and the error statistics for the total number of visits to each of the nine destination regions, while Table </w:t>
      </w:r>
      <w:r w:rsidR="00026A67">
        <w:rPr>
          <w:bCs/>
        </w:rPr>
        <w:t>8</w:t>
      </w:r>
      <w:r w:rsidR="00EA56EC" w:rsidRPr="004035E1">
        <w:rPr>
          <w:bCs/>
        </w:rPr>
        <w:t xml:space="preserve"> provides the corresponding information for the </w:t>
      </w:r>
      <w:r w:rsidR="00FC1130">
        <w:rPr>
          <w:bCs/>
        </w:rPr>
        <w:t xml:space="preserve">distinct </w:t>
      </w:r>
      <w:r w:rsidR="00EA56EC" w:rsidRPr="004035E1">
        <w:rPr>
          <w:bCs/>
        </w:rPr>
        <w:t xml:space="preserve">number of individuals visiting each destination. Both the linked </w:t>
      </w:r>
      <w:r w:rsidR="00E11D72">
        <w:rPr>
          <w:bCs/>
        </w:rPr>
        <w:t xml:space="preserve">and unlinked </w:t>
      </w:r>
      <w:r w:rsidR="00EA56EC" w:rsidRPr="004035E1">
        <w:rPr>
          <w:bCs/>
        </w:rPr>
        <w:t xml:space="preserve">models do reasonably well </w:t>
      </w:r>
      <w:r w:rsidR="00A92723" w:rsidRPr="004035E1">
        <w:rPr>
          <w:bCs/>
        </w:rPr>
        <w:t xml:space="preserve">in the predictions, </w:t>
      </w:r>
      <w:r w:rsidR="009D43A1" w:rsidRPr="004035E1">
        <w:rPr>
          <w:bCs/>
        </w:rPr>
        <w:t xml:space="preserve">especially </w:t>
      </w:r>
      <w:r w:rsidR="00A92723" w:rsidRPr="004035E1">
        <w:rPr>
          <w:bCs/>
        </w:rPr>
        <w:t>given the unlabeled nature of the model. Of course, the models are not able to predict the very low number of counts to the Gisborne destination region, which suggests there are other regional factors unique to Gisborne that substantially reduce the draw to this eastern region of the island</w:t>
      </w:r>
      <w:r w:rsidR="00FC1130">
        <w:rPr>
          <w:bCs/>
        </w:rPr>
        <w:t xml:space="preserve"> (though the high APEs for Gisborne are also because of the very low actual counts for this region</w:t>
      </w:r>
      <w:r w:rsidR="001E5854">
        <w:rPr>
          <w:bCs/>
        </w:rPr>
        <w:t xml:space="preserve">; from an absolute error perspective, the predictions for “Bay of Plenty” are </w:t>
      </w:r>
      <w:r w:rsidR="001E5854">
        <w:rPr>
          <w:bCs/>
        </w:rPr>
        <w:lastRenderedPageBreak/>
        <w:t xml:space="preserve">the most </w:t>
      </w:r>
      <w:r w:rsidR="00EB6E77">
        <w:rPr>
          <w:bCs/>
        </w:rPr>
        <w:t>out of line</w:t>
      </w:r>
      <w:r w:rsidR="001E5854">
        <w:rPr>
          <w:bCs/>
        </w:rPr>
        <w:t>, both for total visits and for distinct individuals visiting, while the counts for Wellington are also quite substantially underpredicted</w:t>
      </w:r>
      <w:r w:rsidR="00FC1130">
        <w:rPr>
          <w:bCs/>
        </w:rPr>
        <w:t>)</w:t>
      </w:r>
      <w:r w:rsidR="00A92723" w:rsidRPr="004035E1">
        <w:rPr>
          <w:bCs/>
        </w:rPr>
        <w:t xml:space="preserve">. Overall, the linked model performs better </w:t>
      </w:r>
      <w:r w:rsidR="00150FF7">
        <w:rPr>
          <w:bCs/>
        </w:rPr>
        <w:t>than or at about the same level of accuracy as</w:t>
      </w:r>
      <w:r w:rsidR="00A92723" w:rsidRPr="004035E1">
        <w:rPr>
          <w:bCs/>
        </w:rPr>
        <w:t xml:space="preserve"> the unlinked model for both total visits and individuals visiting each of the nine regions, demonstrating not only the utility-theoretic value of the proposed model but also its empirical value. As can be observed, the weighted MAPE for total visits is 24.</w:t>
      </w:r>
      <w:r w:rsidR="00DB4E7C">
        <w:rPr>
          <w:bCs/>
        </w:rPr>
        <w:t>8</w:t>
      </w:r>
      <w:r w:rsidR="00A92723" w:rsidRPr="004035E1">
        <w:rPr>
          <w:bCs/>
        </w:rPr>
        <w:t xml:space="preserve">% for our proposed linked model compared to almost 30% for the unlinked model. The corresponding weighted MAPE for the </w:t>
      </w:r>
      <w:r w:rsidR="001E5854">
        <w:rPr>
          <w:bCs/>
        </w:rPr>
        <w:t xml:space="preserve">distinct </w:t>
      </w:r>
      <w:r w:rsidR="00A92723" w:rsidRPr="004035E1">
        <w:rPr>
          <w:bCs/>
        </w:rPr>
        <w:t>number of individuals visiting each destination is 21.</w:t>
      </w:r>
      <w:r w:rsidR="00DB4E7C">
        <w:rPr>
          <w:bCs/>
        </w:rPr>
        <w:t>3</w:t>
      </w:r>
      <w:r w:rsidR="00A92723" w:rsidRPr="004035E1">
        <w:rPr>
          <w:bCs/>
        </w:rPr>
        <w:t>% for our proposed linked model relative to 25.</w:t>
      </w:r>
      <w:r w:rsidR="00DB4E7C">
        <w:rPr>
          <w:bCs/>
        </w:rPr>
        <w:t>1</w:t>
      </w:r>
      <w:r w:rsidR="00A92723" w:rsidRPr="004035E1">
        <w:rPr>
          <w:bCs/>
        </w:rPr>
        <w:t xml:space="preserve">% for the unlinked model. </w:t>
      </w:r>
    </w:p>
    <w:p w:rsidR="00916214" w:rsidRDefault="001E5854" w:rsidP="001E5854">
      <w:pPr>
        <w:spacing w:line="276" w:lineRule="auto"/>
        <w:ind w:firstLine="720"/>
        <w:jc w:val="both"/>
      </w:pPr>
      <w:r>
        <w:t>In summary</w:t>
      </w:r>
      <w:r w:rsidR="000F6C17" w:rsidRPr="004035E1">
        <w:t xml:space="preserve">, the performance of the proposed model at the aggregate as well as disaggregate levels reinforces the </w:t>
      </w:r>
      <w:r w:rsidR="00412777" w:rsidRPr="004035E1">
        <w:t xml:space="preserve">value of expressly acknowledging the linkage between </w:t>
      </w:r>
      <w:r w:rsidR="009D43A1" w:rsidRPr="004035E1">
        <w:t xml:space="preserve">the </w:t>
      </w:r>
      <w:r w:rsidR="00412777" w:rsidRPr="004035E1">
        <w:t xml:space="preserve">destination region and trip generation decisions of individuals, as well as recognizing the multiple discreteness associated with leisure travel. </w:t>
      </w:r>
    </w:p>
    <w:p w:rsidR="009D43A1" w:rsidRPr="004035E1" w:rsidRDefault="009D43A1" w:rsidP="00916214">
      <w:pPr>
        <w:spacing w:line="276" w:lineRule="auto"/>
        <w:jc w:val="both"/>
      </w:pPr>
    </w:p>
    <w:p w:rsidR="009D43A1" w:rsidRPr="004035E1" w:rsidRDefault="009D43A1" w:rsidP="00916214">
      <w:pPr>
        <w:numPr>
          <w:ilvl w:val="0"/>
          <w:numId w:val="11"/>
        </w:numPr>
        <w:spacing w:line="276" w:lineRule="auto"/>
        <w:ind w:left="360"/>
        <w:jc w:val="both"/>
        <w:rPr>
          <w:b/>
          <w:caps/>
        </w:rPr>
      </w:pPr>
      <w:r w:rsidRPr="004035E1">
        <w:rPr>
          <w:b/>
          <w:caps/>
        </w:rPr>
        <w:t>Conclusions</w:t>
      </w:r>
    </w:p>
    <w:p w:rsidR="00120068" w:rsidRPr="004035E1" w:rsidRDefault="00120068" w:rsidP="004035E1">
      <w:pPr>
        <w:spacing w:line="276" w:lineRule="auto"/>
        <w:jc w:val="both"/>
      </w:pPr>
      <w:r w:rsidRPr="004035E1">
        <w:t xml:space="preserve">Multivariate count </w:t>
      </w:r>
      <w:r w:rsidR="0059433B" w:rsidRPr="004035E1">
        <w:t xml:space="preserve">data </w:t>
      </w:r>
      <w:r w:rsidRPr="004035E1">
        <w:t xml:space="preserve">models are applied routinely in many fields, including tourism, environmental economics, transportation, and biostatistics, just to name a few. </w:t>
      </w:r>
      <w:r w:rsidR="0059433B" w:rsidRPr="004035E1">
        <w:t xml:space="preserve">Such models </w:t>
      </w:r>
      <w:r w:rsidRPr="004035E1">
        <w:t xml:space="preserve">expressly recognize the positive integer nature of count data. </w:t>
      </w:r>
      <w:r w:rsidR="0059433B" w:rsidRPr="004035E1">
        <w:t xml:space="preserve">This makes it difficult to apply models based on KKT first order conditions, which are suitable for continuous dependent variables, but not integer count variables. As a result, the literature has employed models based on discrete distributions or based on a vertical accumulation approach. </w:t>
      </w:r>
      <w:r w:rsidRPr="004035E1">
        <w:t xml:space="preserve"> </w:t>
      </w:r>
      <w:r w:rsidR="0059433B" w:rsidRPr="004035E1">
        <w:t xml:space="preserve">However, such methods do not </w:t>
      </w:r>
      <w:r w:rsidRPr="004035E1">
        <w:t>adequately consider the possibility that the multi</w:t>
      </w:r>
      <w:r w:rsidR="0059433B" w:rsidRPr="004035E1">
        <w:t xml:space="preserve">variate count </w:t>
      </w:r>
      <w:r w:rsidRPr="004035E1">
        <w:t xml:space="preserve">observations may originate from a “horizontal” choice of multiple alternatives that are viewed as being imperfect substitutes of one another. </w:t>
      </w:r>
      <w:r w:rsidR="00410AAD" w:rsidRPr="004035E1">
        <w:t xml:space="preserve">That is, </w:t>
      </w:r>
      <w:r w:rsidRPr="004035E1">
        <w:t xml:space="preserve">there </w:t>
      </w:r>
      <w:r w:rsidR="00410AAD" w:rsidRPr="004035E1">
        <w:t xml:space="preserve">may be </w:t>
      </w:r>
      <w:r w:rsidRPr="004035E1">
        <w:t xml:space="preserve">an intentional and purposeful “horizontal at-once” choice process at play right from the outset in </w:t>
      </w:r>
      <w:r w:rsidR="00410AAD" w:rsidRPr="004035E1">
        <w:t xml:space="preserve">many product group </w:t>
      </w:r>
      <w:r w:rsidRPr="004035E1">
        <w:t>consumption patterns that reflects satiation behavior, based on the recognition that different alternatives serve different functionalities and provide different kinds of utility “arousal”</w:t>
      </w:r>
      <w:r w:rsidR="00410AAD" w:rsidRPr="004035E1">
        <w:t>.</w:t>
      </w:r>
      <w:r w:rsidRPr="004035E1">
        <w:t xml:space="preserve"> </w:t>
      </w:r>
    </w:p>
    <w:p w:rsidR="009D43A1" w:rsidRPr="004035E1" w:rsidRDefault="00410AAD" w:rsidP="004035E1">
      <w:pPr>
        <w:spacing w:line="276" w:lineRule="auto"/>
        <w:ind w:firstLine="720"/>
        <w:jc w:val="both"/>
      </w:pPr>
      <w:r w:rsidRPr="004035E1">
        <w:t xml:space="preserve">In this paper, we have proposed </w:t>
      </w:r>
      <w:r w:rsidR="00120068" w:rsidRPr="004035E1">
        <w:t xml:space="preserve">a new </w:t>
      </w:r>
      <w:r w:rsidRPr="004035E1">
        <w:t xml:space="preserve">utility-theoretic two-stage budgeting-based </w:t>
      </w:r>
      <w:r w:rsidR="00120068" w:rsidRPr="004035E1">
        <w:t>econometric multiple discrete-count model</w:t>
      </w:r>
      <w:r w:rsidRPr="004035E1">
        <w:t xml:space="preserve"> based on the linking of a </w:t>
      </w:r>
      <w:r w:rsidR="00120068" w:rsidRPr="004035E1">
        <w:t>fractional split MDCEV model component</w:t>
      </w:r>
      <w:r w:rsidRPr="004035E1">
        <w:t xml:space="preserve"> with a </w:t>
      </w:r>
      <w:r w:rsidR="00120068" w:rsidRPr="004035E1">
        <w:t>total count model</w:t>
      </w:r>
      <w:r w:rsidR="006A540D">
        <w:t xml:space="preserve"> component</w:t>
      </w:r>
      <w:r w:rsidR="00120068" w:rsidRPr="004035E1">
        <w:t xml:space="preserve">. </w:t>
      </w:r>
      <w:r w:rsidR="007C06C1" w:rsidRPr="004035E1">
        <w:t xml:space="preserve">Through the specification of a reverse-Gumbel error specification for the random terms in the MDCEV component and the </w:t>
      </w:r>
      <w:r w:rsidR="00120068" w:rsidRPr="004035E1">
        <w:t>GOR framework of the total count model</w:t>
      </w:r>
      <w:r w:rsidR="007C06C1" w:rsidRPr="004035E1">
        <w:t xml:space="preserve">, </w:t>
      </w:r>
      <w:r w:rsidR="00120068" w:rsidRPr="004035E1">
        <w:t>we obtain a multiple discrete-count extreme value (MDCNTEV) model</w:t>
      </w:r>
      <w:r w:rsidR="007C06C1" w:rsidRPr="004035E1">
        <w:t xml:space="preserve"> that has a closed-form probability expression for the multivariate counts and </w:t>
      </w:r>
      <w:r w:rsidR="006A540D">
        <w:t xml:space="preserve">that </w:t>
      </w:r>
      <w:r w:rsidR="007C06C1" w:rsidRPr="004035E1">
        <w:t xml:space="preserve">is estimable using straightforward maximum likelihood estimation. </w:t>
      </w:r>
      <w:r w:rsidR="009D43A1" w:rsidRPr="004035E1">
        <w:t xml:space="preserve">An application of the proposed model </w:t>
      </w:r>
      <w:r w:rsidR="00883D8A" w:rsidRPr="004035E1">
        <w:t xml:space="preserve">is demonstrated in the context of individuals’ multivariate count of recreational episodes to each of multiple possible tourism destination locations. The results highlight the promise of the proposed model for a variety of multivariate count consumer choice settings. </w:t>
      </w:r>
      <w:r w:rsidR="0035003B" w:rsidRPr="004035E1">
        <w:t xml:space="preserve">The model can also serve as a base model over which </w:t>
      </w:r>
      <w:r w:rsidR="001E2602" w:rsidRPr="004035E1">
        <w:t xml:space="preserve">random heterogeneity </w:t>
      </w:r>
      <w:r w:rsidR="0035003B" w:rsidRPr="004035E1">
        <w:t xml:space="preserve">may be </w:t>
      </w:r>
      <w:r w:rsidR="006A540D">
        <w:t xml:space="preserve">superimposed </w:t>
      </w:r>
      <w:r w:rsidR="0035003B" w:rsidRPr="004035E1">
        <w:t xml:space="preserve">to </w:t>
      </w:r>
      <w:r w:rsidR="006A540D">
        <w:t>specify</w:t>
      </w:r>
      <w:r w:rsidR="0035003B" w:rsidRPr="004035E1">
        <w:t xml:space="preserve"> more advanced models. More generally, it would be interesting to undertake a deeper analysis on when </w:t>
      </w:r>
      <w:r w:rsidR="004035E1" w:rsidRPr="004035E1">
        <w:t xml:space="preserve">a vertical choice approach may be more appropriate and when a horizontal choice </w:t>
      </w:r>
      <w:r w:rsidR="004035E1" w:rsidRPr="004035E1">
        <w:lastRenderedPageBreak/>
        <w:t xml:space="preserve">approach may be more appropriate for multivariate count modeling. The author and his students are currently undertaking further investigations along these lines. </w:t>
      </w:r>
    </w:p>
    <w:p w:rsidR="009D43A1" w:rsidRPr="004035E1" w:rsidRDefault="009D43A1" w:rsidP="004035E1">
      <w:pPr>
        <w:spacing w:line="276" w:lineRule="auto"/>
        <w:jc w:val="both"/>
      </w:pPr>
    </w:p>
    <w:p w:rsidR="009D43A1" w:rsidRPr="004035E1" w:rsidRDefault="009D43A1" w:rsidP="004035E1">
      <w:pPr>
        <w:spacing w:line="276" w:lineRule="auto"/>
        <w:jc w:val="both"/>
        <w:rPr>
          <w:b/>
        </w:rPr>
      </w:pPr>
      <w:r w:rsidRPr="004035E1">
        <w:rPr>
          <w:b/>
        </w:rPr>
        <w:t>ACKNOWLEDGMENTS</w:t>
      </w:r>
    </w:p>
    <w:p w:rsidR="009D43A1" w:rsidRDefault="009D43A1" w:rsidP="004035E1">
      <w:pPr>
        <w:spacing w:line="276" w:lineRule="auto"/>
        <w:jc w:val="both"/>
        <w:rPr>
          <w:color w:val="000000"/>
        </w:rPr>
      </w:pPr>
      <w:r w:rsidRPr="004035E1">
        <w:t>The author is grateful to Lisa Macias for her help in formatting this document</w:t>
      </w:r>
      <w:r w:rsidRPr="004035E1">
        <w:rPr>
          <w:color w:val="000000"/>
        </w:rPr>
        <w:t xml:space="preserve">. </w:t>
      </w:r>
      <w:r w:rsidR="001E5854">
        <w:rPr>
          <w:color w:val="000000"/>
        </w:rPr>
        <w:t xml:space="preserve">Sebastian Astroza helped with data compilation efforts. </w:t>
      </w:r>
      <w:r w:rsidR="00A43457">
        <w:rPr>
          <w:color w:val="000000"/>
        </w:rPr>
        <w:t xml:space="preserve">The author would like to thank two anonymous reviewers for valuable comments. </w:t>
      </w:r>
    </w:p>
    <w:p w:rsidR="00AD48B0" w:rsidRPr="004035E1" w:rsidRDefault="00AD48B0" w:rsidP="004035E1">
      <w:pPr>
        <w:spacing w:line="276" w:lineRule="auto"/>
        <w:jc w:val="both"/>
      </w:pPr>
    </w:p>
    <w:p w:rsidR="00811865" w:rsidRDefault="00811865" w:rsidP="003D3477">
      <w:pPr>
        <w:pStyle w:val="ListParagraph"/>
        <w:autoSpaceDE w:val="0"/>
        <w:autoSpaceDN w:val="0"/>
        <w:adjustRightInd w:val="0"/>
        <w:spacing w:after="80"/>
        <w:ind w:left="0"/>
        <w:jc w:val="both"/>
        <w:rPr>
          <w:rFonts w:ascii="Times New Roman" w:hAnsi="Times New Roman"/>
          <w:b/>
          <w:sz w:val="24"/>
          <w:szCs w:val="24"/>
        </w:rPr>
      </w:pPr>
      <w:r>
        <w:rPr>
          <w:rFonts w:ascii="Times New Roman" w:hAnsi="Times New Roman"/>
          <w:b/>
          <w:sz w:val="24"/>
          <w:szCs w:val="24"/>
        </w:rPr>
        <w:t>REFERENCES</w:t>
      </w:r>
    </w:p>
    <w:p w:rsidR="00811865" w:rsidRPr="002057E7" w:rsidRDefault="00811865" w:rsidP="003D3477">
      <w:pPr>
        <w:spacing w:line="276" w:lineRule="auto"/>
        <w:ind w:left="540" w:hanging="540"/>
        <w:jc w:val="both"/>
      </w:pPr>
      <w:bookmarkStart w:id="13" w:name="_Hlk103600408"/>
      <w:r w:rsidRPr="002057E7">
        <w:t xml:space="preserve">Bhat, C.R., 2005. A multiple discrete-continuous extreme value model: Formulation and application to discretionary time-use decisions. </w:t>
      </w:r>
      <w:r w:rsidRPr="002057E7">
        <w:rPr>
          <w:i/>
        </w:rPr>
        <w:t>Transportation Research Part B</w:t>
      </w:r>
      <w:r w:rsidRPr="002057E7">
        <w:t>, 39(8), 679-707.</w:t>
      </w:r>
    </w:p>
    <w:p w:rsidR="00403DBC" w:rsidRDefault="00811865" w:rsidP="003D3477">
      <w:pPr>
        <w:spacing w:line="276" w:lineRule="auto"/>
        <w:ind w:left="540" w:hanging="540"/>
        <w:jc w:val="both"/>
      </w:pPr>
      <w:r w:rsidRPr="002057E7">
        <w:t xml:space="preserve">Bhat, C.R., 2008. The multiple discrete-continuous extreme value (MDCEV) model: Role of utility function parameters, identification considerations, and model extensions. </w:t>
      </w:r>
      <w:r w:rsidRPr="002057E7">
        <w:rPr>
          <w:i/>
        </w:rPr>
        <w:t>Transportation Research Part B</w:t>
      </w:r>
      <w:r w:rsidRPr="002057E7">
        <w:t>, 42(3), 274-303.</w:t>
      </w:r>
    </w:p>
    <w:p w:rsidR="000F59BC" w:rsidRDefault="00403DBC" w:rsidP="003D3477">
      <w:pPr>
        <w:spacing w:line="276" w:lineRule="auto"/>
        <w:ind w:left="540" w:hanging="540"/>
        <w:jc w:val="both"/>
      </w:pPr>
      <w:r w:rsidRPr="00403DBC">
        <w:t xml:space="preserve">Bhat, C.R., 2022. A </w:t>
      </w:r>
      <w:r>
        <w:t>n</w:t>
      </w:r>
      <w:r w:rsidRPr="00403DBC">
        <w:t xml:space="preserve">ew </w:t>
      </w:r>
      <w:r>
        <w:t>c</w:t>
      </w:r>
      <w:r w:rsidRPr="00403DBC">
        <w:t>losed-</w:t>
      </w:r>
      <w:r>
        <w:t>f</w:t>
      </w:r>
      <w:r w:rsidRPr="00403DBC">
        <w:t xml:space="preserve">orm </w:t>
      </w:r>
      <w:r>
        <w:t>t</w:t>
      </w:r>
      <w:r w:rsidRPr="00403DBC">
        <w:t>wo-</w:t>
      </w:r>
      <w:r>
        <w:t>s</w:t>
      </w:r>
      <w:r w:rsidRPr="00403DBC">
        <w:t xml:space="preserve">tage </w:t>
      </w:r>
      <w:r>
        <w:t>b</w:t>
      </w:r>
      <w:r w:rsidRPr="00403DBC">
        <w:t>udgeting-</w:t>
      </w:r>
      <w:r>
        <w:t>b</w:t>
      </w:r>
      <w:r w:rsidRPr="00403DBC">
        <w:t xml:space="preserve">ased </w:t>
      </w:r>
      <w:r>
        <w:t>m</w:t>
      </w:r>
      <w:r w:rsidRPr="00403DBC">
        <w:t xml:space="preserve">ultiple </w:t>
      </w:r>
      <w:r>
        <w:t>d</w:t>
      </w:r>
      <w:r w:rsidRPr="00403DBC">
        <w:t>iscrete-</w:t>
      </w:r>
      <w:r>
        <w:t>c</w:t>
      </w:r>
      <w:r w:rsidRPr="00403DBC">
        <w:t xml:space="preserve">ontinuous </w:t>
      </w:r>
      <w:r>
        <w:t>m</w:t>
      </w:r>
      <w:r w:rsidRPr="00403DBC">
        <w:t>odel. Technical paper, Department of Civil, Architectural and Environmental Engineering, The University of Texas at Austin.</w:t>
      </w:r>
    </w:p>
    <w:p w:rsidR="00403DBC" w:rsidRPr="00403DBC" w:rsidRDefault="00040200" w:rsidP="003D3477">
      <w:pPr>
        <w:spacing w:line="276" w:lineRule="auto"/>
        <w:ind w:left="540" w:hanging="540"/>
        <w:jc w:val="both"/>
      </w:pPr>
      <w:r w:rsidRPr="00A071C3">
        <w:t xml:space="preserve">Bhat, C.R., Castro, M., </w:t>
      </w:r>
      <w:r>
        <w:t>and</w:t>
      </w:r>
      <w:r w:rsidRPr="00A071C3">
        <w:t xml:space="preserve"> Khan, M.</w:t>
      </w:r>
      <w:r>
        <w:t xml:space="preserve">, </w:t>
      </w:r>
      <w:r w:rsidRPr="00A071C3">
        <w:t xml:space="preserve">2013. A </w:t>
      </w:r>
      <w:r>
        <w:t>n</w:t>
      </w:r>
      <w:r w:rsidRPr="00A071C3">
        <w:t xml:space="preserve">ew </w:t>
      </w:r>
      <w:r>
        <w:t>e</w:t>
      </w:r>
      <w:r w:rsidRPr="00A071C3">
        <w:t xml:space="preserve">stimation </w:t>
      </w:r>
      <w:r>
        <w:t>a</w:t>
      </w:r>
      <w:r w:rsidRPr="00A071C3">
        <w:t xml:space="preserve">pproach for the </w:t>
      </w:r>
      <w:r>
        <w:t>m</w:t>
      </w:r>
      <w:r w:rsidRPr="00A071C3">
        <w:t xml:space="preserve">ultiple </w:t>
      </w:r>
      <w:r>
        <w:t>d</w:t>
      </w:r>
      <w:r w:rsidRPr="00A071C3">
        <w:t>iscrete-</w:t>
      </w:r>
      <w:r>
        <w:t>c</w:t>
      </w:r>
      <w:r w:rsidRPr="00A071C3">
        <w:t xml:space="preserve">ontinuous </w:t>
      </w:r>
      <w:r>
        <w:t>p</w:t>
      </w:r>
      <w:r w:rsidRPr="00A071C3">
        <w:t xml:space="preserve">robit (MDCP) </w:t>
      </w:r>
      <w:r>
        <w:t>c</w:t>
      </w:r>
      <w:r w:rsidRPr="00A071C3">
        <w:t xml:space="preserve">hoice </w:t>
      </w:r>
      <w:r>
        <w:t>m</w:t>
      </w:r>
      <w:r w:rsidRPr="00A071C3">
        <w:t xml:space="preserve">odel. </w:t>
      </w:r>
      <w:r w:rsidRPr="00A071C3">
        <w:rPr>
          <w:i/>
        </w:rPr>
        <w:t>Transportation Research Part B</w:t>
      </w:r>
      <w:r w:rsidRPr="00A071C3">
        <w:t>, 55, 1</w:t>
      </w:r>
      <w:r>
        <w:t>-</w:t>
      </w:r>
      <w:r w:rsidRPr="00A071C3">
        <w:t>22.</w:t>
      </w:r>
      <w:r w:rsidR="000F59BC" w:rsidRPr="000F59BC">
        <w:t> </w:t>
      </w:r>
    </w:p>
    <w:p w:rsidR="000D0F61" w:rsidRDefault="00811865" w:rsidP="003D3477">
      <w:pPr>
        <w:spacing w:line="276" w:lineRule="auto"/>
        <w:ind w:left="540" w:hanging="540"/>
        <w:jc w:val="both"/>
      </w:pPr>
      <w:r w:rsidRPr="002057E7">
        <w:t>Bhat, C.R., Paleti, R., and Castro, M., 2015. A new utility-consistent econometric approach to multivariate count data modeling. </w:t>
      </w:r>
      <w:r w:rsidRPr="002057E7">
        <w:rPr>
          <w:i/>
        </w:rPr>
        <w:t>Journal of Applied Econometrics</w:t>
      </w:r>
      <w:r w:rsidRPr="002057E7">
        <w:t>, 30(5), 806-825.</w:t>
      </w:r>
    </w:p>
    <w:p w:rsidR="00B215AD" w:rsidRPr="000D0F61" w:rsidRDefault="00B215AD" w:rsidP="003D3477">
      <w:pPr>
        <w:spacing w:line="276" w:lineRule="auto"/>
        <w:ind w:left="540" w:hanging="540"/>
        <w:jc w:val="both"/>
      </w:pPr>
      <w:r w:rsidRPr="000D0F61">
        <w:t xml:space="preserve">Bhat, C.R., Astroza, S., Bhat, A.C., and Nagel, K., 2016a. Incorporating a multiple discrete-continuous outcome in the generalized heterogeneous data model: </w:t>
      </w:r>
      <w:r w:rsidR="000D0F61">
        <w:t>A</w:t>
      </w:r>
      <w:r w:rsidRPr="000D0F61">
        <w:t>pplication to residential self-selection effects analysis in an activity time-use behavior model</w:t>
      </w:r>
      <w:r w:rsidR="000D0F61">
        <w:t>.</w:t>
      </w:r>
      <w:r w:rsidRPr="000D0F61">
        <w:t> </w:t>
      </w:r>
      <w:r w:rsidRPr="000D0F61">
        <w:rPr>
          <w:i/>
        </w:rPr>
        <w:t>Transportation Research Part B</w:t>
      </w:r>
      <w:r w:rsidRPr="000D0F61">
        <w:t>, 91, 52-76.</w:t>
      </w:r>
    </w:p>
    <w:p w:rsidR="006E45EC" w:rsidRDefault="00811865" w:rsidP="003D3477">
      <w:pPr>
        <w:spacing w:line="276" w:lineRule="auto"/>
        <w:ind w:left="540" w:hanging="540"/>
        <w:jc w:val="both"/>
      </w:pPr>
      <w:r w:rsidRPr="002057E7">
        <w:t>Bhat, C.R., Astroza, S., and Bhat, A.C., 2016</w:t>
      </w:r>
      <w:r w:rsidR="00B215AD">
        <w:t>b</w:t>
      </w:r>
      <w:r w:rsidRPr="002057E7">
        <w:t>. On allowing a general form for unobserved heterogeneity in the multiple discrete-continuous probit model: Formulation and application to tourism travel. </w:t>
      </w:r>
      <w:r w:rsidRPr="002057E7">
        <w:rPr>
          <w:i/>
        </w:rPr>
        <w:t>Transportation Research Part B</w:t>
      </w:r>
      <w:r w:rsidRPr="002057E7">
        <w:t>, 86, 223-249.</w:t>
      </w:r>
    </w:p>
    <w:p w:rsidR="003D31F4" w:rsidRDefault="00040200" w:rsidP="003D3477">
      <w:pPr>
        <w:spacing w:line="276" w:lineRule="auto"/>
        <w:ind w:left="540" w:hanging="540"/>
        <w:jc w:val="both"/>
      </w:pPr>
      <w:r w:rsidRPr="00A071C3">
        <w:t xml:space="preserve">Bhat, C.R., Mondal, </w:t>
      </w:r>
      <w:r>
        <w:t xml:space="preserve">A., </w:t>
      </w:r>
      <w:r w:rsidRPr="00A071C3">
        <w:t>Pinjari, A.R.</w:t>
      </w:r>
      <w:r>
        <w:t xml:space="preserve">, </w:t>
      </w:r>
      <w:r w:rsidRPr="00A071C3">
        <w:t>Saxena, S.</w:t>
      </w:r>
      <w:r>
        <w:t xml:space="preserve">, </w:t>
      </w:r>
      <w:r w:rsidRPr="00A071C3">
        <w:t>and Pendyala</w:t>
      </w:r>
      <w:r>
        <w:t>,</w:t>
      </w:r>
      <w:r w:rsidRPr="00CF1F31">
        <w:t xml:space="preserve"> </w:t>
      </w:r>
      <w:r w:rsidRPr="00A071C3">
        <w:t>R.M.</w:t>
      </w:r>
      <w:r>
        <w:t xml:space="preserve">, </w:t>
      </w:r>
      <w:r w:rsidRPr="00A071C3">
        <w:t>2022</w:t>
      </w:r>
      <w:r>
        <w:t xml:space="preserve">. </w:t>
      </w:r>
      <w:r w:rsidRPr="00A071C3">
        <w:t xml:space="preserve">A </w:t>
      </w:r>
      <w:r>
        <w:t>m</w:t>
      </w:r>
      <w:r w:rsidRPr="00A071C3">
        <w:t xml:space="preserve">ultiple </w:t>
      </w:r>
      <w:r>
        <w:t>d</w:t>
      </w:r>
      <w:r w:rsidRPr="00A071C3">
        <w:t xml:space="preserve">iscrete </w:t>
      </w:r>
      <w:r>
        <w:t>c</w:t>
      </w:r>
      <w:r w:rsidRPr="00A071C3">
        <w:t xml:space="preserve">ontinuous </w:t>
      </w:r>
      <w:r>
        <w:t>e</w:t>
      </w:r>
      <w:r w:rsidRPr="00A071C3">
        <w:t xml:space="preserve">xtreme </w:t>
      </w:r>
      <w:r>
        <w:t>v</w:t>
      </w:r>
      <w:r w:rsidRPr="00A071C3">
        <w:t xml:space="preserve">alue </w:t>
      </w:r>
      <w:r>
        <w:t>c</w:t>
      </w:r>
      <w:r w:rsidRPr="00A071C3">
        <w:t xml:space="preserve">hoice (MDCEV) </w:t>
      </w:r>
      <w:r>
        <w:t>m</w:t>
      </w:r>
      <w:r w:rsidRPr="00A071C3">
        <w:t xml:space="preserve">odel with a </w:t>
      </w:r>
      <w:r>
        <w:t>l</w:t>
      </w:r>
      <w:r w:rsidRPr="00A071C3">
        <w:t xml:space="preserve">inear </w:t>
      </w:r>
      <w:r>
        <w:t>u</w:t>
      </w:r>
      <w:r w:rsidRPr="00A071C3">
        <w:t xml:space="preserve">tility </w:t>
      </w:r>
      <w:r>
        <w:t>p</w:t>
      </w:r>
      <w:r w:rsidRPr="00A071C3">
        <w:t xml:space="preserve">rofile for the </w:t>
      </w:r>
      <w:r>
        <w:t>o</w:t>
      </w:r>
      <w:r w:rsidRPr="00A071C3">
        <w:t xml:space="preserve">utside </w:t>
      </w:r>
      <w:r>
        <w:t>g</w:t>
      </w:r>
      <w:r w:rsidRPr="00A071C3">
        <w:t xml:space="preserve">ood </w:t>
      </w:r>
      <w:r>
        <w:t>r</w:t>
      </w:r>
      <w:r w:rsidRPr="00A071C3">
        <w:t xml:space="preserve">ecognizing </w:t>
      </w:r>
      <w:r>
        <w:t>p</w:t>
      </w:r>
      <w:r w:rsidRPr="00A071C3">
        <w:t xml:space="preserve">ositive </w:t>
      </w:r>
      <w:r>
        <w:t>c</w:t>
      </w:r>
      <w:r w:rsidRPr="00A071C3">
        <w:t xml:space="preserve">onsumption </w:t>
      </w:r>
      <w:r>
        <w:t>c</w:t>
      </w:r>
      <w:r w:rsidRPr="00A071C3">
        <w:t>onstraints</w:t>
      </w:r>
      <w:r>
        <w:t>.</w:t>
      </w:r>
      <w:r w:rsidRPr="00A071C3">
        <w:t> </w:t>
      </w:r>
      <w:r w:rsidRPr="00CF1F31">
        <w:rPr>
          <w:i/>
        </w:rPr>
        <w:t>Transportation Research Part B</w:t>
      </w:r>
      <w:r w:rsidRPr="00A071C3">
        <w:t>, 156, 28-49.</w:t>
      </w:r>
    </w:p>
    <w:p w:rsidR="0002083A" w:rsidRPr="00A802E7" w:rsidRDefault="0002083A" w:rsidP="003D3477">
      <w:pPr>
        <w:spacing w:line="276" w:lineRule="auto"/>
        <w:ind w:left="540" w:hanging="540"/>
        <w:jc w:val="both"/>
      </w:pPr>
      <w:r w:rsidRPr="00A802E7">
        <w:t>Blackorby, C., Primont, D. and Russell, R.</w:t>
      </w:r>
      <w:r w:rsidR="007B197E">
        <w:t xml:space="preserve">, </w:t>
      </w:r>
      <w:r w:rsidRPr="00A802E7">
        <w:t>1978</w:t>
      </w:r>
      <w:r w:rsidR="007B197E">
        <w:t>.</w:t>
      </w:r>
      <w:r w:rsidRPr="00A802E7">
        <w:t xml:space="preserve"> </w:t>
      </w:r>
      <w:r w:rsidRPr="007B197E">
        <w:rPr>
          <w:i/>
        </w:rPr>
        <w:t>Duality, Separability and Functional Structure</w:t>
      </w:r>
      <w:r w:rsidR="007B197E" w:rsidRPr="007B197E">
        <w:rPr>
          <w:i/>
        </w:rPr>
        <w:t>; Theory and Applications</w:t>
      </w:r>
      <w:r w:rsidRPr="00A802E7">
        <w:t>, American</w:t>
      </w:r>
      <w:r>
        <w:t xml:space="preserve"> </w:t>
      </w:r>
      <w:r w:rsidRPr="00A802E7">
        <w:t>Elsevier, New York.</w:t>
      </w:r>
    </w:p>
    <w:p w:rsidR="0062197D" w:rsidRPr="0062197D" w:rsidRDefault="0062197D" w:rsidP="003D3477">
      <w:pPr>
        <w:spacing w:line="276" w:lineRule="auto"/>
        <w:ind w:left="540" w:hanging="540"/>
        <w:jc w:val="both"/>
      </w:pPr>
      <w:r w:rsidRPr="0062197D">
        <w:t>Camargo, B., Iberri, L., Llano, R., and Lozano, M., 2021. New perspectives on family tourism: Motivations, travel behavior and experiences of single-parent families. Proceedings of the 2021 TTRA Canada Virtual Conference</w:t>
      </w:r>
      <w:r>
        <w:t>.</w:t>
      </w:r>
    </w:p>
    <w:p w:rsidR="00B3621F" w:rsidRDefault="00C925EF" w:rsidP="003D3477">
      <w:pPr>
        <w:spacing w:line="276" w:lineRule="auto"/>
        <w:ind w:left="540" w:hanging="540"/>
        <w:jc w:val="both"/>
      </w:pPr>
      <w:r w:rsidRPr="006E45EC">
        <w:lastRenderedPageBreak/>
        <w:t xml:space="preserve">Castro, M., Paleti, </w:t>
      </w:r>
      <w:r w:rsidR="007B197E">
        <w:t xml:space="preserve">R., </w:t>
      </w:r>
      <w:r w:rsidRPr="006E45EC">
        <w:t>and Bhat</w:t>
      </w:r>
      <w:r w:rsidR="007B197E">
        <w:t xml:space="preserve">, C.R., </w:t>
      </w:r>
      <w:r w:rsidRPr="006E45EC">
        <w:t>2012</w:t>
      </w:r>
      <w:r w:rsidR="006E45EC">
        <w:t xml:space="preserve">. </w:t>
      </w:r>
      <w:r w:rsidRPr="006E45EC">
        <w:t xml:space="preserve">A </w:t>
      </w:r>
      <w:r w:rsidR="004129A7">
        <w:t>l</w:t>
      </w:r>
      <w:r w:rsidRPr="006E45EC">
        <w:t xml:space="preserve">atent </w:t>
      </w:r>
      <w:r w:rsidR="004129A7">
        <w:t>v</w:t>
      </w:r>
      <w:r w:rsidRPr="006E45EC">
        <w:t xml:space="preserve">ariable </w:t>
      </w:r>
      <w:r w:rsidR="004129A7">
        <w:t>r</w:t>
      </w:r>
      <w:r w:rsidRPr="006E45EC">
        <w:t xml:space="preserve">epresentation of </w:t>
      </w:r>
      <w:r w:rsidR="004129A7">
        <w:t>c</w:t>
      </w:r>
      <w:r w:rsidRPr="006E45EC">
        <w:t xml:space="preserve">ount </w:t>
      </w:r>
      <w:r w:rsidR="004129A7">
        <w:t>d</w:t>
      </w:r>
      <w:r w:rsidRPr="006E45EC">
        <w:t xml:space="preserve">ata </w:t>
      </w:r>
      <w:r w:rsidR="004129A7">
        <w:t>m</w:t>
      </w:r>
      <w:r w:rsidRPr="006E45EC">
        <w:t xml:space="preserve">odels to </w:t>
      </w:r>
      <w:r w:rsidR="004129A7">
        <w:t>a</w:t>
      </w:r>
      <w:r w:rsidRPr="006E45EC">
        <w:t xml:space="preserve">ccommodate </w:t>
      </w:r>
      <w:r w:rsidR="004129A7">
        <w:t>s</w:t>
      </w:r>
      <w:r w:rsidRPr="006E45EC">
        <w:t xml:space="preserve">patial and </w:t>
      </w:r>
      <w:r w:rsidR="004129A7">
        <w:t>t</w:t>
      </w:r>
      <w:r w:rsidRPr="006E45EC">
        <w:t xml:space="preserve">emporal </w:t>
      </w:r>
      <w:r w:rsidR="004129A7">
        <w:t>d</w:t>
      </w:r>
      <w:r w:rsidRPr="006E45EC">
        <w:t xml:space="preserve">ependence: Application to </w:t>
      </w:r>
      <w:r w:rsidR="004129A7">
        <w:t>p</w:t>
      </w:r>
      <w:r w:rsidRPr="006E45EC">
        <w:t xml:space="preserve">redicting </w:t>
      </w:r>
      <w:r w:rsidR="004129A7">
        <w:t>c</w:t>
      </w:r>
      <w:r w:rsidRPr="006E45EC">
        <w:t xml:space="preserve">rash </w:t>
      </w:r>
      <w:r w:rsidR="004129A7">
        <w:t>f</w:t>
      </w:r>
      <w:r w:rsidRPr="006E45EC">
        <w:t xml:space="preserve">requency at </w:t>
      </w:r>
      <w:r w:rsidR="004129A7">
        <w:t>i</w:t>
      </w:r>
      <w:r w:rsidRPr="006E45EC">
        <w:t>ntersections</w:t>
      </w:r>
      <w:r w:rsidR="006E45EC">
        <w:t>.</w:t>
      </w:r>
      <w:r w:rsidRPr="006E45EC">
        <w:t> </w:t>
      </w:r>
      <w:r w:rsidRPr="004129A7">
        <w:rPr>
          <w:i/>
        </w:rPr>
        <w:t>Transportation Research Part B</w:t>
      </w:r>
      <w:r w:rsidRPr="006E45EC">
        <w:t>, 46</w:t>
      </w:r>
      <w:r w:rsidR="004129A7">
        <w:t>(</w:t>
      </w:r>
      <w:r w:rsidRPr="006E45EC">
        <w:t>1</w:t>
      </w:r>
      <w:r w:rsidR="004129A7">
        <w:t>)</w:t>
      </w:r>
      <w:r w:rsidRPr="006E45EC">
        <w:t>, 253-272</w:t>
      </w:r>
      <w:r w:rsidR="006E45EC">
        <w:t>.</w:t>
      </w:r>
      <w:r w:rsidRPr="006E45EC">
        <w:t> </w:t>
      </w:r>
    </w:p>
    <w:p w:rsidR="00B3621F" w:rsidRDefault="00B3621F" w:rsidP="003D3477">
      <w:pPr>
        <w:spacing w:line="276" w:lineRule="auto"/>
        <w:ind w:left="540" w:hanging="540"/>
        <w:jc w:val="both"/>
      </w:pPr>
      <w:r w:rsidRPr="00B3621F">
        <w:t xml:space="preserve">Dubé, J.-P., 2004. Multiple </w:t>
      </w:r>
      <w:r w:rsidR="0062197D">
        <w:t>d</w:t>
      </w:r>
      <w:r w:rsidRPr="00B3621F">
        <w:t xml:space="preserve">iscreteness and </w:t>
      </w:r>
      <w:r w:rsidR="0062197D">
        <w:t>p</w:t>
      </w:r>
      <w:r w:rsidRPr="00B3621F">
        <w:t xml:space="preserve">roduct </w:t>
      </w:r>
      <w:r w:rsidR="0062197D">
        <w:t>d</w:t>
      </w:r>
      <w:r w:rsidRPr="00B3621F">
        <w:t xml:space="preserve">ifferentiation: Demand for </w:t>
      </w:r>
      <w:r w:rsidR="0062197D">
        <w:t>c</w:t>
      </w:r>
      <w:r w:rsidRPr="00B3621F">
        <w:t xml:space="preserve">arbonated </w:t>
      </w:r>
      <w:r w:rsidR="0062197D">
        <w:t>s</w:t>
      </w:r>
      <w:r w:rsidRPr="00B3621F">
        <w:t xml:space="preserve">oft </w:t>
      </w:r>
      <w:r w:rsidR="0062197D">
        <w:t>d</w:t>
      </w:r>
      <w:r w:rsidRPr="00B3621F">
        <w:t>rinks. </w:t>
      </w:r>
      <w:r w:rsidRPr="0062197D">
        <w:rPr>
          <w:i/>
        </w:rPr>
        <w:t>Marketing Science</w:t>
      </w:r>
      <w:r w:rsidRPr="00B3621F">
        <w:t>, 23(1), 66-81.</w:t>
      </w:r>
    </w:p>
    <w:p w:rsidR="00040200" w:rsidRDefault="00B208F0" w:rsidP="003D3477">
      <w:pPr>
        <w:spacing w:line="276" w:lineRule="auto"/>
        <w:ind w:left="540" w:hanging="540"/>
        <w:jc w:val="both"/>
      </w:pPr>
      <w:r w:rsidRPr="00B3621F">
        <w:t>Dziak, J.J., Coffman,</w:t>
      </w:r>
      <w:r w:rsidRPr="002057E7">
        <w:t xml:space="preserve"> D.L., Lanza, S.T., Li, R., and Jermiin, L.S., 2020. Sensitivity and specificity of information criteria. </w:t>
      </w:r>
      <w:r w:rsidRPr="002057E7">
        <w:rPr>
          <w:i/>
        </w:rPr>
        <w:t>Briefings in Bioinformatics</w:t>
      </w:r>
      <w:r w:rsidRPr="002057E7">
        <w:t>, 21(2), 553-565</w:t>
      </w:r>
      <w:r w:rsidR="0062197D">
        <w:t>.</w:t>
      </w:r>
      <w:r w:rsidRPr="002057E7">
        <w:t xml:space="preserve"> </w:t>
      </w:r>
    </w:p>
    <w:p w:rsidR="0002083A" w:rsidRPr="00040200" w:rsidRDefault="0002083A" w:rsidP="003D3477">
      <w:pPr>
        <w:spacing w:line="276" w:lineRule="auto"/>
        <w:ind w:left="540" w:hanging="540"/>
        <w:jc w:val="both"/>
      </w:pPr>
      <w:r w:rsidRPr="00040200">
        <w:t xml:space="preserve">Fally, </w:t>
      </w:r>
      <w:r w:rsidR="00040200">
        <w:t>T., 2022.</w:t>
      </w:r>
      <w:r w:rsidRPr="00040200">
        <w:t xml:space="preserve"> Generalized </w:t>
      </w:r>
      <w:r w:rsidR="00040200">
        <w:t>s</w:t>
      </w:r>
      <w:r w:rsidRPr="00040200">
        <w:t xml:space="preserve">eparability and </w:t>
      </w:r>
      <w:r w:rsidR="00040200">
        <w:t>i</w:t>
      </w:r>
      <w:r w:rsidRPr="00040200">
        <w:t xml:space="preserve">ntegrability: Consumer </w:t>
      </w:r>
      <w:r w:rsidR="00040200">
        <w:t>d</w:t>
      </w:r>
      <w:r w:rsidRPr="00040200">
        <w:t xml:space="preserve">emand with a </w:t>
      </w:r>
      <w:r w:rsidR="00040200">
        <w:t>p</w:t>
      </w:r>
      <w:r w:rsidRPr="00040200">
        <w:t xml:space="preserve">rice </w:t>
      </w:r>
      <w:r w:rsidR="00040200">
        <w:t>a</w:t>
      </w:r>
      <w:r w:rsidRPr="00040200">
        <w:t>ggregator. NBER Working Paper No. w29997, Available at SSRN: </w:t>
      </w:r>
      <w:hyperlink r:id="rId525" w:tgtFrame="_blank" w:history="1">
        <w:r w:rsidRPr="00040200">
          <w:rPr>
            <w:rStyle w:val="Hyperlink"/>
          </w:rPr>
          <w:t>https://ssrn.com/abstract=4098319</w:t>
        </w:r>
      </w:hyperlink>
    </w:p>
    <w:p w:rsidR="00B208F0" w:rsidRPr="002057E7" w:rsidRDefault="00B208F0" w:rsidP="003D3477">
      <w:pPr>
        <w:spacing w:line="276" w:lineRule="auto"/>
        <w:ind w:left="540" w:hanging="540"/>
        <w:jc w:val="both"/>
      </w:pPr>
      <w:r w:rsidRPr="002057E7">
        <w:t>Fotheringham, A.S.</w:t>
      </w:r>
      <w:r w:rsidR="007B197E">
        <w:t xml:space="preserve">, </w:t>
      </w:r>
      <w:r w:rsidRPr="002057E7">
        <w:t xml:space="preserve">1983. Some theoretical aspects of destination choice and their relevance to production-constrained gravity models. </w:t>
      </w:r>
      <w:r w:rsidRPr="002057E7">
        <w:rPr>
          <w:i/>
        </w:rPr>
        <w:t>Environment and Planning A</w:t>
      </w:r>
      <w:r w:rsidRPr="002057E7">
        <w:t>, 15(8), 1121-1132.</w:t>
      </w:r>
    </w:p>
    <w:p w:rsidR="00811865" w:rsidRPr="002057E7" w:rsidRDefault="00811865" w:rsidP="003D3477">
      <w:pPr>
        <w:autoSpaceDE w:val="0"/>
        <w:autoSpaceDN w:val="0"/>
        <w:adjustRightInd w:val="0"/>
        <w:spacing w:line="276" w:lineRule="auto"/>
        <w:ind w:left="540" w:hanging="540"/>
        <w:jc w:val="both"/>
      </w:pPr>
      <w:r w:rsidRPr="002057E7">
        <w:t xml:space="preserve">Hausman, J.A., Leonard, G.K., and McFadden, D., 1995. A utility-consistent, combined discrete choice and count data model: Assessing recreational use losses due to natural resource damage. </w:t>
      </w:r>
      <w:r w:rsidRPr="002057E7">
        <w:rPr>
          <w:i/>
        </w:rPr>
        <w:t>Journal of Public Economics</w:t>
      </w:r>
      <w:r w:rsidRPr="002057E7">
        <w:t>, 56(1), 1-30.</w:t>
      </w:r>
    </w:p>
    <w:p w:rsidR="009C3299" w:rsidRDefault="00811865" w:rsidP="003D3477">
      <w:pPr>
        <w:autoSpaceDE w:val="0"/>
        <w:autoSpaceDN w:val="0"/>
        <w:adjustRightInd w:val="0"/>
        <w:spacing w:line="276" w:lineRule="auto"/>
        <w:ind w:left="540" w:hanging="540"/>
        <w:jc w:val="both"/>
        <w:rPr>
          <w:iCs/>
        </w:rPr>
      </w:pPr>
      <w:r w:rsidRPr="002057E7">
        <w:t xml:space="preserve">Hendel, I., 1999. Estimating multiple-discrete choice models: An application to computerization returns. </w:t>
      </w:r>
      <w:r w:rsidRPr="002057E7">
        <w:rPr>
          <w:i/>
        </w:rPr>
        <w:t>Review of Economic Studies</w:t>
      </w:r>
      <w:r w:rsidRPr="002057E7">
        <w:t xml:space="preserve">, </w:t>
      </w:r>
      <w:r w:rsidRPr="002057E7">
        <w:rPr>
          <w:iCs/>
        </w:rPr>
        <w:t>66, 423-446.</w:t>
      </w:r>
    </w:p>
    <w:p w:rsidR="009C3299" w:rsidRPr="009C3299" w:rsidRDefault="009C3299" w:rsidP="003D3477">
      <w:pPr>
        <w:autoSpaceDE w:val="0"/>
        <w:autoSpaceDN w:val="0"/>
        <w:adjustRightInd w:val="0"/>
        <w:spacing w:line="276" w:lineRule="auto"/>
        <w:ind w:left="540" w:hanging="540"/>
        <w:jc w:val="both"/>
        <w:rPr>
          <w:iCs/>
        </w:rPr>
      </w:pPr>
      <w:r w:rsidRPr="009C3299">
        <w:t xml:space="preserve">Inouye, D., Yang, E., Allen, G., </w:t>
      </w:r>
      <w:r w:rsidR="007B197E">
        <w:t>and</w:t>
      </w:r>
      <w:r w:rsidRPr="009C3299">
        <w:t xml:space="preserve"> Ravikumar, P., 2017. A </w:t>
      </w:r>
      <w:r>
        <w:t>r</w:t>
      </w:r>
      <w:r w:rsidRPr="009C3299">
        <w:t xml:space="preserve">eview of </w:t>
      </w:r>
      <w:r>
        <w:t>m</w:t>
      </w:r>
      <w:r w:rsidRPr="009C3299">
        <w:t xml:space="preserve">ultivariate </w:t>
      </w:r>
      <w:r>
        <w:t>d</w:t>
      </w:r>
      <w:r w:rsidRPr="009C3299">
        <w:t xml:space="preserve">istributions for </w:t>
      </w:r>
      <w:r>
        <w:t>c</w:t>
      </w:r>
      <w:r w:rsidRPr="009C3299">
        <w:t xml:space="preserve">ount </w:t>
      </w:r>
      <w:r>
        <w:t>d</w:t>
      </w:r>
      <w:r w:rsidRPr="009C3299">
        <w:t xml:space="preserve">ata </w:t>
      </w:r>
      <w:r>
        <w:t>d</w:t>
      </w:r>
      <w:r w:rsidRPr="009C3299">
        <w:t xml:space="preserve">erived from the Poisson </w:t>
      </w:r>
      <w:r>
        <w:t>d</w:t>
      </w:r>
      <w:r w:rsidRPr="009C3299">
        <w:t>istribution. </w:t>
      </w:r>
      <w:r w:rsidRPr="009C3299">
        <w:rPr>
          <w:i/>
        </w:rPr>
        <w:t>Wiley Interdisciplinary Reviews (WIREs) Computational Statistics</w:t>
      </w:r>
      <w:r w:rsidRPr="009C3299">
        <w:t xml:space="preserve">, 9(3), e1398. </w:t>
      </w:r>
    </w:p>
    <w:p w:rsidR="00403DBC" w:rsidRDefault="00403DBC" w:rsidP="003D3477">
      <w:pPr>
        <w:autoSpaceDE w:val="0"/>
        <w:autoSpaceDN w:val="0"/>
        <w:adjustRightInd w:val="0"/>
        <w:spacing w:line="276" w:lineRule="auto"/>
        <w:ind w:left="540" w:hanging="540"/>
        <w:jc w:val="both"/>
      </w:pPr>
      <w:r w:rsidRPr="00403DBC">
        <w:t>Iso-Ahola, S.E.</w:t>
      </w:r>
      <w:r w:rsidR="000A153B">
        <w:t xml:space="preserve">, </w:t>
      </w:r>
      <w:r w:rsidRPr="00403DBC">
        <w:t>1983</w:t>
      </w:r>
      <w:r w:rsidR="000A153B">
        <w:t>.</w:t>
      </w:r>
      <w:r w:rsidRPr="00403DBC">
        <w:t xml:space="preserve"> Towards a social psychology of recreational travel. </w:t>
      </w:r>
      <w:r w:rsidRPr="00403DBC">
        <w:rPr>
          <w:i/>
        </w:rPr>
        <w:t>Leisure Studies</w:t>
      </w:r>
      <w:r w:rsidRPr="00403DBC">
        <w:t>, 2(1), 45-56. </w:t>
      </w:r>
    </w:p>
    <w:p w:rsidR="00034B75" w:rsidRPr="006D4CAA" w:rsidRDefault="00034B75" w:rsidP="003D3477">
      <w:pPr>
        <w:autoSpaceDE w:val="0"/>
        <w:autoSpaceDN w:val="0"/>
        <w:adjustRightInd w:val="0"/>
        <w:spacing w:line="276" w:lineRule="auto"/>
        <w:ind w:left="540" w:hanging="540"/>
        <w:jc w:val="both"/>
        <w:rPr>
          <w:i/>
        </w:rPr>
      </w:pPr>
      <w:proofErr w:type="spellStart"/>
      <w:r w:rsidRPr="006D4CAA">
        <w:t>Kuriyama</w:t>
      </w:r>
      <w:proofErr w:type="spellEnd"/>
      <w:r w:rsidRPr="006D4CAA">
        <w:t xml:space="preserve">, K., </w:t>
      </w:r>
      <w:r>
        <w:t xml:space="preserve">and </w:t>
      </w:r>
      <w:r w:rsidRPr="006D4CAA">
        <w:t xml:space="preserve">Hanemann, W.M., 2006. The integer programming approach to a generalized corner-solution model: An application to recreation demand. </w:t>
      </w:r>
      <w:r w:rsidRPr="006D4CAA">
        <w:rPr>
          <w:i/>
        </w:rPr>
        <w:t>Working paper</w:t>
      </w:r>
      <w:r w:rsidRPr="0099335B">
        <w:t>,</w:t>
      </w:r>
      <w:r w:rsidRPr="006D4CAA">
        <w:rPr>
          <w:i/>
        </w:rPr>
        <w:t xml:space="preserve"> </w:t>
      </w:r>
      <w:proofErr w:type="spellStart"/>
      <w:r w:rsidRPr="006D4CAA">
        <w:rPr>
          <w:iCs/>
        </w:rPr>
        <w:t>Waseda</w:t>
      </w:r>
      <w:proofErr w:type="spellEnd"/>
      <w:r w:rsidRPr="006D4CAA">
        <w:rPr>
          <w:iCs/>
        </w:rPr>
        <w:t xml:space="preserve"> University, Tokyo.</w:t>
      </w:r>
    </w:p>
    <w:p w:rsidR="00403DBC" w:rsidRDefault="00403DBC" w:rsidP="003D3477">
      <w:pPr>
        <w:autoSpaceDE w:val="0"/>
        <w:autoSpaceDN w:val="0"/>
        <w:adjustRightInd w:val="0"/>
        <w:spacing w:line="276" w:lineRule="auto"/>
        <w:ind w:left="540" w:hanging="540"/>
        <w:jc w:val="both"/>
      </w:pPr>
      <w:proofErr w:type="spellStart"/>
      <w:r>
        <w:t>Kuriyama</w:t>
      </w:r>
      <w:proofErr w:type="spellEnd"/>
      <w:r>
        <w:t xml:space="preserve">, K., Shoji, </w:t>
      </w:r>
      <w:r w:rsidR="007B197E">
        <w:t xml:space="preserve">Y., and </w:t>
      </w:r>
      <w:r>
        <w:t>Tsuge,</w:t>
      </w:r>
      <w:r w:rsidR="000F59BC">
        <w:t xml:space="preserve"> </w:t>
      </w:r>
      <w:r w:rsidR="007B197E">
        <w:t xml:space="preserve">T., </w:t>
      </w:r>
      <w:r w:rsidR="000F59BC">
        <w:t xml:space="preserve">2020. </w:t>
      </w:r>
      <w:r>
        <w:t>The value of leisure time of weekends and long holidays: The multiple discrete</w:t>
      </w:r>
      <w:r w:rsidR="000F59BC">
        <w:t>-</w:t>
      </w:r>
      <w:r>
        <w:t>continuous extreme value (MDCEV) choice model with triple constraints</w:t>
      </w:r>
      <w:r w:rsidR="000F59BC">
        <w:t xml:space="preserve">. </w:t>
      </w:r>
      <w:r w:rsidRPr="000F59BC">
        <w:rPr>
          <w:i/>
        </w:rPr>
        <w:t>Journal of Choice Modelling</w:t>
      </w:r>
      <w:r>
        <w:t>,</w:t>
      </w:r>
      <w:r w:rsidR="000F59BC">
        <w:t xml:space="preserve"> 37, 100238.</w:t>
      </w:r>
    </w:p>
    <w:p w:rsidR="009C3299" w:rsidRDefault="00403DBC" w:rsidP="003D3477">
      <w:pPr>
        <w:autoSpaceDE w:val="0"/>
        <w:autoSpaceDN w:val="0"/>
        <w:adjustRightInd w:val="0"/>
        <w:spacing w:line="276" w:lineRule="auto"/>
        <w:ind w:left="540" w:hanging="540"/>
        <w:jc w:val="both"/>
      </w:pPr>
      <w:r w:rsidRPr="00403DBC">
        <w:t xml:space="preserve">LaMondia, J., Bhat, </w:t>
      </w:r>
      <w:r w:rsidR="007B197E" w:rsidRPr="00403DBC">
        <w:t>C.R.</w:t>
      </w:r>
      <w:r w:rsidR="007B197E">
        <w:t xml:space="preserve">, </w:t>
      </w:r>
      <w:r w:rsidRPr="00403DBC">
        <w:t>and Hensher</w:t>
      </w:r>
      <w:r>
        <w:t>,</w:t>
      </w:r>
      <w:r w:rsidR="007B197E" w:rsidRPr="007B197E">
        <w:t xml:space="preserve"> </w:t>
      </w:r>
      <w:r w:rsidR="007B197E" w:rsidRPr="00403DBC">
        <w:t>D.A.</w:t>
      </w:r>
      <w:r w:rsidR="007B197E">
        <w:t>,</w:t>
      </w:r>
      <w:r>
        <w:t xml:space="preserve"> </w:t>
      </w:r>
      <w:r w:rsidRPr="00403DBC">
        <w:t>2008</w:t>
      </w:r>
      <w:r>
        <w:t>.</w:t>
      </w:r>
      <w:r w:rsidRPr="00403DBC">
        <w:t xml:space="preserve"> An annual time use model for domestic vacation travel</w:t>
      </w:r>
      <w:r>
        <w:t xml:space="preserve">. </w:t>
      </w:r>
      <w:r w:rsidRPr="00403DBC">
        <w:rPr>
          <w:i/>
        </w:rPr>
        <w:t>Journal of Choice Modelling</w:t>
      </w:r>
      <w:r>
        <w:t>, 1(1), 70-97.</w:t>
      </w:r>
    </w:p>
    <w:p w:rsidR="009C3299" w:rsidRPr="009C3299" w:rsidRDefault="009C3299" w:rsidP="003D3477">
      <w:pPr>
        <w:autoSpaceDE w:val="0"/>
        <w:autoSpaceDN w:val="0"/>
        <w:adjustRightInd w:val="0"/>
        <w:spacing w:line="276" w:lineRule="auto"/>
        <w:ind w:left="540" w:hanging="540"/>
        <w:jc w:val="both"/>
      </w:pPr>
      <w:r w:rsidRPr="009C3299">
        <w:t xml:space="preserve">Lawson, G., Dean, D., He, Y., Huang, X. 2021. Motivations and </w:t>
      </w:r>
      <w:r>
        <w:t>s</w:t>
      </w:r>
      <w:r w:rsidRPr="009C3299">
        <w:t xml:space="preserve">atisfaction of New Zealand </w:t>
      </w:r>
      <w:r>
        <w:t>d</w:t>
      </w:r>
      <w:r w:rsidRPr="009C3299">
        <w:t xml:space="preserve">omestic </w:t>
      </w:r>
      <w:r>
        <w:t>t</w:t>
      </w:r>
      <w:r w:rsidRPr="009C3299">
        <w:t xml:space="preserve">ourists to </w:t>
      </w:r>
      <w:r>
        <w:t>i</w:t>
      </w:r>
      <w:r w:rsidRPr="009C3299">
        <w:t xml:space="preserve">nform </w:t>
      </w:r>
      <w:r>
        <w:t>l</w:t>
      </w:r>
      <w:r w:rsidRPr="009C3299">
        <w:t xml:space="preserve">andscape </w:t>
      </w:r>
      <w:r>
        <w:t>d</w:t>
      </w:r>
      <w:r w:rsidRPr="009C3299">
        <w:t xml:space="preserve">esign in a </w:t>
      </w:r>
      <w:r>
        <w:t>n</w:t>
      </w:r>
      <w:r w:rsidRPr="009C3299">
        <w:t>ature-</w:t>
      </w:r>
      <w:r>
        <w:t>b</w:t>
      </w:r>
      <w:r w:rsidRPr="009C3299">
        <w:t xml:space="preserve">ased </w:t>
      </w:r>
      <w:r>
        <w:t>s</w:t>
      </w:r>
      <w:r w:rsidRPr="009C3299">
        <w:t>etting. </w:t>
      </w:r>
      <w:r w:rsidRPr="009C3299">
        <w:rPr>
          <w:i/>
        </w:rPr>
        <w:t>Sustainability</w:t>
      </w:r>
      <w:r w:rsidRPr="009C3299">
        <w:t>, 13(22), 12415.</w:t>
      </w:r>
    </w:p>
    <w:p w:rsidR="00034B75" w:rsidRPr="006D4CAA" w:rsidRDefault="00034B75" w:rsidP="003D3477">
      <w:pPr>
        <w:autoSpaceDE w:val="0"/>
        <w:autoSpaceDN w:val="0"/>
        <w:adjustRightInd w:val="0"/>
        <w:spacing w:line="276" w:lineRule="auto"/>
        <w:ind w:left="540" w:hanging="540"/>
        <w:jc w:val="both"/>
        <w:rPr>
          <w:iCs/>
        </w:rPr>
      </w:pPr>
      <w:r w:rsidRPr="006D4CAA">
        <w:t>Lee, S., and Allenby, G.M., 2014. Modeling indivisible demand.  </w:t>
      </w:r>
      <w:r w:rsidRPr="006D4CAA">
        <w:rPr>
          <w:i/>
          <w:iCs/>
        </w:rPr>
        <w:t>Marketing Science</w:t>
      </w:r>
      <w:r w:rsidRPr="0099335B">
        <w:t>,</w:t>
      </w:r>
      <w:r w:rsidRPr="006D4CAA">
        <w:rPr>
          <w:i/>
        </w:rPr>
        <w:t xml:space="preserve"> </w:t>
      </w:r>
      <w:r w:rsidRPr="006D4CAA">
        <w:rPr>
          <w:iCs/>
        </w:rPr>
        <w:t>33(3), 364-381. </w:t>
      </w:r>
      <w:hyperlink r:id="rId526" w:history="1">
        <w:r w:rsidRPr="001F18A2">
          <w:rPr>
            <w:rStyle w:val="Hyperlink"/>
            <w:iCs/>
          </w:rPr>
          <w:t>https://doi.org/10.1287/mksc.2013.0829</w:t>
        </w:r>
      </w:hyperlink>
    </w:p>
    <w:p w:rsidR="00811865" w:rsidRPr="002057E7" w:rsidRDefault="00811865" w:rsidP="003D3477">
      <w:pPr>
        <w:autoSpaceDE w:val="0"/>
        <w:autoSpaceDN w:val="0"/>
        <w:adjustRightInd w:val="0"/>
        <w:spacing w:line="276" w:lineRule="auto"/>
        <w:ind w:left="540" w:hanging="540"/>
        <w:jc w:val="both"/>
        <w:rPr>
          <w:iCs/>
        </w:rPr>
      </w:pPr>
      <w:r w:rsidRPr="002057E7">
        <w:t>Ma, J., and Ye, X., 2019. Modeling household vehicle ownership in emerging economies. </w:t>
      </w:r>
      <w:r w:rsidRPr="002057E7">
        <w:rPr>
          <w:i/>
        </w:rPr>
        <w:t>Journal of the Indian Institute of Science</w:t>
      </w:r>
      <w:r w:rsidRPr="002057E7">
        <w:t>, 99(4), 647-671.</w:t>
      </w:r>
    </w:p>
    <w:p w:rsidR="00403DBC" w:rsidRDefault="00811865" w:rsidP="003D3477">
      <w:pPr>
        <w:autoSpaceDE w:val="0"/>
        <w:autoSpaceDN w:val="0"/>
        <w:adjustRightInd w:val="0"/>
        <w:spacing w:line="276" w:lineRule="auto"/>
        <w:ind w:left="540" w:hanging="540"/>
        <w:jc w:val="both"/>
      </w:pPr>
      <w:r w:rsidRPr="002057E7">
        <w:t xml:space="preserve">Mannering, F.L., and Hamed, M., 1990. Occurrence, frequency and duration of commuters' work-to-home departure delay. </w:t>
      </w:r>
      <w:r w:rsidRPr="002057E7">
        <w:rPr>
          <w:i/>
        </w:rPr>
        <w:t>Transportation Research Part B</w:t>
      </w:r>
      <w:r w:rsidRPr="002057E7">
        <w:t>, 24(2), 99-109.</w:t>
      </w:r>
    </w:p>
    <w:p w:rsidR="003D31F4" w:rsidRDefault="003D31F4" w:rsidP="003D3477">
      <w:pPr>
        <w:autoSpaceDE w:val="0"/>
        <w:autoSpaceDN w:val="0"/>
        <w:adjustRightInd w:val="0"/>
        <w:spacing w:line="276" w:lineRule="auto"/>
        <w:ind w:left="540" w:hanging="540"/>
        <w:jc w:val="both"/>
      </w:pPr>
      <w:r w:rsidRPr="003D31F4">
        <w:lastRenderedPageBreak/>
        <w:t>McCoy, B</w:t>
      </w:r>
      <w:r>
        <w:t>.</w:t>
      </w:r>
      <w:r w:rsidRPr="003D31F4">
        <w:t>M. and Wu, T</w:t>
      </w:r>
      <w:r>
        <w:t>.</w:t>
      </w:r>
      <w:r w:rsidRPr="003D31F4">
        <w:t>T</w:t>
      </w:r>
      <w:r>
        <w:t>.</w:t>
      </w:r>
      <w:r w:rsidR="007B197E">
        <w:t>,</w:t>
      </w:r>
      <w:r>
        <w:t xml:space="preserve"> </w:t>
      </w:r>
      <w:r w:rsidR="00403DBC">
        <w:t>1973</w:t>
      </w:r>
      <w:r w:rsidRPr="003D31F4">
        <w:t>. </w:t>
      </w:r>
      <w:r w:rsidRPr="003D31F4">
        <w:rPr>
          <w:i/>
        </w:rPr>
        <w:t>The Two-Dimensional Ising Model</w:t>
      </w:r>
      <w:r w:rsidRPr="003D31F4">
        <w:t>, Harvard University Press</w:t>
      </w:r>
      <w:r w:rsidR="00403DBC">
        <w:t>, Cambridge, MA</w:t>
      </w:r>
      <w:r w:rsidRPr="003D31F4">
        <w:t>.</w:t>
      </w:r>
    </w:p>
    <w:p w:rsidR="00B208F0" w:rsidRPr="002057E7" w:rsidRDefault="00B208F0" w:rsidP="003D3477">
      <w:pPr>
        <w:spacing w:line="276" w:lineRule="auto"/>
        <w:ind w:left="540" w:hanging="540"/>
        <w:jc w:val="both"/>
      </w:pPr>
      <w:r w:rsidRPr="002057E7">
        <w:t>Ministry of Business, Innovation and Employment</w:t>
      </w:r>
      <w:r w:rsidR="007B197E">
        <w:t xml:space="preserve">, </w:t>
      </w:r>
      <w:r w:rsidRPr="002057E7">
        <w:t xml:space="preserve">2008. Tourism sector profile. Available at: </w:t>
      </w:r>
      <w:hyperlink r:id="rId527" w:history="1">
        <w:r w:rsidR="004129A7" w:rsidRPr="006B50FB">
          <w:rPr>
            <w:rStyle w:val="Hyperlink"/>
          </w:rPr>
          <w:t>http://www.med.govt.nz/sectors-industries/tourism/tourism-research-data/other-research-and-reports/sector-profiles</w:t>
        </w:r>
      </w:hyperlink>
      <w:r w:rsidR="004129A7">
        <w:t xml:space="preserve"> </w:t>
      </w:r>
      <w:r w:rsidRPr="002057E7">
        <w:t xml:space="preserve">  </w:t>
      </w:r>
    </w:p>
    <w:p w:rsidR="00B208F0" w:rsidRPr="002057E7" w:rsidRDefault="00B208F0" w:rsidP="003D3477">
      <w:pPr>
        <w:autoSpaceDE w:val="0"/>
        <w:autoSpaceDN w:val="0"/>
        <w:adjustRightInd w:val="0"/>
        <w:spacing w:line="276" w:lineRule="auto"/>
        <w:ind w:left="540" w:hanging="540"/>
        <w:jc w:val="both"/>
      </w:pPr>
      <w:r w:rsidRPr="002057E7">
        <w:t>Ministry of Business, Innovation and Employment</w:t>
      </w:r>
      <w:r w:rsidR="007B197E">
        <w:t xml:space="preserve">, </w:t>
      </w:r>
      <w:r w:rsidRPr="002057E7">
        <w:t xml:space="preserve">2013. Statement of </w:t>
      </w:r>
      <w:r w:rsidR="007B197E">
        <w:t>i</w:t>
      </w:r>
      <w:r w:rsidRPr="002057E7">
        <w:t xml:space="preserve">ntent. May 2013. Available at: </w:t>
      </w:r>
      <w:hyperlink r:id="rId528" w:history="1">
        <w:r w:rsidR="004129A7" w:rsidRPr="006B50FB">
          <w:rPr>
            <w:rStyle w:val="Hyperlink"/>
          </w:rPr>
          <w:t>http://www.mbie.govt.nz/about-us/publications/soi/Ministry-of-Business-Innovation-and-Employment-SOI-2013.pdf</w:t>
        </w:r>
      </w:hyperlink>
      <w:r w:rsidR="004129A7">
        <w:t xml:space="preserve"> </w:t>
      </w:r>
    </w:p>
    <w:p w:rsidR="00811865" w:rsidRPr="00B3621F" w:rsidRDefault="00811865" w:rsidP="003D3477">
      <w:pPr>
        <w:pStyle w:val="ListParagraph"/>
        <w:spacing w:after="0"/>
        <w:ind w:left="540" w:hanging="540"/>
        <w:jc w:val="both"/>
        <w:rPr>
          <w:rFonts w:ascii="Times New Roman" w:hAnsi="Times New Roman"/>
          <w:sz w:val="24"/>
          <w:szCs w:val="24"/>
          <w:shd w:val="clear" w:color="auto" w:fill="FFFFFF"/>
        </w:rPr>
      </w:pPr>
      <w:r w:rsidRPr="002057E7">
        <w:rPr>
          <w:rFonts w:ascii="Times New Roman" w:hAnsi="Times New Roman"/>
          <w:sz w:val="24"/>
          <w:szCs w:val="24"/>
        </w:rPr>
        <w:t xml:space="preserve">Morey, E.R., Rowe, R.D., and Watson, M., 1993. A repeated nested-logit model of Atlantic </w:t>
      </w:r>
      <w:r w:rsidRPr="00B3621F">
        <w:rPr>
          <w:rFonts w:ascii="Times New Roman" w:hAnsi="Times New Roman"/>
          <w:sz w:val="24"/>
          <w:szCs w:val="24"/>
        </w:rPr>
        <w:t xml:space="preserve">salmon fishing. </w:t>
      </w:r>
      <w:r w:rsidRPr="00B3621F">
        <w:rPr>
          <w:rFonts w:ascii="Times New Roman" w:hAnsi="Times New Roman"/>
          <w:i/>
          <w:sz w:val="24"/>
          <w:szCs w:val="24"/>
        </w:rPr>
        <w:t>American Journal of Agricultural Economics</w:t>
      </w:r>
      <w:r w:rsidRPr="00B3621F">
        <w:rPr>
          <w:rFonts w:ascii="Times New Roman" w:hAnsi="Times New Roman"/>
          <w:sz w:val="24"/>
          <w:szCs w:val="24"/>
        </w:rPr>
        <w:t>, 75(3), 578-592.</w:t>
      </w:r>
    </w:p>
    <w:p w:rsidR="00B3621F" w:rsidRPr="00B3621F" w:rsidRDefault="00B70B01" w:rsidP="003D3477">
      <w:pPr>
        <w:pStyle w:val="ListParagraph"/>
        <w:spacing w:after="0"/>
        <w:ind w:left="540" w:hanging="540"/>
        <w:jc w:val="both"/>
        <w:rPr>
          <w:rFonts w:ascii="Times New Roman" w:hAnsi="Times New Roman"/>
          <w:sz w:val="24"/>
          <w:szCs w:val="24"/>
          <w:shd w:val="clear" w:color="auto" w:fill="FFFFFF"/>
        </w:rPr>
      </w:pPr>
      <w:r w:rsidRPr="00B3621F">
        <w:rPr>
          <w:rFonts w:ascii="Times New Roman" w:hAnsi="Times New Roman"/>
          <w:sz w:val="24"/>
          <w:szCs w:val="24"/>
          <w:shd w:val="clear" w:color="auto" w:fill="FFFFFF"/>
        </w:rPr>
        <w:t xml:space="preserve">Mouter, N., Koster, P., and Dekker, T., 2021. Contrasting the recommendations of participatory value evaluation and cost-benefit analysis in the context of urban mobility investments.  </w:t>
      </w:r>
      <w:r w:rsidRPr="00B3621F">
        <w:rPr>
          <w:rFonts w:ascii="Times New Roman" w:hAnsi="Times New Roman"/>
          <w:i/>
          <w:iCs/>
          <w:sz w:val="24"/>
          <w:szCs w:val="24"/>
          <w:shd w:val="clear" w:color="auto" w:fill="FFFFFF"/>
        </w:rPr>
        <w:t>Transportation Research Part A</w:t>
      </w:r>
      <w:r w:rsidRPr="00B3621F">
        <w:rPr>
          <w:rFonts w:ascii="Times New Roman" w:hAnsi="Times New Roman"/>
          <w:sz w:val="24"/>
          <w:szCs w:val="24"/>
          <w:shd w:val="clear" w:color="auto" w:fill="FFFFFF"/>
        </w:rPr>
        <w:t>, </w:t>
      </w:r>
      <w:r w:rsidRPr="00B3621F">
        <w:rPr>
          <w:rFonts w:ascii="Times New Roman" w:hAnsi="Times New Roman"/>
          <w:iCs/>
          <w:sz w:val="24"/>
          <w:szCs w:val="24"/>
          <w:shd w:val="clear" w:color="auto" w:fill="FFFFFF"/>
        </w:rPr>
        <w:t>144</w:t>
      </w:r>
      <w:r w:rsidRPr="00B3621F">
        <w:rPr>
          <w:rFonts w:ascii="Times New Roman" w:hAnsi="Times New Roman"/>
          <w:sz w:val="24"/>
          <w:szCs w:val="24"/>
          <w:shd w:val="clear" w:color="auto" w:fill="FFFFFF"/>
        </w:rPr>
        <w:t>, 54-73.</w:t>
      </w:r>
    </w:p>
    <w:p w:rsidR="009C3299" w:rsidRPr="00040200" w:rsidRDefault="00B3621F" w:rsidP="003D3477">
      <w:pPr>
        <w:pStyle w:val="ListParagraph"/>
        <w:spacing w:after="0"/>
        <w:ind w:left="540" w:hanging="540"/>
        <w:jc w:val="both"/>
        <w:rPr>
          <w:rFonts w:ascii="Times New Roman" w:hAnsi="Times New Roman"/>
          <w:sz w:val="24"/>
          <w:szCs w:val="24"/>
          <w:shd w:val="clear" w:color="auto" w:fill="FFFFFF"/>
        </w:rPr>
      </w:pPr>
      <w:r w:rsidRPr="00B3621F">
        <w:rPr>
          <w:rStyle w:val="authors"/>
          <w:rFonts w:ascii="Times New Roman" w:hAnsi="Times New Roman"/>
          <w:sz w:val="24"/>
          <w:szCs w:val="24"/>
          <w:shd w:val="clear" w:color="auto" w:fill="FFFFFF"/>
        </w:rPr>
        <w:t>Murteira, J.M.R., and Ramalho</w:t>
      </w:r>
      <w:r w:rsidRPr="00B3621F">
        <w:rPr>
          <w:rFonts w:ascii="Times New Roman" w:hAnsi="Times New Roman"/>
          <w:sz w:val="24"/>
          <w:szCs w:val="24"/>
          <w:shd w:val="clear" w:color="auto" w:fill="FFFFFF"/>
        </w:rPr>
        <w:t xml:space="preserve">, </w:t>
      </w:r>
      <w:r w:rsidR="007B197E" w:rsidRPr="00B3621F">
        <w:rPr>
          <w:rStyle w:val="authors"/>
          <w:rFonts w:ascii="Times New Roman" w:hAnsi="Times New Roman"/>
          <w:sz w:val="24"/>
          <w:szCs w:val="24"/>
          <w:shd w:val="clear" w:color="auto" w:fill="FFFFFF"/>
        </w:rPr>
        <w:t>J.J.S.</w:t>
      </w:r>
      <w:r w:rsidR="007B197E">
        <w:rPr>
          <w:rStyle w:val="authors"/>
          <w:rFonts w:ascii="Times New Roman" w:hAnsi="Times New Roman"/>
          <w:sz w:val="24"/>
          <w:szCs w:val="24"/>
          <w:shd w:val="clear" w:color="auto" w:fill="FFFFFF"/>
        </w:rPr>
        <w:t xml:space="preserve">, </w:t>
      </w:r>
      <w:r w:rsidRPr="00B3621F">
        <w:rPr>
          <w:rStyle w:val="Date1"/>
          <w:rFonts w:ascii="Times New Roman" w:hAnsi="Times New Roman"/>
          <w:sz w:val="24"/>
          <w:szCs w:val="24"/>
          <w:shd w:val="clear" w:color="auto" w:fill="FFFFFF"/>
        </w:rPr>
        <w:t>2016.</w:t>
      </w:r>
      <w:r w:rsidRPr="00B3621F">
        <w:rPr>
          <w:rFonts w:ascii="Times New Roman" w:hAnsi="Times New Roman"/>
          <w:sz w:val="24"/>
          <w:szCs w:val="24"/>
          <w:shd w:val="clear" w:color="auto" w:fill="FFFFFF"/>
        </w:rPr>
        <w:t> </w:t>
      </w:r>
      <w:r w:rsidRPr="00B3621F">
        <w:rPr>
          <w:rStyle w:val="arttitle"/>
          <w:rFonts w:ascii="Times New Roman" w:hAnsi="Times New Roman"/>
          <w:sz w:val="24"/>
          <w:szCs w:val="24"/>
          <w:shd w:val="clear" w:color="auto" w:fill="FFFFFF"/>
        </w:rPr>
        <w:t>Regression analysis of multivariate fractional data.</w:t>
      </w:r>
      <w:r w:rsidRPr="00B3621F">
        <w:rPr>
          <w:rFonts w:ascii="Times New Roman" w:hAnsi="Times New Roman"/>
          <w:sz w:val="24"/>
          <w:szCs w:val="24"/>
          <w:shd w:val="clear" w:color="auto" w:fill="FFFFFF"/>
        </w:rPr>
        <w:t> </w:t>
      </w:r>
      <w:r w:rsidRPr="00B3621F">
        <w:rPr>
          <w:rStyle w:val="serialtitle"/>
          <w:rFonts w:ascii="Times New Roman" w:hAnsi="Times New Roman"/>
          <w:i/>
          <w:sz w:val="24"/>
          <w:szCs w:val="24"/>
          <w:shd w:val="clear" w:color="auto" w:fill="FFFFFF"/>
        </w:rPr>
        <w:t>Econometric Reviews</w:t>
      </w:r>
      <w:r w:rsidRPr="00B3621F">
        <w:rPr>
          <w:rStyle w:val="serialtitle"/>
          <w:rFonts w:ascii="Times New Roman" w:hAnsi="Times New Roman"/>
          <w:sz w:val="24"/>
          <w:szCs w:val="24"/>
          <w:shd w:val="clear" w:color="auto" w:fill="FFFFFF"/>
        </w:rPr>
        <w:t>,</w:t>
      </w:r>
      <w:r w:rsidRPr="00B3621F">
        <w:rPr>
          <w:rFonts w:ascii="Times New Roman" w:hAnsi="Times New Roman"/>
          <w:sz w:val="24"/>
          <w:szCs w:val="24"/>
          <w:shd w:val="clear" w:color="auto" w:fill="FFFFFF"/>
        </w:rPr>
        <w:t> </w:t>
      </w:r>
      <w:r w:rsidRPr="00B3621F">
        <w:rPr>
          <w:rStyle w:val="volumeissue"/>
          <w:rFonts w:ascii="Times New Roman" w:hAnsi="Times New Roman"/>
          <w:sz w:val="24"/>
          <w:szCs w:val="24"/>
          <w:shd w:val="clear" w:color="auto" w:fill="FFFFFF"/>
        </w:rPr>
        <w:t>35(4),</w:t>
      </w:r>
      <w:r w:rsidRPr="00B3621F">
        <w:rPr>
          <w:rFonts w:ascii="Times New Roman" w:hAnsi="Times New Roman"/>
          <w:sz w:val="24"/>
          <w:szCs w:val="24"/>
          <w:shd w:val="clear" w:color="auto" w:fill="FFFFFF"/>
        </w:rPr>
        <w:t> </w:t>
      </w:r>
      <w:r w:rsidRPr="00B3621F">
        <w:rPr>
          <w:rStyle w:val="pagerange"/>
          <w:rFonts w:ascii="Times New Roman" w:hAnsi="Times New Roman"/>
          <w:sz w:val="24"/>
          <w:szCs w:val="24"/>
          <w:shd w:val="clear" w:color="auto" w:fill="FFFFFF"/>
        </w:rPr>
        <w:t>515-552</w:t>
      </w:r>
      <w:r>
        <w:rPr>
          <w:rStyle w:val="pagerange"/>
          <w:rFonts w:ascii="Times New Roman" w:hAnsi="Times New Roman"/>
          <w:sz w:val="24"/>
          <w:szCs w:val="24"/>
          <w:shd w:val="clear" w:color="auto" w:fill="FFFFFF"/>
        </w:rPr>
        <w:t>.</w:t>
      </w:r>
    </w:p>
    <w:p w:rsidR="003D31F4" w:rsidRPr="00B3621F" w:rsidRDefault="00811865" w:rsidP="003D3477">
      <w:pPr>
        <w:pStyle w:val="ListParagraph"/>
        <w:keepLines/>
        <w:spacing w:after="0"/>
        <w:ind w:left="547" w:hanging="547"/>
        <w:jc w:val="both"/>
        <w:rPr>
          <w:rFonts w:ascii="Times New Roman" w:hAnsi="Times New Roman"/>
          <w:sz w:val="24"/>
          <w:szCs w:val="24"/>
        </w:rPr>
      </w:pPr>
      <w:r w:rsidRPr="00B3621F">
        <w:rPr>
          <w:rFonts w:ascii="Times New Roman" w:hAnsi="Times New Roman"/>
          <w:sz w:val="24"/>
          <w:szCs w:val="24"/>
        </w:rPr>
        <w:t>Paleti, R., Bhat, C.R., Pendyala, R.M., Goulias, K.G., Adler, T.J., and Bahreinian A., 2014. Assessing the impact of transportation policies on fuel consumption and greenhouse gas emissions using a household vehicle fleet simulator. </w:t>
      </w:r>
      <w:r w:rsidRPr="00B3621F">
        <w:rPr>
          <w:rFonts w:ascii="Times New Roman" w:hAnsi="Times New Roman"/>
          <w:i/>
          <w:sz w:val="24"/>
          <w:szCs w:val="24"/>
        </w:rPr>
        <w:t>Transportation Research Record: Journal of the Transportation Research Board</w:t>
      </w:r>
      <w:r w:rsidRPr="00B3621F">
        <w:rPr>
          <w:rFonts w:ascii="Times New Roman" w:hAnsi="Times New Roman"/>
          <w:sz w:val="24"/>
          <w:szCs w:val="24"/>
        </w:rPr>
        <w:t>, 2430, 182-190.</w:t>
      </w:r>
    </w:p>
    <w:p w:rsidR="005675E6" w:rsidRPr="005675E6" w:rsidRDefault="005675E6" w:rsidP="003D3477">
      <w:pPr>
        <w:autoSpaceDE w:val="0"/>
        <w:autoSpaceDN w:val="0"/>
        <w:adjustRightInd w:val="0"/>
        <w:spacing w:line="276" w:lineRule="auto"/>
        <w:ind w:left="540" w:hanging="540"/>
        <w:jc w:val="both"/>
      </w:pPr>
      <w:r w:rsidRPr="005675E6">
        <w:t xml:space="preserve">Parsons, G.R., and </w:t>
      </w:r>
      <w:proofErr w:type="spellStart"/>
      <w:r w:rsidRPr="005675E6">
        <w:t>Needelman</w:t>
      </w:r>
      <w:proofErr w:type="spellEnd"/>
      <w:r w:rsidRPr="005675E6">
        <w:t>, M.S.</w:t>
      </w:r>
      <w:r w:rsidR="000D0F61">
        <w:t xml:space="preserve">, </w:t>
      </w:r>
      <w:r w:rsidRPr="005675E6">
        <w:t>1992. Site aggregation in a random utility model of recreation</w:t>
      </w:r>
      <w:r w:rsidR="003D3477">
        <w:t>.</w:t>
      </w:r>
      <w:r w:rsidRPr="005675E6">
        <w:t xml:space="preserve"> </w:t>
      </w:r>
      <w:r w:rsidRPr="005675E6">
        <w:rPr>
          <w:i/>
          <w:iCs/>
        </w:rPr>
        <w:t xml:space="preserve">Land </w:t>
      </w:r>
      <w:r w:rsidR="003D3477">
        <w:rPr>
          <w:i/>
          <w:iCs/>
        </w:rPr>
        <w:t>E</w:t>
      </w:r>
      <w:r w:rsidRPr="005675E6">
        <w:rPr>
          <w:i/>
          <w:iCs/>
        </w:rPr>
        <w:t>conomics</w:t>
      </w:r>
      <w:r w:rsidRPr="005675E6">
        <w:t>, 68, 418-433.</w:t>
      </w:r>
    </w:p>
    <w:p w:rsidR="000F59BC" w:rsidRPr="005675E6" w:rsidRDefault="000F59BC" w:rsidP="003D3477">
      <w:pPr>
        <w:autoSpaceDE w:val="0"/>
        <w:autoSpaceDN w:val="0"/>
        <w:adjustRightInd w:val="0"/>
        <w:spacing w:line="276" w:lineRule="auto"/>
        <w:ind w:left="540" w:hanging="540"/>
        <w:jc w:val="both"/>
      </w:pPr>
      <w:proofErr w:type="spellStart"/>
      <w:r w:rsidRPr="005675E6">
        <w:t>Peyhardi</w:t>
      </w:r>
      <w:proofErr w:type="spellEnd"/>
      <w:r w:rsidRPr="005675E6">
        <w:t xml:space="preserve">, J., Fernique, </w:t>
      </w:r>
      <w:r w:rsidR="007B197E" w:rsidRPr="005675E6">
        <w:t xml:space="preserve">P., </w:t>
      </w:r>
      <w:r w:rsidRPr="005675E6">
        <w:t>Durand</w:t>
      </w:r>
      <w:r w:rsidR="009C3299" w:rsidRPr="005675E6">
        <w:t xml:space="preserve">, </w:t>
      </w:r>
      <w:r w:rsidR="007B197E" w:rsidRPr="005675E6">
        <w:t xml:space="preserve">J.-B., </w:t>
      </w:r>
      <w:r w:rsidR="009C3299" w:rsidRPr="005675E6">
        <w:t xml:space="preserve">2021. </w:t>
      </w:r>
      <w:r w:rsidRPr="005675E6">
        <w:t>Splitting models for multivariate count data</w:t>
      </w:r>
      <w:r w:rsidR="009C3299" w:rsidRPr="005675E6">
        <w:t xml:space="preserve">. </w:t>
      </w:r>
      <w:r w:rsidRPr="005675E6">
        <w:rPr>
          <w:i/>
        </w:rPr>
        <w:t>Journal of Multivariate Analysis</w:t>
      </w:r>
      <w:r w:rsidR="009C3299" w:rsidRPr="005675E6">
        <w:t>, 181, 104677.</w:t>
      </w:r>
    </w:p>
    <w:p w:rsidR="00B3621F" w:rsidRPr="00B3621F" w:rsidRDefault="003D31F4" w:rsidP="003D3477">
      <w:pPr>
        <w:pStyle w:val="ListParagraph"/>
        <w:spacing w:after="0"/>
        <w:ind w:left="540" w:hanging="540"/>
        <w:jc w:val="both"/>
        <w:rPr>
          <w:rFonts w:ascii="Times New Roman" w:hAnsi="Times New Roman"/>
          <w:sz w:val="24"/>
          <w:szCs w:val="24"/>
        </w:rPr>
      </w:pPr>
      <w:r w:rsidRPr="00B3621F">
        <w:rPr>
          <w:rFonts w:ascii="Times New Roman" w:hAnsi="Times New Roman"/>
          <w:sz w:val="24"/>
          <w:szCs w:val="24"/>
        </w:rPr>
        <w:t xml:space="preserve">Potts, R.B., 1952.  Some generalized order-disorder transformations. </w:t>
      </w:r>
      <w:r w:rsidRPr="00B3621F">
        <w:rPr>
          <w:rFonts w:ascii="Times New Roman" w:hAnsi="Times New Roman"/>
          <w:i/>
          <w:sz w:val="24"/>
          <w:szCs w:val="24"/>
        </w:rPr>
        <w:t>Mathematical Proceedings of the Cambridge Philosophical Society</w:t>
      </w:r>
      <w:r w:rsidRPr="00B3621F">
        <w:rPr>
          <w:rFonts w:ascii="Times New Roman" w:hAnsi="Times New Roman"/>
          <w:sz w:val="24"/>
          <w:szCs w:val="24"/>
        </w:rPr>
        <w:t>, 48(1), 106-109.</w:t>
      </w:r>
    </w:p>
    <w:p w:rsidR="00B3621F" w:rsidRPr="00040200" w:rsidRDefault="00B3621F" w:rsidP="003D3477">
      <w:pPr>
        <w:pStyle w:val="ListParagraph"/>
        <w:spacing w:after="0"/>
        <w:ind w:left="540" w:hanging="540"/>
        <w:jc w:val="both"/>
        <w:rPr>
          <w:rFonts w:ascii="Times New Roman" w:hAnsi="Times New Roman"/>
          <w:sz w:val="24"/>
          <w:szCs w:val="24"/>
        </w:rPr>
      </w:pPr>
      <w:r w:rsidRPr="00B3621F">
        <w:rPr>
          <w:rFonts w:ascii="Times New Roman" w:hAnsi="Times New Roman"/>
          <w:sz w:val="24"/>
          <w:szCs w:val="24"/>
        </w:rPr>
        <w:t xml:space="preserve">Razaee, Z.S., </w:t>
      </w:r>
      <w:r w:rsidR="007B197E">
        <w:rPr>
          <w:rFonts w:ascii="Times New Roman" w:hAnsi="Times New Roman"/>
          <w:sz w:val="24"/>
          <w:szCs w:val="24"/>
        </w:rPr>
        <w:t xml:space="preserve">and </w:t>
      </w:r>
      <w:r w:rsidRPr="00B3621F">
        <w:rPr>
          <w:rFonts w:ascii="Times New Roman" w:hAnsi="Times New Roman"/>
          <w:sz w:val="24"/>
          <w:szCs w:val="24"/>
        </w:rPr>
        <w:t>Amini</w:t>
      </w:r>
      <w:r w:rsidR="007B197E">
        <w:rPr>
          <w:rFonts w:ascii="Times New Roman" w:hAnsi="Times New Roman"/>
          <w:sz w:val="24"/>
          <w:szCs w:val="24"/>
        </w:rPr>
        <w:t xml:space="preserve">, </w:t>
      </w:r>
      <w:r w:rsidR="007B197E" w:rsidRPr="00B3621F">
        <w:rPr>
          <w:rFonts w:ascii="Times New Roman" w:hAnsi="Times New Roman"/>
          <w:sz w:val="24"/>
          <w:szCs w:val="24"/>
        </w:rPr>
        <w:t>A.A.</w:t>
      </w:r>
      <w:r w:rsidR="007B197E">
        <w:rPr>
          <w:rFonts w:ascii="Times New Roman" w:hAnsi="Times New Roman"/>
          <w:sz w:val="24"/>
          <w:szCs w:val="24"/>
        </w:rPr>
        <w:t xml:space="preserve">, </w:t>
      </w:r>
      <w:r w:rsidRPr="00B3621F">
        <w:rPr>
          <w:rFonts w:ascii="Times New Roman" w:hAnsi="Times New Roman"/>
          <w:sz w:val="24"/>
          <w:szCs w:val="24"/>
        </w:rPr>
        <w:t>2020. The Potts-Ising model for discrete multivariate data. Proceedings of the 34th Conference on Neural Information Processing Systems (NeurIPS 2020), Vancouver, Canada.</w:t>
      </w:r>
    </w:p>
    <w:p w:rsidR="00811865" w:rsidRPr="000F59BC" w:rsidRDefault="00811865" w:rsidP="003D3477">
      <w:pPr>
        <w:autoSpaceDE w:val="0"/>
        <w:autoSpaceDN w:val="0"/>
        <w:adjustRightInd w:val="0"/>
        <w:spacing w:line="276" w:lineRule="auto"/>
        <w:ind w:left="540" w:hanging="540"/>
        <w:jc w:val="both"/>
        <w:rPr>
          <w:iCs/>
        </w:rPr>
      </w:pPr>
      <w:r w:rsidRPr="000F59BC">
        <w:t>Rouwendal, J., and Boter, J., 2009. Assessing the value of museums with a combined discrete choice/count data model. </w:t>
      </w:r>
      <w:r w:rsidRPr="000F59BC">
        <w:rPr>
          <w:i/>
        </w:rPr>
        <w:t>Applied Economics</w:t>
      </w:r>
      <w:r w:rsidRPr="000F59BC">
        <w:t>, 41(11), 1417-1436.</w:t>
      </w:r>
    </w:p>
    <w:p w:rsidR="00034B75" w:rsidRPr="00716259" w:rsidRDefault="00034B75" w:rsidP="003D3477">
      <w:pPr>
        <w:keepLines/>
        <w:autoSpaceDE w:val="0"/>
        <w:autoSpaceDN w:val="0"/>
        <w:adjustRightInd w:val="0"/>
        <w:spacing w:after="60" w:line="276" w:lineRule="auto"/>
        <w:ind w:left="360" w:hanging="360"/>
        <w:jc w:val="both"/>
      </w:pPr>
      <w:r w:rsidRPr="00CF1F31">
        <w:t xml:space="preserve">Saxena, S., Pinjari, A.R., </w:t>
      </w:r>
      <w:r>
        <w:t xml:space="preserve">and </w:t>
      </w:r>
      <w:r w:rsidRPr="00CF1F31">
        <w:t xml:space="preserve">Bhat, C.R., 2022. Multiple discrete-continuous choice models with additively separable utility functions and linear utility on outside good: Model properties and characterization of demand functions. </w:t>
      </w:r>
      <w:r w:rsidRPr="00716259">
        <w:rPr>
          <w:i/>
        </w:rPr>
        <w:t>Transportation Research Part B</w:t>
      </w:r>
      <w:r w:rsidRPr="00716259">
        <w:t>,</w:t>
      </w:r>
      <w:r>
        <w:t xml:space="preserve"> </w:t>
      </w:r>
      <w:r w:rsidRPr="00716259">
        <w:t>155, 526-557</w:t>
      </w:r>
      <w:r w:rsidR="003D3477">
        <w:t>.</w:t>
      </w:r>
    </w:p>
    <w:p w:rsidR="00811865" w:rsidRPr="000F59BC" w:rsidRDefault="00811865" w:rsidP="003D3477">
      <w:pPr>
        <w:pStyle w:val="ListParagraph"/>
        <w:autoSpaceDE w:val="0"/>
        <w:autoSpaceDN w:val="0"/>
        <w:adjustRightInd w:val="0"/>
        <w:spacing w:after="0"/>
        <w:ind w:left="540" w:hanging="540"/>
        <w:jc w:val="both"/>
        <w:rPr>
          <w:rFonts w:ascii="Times New Roman" w:hAnsi="Times New Roman"/>
          <w:bCs/>
          <w:sz w:val="24"/>
          <w:szCs w:val="24"/>
        </w:rPr>
      </w:pPr>
      <w:r w:rsidRPr="000F59BC">
        <w:rPr>
          <w:rFonts w:ascii="Times New Roman" w:hAnsi="Times New Roman"/>
          <w:sz w:val="24"/>
          <w:szCs w:val="24"/>
        </w:rPr>
        <w:t xml:space="preserve">Shin, J., Hwang, W., and Choi, H., 2019. Can hydrogen fuel vehicles be a sustainable alternative on vehicle market?: Comparison of electric and hydrogen fuel cell vehicles. </w:t>
      </w:r>
      <w:r w:rsidRPr="000F59BC">
        <w:rPr>
          <w:rFonts w:ascii="Times New Roman" w:hAnsi="Times New Roman"/>
          <w:i/>
          <w:iCs/>
          <w:sz w:val="24"/>
          <w:szCs w:val="24"/>
        </w:rPr>
        <w:t>Technological Forecasting and Social Change</w:t>
      </w:r>
      <w:r w:rsidRPr="000F59BC">
        <w:rPr>
          <w:rFonts w:ascii="Times New Roman" w:hAnsi="Times New Roman"/>
          <w:sz w:val="24"/>
          <w:szCs w:val="24"/>
        </w:rPr>
        <w:t xml:space="preserve">, 143, 239-248. </w:t>
      </w:r>
    </w:p>
    <w:p w:rsidR="00403DBC" w:rsidRPr="000F59BC" w:rsidRDefault="00811865" w:rsidP="003D3477">
      <w:pPr>
        <w:autoSpaceDE w:val="0"/>
        <w:autoSpaceDN w:val="0"/>
        <w:adjustRightInd w:val="0"/>
        <w:spacing w:line="276" w:lineRule="auto"/>
        <w:ind w:left="540" w:hanging="540"/>
        <w:jc w:val="both"/>
        <w:rPr>
          <w:iCs/>
        </w:rPr>
      </w:pPr>
      <w:r w:rsidRPr="000F59BC">
        <w:t xml:space="preserve">Strotz, R.H., 1957. The empirical implications of a utility tree. </w:t>
      </w:r>
      <w:r w:rsidRPr="000F59BC">
        <w:rPr>
          <w:i/>
          <w:iCs/>
        </w:rPr>
        <w:t>Econometrica</w:t>
      </w:r>
      <w:r w:rsidRPr="000F59BC">
        <w:t xml:space="preserve">, </w:t>
      </w:r>
      <w:r w:rsidRPr="000F59BC">
        <w:rPr>
          <w:iCs/>
        </w:rPr>
        <w:t>25</w:t>
      </w:r>
      <w:r w:rsidRPr="000F59BC">
        <w:t xml:space="preserve">(2), 269-280. </w:t>
      </w:r>
      <w:hyperlink r:id="rId529" w:history="1">
        <w:r w:rsidRPr="000F59BC">
          <w:rPr>
            <w:rStyle w:val="Hyperlink"/>
          </w:rPr>
          <w:t>https://doi.org/10.2307/1910254</w:t>
        </w:r>
      </w:hyperlink>
      <w:r w:rsidRPr="000F59BC">
        <w:t xml:space="preserve">. </w:t>
      </w:r>
    </w:p>
    <w:p w:rsidR="00423A4D" w:rsidRDefault="00403DBC" w:rsidP="003D3477">
      <w:pPr>
        <w:autoSpaceDE w:val="0"/>
        <w:autoSpaceDN w:val="0"/>
        <w:adjustRightInd w:val="0"/>
        <w:spacing w:line="276" w:lineRule="auto"/>
        <w:ind w:left="540" w:hanging="540"/>
        <w:jc w:val="both"/>
        <w:rPr>
          <w:iCs/>
        </w:rPr>
      </w:pPr>
      <w:r w:rsidRPr="000F59BC">
        <w:t xml:space="preserve">Terza, J.V., and Wilson, P.W., 1990. </w:t>
      </w:r>
      <w:r w:rsidRPr="000F59BC">
        <w:rPr>
          <w:shd w:val="clear" w:color="auto" w:fill="FFFFFF"/>
        </w:rPr>
        <w:t>Analyzing frequencies of several types of events: A mixed multinomial Poisson approac</w:t>
      </w:r>
      <w:r w:rsidRPr="000F59BC">
        <w:t>h. </w:t>
      </w:r>
      <w:r w:rsidRPr="000F59BC">
        <w:rPr>
          <w:i/>
        </w:rPr>
        <w:t>The Review of Economics and Statistics</w:t>
      </w:r>
      <w:r w:rsidRPr="000F59BC">
        <w:t>, 72(1), 108</w:t>
      </w:r>
      <w:r w:rsidR="00423A4D">
        <w:t>-</w:t>
      </w:r>
      <w:r w:rsidRPr="000F59BC">
        <w:t>115.</w:t>
      </w:r>
    </w:p>
    <w:p w:rsidR="0062197D" w:rsidRPr="00040200" w:rsidRDefault="0062197D" w:rsidP="003D3477">
      <w:pPr>
        <w:autoSpaceDE w:val="0"/>
        <w:autoSpaceDN w:val="0"/>
        <w:adjustRightInd w:val="0"/>
        <w:spacing w:line="276" w:lineRule="auto"/>
        <w:ind w:left="540" w:hanging="540"/>
        <w:jc w:val="both"/>
        <w:rPr>
          <w:iCs/>
        </w:rPr>
      </w:pPr>
      <w:r w:rsidRPr="00423A4D">
        <w:lastRenderedPageBreak/>
        <w:t>Van Nostrand, C., Sivaraman, V.</w:t>
      </w:r>
      <w:r w:rsidR="00423A4D" w:rsidRPr="00423A4D">
        <w:t xml:space="preserve">, and </w:t>
      </w:r>
      <w:r w:rsidRPr="00423A4D">
        <w:t xml:space="preserve">Pinjari, A.R. </w:t>
      </w:r>
      <w:r w:rsidR="00423A4D" w:rsidRPr="00423A4D">
        <w:t xml:space="preserve">2013. </w:t>
      </w:r>
      <w:r w:rsidRPr="00423A4D">
        <w:t xml:space="preserve">Analysis of long-distance vacation travel demand in the United States: </w:t>
      </w:r>
      <w:r w:rsidR="00423A4D" w:rsidRPr="00423A4D">
        <w:t>A</w:t>
      </w:r>
      <w:r w:rsidRPr="00423A4D">
        <w:t xml:space="preserve"> multiple discrete</w:t>
      </w:r>
      <w:r w:rsidR="007B197E">
        <w:t>-</w:t>
      </w:r>
      <w:r w:rsidRPr="00423A4D">
        <w:t>continuous choice framework. </w:t>
      </w:r>
      <w:r w:rsidRPr="00423A4D">
        <w:rPr>
          <w:i/>
        </w:rPr>
        <w:t>Transportation</w:t>
      </w:r>
      <w:r w:rsidR="00423A4D" w:rsidRPr="00423A4D">
        <w:t>,</w:t>
      </w:r>
      <w:r w:rsidRPr="00423A4D">
        <w:t> 40, 151</w:t>
      </w:r>
      <w:r w:rsidR="00423A4D">
        <w:t>-</w:t>
      </w:r>
      <w:r w:rsidRPr="00423A4D">
        <w:t>171</w:t>
      </w:r>
      <w:r w:rsidR="00423A4D" w:rsidRPr="00423A4D">
        <w:t>.</w:t>
      </w:r>
    </w:p>
    <w:p w:rsidR="000F59BC" w:rsidRPr="000F59BC" w:rsidRDefault="00811865" w:rsidP="003D3477">
      <w:pPr>
        <w:pStyle w:val="ListParagraph"/>
        <w:autoSpaceDE w:val="0"/>
        <w:autoSpaceDN w:val="0"/>
        <w:adjustRightInd w:val="0"/>
        <w:spacing w:after="0"/>
        <w:ind w:left="540" w:hanging="540"/>
        <w:jc w:val="both"/>
        <w:rPr>
          <w:rFonts w:ascii="Times New Roman" w:hAnsi="Times New Roman"/>
          <w:sz w:val="24"/>
          <w:szCs w:val="24"/>
        </w:rPr>
      </w:pPr>
      <w:r w:rsidRPr="000F59BC">
        <w:rPr>
          <w:rFonts w:ascii="Times New Roman" w:hAnsi="Times New Roman"/>
          <w:sz w:val="24"/>
          <w:szCs w:val="24"/>
        </w:rPr>
        <w:t xml:space="preserve">Varghese, V., and Jana, A., 2019. Multitasking during travel in Mumbai, India: Effect of satiation in heterogenous urban settings. </w:t>
      </w:r>
      <w:r w:rsidRPr="000F59BC">
        <w:rPr>
          <w:rFonts w:ascii="Times New Roman" w:hAnsi="Times New Roman"/>
          <w:i/>
          <w:iCs/>
          <w:sz w:val="24"/>
          <w:szCs w:val="24"/>
        </w:rPr>
        <w:t>Journal of Urban Planning and Development</w:t>
      </w:r>
      <w:r w:rsidRPr="000F59BC">
        <w:rPr>
          <w:rFonts w:ascii="Times New Roman" w:hAnsi="Times New Roman"/>
          <w:sz w:val="24"/>
          <w:szCs w:val="24"/>
        </w:rPr>
        <w:t>, 145(2), 04019002.</w:t>
      </w:r>
    </w:p>
    <w:p w:rsidR="003D3477" w:rsidRDefault="000F59BC" w:rsidP="003D3477">
      <w:pPr>
        <w:pStyle w:val="ListParagraph"/>
        <w:autoSpaceDE w:val="0"/>
        <w:autoSpaceDN w:val="0"/>
        <w:adjustRightInd w:val="0"/>
        <w:spacing w:after="0"/>
        <w:ind w:left="540" w:hanging="540"/>
        <w:jc w:val="both"/>
        <w:rPr>
          <w:rFonts w:ascii="Times New Roman" w:hAnsi="Times New Roman"/>
          <w:sz w:val="24"/>
          <w:szCs w:val="24"/>
        </w:rPr>
      </w:pPr>
      <w:r w:rsidRPr="000F59BC">
        <w:rPr>
          <w:rFonts w:ascii="Times New Roman" w:hAnsi="Times New Roman"/>
          <w:sz w:val="24"/>
          <w:szCs w:val="24"/>
        </w:rPr>
        <w:t xml:space="preserve">Vartan, S., 2018. How single-parent families are changing the way we travel. </w:t>
      </w:r>
      <w:r w:rsidRPr="000F59BC">
        <w:rPr>
          <w:rFonts w:ascii="Times New Roman" w:hAnsi="Times New Roman"/>
          <w:i/>
          <w:sz w:val="24"/>
          <w:szCs w:val="24"/>
        </w:rPr>
        <w:t xml:space="preserve">CNN </w:t>
      </w:r>
      <w:r>
        <w:rPr>
          <w:rFonts w:ascii="Times New Roman" w:hAnsi="Times New Roman"/>
          <w:i/>
          <w:sz w:val="24"/>
          <w:szCs w:val="24"/>
        </w:rPr>
        <w:t>T</w:t>
      </w:r>
      <w:r w:rsidRPr="000F59BC">
        <w:rPr>
          <w:rFonts w:ascii="Times New Roman" w:hAnsi="Times New Roman"/>
          <w:i/>
          <w:sz w:val="24"/>
          <w:szCs w:val="24"/>
        </w:rPr>
        <w:t>ravel</w:t>
      </w:r>
      <w:r w:rsidRPr="000F59BC">
        <w:rPr>
          <w:rFonts w:ascii="Times New Roman" w:hAnsi="Times New Roman"/>
          <w:sz w:val="24"/>
          <w:szCs w:val="24"/>
        </w:rPr>
        <w:t xml:space="preserve">, </w:t>
      </w:r>
      <w:hyperlink r:id="rId530" w:history="1">
        <w:r w:rsidRPr="00B3621F">
          <w:rPr>
            <w:rStyle w:val="Hyperlink"/>
            <w:rFonts w:ascii="Times New Roman" w:hAnsi="Times New Roman"/>
            <w:sz w:val="24"/>
            <w:szCs w:val="24"/>
          </w:rPr>
          <w:t>https://www.cnn.com/travel/article/single-parent-family-travel/index.html</w:t>
        </w:r>
      </w:hyperlink>
    </w:p>
    <w:p w:rsidR="00E2587C" w:rsidRPr="003D3477" w:rsidRDefault="00B3621F" w:rsidP="003D3477">
      <w:pPr>
        <w:pStyle w:val="ListParagraph"/>
        <w:autoSpaceDE w:val="0"/>
        <w:autoSpaceDN w:val="0"/>
        <w:adjustRightInd w:val="0"/>
        <w:spacing w:after="0"/>
        <w:ind w:left="547" w:hanging="547"/>
        <w:jc w:val="both"/>
        <w:rPr>
          <w:rFonts w:ascii="Times New Roman" w:hAnsi="Times New Roman"/>
          <w:sz w:val="24"/>
          <w:szCs w:val="24"/>
        </w:rPr>
      </w:pPr>
      <w:proofErr w:type="spellStart"/>
      <w:r w:rsidRPr="003D3477">
        <w:rPr>
          <w:rFonts w:ascii="Times New Roman" w:hAnsi="Times New Roman"/>
          <w:sz w:val="24"/>
          <w:szCs w:val="24"/>
        </w:rPr>
        <w:t>Wiśniewska</w:t>
      </w:r>
      <w:proofErr w:type="spellEnd"/>
      <w:r w:rsidRPr="003D3477">
        <w:rPr>
          <w:rFonts w:ascii="Times New Roman" w:hAnsi="Times New Roman"/>
          <w:sz w:val="24"/>
          <w:szCs w:val="24"/>
        </w:rPr>
        <w:t xml:space="preserve">, A., </w:t>
      </w:r>
      <w:proofErr w:type="spellStart"/>
      <w:r w:rsidRPr="003D3477">
        <w:rPr>
          <w:rFonts w:ascii="Times New Roman" w:hAnsi="Times New Roman"/>
          <w:sz w:val="24"/>
          <w:szCs w:val="24"/>
        </w:rPr>
        <w:t>Budziński</w:t>
      </w:r>
      <w:proofErr w:type="spellEnd"/>
      <w:r w:rsidRPr="003D3477">
        <w:rPr>
          <w:rFonts w:ascii="Times New Roman" w:hAnsi="Times New Roman"/>
          <w:sz w:val="24"/>
          <w:szCs w:val="24"/>
        </w:rPr>
        <w:t xml:space="preserve">, W., and </w:t>
      </w:r>
      <w:proofErr w:type="spellStart"/>
      <w:r w:rsidRPr="003D3477">
        <w:rPr>
          <w:rFonts w:ascii="Times New Roman" w:hAnsi="Times New Roman"/>
          <w:sz w:val="24"/>
          <w:szCs w:val="24"/>
        </w:rPr>
        <w:t>Czajkowski</w:t>
      </w:r>
      <w:proofErr w:type="spellEnd"/>
      <w:r w:rsidRPr="003D3477">
        <w:rPr>
          <w:rFonts w:ascii="Times New Roman" w:hAnsi="Times New Roman"/>
          <w:sz w:val="24"/>
          <w:szCs w:val="24"/>
        </w:rPr>
        <w:t>, M., 2020. An economic valuation of access to cultural institutions: Museums, theatres, and cinemas. </w:t>
      </w:r>
      <w:r w:rsidRPr="003D3477">
        <w:rPr>
          <w:rFonts w:ascii="Times New Roman" w:hAnsi="Times New Roman"/>
          <w:i/>
          <w:sz w:val="24"/>
          <w:szCs w:val="24"/>
        </w:rPr>
        <w:t>Journal of Cultural Economics</w:t>
      </w:r>
      <w:r w:rsidRPr="003D3477">
        <w:rPr>
          <w:rFonts w:ascii="Times New Roman" w:hAnsi="Times New Roman"/>
          <w:sz w:val="24"/>
          <w:szCs w:val="24"/>
        </w:rPr>
        <w:t>, 44, 563-587.</w:t>
      </w:r>
    </w:p>
    <w:p w:rsidR="00E2587C" w:rsidRPr="00E2587C" w:rsidRDefault="00403DBC" w:rsidP="003D3477">
      <w:pPr>
        <w:pStyle w:val="ListParagraph"/>
        <w:autoSpaceDE w:val="0"/>
        <w:autoSpaceDN w:val="0"/>
        <w:adjustRightInd w:val="0"/>
        <w:spacing w:after="0"/>
        <w:ind w:left="547" w:hanging="547"/>
        <w:jc w:val="both"/>
        <w:rPr>
          <w:rFonts w:ascii="Times New Roman" w:hAnsi="Times New Roman"/>
          <w:sz w:val="24"/>
          <w:szCs w:val="24"/>
        </w:rPr>
      </w:pPr>
      <w:r w:rsidRPr="003D3477">
        <w:rPr>
          <w:rFonts w:ascii="Times New Roman" w:hAnsi="Times New Roman"/>
          <w:sz w:val="24"/>
          <w:szCs w:val="24"/>
        </w:rPr>
        <w:t>Woodside, A.G.</w:t>
      </w:r>
      <w:r w:rsidR="007B197E" w:rsidRPr="003D3477">
        <w:rPr>
          <w:rFonts w:ascii="Times New Roman" w:hAnsi="Times New Roman"/>
          <w:sz w:val="24"/>
          <w:szCs w:val="24"/>
        </w:rPr>
        <w:t>,</w:t>
      </w:r>
      <w:r w:rsidRPr="003D3477">
        <w:rPr>
          <w:rFonts w:ascii="Times New Roman" w:hAnsi="Times New Roman"/>
          <w:sz w:val="24"/>
          <w:szCs w:val="24"/>
        </w:rPr>
        <w:t xml:space="preserve"> and </w:t>
      </w:r>
      <w:proofErr w:type="spellStart"/>
      <w:r w:rsidRPr="003D3477">
        <w:rPr>
          <w:rFonts w:ascii="Times New Roman" w:hAnsi="Times New Roman"/>
          <w:sz w:val="24"/>
          <w:szCs w:val="24"/>
        </w:rPr>
        <w:t>Lysonski</w:t>
      </w:r>
      <w:proofErr w:type="spellEnd"/>
      <w:r w:rsidRPr="003D3477">
        <w:rPr>
          <w:rFonts w:ascii="Times New Roman" w:hAnsi="Times New Roman"/>
          <w:sz w:val="24"/>
          <w:szCs w:val="24"/>
        </w:rPr>
        <w:t xml:space="preserve">., </w:t>
      </w:r>
      <w:r w:rsidR="007B197E" w:rsidRPr="003D3477">
        <w:rPr>
          <w:rFonts w:ascii="Times New Roman" w:hAnsi="Times New Roman"/>
          <w:sz w:val="24"/>
          <w:szCs w:val="24"/>
        </w:rPr>
        <w:t xml:space="preserve">S., </w:t>
      </w:r>
      <w:r w:rsidRPr="003D3477">
        <w:rPr>
          <w:rFonts w:ascii="Times New Roman" w:hAnsi="Times New Roman"/>
          <w:sz w:val="24"/>
          <w:szCs w:val="24"/>
        </w:rPr>
        <w:t>1989. A general model of traveler</w:t>
      </w:r>
      <w:r w:rsidRPr="00E2587C">
        <w:rPr>
          <w:rFonts w:ascii="Times New Roman" w:hAnsi="Times New Roman"/>
          <w:sz w:val="24"/>
          <w:szCs w:val="24"/>
        </w:rPr>
        <w:t xml:space="preserve"> destination choice.  </w:t>
      </w:r>
      <w:r w:rsidRPr="003D3477">
        <w:rPr>
          <w:rFonts w:ascii="Times New Roman" w:hAnsi="Times New Roman"/>
          <w:i/>
          <w:sz w:val="24"/>
          <w:szCs w:val="24"/>
        </w:rPr>
        <w:t>Journal of Travel Research</w:t>
      </w:r>
      <w:r w:rsidRPr="00E2587C">
        <w:rPr>
          <w:rFonts w:ascii="Times New Roman" w:hAnsi="Times New Roman"/>
          <w:sz w:val="24"/>
          <w:szCs w:val="24"/>
        </w:rPr>
        <w:t>, 27(4), 8-14.</w:t>
      </w:r>
      <w:bookmarkEnd w:id="13"/>
    </w:p>
    <w:p w:rsidR="001C3CEA" w:rsidRDefault="00E2587C" w:rsidP="003D3477">
      <w:pPr>
        <w:pStyle w:val="ListParagraph"/>
        <w:autoSpaceDE w:val="0"/>
        <w:autoSpaceDN w:val="0"/>
        <w:adjustRightInd w:val="0"/>
        <w:spacing w:after="0"/>
        <w:ind w:left="540" w:hanging="540"/>
        <w:jc w:val="both"/>
        <w:rPr>
          <w:rFonts w:ascii="Times New Roman" w:hAnsi="Times New Roman"/>
          <w:sz w:val="24"/>
          <w:szCs w:val="24"/>
        </w:rPr>
      </w:pPr>
      <w:r w:rsidRPr="00E2587C">
        <w:rPr>
          <w:rFonts w:ascii="Times New Roman" w:hAnsi="Times New Roman"/>
          <w:sz w:val="24"/>
          <w:szCs w:val="24"/>
        </w:rPr>
        <w:t>Zhang, Y., Zhou, H., Zhou, J., and Sun, W., 2017. Regression models for multivariate count data. </w:t>
      </w:r>
      <w:r w:rsidRPr="00E2587C">
        <w:rPr>
          <w:rFonts w:ascii="Times New Roman" w:hAnsi="Times New Roman"/>
          <w:i/>
          <w:sz w:val="24"/>
          <w:szCs w:val="24"/>
        </w:rPr>
        <w:t>Journal of Computational and Graphical Statistics</w:t>
      </w:r>
      <w:r w:rsidRPr="00E2587C">
        <w:rPr>
          <w:rFonts w:ascii="Times New Roman" w:hAnsi="Times New Roman"/>
          <w:sz w:val="24"/>
          <w:szCs w:val="24"/>
        </w:rPr>
        <w:t>, 26(1), 1-13</w:t>
      </w:r>
      <w:r>
        <w:rPr>
          <w:rFonts w:ascii="Times New Roman" w:hAnsi="Times New Roman"/>
          <w:sz w:val="24"/>
          <w:szCs w:val="24"/>
        </w:rPr>
        <w:t>.</w:t>
      </w:r>
    </w:p>
    <w:p w:rsidR="003D3477" w:rsidRDefault="003D3477">
      <w:pPr>
        <w:rPr>
          <w:rFonts w:eastAsia="Calibri"/>
        </w:rPr>
      </w:pPr>
      <w:r>
        <w:br w:type="page"/>
      </w:r>
    </w:p>
    <w:p w:rsidR="003D3477" w:rsidRPr="00E2587C" w:rsidRDefault="003D3477" w:rsidP="00E2587C">
      <w:pPr>
        <w:pStyle w:val="ListParagraph"/>
        <w:autoSpaceDE w:val="0"/>
        <w:autoSpaceDN w:val="0"/>
        <w:adjustRightInd w:val="0"/>
        <w:spacing w:after="0"/>
        <w:ind w:left="540" w:hanging="540"/>
        <w:jc w:val="both"/>
        <w:rPr>
          <w:rFonts w:ascii="Times New Roman" w:hAnsi="Times New Roman"/>
          <w:sz w:val="24"/>
          <w:szCs w:val="24"/>
        </w:rPr>
      </w:pPr>
    </w:p>
    <w:bookmarkStart w:id="14" w:name="_Hlk111494438"/>
    <w:p w:rsidR="001C3CEA" w:rsidRDefault="00AB2851" w:rsidP="001C3CEA">
      <w:pPr>
        <w:jc w:val="center"/>
        <w:rPr>
          <w:b/>
        </w:rPr>
      </w:pPr>
      <w:r>
        <w:rPr>
          <w:noProof/>
        </w:rPr>
        <mc:AlternateContent>
          <mc:Choice Requires="wpg">
            <w:drawing>
              <wp:anchor distT="0" distB="0" distL="114300" distR="114300" simplePos="0" relativeHeight="251657728" behindDoc="0" locked="0" layoutInCell="1" allowOverlap="1" wp14:editId="453D240D">
                <wp:simplePos x="0" y="0"/>
                <wp:positionH relativeFrom="column">
                  <wp:posOffset>-653415</wp:posOffset>
                </wp:positionH>
                <wp:positionV relativeFrom="paragraph">
                  <wp:posOffset>3935095</wp:posOffset>
                </wp:positionV>
                <wp:extent cx="3364230" cy="1257300"/>
                <wp:effectExtent l="3810" t="1270" r="3810" b="8255"/>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4230" cy="1257300"/>
                          <a:chOff x="411" y="7945"/>
                          <a:chExt cx="5298" cy="1980"/>
                        </a:xfrm>
                      </wpg:grpSpPr>
                      <wps:wsp>
                        <wps:cNvPr id="2" name="AutoShape 2"/>
                        <wps:cNvSpPr>
                          <a:spLocks noChangeArrowheads="1"/>
                        </wps:cNvSpPr>
                        <wps:spPr bwMode="auto">
                          <a:xfrm>
                            <a:off x="411" y="7945"/>
                            <a:ext cx="5298" cy="1980"/>
                          </a:xfrm>
                          <a:prstGeom prst="parallelogram">
                            <a:avLst>
                              <a:gd name="adj" fmla="val 66894"/>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Rectangle 3"/>
                        <wps:cNvSpPr>
                          <a:spLocks noChangeArrowheads="1"/>
                        </wps:cNvSpPr>
                        <wps:spPr bwMode="auto">
                          <a:xfrm>
                            <a:off x="4663" y="8529"/>
                            <a:ext cx="677" cy="11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166522" id="Group 4" o:spid="_x0000_s1026" style="position:absolute;margin-left:-51.45pt;margin-top:309.85pt;width:264.9pt;height:99pt;z-index:251657728" coordorigin="411,7945" coordsize="5298,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6TDQwMAAPcJAAAOAAAAZHJzL2Uyb0RvYy54bWzsVllvnDAQfq/U/2D5fcOxLLugkChHN6qU&#10;HurxA7xgwK2xqe0NSav+944HSNP0VCv1KfvA2szhmW/mG3x4fN1JcsWNFVoVNDoIKeGq1JVQTUHf&#10;vtkuNpRYx1TFpFa8oDfc0uOjx48Ohz7nsW61rLgh4ETZfOgL2jrX50Fgy5Z3zB7onisQ1tp0zMHW&#10;NEFl2ADeOxnEYZgGgzZVb3TJrYW356OQHqH/uuale1HXljsiCwqxOXwafO78Mzg6ZHljWN+KcgqD&#10;/UUUHRMKDr11dc4cI3sjvnPVidJoq2t3UOou0HUtSo45QDZReC+bC6P3PebS5EPT38IE0N7D6a/d&#10;ls+vXhoiKqgdJYp1UCI8lSQemqFvctC4MP3r/qUZ84PlpS7fWxAH9+V+34zKZDc80xW4Y3unEZrr&#10;2nTeBSRNrrECN7cV4NeOlPByuUyTeAmFKkEWxav1MpxqVLZQSG+XRBApSNdZshrLV7ZPJvNVnEG/&#10;oW22QcOA5eO5GOsUm08M2s1+RdT+G6KvW9ZzLJT1eE2IxjOiJwABqpB4RBW1ZkjtiCdR+qxlquEn&#10;xuih5ayCoCKvD6HfMfAbC9X4LcDfAzWj/AuYWN4b6y647ohfFLRnhknJpQaSdFhHdnVpHfZCNXUM&#10;q95RUncSmHPFJEnTTYbtA+BPyrCa/XpLq6WotkJK3JhmdyYNAdOCbvGHWd9Tk8orK+3NPCgsH99A&#10;UlM8Pj3k3KcsipPwNM4W23SzXiTbZLXI1uFmEUbZaZaGSZacbz/7ZKIkb0VVcXUpFJ/5HyV/1g3T&#10;JBqZixOADAXNVvEKcfp5kiH+fpRkJxyMQym6gm5ulVjuu+GJqiBtljsm5LgOvg0fMQEM5n9EBXvH&#10;t8vY8ztd3UDrGA2VBZbB4IZFq81HSgYYggW1H/bMcErkUwXtl0VJ4qcmbpLVOoaNuSvZ3ZUwVYKr&#10;gjpKxuWZGyftvjeiaeGkCIFR2hOiFm7u7TGqqdGBlv+Jn8uZn6/gMwHMk5ws/yc/0xQigEm2AT76&#10;c1k+EzRdr6cxFiWbqU/m8TnzaOKngdgRVWTaSIxZxbv8eRc+UO2BakA1/DDC7QLHxnQT8teXu3vU&#10;+npfO/oCAAD//wMAUEsDBBQABgAIAAAAIQARLqED4wAAAAwBAAAPAAAAZHJzL2Rvd25yZXYueG1s&#10;TI/BTsMwDIbvSLxDZCRuW5oC7VbqTtMEnCYkNqRpt6zx2mpNUjVZ27094QRH259+f3++mnTLBupd&#10;Yw2CmEfAyJRWNaZC+N6/zxbAnJdGydYaQriRg1Vxf5fLTNnRfNGw8xULIcZlEqH2vss4d2VNWrq5&#10;7ciE29n2Wvow9hVXvRxDuG55HEUJ17Ix4UMtO9rUVF52V43wMcpx/STehu3lvLkd9y+fh60gxMeH&#10;af0KzNPk/2D41Q/qUASnk70a5ViLMBNRvAwsQiKWKbCAPMdJ2JwQFiJNgRc5/1+i+AEAAP//AwBQ&#10;SwECLQAUAAYACAAAACEAtoM4kv4AAADhAQAAEwAAAAAAAAAAAAAAAAAAAAAAW0NvbnRlbnRfVHlw&#10;ZXNdLnhtbFBLAQItABQABgAIAAAAIQA4/SH/1gAAAJQBAAALAAAAAAAAAAAAAAAAAC8BAABfcmVs&#10;cy8ucmVsc1BLAQItABQABgAIAAAAIQCCX6TDQwMAAPcJAAAOAAAAAAAAAAAAAAAAAC4CAABkcnMv&#10;ZTJvRG9jLnhtbFBLAQItABQABgAIAAAAIQARLqED4wAAAAwBAAAPAAAAAAAAAAAAAAAAAJ0FAABk&#10;cnMvZG93bnJldi54bWxQSwUGAAAAAAQABADzAAAArQY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2" o:spid="_x0000_s1027" type="#_x0000_t7" style="position:absolute;left:411;top:7945;width:5298;height:1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AtwQAAANoAAAAPAAAAZHJzL2Rvd25yZXYueG1sRI/BasMw&#10;EETvhf6D2EBujRwfTHAim7SlUNpTHee+WBvLxFoZS7Hdv48KhRyHmXnDHMrF9mKi0XeOFWw3CQji&#10;xumOWwX16eNlB8IHZI29Y1LwSx7K4vnpgLl2M//QVIVWRAj7HBWYEIZcSt8Ysug3biCO3sWNFkOU&#10;Yyv1iHOE216mSZJJix3HBYMDvRlqrtXNKshe9TTPX4P8rm/nyy5MdfUur0qtV8txDyLQEh7h//an&#10;VpDC35V4A2RxBwAA//8DAFBLAQItABQABgAIAAAAIQDb4fbL7gAAAIUBAAATAAAAAAAAAAAAAAAA&#10;AAAAAABbQ29udGVudF9UeXBlc10ueG1sUEsBAi0AFAAGAAgAAAAhAFr0LFu/AAAAFQEAAAsAAAAA&#10;AAAAAAAAAAAAHwEAAF9yZWxzLy5yZWxzUEsBAi0AFAAGAAgAAAAhAPP+wC3BAAAA2gAAAA8AAAAA&#10;AAAAAAAAAAAABwIAAGRycy9kb3ducmV2LnhtbFBLBQYAAAAAAwADALcAAAD1AgAAAAA=&#10;" stroked="f"/>
                <v:rect id="Rectangle 3" o:spid="_x0000_s1028" style="position:absolute;left:4663;top:8529;width:677;height:1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dwwAAANoAAAAPAAAAZHJzL2Rvd25yZXYueG1sRI9Ba8JA&#10;FITvQv/D8gRvumvThhpdQxEChbYHteD1kX0mwezbNLvR9N93CwWPw8x8w2zy0bbiSr1vHGtYLhQI&#10;4tKZhisNX8di/gLCB2SDrWPS8EMe8u3DZIOZcTfe0/UQKhEh7DPUUIfQZVL6siaLfuE64uidXW8x&#10;RNlX0vR4i3DbykelUmmx4bhQY0e7msrLYbAaMH0y35/n5OP4PqS4qkZVPJ+U1rPp+LoGEWgM9/B/&#10;+81oSODvSrwBcvsLAAD//wMAUEsBAi0AFAAGAAgAAAAhANvh9svuAAAAhQEAABMAAAAAAAAAAAAA&#10;AAAAAAAAAFtDb250ZW50X1R5cGVzXS54bWxQSwECLQAUAAYACAAAACEAWvQsW78AAAAVAQAACwAA&#10;AAAAAAAAAAAAAAAfAQAAX3JlbHMvLnJlbHNQSwECLQAUAAYACAAAACEA+fmPncMAAADaAAAADwAA&#10;AAAAAAAAAAAAAAAHAgAAZHJzL2Rvd25yZXYueG1sUEsFBgAAAAADAAMAtwAAAPcCAAAAAA==&#10;" stroked="f"/>
              </v:group>
            </w:pict>
          </mc:Fallback>
        </mc:AlternateContent>
      </w:r>
      <w:r w:rsidRPr="002A717E">
        <w:rPr>
          <w:noProof/>
        </w:rPr>
        <w:drawing>
          <wp:inline distT="0" distB="0" distL="0" distR="0" wp14:anchorId="21BAA644" wp14:editId="17EEF3A2">
            <wp:extent cx="5699760" cy="4770120"/>
            <wp:effectExtent l="0" t="0" r="0" b="0"/>
            <wp:docPr id="2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31">
                      <a:extLst>
                        <a:ext uri="{28A0092B-C50C-407E-A947-70E740481C1C}">
                          <a14:useLocalDpi xmlns:a14="http://schemas.microsoft.com/office/drawing/2010/main" val="0"/>
                        </a:ext>
                      </a:extLst>
                    </a:blip>
                    <a:srcRect l="25922" b="44321"/>
                    <a:stretch>
                      <a:fillRect/>
                    </a:stretch>
                  </pic:blipFill>
                  <pic:spPr bwMode="auto">
                    <a:xfrm>
                      <a:off x="0" y="0"/>
                      <a:ext cx="5699760" cy="4770120"/>
                    </a:xfrm>
                    <a:prstGeom prst="rect">
                      <a:avLst/>
                    </a:prstGeom>
                    <a:noFill/>
                    <a:ln>
                      <a:noFill/>
                    </a:ln>
                  </pic:spPr>
                </pic:pic>
              </a:graphicData>
            </a:graphic>
          </wp:inline>
        </w:drawing>
      </w:r>
    </w:p>
    <w:p w:rsidR="001C3CEA" w:rsidRDefault="001C3CEA" w:rsidP="001C3CEA">
      <w:pPr>
        <w:jc w:val="center"/>
      </w:pPr>
    </w:p>
    <w:p w:rsidR="001C3CEA" w:rsidRDefault="001C3CEA" w:rsidP="001C3CEA">
      <w:pPr>
        <w:jc w:val="center"/>
      </w:pPr>
    </w:p>
    <w:p w:rsidR="001C3CEA" w:rsidRDefault="001C3CEA" w:rsidP="001C3CEA">
      <w:pPr>
        <w:jc w:val="center"/>
      </w:pPr>
    </w:p>
    <w:p w:rsidR="001C3CEA" w:rsidRDefault="001C3CEA" w:rsidP="001C3CEA">
      <w:pPr>
        <w:jc w:val="center"/>
        <w:rPr>
          <w:szCs w:val="22"/>
        </w:rPr>
      </w:pPr>
      <w:r>
        <w:t xml:space="preserve">Source: </w:t>
      </w:r>
      <w:hyperlink r:id="rId532" w:history="1">
        <w:r>
          <w:rPr>
            <w:rStyle w:val="Hyperlink"/>
          </w:rPr>
          <w:t>www.stats.govt.nz</w:t>
        </w:r>
      </w:hyperlink>
    </w:p>
    <w:p w:rsidR="001C3CEA" w:rsidRDefault="001C3CEA" w:rsidP="001F665A">
      <w:pPr>
        <w:rPr>
          <w:b/>
        </w:rPr>
      </w:pPr>
    </w:p>
    <w:p w:rsidR="001C3CEA" w:rsidRPr="001C3CEA" w:rsidRDefault="001C3CEA" w:rsidP="001C3CEA">
      <w:pPr>
        <w:jc w:val="center"/>
        <w:rPr>
          <w:b/>
        </w:rPr>
      </w:pPr>
      <w:r>
        <w:rPr>
          <w:b/>
        </w:rPr>
        <w:t>Figure 1. Boundaries of New Zealand Regions</w:t>
      </w:r>
      <w:r>
        <w:t xml:space="preserve"> </w:t>
      </w:r>
      <w:r w:rsidRPr="001C3CEA">
        <w:rPr>
          <w:b/>
        </w:rPr>
        <w:t>in the North Island</w:t>
      </w:r>
    </w:p>
    <w:p w:rsidR="00D45C17" w:rsidRDefault="001C3CEA" w:rsidP="003879F9">
      <w:pPr>
        <w:autoSpaceDE w:val="0"/>
        <w:autoSpaceDN w:val="0"/>
        <w:adjustRightInd w:val="0"/>
        <w:spacing w:after="120"/>
        <w:jc w:val="both"/>
        <w:rPr>
          <w:b/>
        </w:rPr>
      </w:pPr>
      <w:r>
        <w:rPr>
          <w:b/>
        </w:rPr>
        <w:br w:type="page"/>
      </w:r>
    </w:p>
    <w:bookmarkEnd w:id="14"/>
    <w:p w:rsidR="00D45C17" w:rsidRDefault="00D45C17" w:rsidP="003879F9">
      <w:pPr>
        <w:autoSpaceDE w:val="0"/>
        <w:autoSpaceDN w:val="0"/>
        <w:adjustRightInd w:val="0"/>
        <w:spacing w:after="120"/>
        <w:jc w:val="both"/>
        <w:rPr>
          <w:b/>
        </w:rPr>
      </w:pPr>
    </w:p>
    <w:p w:rsidR="00D45C17" w:rsidRDefault="00D45C17" w:rsidP="003879F9">
      <w:pPr>
        <w:autoSpaceDE w:val="0"/>
        <w:autoSpaceDN w:val="0"/>
        <w:adjustRightInd w:val="0"/>
        <w:spacing w:after="120"/>
        <w:jc w:val="both"/>
        <w:rPr>
          <w:b/>
        </w:rPr>
      </w:pPr>
    </w:p>
    <w:p w:rsidR="007A0EED" w:rsidRDefault="007A0EED" w:rsidP="003879F9">
      <w:pPr>
        <w:autoSpaceDE w:val="0"/>
        <w:autoSpaceDN w:val="0"/>
        <w:adjustRightInd w:val="0"/>
        <w:spacing w:after="120"/>
        <w:jc w:val="both"/>
        <w:rPr>
          <w:b/>
        </w:rPr>
      </w:pPr>
    </w:p>
    <w:p w:rsidR="00D45C17" w:rsidRDefault="00D45C17" w:rsidP="003879F9">
      <w:pPr>
        <w:autoSpaceDE w:val="0"/>
        <w:autoSpaceDN w:val="0"/>
        <w:adjustRightInd w:val="0"/>
        <w:spacing w:after="120"/>
        <w:jc w:val="both"/>
        <w:rPr>
          <w:b/>
        </w:rPr>
      </w:pPr>
    </w:p>
    <w:p w:rsidR="008825A8" w:rsidRPr="003879F9" w:rsidRDefault="008825A8" w:rsidP="003879F9">
      <w:pPr>
        <w:autoSpaceDE w:val="0"/>
        <w:autoSpaceDN w:val="0"/>
        <w:adjustRightInd w:val="0"/>
        <w:spacing w:after="120"/>
        <w:jc w:val="both"/>
        <w:rPr>
          <w:b/>
        </w:rPr>
      </w:pPr>
      <w:r w:rsidRPr="003879F9">
        <w:rPr>
          <w:b/>
        </w:rPr>
        <w:t xml:space="preserve">Table </w:t>
      </w:r>
      <w:r w:rsidR="006267B8" w:rsidRPr="003879F9">
        <w:rPr>
          <w:b/>
        </w:rPr>
        <w:t>1</w:t>
      </w:r>
      <w:r w:rsidRPr="003879F9">
        <w:rPr>
          <w:b/>
        </w:rPr>
        <w:t>. Recreational Travel Number of Trips</w:t>
      </w:r>
    </w:p>
    <w:tbl>
      <w:tblPr>
        <w:tblW w:w="9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9"/>
        <w:gridCol w:w="1468"/>
        <w:gridCol w:w="1283"/>
        <w:gridCol w:w="1283"/>
        <w:gridCol w:w="1284"/>
        <w:gridCol w:w="1283"/>
        <w:gridCol w:w="1284"/>
      </w:tblGrid>
      <w:tr w:rsidR="008825A8" w:rsidRPr="003879F9" w:rsidTr="001F665A">
        <w:trPr>
          <w:trHeight w:val="300"/>
          <w:jc w:val="center"/>
        </w:trPr>
        <w:tc>
          <w:tcPr>
            <w:tcW w:w="1369" w:type="dxa"/>
            <w:vMerge w:val="restart"/>
            <w:tcBorders>
              <w:top w:val="double" w:sz="6" w:space="0" w:color="000000"/>
              <w:left w:val="double" w:sz="6" w:space="0" w:color="000000"/>
            </w:tcBorders>
            <w:shd w:val="clear" w:color="auto" w:fill="auto"/>
            <w:noWrap/>
            <w:vAlign w:val="center"/>
            <w:hideMark/>
          </w:tcPr>
          <w:p w:rsidR="008825A8" w:rsidRPr="003879F9" w:rsidRDefault="008825A8" w:rsidP="003879F9">
            <w:pPr>
              <w:rPr>
                <w:color w:val="000000"/>
              </w:rPr>
            </w:pPr>
            <w:r w:rsidRPr="003879F9">
              <w:rPr>
                <w:color w:val="000000"/>
              </w:rPr>
              <w:t>Number of trips</w:t>
            </w:r>
          </w:p>
        </w:tc>
        <w:tc>
          <w:tcPr>
            <w:tcW w:w="1468" w:type="dxa"/>
            <w:vMerge w:val="restart"/>
            <w:tcBorders>
              <w:top w:val="double" w:sz="6" w:space="0" w:color="000000"/>
            </w:tcBorders>
            <w:shd w:val="clear" w:color="auto" w:fill="auto"/>
            <w:noWrap/>
            <w:vAlign w:val="center"/>
            <w:hideMark/>
          </w:tcPr>
          <w:p w:rsidR="008825A8" w:rsidRPr="003879F9" w:rsidRDefault="008825A8" w:rsidP="003879F9">
            <w:pPr>
              <w:rPr>
                <w:color w:val="000000"/>
              </w:rPr>
            </w:pPr>
            <w:r w:rsidRPr="003879F9">
              <w:rPr>
                <w:color w:val="000000"/>
              </w:rPr>
              <w:t>Number of individuals</w:t>
            </w:r>
          </w:p>
        </w:tc>
        <w:tc>
          <w:tcPr>
            <w:tcW w:w="6417" w:type="dxa"/>
            <w:gridSpan w:val="5"/>
            <w:tcBorders>
              <w:top w:val="double" w:sz="6" w:space="0" w:color="000000"/>
              <w:bottom w:val="single" w:sz="4" w:space="0" w:color="auto"/>
              <w:right w:val="double" w:sz="6" w:space="0" w:color="000000"/>
            </w:tcBorders>
            <w:shd w:val="clear" w:color="auto" w:fill="auto"/>
            <w:noWrap/>
            <w:vAlign w:val="center"/>
            <w:hideMark/>
          </w:tcPr>
          <w:p w:rsidR="008825A8" w:rsidRPr="003879F9" w:rsidRDefault="008825A8" w:rsidP="003879F9">
            <w:pPr>
              <w:rPr>
                <w:color w:val="000000"/>
                <w:vertAlign w:val="superscript"/>
              </w:rPr>
            </w:pPr>
            <w:r w:rsidRPr="003879F9">
              <w:rPr>
                <w:color w:val="000000"/>
              </w:rPr>
              <w:t>Number (%) of individuals visiting</w:t>
            </w:r>
            <w:r w:rsidRPr="003879F9">
              <w:rPr>
                <w:color w:val="000000"/>
                <w:vertAlign w:val="superscript"/>
              </w:rPr>
              <w:t>a</w:t>
            </w:r>
          </w:p>
        </w:tc>
      </w:tr>
      <w:tr w:rsidR="008825A8" w:rsidRPr="003879F9" w:rsidTr="001F665A">
        <w:trPr>
          <w:trHeight w:val="300"/>
          <w:jc w:val="center"/>
        </w:trPr>
        <w:tc>
          <w:tcPr>
            <w:tcW w:w="1369" w:type="dxa"/>
            <w:vMerge/>
            <w:tcBorders>
              <w:left w:val="double" w:sz="6" w:space="0" w:color="000000"/>
              <w:bottom w:val="double" w:sz="6" w:space="0" w:color="000000"/>
            </w:tcBorders>
            <w:vAlign w:val="center"/>
            <w:hideMark/>
          </w:tcPr>
          <w:p w:rsidR="008825A8" w:rsidRPr="003879F9" w:rsidRDefault="008825A8" w:rsidP="003879F9">
            <w:pPr>
              <w:rPr>
                <w:color w:val="000000"/>
              </w:rPr>
            </w:pPr>
          </w:p>
        </w:tc>
        <w:tc>
          <w:tcPr>
            <w:tcW w:w="1468" w:type="dxa"/>
            <w:vMerge/>
            <w:tcBorders>
              <w:bottom w:val="double" w:sz="6" w:space="0" w:color="000000"/>
            </w:tcBorders>
            <w:vAlign w:val="center"/>
            <w:hideMark/>
          </w:tcPr>
          <w:p w:rsidR="008825A8" w:rsidRPr="003879F9" w:rsidRDefault="008825A8" w:rsidP="003879F9">
            <w:pPr>
              <w:rPr>
                <w:color w:val="000000"/>
              </w:rPr>
            </w:pPr>
          </w:p>
        </w:tc>
        <w:tc>
          <w:tcPr>
            <w:tcW w:w="1283" w:type="dxa"/>
            <w:tcBorders>
              <w:top w:val="single" w:sz="4" w:space="0" w:color="auto"/>
              <w:bottom w:val="double" w:sz="6" w:space="0" w:color="000000"/>
              <w:right w:val="nil"/>
            </w:tcBorders>
            <w:shd w:val="clear" w:color="auto" w:fill="auto"/>
            <w:noWrap/>
            <w:vAlign w:val="center"/>
            <w:hideMark/>
          </w:tcPr>
          <w:p w:rsidR="008825A8" w:rsidRPr="003879F9" w:rsidRDefault="008825A8" w:rsidP="003879F9">
            <w:pPr>
              <w:rPr>
                <w:color w:val="000000"/>
              </w:rPr>
            </w:pPr>
            <w:r w:rsidRPr="003879F9">
              <w:rPr>
                <w:color w:val="000000"/>
              </w:rPr>
              <w:t>1 region</w:t>
            </w:r>
          </w:p>
        </w:tc>
        <w:tc>
          <w:tcPr>
            <w:tcW w:w="1283" w:type="dxa"/>
            <w:tcBorders>
              <w:top w:val="single" w:sz="4" w:space="0" w:color="auto"/>
              <w:left w:val="nil"/>
              <w:bottom w:val="double" w:sz="6" w:space="0" w:color="000000"/>
              <w:right w:val="nil"/>
            </w:tcBorders>
            <w:shd w:val="clear" w:color="auto" w:fill="auto"/>
            <w:noWrap/>
            <w:vAlign w:val="center"/>
            <w:hideMark/>
          </w:tcPr>
          <w:p w:rsidR="008825A8" w:rsidRPr="003879F9" w:rsidRDefault="008825A8" w:rsidP="003879F9">
            <w:pPr>
              <w:rPr>
                <w:color w:val="000000"/>
              </w:rPr>
            </w:pPr>
            <w:r w:rsidRPr="003879F9">
              <w:rPr>
                <w:color w:val="000000"/>
              </w:rPr>
              <w:t>2 regions</w:t>
            </w:r>
          </w:p>
        </w:tc>
        <w:tc>
          <w:tcPr>
            <w:tcW w:w="1284" w:type="dxa"/>
            <w:tcBorders>
              <w:top w:val="single" w:sz="4" w:space="0" w:color="auto"/>
              <w:left w:val="nil"/>
              <w:bottom w:val="double" w:sz="6" w:space="0" w:color="000000"/>
              <w:right w:val="nil"/>
            </w:tcBorders>
            <w:shd w:val="clear" w:color="auto" w:fill="auto"/>
            <w:noWrap/>
            <w:vAlign w:val="center"/>
            <w:hideMark/>
          </w:tcPr>
          <w:p w:rsidR="008825A8" w:rsidRPr="003879F9" w:rsidRDefault="008825A8" w:rsidP="003879F9">
            <w:pPr>
              <w:rPr>
                <w:color w:val="000000"/>
              </w:rPr>
            </w:pPr>
            <w:r w:rsidRPr="003879F9">
              <w:rPr>
                <w:color w:val="000000"/>
              </w:rPr>
              <w:t>3 regions</w:t>
            </w:r>
          </w:p>
        </w:tc>
        <w:tc>
          <w:tcPr>
            <w:tcW w:w="1283" w:type="dxa"/>
            <w:tcBorders>
              <w:top w:val="single" w:sz="4" w:space="0" w:color="auto"/>
              <w:left w:val="nil"/>
              <w:bottom w:val="double" w:sz="6" w:space="0" w:color="000000"/>
              <w:right w:val="nil"/>
            </w:tcBorders>
            <w:shd w:val="clear" w:color="auto" w:fill="auto"/>
            <w:noWrap/>
            <w:vAlign w:val="center"/>
            <w:hideMark/>
          </w:tcPr>
          <w:p w:rsidR="008825A8" w:rsidRPr="003879F9" w:rsidRDefault="008825A8" w:rsidP="003879F9">
            <w:pPr>
              <w:rPr>
                <w:color w:val="000000"/>
              </w:rPr>
            </w:pPr>
            <w:r w:rsidRPr="003879F9">
              <w:rPr>
                <w:color w:val="000000"/>
              </w:rPr>
              <w:t>4 regions</w:t>
            </w:r>
          </w:p>
        </w:tc>
        <w:tc>
          <w:tcPr>
            <w:tcW w:w="1284" w:type="dxa"/>
            <w:tcBorders>
              <w:top w:val="single" w:sz="4" w:space="0" w:color="auto"/>
              <w:left w:val="nil"/>
              <w:bottom w:val="double" w:sz="6" w:space="0" w:color="000000"/>
              <w:right w:val="double" w:sz="6" w:space="0" w:color="000000"/>
            </w:tcBorders>
            <w:shd w:val="clear" w:color="auto" w:fill="auto"/>
            <w:noWrap/>
            <w:vAlign w:val="center"/>
            <w:hideMark/>
          </w:tcPr>
          <w:p w:rsidR="008825A8" w:rsidRPr="003879F9" w:rsidRDefault="008825A8" w:rsidP="003879F9">
            <w:pPr>
              <w:rPr>
                <w:color w:val="000000"/>
              </w:rPr>
            </w:pPr>
            <w:r w:rsidRPr="003879F9">
              <w:rPr>
                <w:color w:val="000000"/>
              </w:rPr>
              <w:t>5 regions</w:t>
            </w:r>
          </w:p>
        </w:tc>
      </w:tr>
      <w:tr w:rsidR="008825A8" w:rsidRPr="003879F9" w:rsidTr="003879F9">
        <w:trPr>
          <w:trHeight w:val="720"/>
          <w:jc w:val="center"/>
        </w:trPr>
        <w:tc>
          <w:tcPr>
            <w:tcW w:w="1369" w:type="dxa"/>
            <w:tcBorders>
              <w:top w:val="double" w:sz="6" w:space="0" w:color="000000"/>
              <w:left w:val="double" w:sz="6" w:space="0" w:color="000000"/>
              <w:bottom w:val="nil"/>
            </w:tcBorders>
            <w:shd w:val="clear" w:color="auto" w:fill="auto"/>
            <w:noWrap/>
            <w:hideMark/>
          </w:tcPr>
          <w:p w:rsidR="008825A8" w:rsidRPr="003879F9" w:rsidRDefault="008825A8" w:rsidP="003879F9">
            <w:pPr>
              <w:rPr>
                <w:color w:val="000000"/>
              </w:rPr>
            </w:pPr>
            <w:r w:rsidRPr="003879F9">
              <w:rPr>
                <w:color w:val="000000"/>
              </w:rPr>
              <w:t>1</w:t>
            </w:r>
          </w:p>
        </w:tc>
        <w:tc>
          <w:tcPr>
            <w:tcW w:w="1468" w:type="dxa"/>
            <w:tcBorders>
              <w:top w:val="double" w:sz="6" w:space="0" w:color="000000"/>
              <w:bottom w:val="nil"/>
            </w:tcBorders>
            <w:shd w:val="clear" w:color="auto" w:fill="auto"/>
            <w:noWrap/>
            <w:hideMark/>
          </w:tcPr>
          <w:p w:rsidR="008825A8" w:rsidRPr="003879F9" w:rsidRDefault="008825A8" w:rsidP="003879F9">
            <w:pPr>
              <w:rPr>
                <w:color w:val="000000"/>
              </w:rPr>
            </w:pPr>
            <w:r w:rsidRPr="003879F9">
              <w:rPr>
                <w:color w:val="000000"/>
              </w:rPr>
              <w:t>1,847</w:t>
            </w:r>
          </w:p>
          <w:p w:rsidR="008825A8" w:rsidRPr="003879F9" w:rsidRDefault="008825A8" w:rsidP="003879F9">
            <w:pPr>
              <w:rPr>
                <w:color w:val="000000"/>
              </w:rPr>
            </w:pPr>
            <w:r w:rsidRPr="003879F9">
              <w:rPr>
                <w:color w:val="000000"/>
              </w:rPr>
              <w:t>(71.8%)</w:t>
            </w:r>
          </w:p>
        </w:tc>
        <w:tc>
          <w:tcPr>
            <w:tcW w:w="1283" w:type="dxa"/>
            <w:tcBorders>
              <w:top w:val="double" w:sz="6" w:space="0" w:color="000000"/>
              <w:bottom w:val="nil"/>
              <w:right w:val="nil"/>
            </w:tcBorders>
            <w:shd w:val="clear" w:color="auto" w:fill="auto"/>
            <w:noWrap/>
            <w:hideMark/>
          </w:tcPr>
          <w:p w:rsidR="008825A8" w:rsidRPr="003879F9" w:rsidRDefault="008825A8" w:rsidP="003879F9">
            <w:pPr>
              <w:rPr>
                <w:color w:val="000000"/>
              </w:rPr>
            </w:pPr>
            <w:r w:rsidRPr="003879F9">
              <w:rPr>
                <w:color w:val="000000"/>
              </w:rPr>
              <w:t>1,847</w:t>
            </w:r>
          </w:p>
          <w:p w:rsidR="008825A8" w:rsidRPr="003879F9" w:rsidRDefault="008825A8" w:rsidP="003879F9">
            <w:pPr>
              <w:rPr>
                <w:color w:val="000000"/>
              </w:rPr>
            </w:pPr>
            <w:r w:rsidRPr="003879F9">
              <w:rPr>
                <w:color w:val="000000"/>
              </w:rPr>
              <w:t>(100%)</w:t>
            </w:r>
          </w:p>
        </w:tc>
        <w:tc>
          <w:tcPr>
            <w:tcW w:w="1283" w:type="dxa"/>
            <w:tcBorders>
              <w:top w:val="double" w:sz="6" w:space="0" w:color="000000"/>
              <w:left w:val="nil"/>
              <w:bottom w:val="nil"/>
              <w:right w:val="nil"/>
            </w:tcBorders>
            <w:shd w:val="clear" w:color="auto" w:fill="auto"/>
            <w:noWrap/>
            <w:hideMark/>
          </w:tcPr>
          <w:p w:rsidR="008825A8" w:rsidRPr="003879F9" w:rsidRDefault="008825A8" w:rsidP="003879F9">
            <w:pPr>
              <w:rPr>
                <w:color w:val="000000"/>
              </w:rPr>
            </w:pPr>
            <w:r w:rsidRPr="003879F9">
              <w:rPr>
                <w:color w:val="000000"/>
              </w:rPr>
              <w:t>0</w:t>
            </w:r>
          </w:p>
          <w:p w:rsidR="008825A8" w:rsidRPr="003879F9" w:rsidRDefault="008825A8" w:rsidP="003879F9">
            <w:pPr>
              <w:rPr>
                <w:color w:val="000000"/>
              </w:rPr>
            </w:pPr>
          </w:p>
        </w:tc>
        <w:tc>
          <w:tcPr>
            <w:tcW w:w="1284" w:type="dxa"/>
            <w:tcBorders>
              <w:top w:val="double" w:sz="6" w:space="0" w:color="000000"/>
              <w:left w:val="nil"/>
              <w:bottom w:val="nil"/>
              <w:right w:val="nil"/>
            </w:tcBorders>
            <w:shd w:val="clear" w:color="auto" w:fill="auto"/>
            <w:noWrap/>
            <w:hideMark/>
          </w:tcPr>
          <w:p w:rsidR="008825A8" w:rsidRPr="003879F9" w:rsidRDefault="008825A8" w:rsidP="003879F9">
            <w:pPr>
              <w:rPr>
                <w:color w:val="000000"/>
              </w:rPr>
            </w:pPr>
            <w:r w:rsidRPr="003879F9">
              <w:rPr>
                <w:color w:val="000000"/>
              </w:rPr>
              <w:t>0</w:t>
            </w:r>
          </w:p>
          <w:p w:rsidR="008825A8" w:rsidRPr="003879F9" w:rsidRDefault="008825A8" w:rsidP="003879F9">
            <w:pPr>
              <w:rPr>
                <w:color w:val="000000"/>
              </w:rPr>
            </w:pPr>
          </w:p>
        </w:tc>
        <w:tc>
          <w:tcPr>
            <w:tcW w:w="1283" w:type="dxa"/>
            <w:tcBorders>
              <w:top w:val="double" w:sz="6" w:space="0" w:color="000000"/>
              <w:left w:val="nil"/>
              <w:bottom w:val="nil"/>
              <w:right w:val="nil"/>
            </w:tcBorders>
            <w:shd w:val="clear" w:color="auto" w:fill="auto"/>
            <w:noWrap/>
            <w:hideMark/>
          </w:tcPr>
          <w:p w:rsidR="008825A8" w:rsidRPr="003879F9" w:rsidRDefault="008825A8" w:rsidP="003879F9">
            <w:pPr>
              <w:rPr>
                <w:color w:val="000000"/>
              </w:rPr>
            </w:pPr>
            <w:r w:rsidRPr="003879F9">
              <w:rPr>
                <w:color w:val="000000"/>
              </w:rPr>
              <w:t>0</w:t>
            </w:r>
          </w:p>
          <w:p w:rsidR="008825A8" w:rsidRPr="003879F9" w:rsidRDefault="008825A8" w:rsidP="003879F9">
            <w:pPr>
              <w:rPr>
                <w:color w:val="000000"/>
              </w:rPr>
            </w:pPr>
          </w:p>
        </w:tc>
        <w:tc>
          <w:tcPr>
            <w:tcW w:w="1284" w:type="dxa"/>
            <w:tcBorders>
              <w:top w:val="double" w:sz="6" w:space="0" w:color="000000"/>
              <w:left w:val="nil"/>
              <w:bottom w:val="nil"/>
              <w:right w:val="double" w:sz="6" w:space="0" w:color="000000"/>
            </w:tcBorders>
            <w:shd w:val="clear" w:color="auto" w:fill="auto"/>
            <w:noWrap/>
            <w:hideMark/>
          </w:tcPr>
          <w:p w:rsidR="008825A8" w:rsidRPr="003879F9" w:rsidRDefault="008825A8" w:rsidP="003879F9">
            <w:pPr>
              <w:rPr>
                <w:color w:val="000000"/>
              </w:rPr>
            </w:pPr>
            <w:r w:rsidRPr="003879F9">
              <w:rPr>
                <w:color w:val="000000"/>
              </w:rPr>
              <w:t>0</w:t>
            </w:r>
          </w:p>
          <w:p w:rsidR="008825A8" w:rsidRPr="003879F9" w:rsidRDefault="008825A8" w:rsidP="003879F9">
            <w:pPr>
              <w:rPr>
                <w:color w:val="000000"/>
              </w:rPr>
            </w:pPr>
          </w:p>
        </w:tc>
      </w:tr>
      <w:tr w:rsidR="008825A8" w:rsidRPr="003879F9" w:rsidTr="003879F9">
        <w:trPr>
          <w:trHeight w:val="720"/>
          <w:jc w:val="center"/>
        </w:trPr>
        <w:tc>
          <w:tcPr>
            <w:tcW w:w="1369" w:type="dxa"/>
            <w:tcBorders>
              <w:top w:val="nil"/>
              <w:left w:val="double" w:sz="6" w:space="0" w:color="000000"/>
              <w:bottom w:val="nil"/>
            </w:tcBorders>
            <w:shd w:val="clear" w:color="auto" w:fill="auto"/>
            <w:noWrap/>
            <w:hideMark/>
          </w:tcPr>
          <w:p w:rsidR="008825A8" w:rsidRPr="003879F9" w:rsidRDefault="008825A8" w:rsidP="003879F9">
            <w:pPr>
              <w:rPr>
                <w:color w:val="000000"/>
              </w:rPr>
            </w:pPr>
            <w:r w:rsidRPr="003879F9">
              <w:rPr>
                <w:color w:val="000000"/>
              </w:rPr>
              <w:t>2</w:t>
            </w:r>
          </w:p>
        </w:tc>
        <w:tc>
          <w:tcPr>
            <w:tcW w:w="1468" w:type="dxa"/>
            <w:tcBorders>
              <w:top w:val="nil"/>
              <w:bottom w:val="nil"/>
            </w:tcBorders>
            <w:shd w:val="clear" w:color="auto" w:fill="auto"/>
            <w:noWrap/>
            <w:hideMark/>
          </w:tcPr>
          <w:p w:rsidR="008825A8" w:rsidRPr="003879F9" w:rsidRDefault="008825A8" w:rsidP="003879F9">
            <w:pPr>
              <w:rPr>
                <w:color w:val="000000"/>
              </w:rPr>
            </w:pPr>
            <w:r w:rsidRPr="003879F9">
              <w:rPr>
                <w:color w:val="000000"/>
              </w:rPr>
              <w:t>539</w:t>
            </w:r>
          </w:p>
          <w:p w:rsidR="008825A8" w:rsidRPr="003879F9" w:rsidRDefault="008825A8" w:rsidP="003879F9">
            <w:pPr>
              <w:rPr>
                <w:color w:val="000000"/>
              </w:rPr>
            </w:pPr>
            <w:r w:rsidRPr="003879F9">
              <w:rPr>
                <w:color w:val="000000"/>
              </w:rPr>
              <w:t>(21.0%)</w:t>
            </w:r>
          </w:p>
        </w:tc>
        <w:tc>
          <w:tcPr>
            <w:tcW w:w="1283" w:type="dxa"/>
            <w:tcBorders>
              <w:top w:val="nil"/>
              <w:bottom w:val="nil"/>
              <w:right w:val="nil"/>
            </w:tcBorders>
            <w:shd w:val="clear" w:color="auto" w:fill="auto"/>
            <w:noWrap/>
            <w:hideMark/>
          </w:tcPr>
          <w:p w:rsidR="008825A8" w:rsidRPr="003879F9" w:rsidRDefault="008825A8" w:rsidP="003879F9">
            <w:pPr>
              <w:rPr>
                <w:color w:val="000000"/>
              </w:rPr>
            </w:pPr>
            <w:r w:rsidRPr="003879F9">
              <w:rPr>
                <w:color w:val="000000"/>
              </w:rPr>
              <w:t>241</w:t>
            </w:r>
          </w:p>
          <w:p w:rsidR="008825A8" w:rsidRPr="003879F9" w:rsidRDefault="008825A8" w:rsidP="003879F9">
            <w:pPr>
              <w:rPr>
                <w:color w:val="000000"/>
              </w:rPr>
            </w:pPr>
            <w:r w:rsidRPr="003879F9">
              <w:rPr>
                <w:color w:val="000000"/>
              </w:rPr>
              <w:t>(39.0%)</w:t>
            </w:r>
          </w:p>
        </w:tc>
        <w:tc>
          <w:tcPr>
            <w:tcW w:w="1283" w:type="dxa"/>
            <w:tcBorders>
              <w:top w:val="nil"/>
              <w:left w:val="nil"/>
              <w:bottom w:val="nil"/>
              <w:right w:val="nil"/>
            </w:tcBorders>
            <w:shd w:val="clear" w:color="auto" w:fill="auto"/>
            <w:noWrap/>
            <w:hideMark/>
          </w:tcPr>
          <w:p w:rsidR="008825A8" w:rsidRPr="003879F9" w:rsidRDefault="008825A8" w:rsidP="003879F9">
            <w:pPr>
              <w:rPr>
                <w:color w:val="000000"/>
              </w:rPr>
            </w:pPr>
            <w:r w:rsidRPr="003879F9">
              <w:rPr>
                <w:color w:val="000000"/>
              </w:rPr>
              <w:t>298</w:t>
            </w:r>
          </w:p>
          <w:p w:rsidR="008825A8" w:rsidRPr="003879F9" w:rsidRDefault="008825A8" w:rsidP="003879F9">
            <w:pPr>
              <w:rPr>
                <w:color w:val="000000"/>
              </w:rPr>
            </w:pPr>
            <w:r w:rsidRPr="003879F9">
              <w:rPr>
                <w:color w:val="000000"/>
              </w:rPr>
              <w:t>(61.0%)</w:t>
            </w:r>
          </w:p>
        </w:tc>
        <w:tc>
          <w:tcPr>
            <w:tcW w:w="1284" w:type="dxa"/>
            <w:tcBorders>
              <w:top w:val="nil"/>
              <w:left w:val="nil"/>
              <w:bottom w:val="nil"/>
              <w:right w:val="nil"/>
            </w:tcBorders>
            <w:shd w:val="clear" w:color="auto" w:fill="auto"/>
            <w:noWrap/>
            <w:hideMark/>
          </w:tcPr>
          <w:p w:rsidR="008825A8" w:rsidRPr="003879F9" w:rsidRDefault="008825A8" w:rsidP="003879F9">
            <w:pPr>
              <w:rPr>
                <w:color w:val="000000"/>
              </w:rPr>
            </w:pPr>
            <w:r w:rsidRPr="003879F9">
              <w:rPr>
                <w:color w:val="000000"/>
              </w:rPr>
              <w:t>0</w:t>
            </w:r>
          </w:p>
          <w:p w:rsidR="008825A8" w:rsidRPr="003879F9" w:rsidRDefault="008825A8" w:rsidP="003879F9">
            <w:pPr>
              <w:rPr>
                <w:color w:val="000000"/>
              </w:rPr>
            </w:pPr>
          </w:p>
        </w:tc>
        <w:tc>
          <w:tcPr>
            <w:tcW w:w="1283" w:type="dxa"/>
            <w:tcBorders>
              <w:top w:val="nil"/>
              <w:left w:val="nil"/>
              <w:bottom w:val="nil"/>
              <w:right w:val="nil"/>
            </w:tcBorders>
            <w:shd w:val="clear" w:color="auto" w:fill="auto"/>
            <w:noWrap/>
            <w:hideMark/>
          </w:tcPr>
          <w:p w:rsidR="008825A8" w:rsidRPr="003879F9" w:rsidRDefault="008825A8" w:rsidP="003879F9">
            <w:pPr>
              <w:rPr>
                <w:color w:val="000000"/>
              </w:rPr>
            </w:pPr>
            <w:r w:rsidRPr="003879F9">
              <w:rPr>
                <w:color w:val="000000"/>
              </w:rPr>
              <w:t>0</w:t>
            </w:r>
          </w:p>
          <w:p w:rsidR="008825A8" w:rsidRPr="003879F9" w:rsidRDefault="008825A8" w:rsidP="003879F9">
            <w:pPr>
              <w:rPr>
                <w:color w:val="000000"/>
              </w:rPr>
            </w:pPr>
          </w:p>
        </w:tc>
        <w:tc>
          <w:tcPr>
            <w:tcW w:w="1284" w:type="dxa"/>
            <w:tcBorders>
              <w:top w:val="nil"/>
              <w:left w:val="nil"/>
              <w:bottom w:val="nil"/>
              <w:right w:val="double" w:sz="6" w:space="0" w:color="000000"/>
            </w:tcBorders>
            <w:shd w:val="clear" w:color="auto" w:fill="auto"/>
            <w:noWrap/>
            <w:hideMark/>
          </w:tcPr>
          <w:p w:rsidR="008825A8" w:rsidRPr="003879F9" w:rsidRDefault="008825A8" w:rsidP="003879F9">
            <w:pPr>
              <w:rPr>
                <w:color w:val="000000"/>
              </w:rPr>
            </w:pPr>
            <w:r w:rsidRPr="003879F9">
              <w:rPr>
                <w:color w:val="000000"/>
              </w:rPr>
              <w:t>0</w:t>
            </w:r>
          </w:p>
          <w:p w:rsidR="008825A8" w:rsidRPr="003879F9" w:rsidRDefault="008825A8" w:rsidP="003879F9">
            <w:pPr>
              <w:rPr>
                <w:color w:val="000000"/>
              </w:rPr>
            </w:pPr>
          </w:p>
        </w:tc>
      </w:tr>
      <w:tr w:rsidR="008825A8" w:rsidRPr="003879F9" w:rsidTr="003879F9">
        <w:trPr>
          <w:trHeight w:val="720"/>
          <w:jc w:val="center"/>
        </w:trPr>
        <w:tc>
          <w:tcPr>
            <w:tcW w:w="1369" w:type="dxa"/>
            <w:tcBorders>
              <w:top w:val="nil"/>
              <w:left w:val="double" w:sz="6" w:space="0" w:color="000000"/>
              <w:bottom w:val="nil"/>
            </w:tcBorders>
            <w:shd w:val="clear" w:color="auto" w:fill="auto"/>
            <w:noWrap/>
            <w:hideMark/>
          </w:tcPr>
          <w:p w:rsidR="008825A8" w:rsidRPr="003879F9" w:rsidRDefault="008825A8" w:rsidP="003879F9">
            <w:pPr>
              <w:rPr>
                <w:color w:val="000000"/>
              </w:rPr>
            </w:pPr>
            <w:r w:rsidRPr="003879F9">
              <w:rPr>
                <w:color w:val="000000"/>
              </w:rPr>
              <w:t>3</w:t>
            </w:r>
          </w:p>
        </w:tc>
        <w:tc>
          <w:tcPr>
            <w:tcW w:w="1468" w:type="dxa"/>
            <w:tcBorders>
              <w:top w:val="nil"/>
              <w:bottom w:val="nil"/>
            </w:tcBorders>
            <w:shd w:val="clear" w:color="auto" w:fill="auto"/>
            <w:noWrap/>
            <w:hideMark/>
          </w:tcPr>
          <w:p w:rsidR="008825A8" w:rsidRPr="003879F9" w:rsidRDefault="008825A8" w:rsidP="003879F9">
            <w:pPr>
              <w:rPr>
                <w:color w:val="000000"/>
              </w:rPr>
            </w:pPr>
            <w:r w:rsidRPr="003879F9">
              <w:rPr>
                <w:color w:val="000000"/>
              </w:rPr>
              <w:t>133</w:t>
            </w:r>
          </w:p>
          <w:p w:rsidR="008825A8" w:rsidRPr="003879F9" w:rsidRDefault="008825A8" w:rsidP="003879F9">
            <w:pPr>
              <w:rPr>
                <w:color w:val="000000"/>
              </w:rPr>
            </w:pPr>
            <w:r w:rsidRPr="003879F9">
              <w:rPr>
                <w:color w:val="000000"/>
              </w:rPr>
              <w:t>(5.2%)</w:t>
            </w:r>
          </w:p>
        </w:tc>
        <w:tc>
          <w:tcPr>
            <w:tcW w:w="1283" w:type="dxa"/>
            <w:tcBorders>
              <w:top w:val="nil"/>
              <w:bottom w:val="nil"/>
              <w:right w:val="nil"/>
            </w:tcBorders>
            <w:shd w:val="clear" w:color="auto" w:fill="auto"/>
            <w:noWrap/>
            <w:hideMark/>
          </w:tcPr>
          <w:p w:rsidR="008825A8" w:rsidRPr="003879F9" w:rsidRDefault="008825A8" w:rsidP="003879F9">
            <w:pPr>
              <w:rPr>
                <w:color w:val="000000"/>
              </w:rPr>
            </w:pPr>
            <w:r w:rsidRPr="003879F9">
              <w:rPr>
                <w:color w:val="000000"/>
              </w:rPr>
              <w:t>41</w:t>
            </w:r>
          </w:p>
          <w:p w:rsidR="008825A8" w:rsidRPr="003879F9" w:rsidRDefault="008825A8" w:rsidP="003879F9">
            <w:pPr>
              <w:rPr>
                <w:color w:val="000000"/>
              </w:rPr>
            </w:pPr>
            <w:r w:rsidRPr="003879F9">
              <w:rPr>
                <w:color w:val="000000"/>
              </w:rPr>
              <w:t>(30.8%)</w:t>
            </w:r>
          </w:p>
        </w:tc>
        <w:tc>
          <w:tcPr>
            <w:tcW w:w="1283" w:type="dxa"/>
            <w:tcBorders>
              <w:top w:val="nil"/>
              <w:left w:val="nil"/>
              <w:bottom w:val="nil"/>
              <w:right w:val="nil"/>
            </w:tcBorders>
            <w:shd w:val="clear" w:color="auto" w:fill="auto"/>
            <w:noWrap/>
            <w:hideMark/>
          </w:tcPr>
          <w:p w:rsidR="008825A8" w:rsidRPr="003879F9" w:rsidRDefault="008825A8" w:rsidP="003879F9">
            <w:pPr>
              <w:rPr>
                <w:color w:val="000000"/>
              </w:rPr>
            </w:pPr>
            <w:r w:rsidRPr="003879F9">
              <w:rPr>
                <w:color w:val="000000"/>
              </w:rPr>
              <w:t>67</w:t>
            </w:r>
          </w:p>
          <w:p w:rsidR="008825A8" w:rsidRPr="003879F9" w:rsidRDefault="008825A8" w:rsidP="003879F9">
            <w:pPr>
              <w:rPr>
                <w:color w:val="000000"/>
              </w:rPr>
            </w:pPr>
            <w:r w:rsidRPr="003879F9">
              <w:rPr>
                <w:color w:val="000000"/>
              </w:rPr>
              <w:t>(50.4%)</w:t>
            </w:r>
          </w:p>
        </w:tc>
        <w:tc>
          <w:tcPr>
            <w:tcW w:w="1284" w:type="dxa"/>
            <w:tcBorders>
              <w:top w:val="nil"/>
              <w:left w:val="nil"/>
              <w:bottom w:val="nil"/>
              <w:right w:val="nil"/>
            </w:tcBorders>
            <w:shd w:val="clear" w:color="auto" w:fill="auto"/>
            <w:noWrap/>
            <w:hideMark/>
          </w:tcPr>
          <w:p w:rsidR="008825A8" w:rsidRPr="003879F9" w:rsidRDefault="008825A8" w:rsidP="003879F9">
            <w:pPr>
              <w:rPr>
                <w:color w:val="000000"/>
              </w:rPr>
            </w:pPr>
            <w:r w:rsidRPr="003879F9">
              <w:rPr>
                <w:color w:val="000000"/>
              </w:rPr>
              <w:t>25</w:t>
            </w:r>
          </w:p>
          <w:p w:rsidR="008825A8" w:rsidRPr="003879F9" w:rsidRDefault="008825A8" w:rsidP="003879F9">
            <w:pPr>
              <w:rPr>
                <w:color w:val="000000"/>
              </w:rPr>
            </w:pPr>
            <w:r w:rsidRPr="003879F9">
              <w:rPr>
                <w:color w:val="000000"/>
              </w:rPr>
              <w:t>(18.8%)</w:t>
            </w:r>
          </w:p>
        </w:tc>
        <w:tc>
          <w:tcPr>
            <w:tcW w:w="1283" w:type="dxa"/>
            <w:tcBorders>
              <w:top w:val="nil"/>
              <w:left w:val="nil"/>
              <w:bottom w:val="nil"/>
              <w:right w:val="nil"/>
            </w:tcBorders>
            <w:shd w:val="clear" w:color="auto" w:fill="auto"/>
            <w:noWrap/>
            <w:hideMark/>
          </w:tcPr>
          <w:p w:rsidR="008825A8" w:rsidRPr="003879F9" w:rsidRDefault="008825A8" w:rsidP="003879F9">
            <w:pPr>
              <w:rPr>
                <w:color w:val="000000"/>
              </w:rPr>
            </w:pPr>
            <w:r w:rsidRPr="003879F9">
              <w:rPr>
                <w:color w:val="000000"/>
              </w:rPr>
              <w:t>0</w:t>
            </w:r>
          </w:p>
          <w:p w:rsidR="008825A8" w:rsidRPr="003879F9" w:rsidRDefault="008825A8" w:rsidP="003879F9">
            <w:pPr>
              <w:rPr>
                <w:color w:val="000000"/>
              </w:rPr>
            </w:pPr>
          </w:p>
        </w:tc>
        <w:tc>
          <w:tcPr>
            <w:tcW w:w="1284" w:type="dxa"/>
            <w:tcBorders>
              <w:top w:val="nil"/>
              <w:left w:val="nil"/>
              <w:bottom w:val="nil"/>
              <w:right w:val="double" w:sz="6" w:space="0" w:color="000000"/>
            </w:tcBorders>
            <w:shd w:val="clear" w:color="auto" w:fill="auto"/>
            <w:noWrap/>
            <w:hideMark/>
          </w:tcPr>
          <w:p w:rsidR="008825A8" w:rsidRPr="003879F9" w:rsidRDefault="008825A8" w:rsidP="003879F9">
            <w:pPr>
              <w:rPr>
                <w:color w:val="000000"/>
              </w:rPr>
            </w:pPr>
            <w:r w:rsidRPr="003879F9">
              <w:rPr>
                <w:color w:val="000000"/>
              </w:rPr>
              <w:t>0</w:t>
            </w:r>
          </w:p>
          <w:p w:rsidR="008825A8" w:rsidRPr="003879F9" w:rsidRDefault="008825A8" w:rsidP="003879F9">
            <w:pPr>
              <w:rPr>
                <w:color w:val="000000"/>
              </w:rPr>
            </w:pPr>
          </w:p>
        </w:tc>
      </w:tr>
      <w:tr w:rsidR="008825A8" w:rsidRPr="003879F9" w:rsidTr="003879F9">
        <w:trPr>
          <w:trHeight w:val="720"/>
          <w:jc w:val="center"/>
        </w:trPr>
        <w:tc>
          <w:tcPr>
            <w:tcW w:w="1369" w:type="dxa"/>
            <w:tcBorders>
              <w:top w:val="nil"/>
              <w:left w:val="double" w:sz="6" w:space="0" w:color="000000"/>
              <w:bottom w:val="nil"/>
            </w:tcBorders>
            <w:shd w:val="clear" w:color="auto" w:fill="auto"/>
            <w:noWrap/>
            <w:hideMark/>
          </w:tcPr>
          <w:p w:rsidR="008825A8" w:rsidRPr="003879F9" w:rsidRDefault="008825A8" w:rsidP="003879F9">
            <w:pPr>
              <w:rPr>
                <w:color w:val="000000"/>
              </w:rPr>
            </w:pPr>
            <w:r w:rsidRPr="003879F9">
              <w:rPr>
                <w:color w:val="000000"/>
              </w:rPr>
              <w:t>4</w:t>
            </w:r>
          </w:p>
        </w:tc>
        <w:tc>
          <w:tcPr>
            <w:tcW w:w="1468" w:type="dxa"/>
            <w:tcBorders>
              <w:top w:val="nil"/>
              <w:bottom w:val="nil"/>
            </w:tcBorders>
            <w:shd w:val="clear" w:color="auto" w:fill="auto"/>
            <w:noWrap/>
            <w:hideMark/>
          </w:tcPr>
          <w:p w:rsidR="008825A8" w:rsidRPr="003879F9" w:rsidRDefault="008825A8" w:rsidP="003879F9">
            <w:pPr>
              <w:rPr>
                <w:color w:val="000000"/>
              </w:rPr>
            </w:pPr>
            <w:r w:rsidRPr="003879F9">
              <w:rPr>
                <w:color w:val="000000"/>
              </w:rPr>
              <w:t>40</w:t>
            </w:r>
          </w:p>
          <w:p w:rsidR="008825A8" w:rsidRPr="003879F9" w:rsidRDefault="008825A8" w:rsidP="003879F9">
            <w:pPr>
              <w:rPr>
                <w:color w:val="000000"/>
              </w:rPr>
            </w:pPr>
            <w:r w:rsidRPr="003879F9">
              <w:rPr>
                <w:color w:val="000000"/>
              </w:rPr>
              <w:t>(1.5%)</w:t>
            </w:r>
          </w:p>
        </w:tc>
        <w:tc>
          <w:tcPr>
            <w:tcW w:w="1283" w:type="dxa"/>
            <w:tcBorders>
              <w:top w:val="nil"/>
              <w:bottom w:val="nil"/>
              <w:right w:val="nil"/>
            </w:tcBorders>
            <w:shd w:val="clear" w:color="auto" w:fill="auto"/>
            <w:noWrap/>
            <w:hideMark/>
          </w:tcPr>
          <w:p w:rsidR="008825A8" w:rsidRPr="003879F9" w:rsidRDefault="008825A8" w:rsidP="003879F9">
            <w:pPr>
              <w:rPr>
                <w:color w:val="000000"/>
              </w:rPr>
            </w:pPr>
            <w:r w:rsidRPr="003879F9">
              <w:rPr>
                <w:color w:val="000000"/>
              </w:rPr>
              <w:t>13</w:t>
            </w:r>
          </w:p>
          <w:p w:rsidR="008825A8" w:rsidRPr="003879F9" w:rsidRDefault="008825A8" w:rsidP="003879F9">
            <w:pPr>
              <w:rPr>
                <w:color w:val="000000"/>
              </w:rPr>
            </w:pPr>
            <w:r w:rsidRPr="003879F9">
              <w:rPr>
                <w:color w:val="000000"/>
              </w:rPr>
              <w:t>(32.5%)</w:t>
            </w:r>
          </w:p>
        </w:tc>
        <w:tc>
          <w:tcPr>
            <w:tcW w:w="1283" w:type="dxa"/>
            <w:tcBorders>
              <w:top w:val="nil"/>
              <w:left w:val="nil"/>
              <w:bottom w:val="nil"/>
              <w:right w:val="nil"/>
            </w:tcBorders>
            <w:shd w:val="clear" w:color="auto" w:fill="auto"/>
            <w:noWrap/>
            <w:hideMark/>
          </w:tcPr>
          <w:p w:rsidR="008825A8" w:rsidRPr="003879F9" w:rsidRDefault="008825A8" w:rsidP="003879F9">
            <w:pPr>
              <w:rPr>
                <w:color w:val="000000"/>
              </w:rPr>
            </w:pPr>
            <w:r w:rsidRPr="003879F9">
              <w:rPr>
                <w:color w:val="000000"/>
              </w:rPr>
              <w:t>18</w:t>
            </w:r>
          </w:p>
          <w:p w:rsidR="008825A8" w:rsidRPr="003879F9" w:rsidRDefault="008825A8" w:rsidP="003879F9">
            <w:pPr>
              <w:rPr>
                <w:color w:val="000000"/>
              </w:rPr>
            </w:pPr>
            <w:r w:rsidRPr="003879F9">
              <w:rPr>
                <w:color w:val="000000"/>
              </w:rPr>
              <w:t>(45.0%)</w:t>
            </w:r>
          </w:p>
        </w:tc>
        <w:tc>
          <w:tcPr>
            <w:tcW w:w="1284" w:type="dxa"/>
            <w:tcBorders>
              <w:top w:val="nil"/>
              <w:left w:val="nil"/>
              <w:bottom w:val="nil"/>
              <w:right w:val="nil"/>
            </w:tcBorders>
            <w:shd w:val="clear" w:color="auto" w:fill="auto"/>
            <w:noWrap/>
            <w:hideMark/>
          </w:tcPr>
          <w:p w:rsidR="008825A8" w:rsidRPr="003879F9" w:rsidRDefault="008825A8" w:rsidP="003879F9">
            <w:pPr>
              <w:rPr>
                <w:color w:val="000000"/>
              </w:rPr>
            </w:pPr>
            <w:r w:rsidRPr="003879F9">
              <w:rPr>
                <w:color w:val="000000"/>
              </w:rPr>
              <w:t>6</w:t>
            </w:r>
          </w:p>
          <w:p w:rsidR="008825A8" w:rsidRPr="003879F9" w:rsidRDefault="008825A8" w:rsidP="003879F9">
            <w:pPr>
              <w:rPr>
                <w:color w:val="000000"/>
              </w:rPr>
            </w:pPr>
            <w:r w:rsidRPr="003879F9">
              <w:rPr>
                <w:color w:val="000000"/>
              </w:rPr>
              <w:t>(15.0%)</w:t>
            </w:r>
          </w:p>
        </w:tc>
        <w:tc>
          <w:tcPr>
            <w:tcW w:w="1283" w:type="dxa"/>
            <w:tcBorders>
              <w:top w:val="nil"/>
              <w:left w:val="nil"/>
              <w:bottom w:val="nil"/>
              <w:right w:val="nil"/>
            </w:tcBorders>
            <w:shd w:val="clear" w:color="auto" w:fill="auto"/>
            <w:noWrap/>
            <w:hideMark/>
          </w:tcPr>
          <w:p w:rsidR="008825A8" w:rsidRPr="003879F9" w:rsidRDefault="008825A8" w:rsidP="003879F9">
            <w:pPr>
              <w:rPr>
                <w:color w:val="000000"/>
              </w:rPr>
            </w:pPr>
            <w:r w:rsidRPr="003879F9">
              <w:rPr>
                <w:color w:val="000000"/>
              </w:rPr>
              <w:t>3</w:t>
            </w:r>
          </w:p>
          <w:p w:rsidR="008825A8" w:rsidRPr="003879F9" w:rsidRDefault="008825A8" w:rsidP="003879F9">
            <w:pPr>
              <w:rPr>
                <w:color w:val="000000"/>
              </w:rPr>
            </w:pPr>
            <w:r w:rsidRPr="003879F9">
              <w:rPr>
                <w:color w:val="000000"/>
              </w:rPr>
              <w:t>(7.5%)</w:t>
            </w:r>
          </w:p>
        </w:tc>
        <w:tc>
          <w:tcPr>
            <w:tcW w:w="1284" w:type="dxa"/>
            <w:tcBorders>
              <w:top w:val="nil"/>
              <w:left w:val="nil"/>
              <w:bottom w:val="nil"/>
              <w:right w:val="double" w:sz="6" w:space="0" w:color="000000"/>
            </w:tcBorders>
            <w:shd w:val="clear" w:color="auto" w:fill="auto"/>
            <w:noWrap/>
            <w:hideMark/>
          </w:tcPr>
          <w:p w:rsidR="008825A8" w:rsidRPr="003879F9" w:rsidRDefault="008825A8" w:rsidP="003879F9">
            <w:pPr>
              <w:rPr>
                <w:color w:val="000000"/>
              </w:rPr>
            </w:pPr>
            <w:r w:rsidRPr="003879F9">
              <w:rPr>
                <w:color w:val="000000"/>
              </w:rPr>
              <w:t>0</w:t>
            </w:r>
          </w:p>
          <w:p w:rsidR="008825A8" w:rsidRPr="003879F9" w:rsidRDefault="008825A8" w:rsidP="003879F9">
            <w:pPr>
              <w:rPr>
                <w:color w:val="000000"/>
              </w:rPr>
            </w:pPr>
          </w:p>
        </w:tc>
      </w:tr>
      <w:tr w:rsidR="008825A8" w:rsidRPr="003879F9" w:rsidTr="003879F9">
        <w:trPr>
          <w:trHeight w:val="720"/>
          <w:jc w:val="center"/>
        </w:trPr>
        <w:tc>
          <w:tcPr>
            <w:tcW w:w="1369" w:type="dxa"/>
            <w:tcBorders>
              <w:top w:val="nil"/>
              <w:left w:val="double" w:sz="6" w:space="0" w:color="000000"/>
              <w:bottom w:val="nil"/>
            </w:tcBorders>
            <w:shd w:val="clear" w:color="auto" w:fill="auto"/>
            <w:noWrap/>
            <w:hideMark/>
          </w:tcPr>
          <w:p w:rsidR="008825A8" w:rsidRPr="003879F9" w:rsidRDefault="008825A8" w:rsidP="003879F9">
            <w:pPr>
              <w:rPr>
                <w:color w:val="000000"/>
              </w:rPr>
            </w:pPr>
            <w:r w:rsidRPr="003879F9">
              <w:rPr>
                <w:color w:val="000000"/>
              </w:rPr>
              <w:t>5</w:t>
            </w:r>
          </w:p>
        </w:tc>
        <w:tc>
          <w:tcPr>
            <w:tcW w:w="1468" w:type="dxa"/>
            <w:tcBorders>
              <w:top w:val="nil"/>
              <w:bottom w:val="nil"/>
            </w:tcBorders>
            <w:shd w:val="clear" w:color="auto" w:fill="auto"/>
            <w:noWrap/>
            <w:hideMark/>
          </w:tcPr>
          <w:p w:rsidR="008825A8" w:rsidRPr="003879F9" w:rsidRDefault="008825A8" w:rsidP="003879F9">
            <w:pPr>
              <w:rPr>
                <w:color w:val="000000"/>
              </w:rPr>
            </w:pPr>
            <w:r w:rsidRPr="003879F9">
              <w:rPr>
                <w:color w:val="000000"/>
              </w:rPr>
              <w:t>7</w:t>
            </w:r>
          </w:p>
          <w:p w:rsidR="008825A8" w:rsidRPr="003879F9" w:rsidRDefault="008825A8" w:rsidP="003879F9">
            <w:pPr>
              <w:rPr>
                <w:color w:val="000000"/>
              </w:rPr>
            </w:pPr>
            <w:r w:rsidRPr="003879F9">
              <w:rPr>
                <w:color w:val="000000"/>
              </w:rPr>
              <w:t>(0.3%)</w:t>
            </w:r>
          </w:p>
        </w:tc>
        <w:tc>
          <w:tcPr>
            <w:tcW w:w="1283" w:type="dxa"/>
            <w:tcBorders>
              <w:top w:val="nil"/>
              <w:bottom w:val="nil"/>
              <w:right w:val="nil"/>
            </w:tcBorders>
            <w:shd w:val="clear" w:color="auto" w:fill="auto"/>
            <w:noWrap/>
            <w:hideMark/>
          </w:tcPr>
          <w:p w:rsidR="008825A8" w:rsidRPr="003879F9" w:rsidRDefault="008825A8" w:rsidP="003879F9">
            <w:pPr>
              <w:rPr>
                <w:color w:val="000000"/>
              </w:rPr>
            </w:pPr>
            <w:r w:rsidRPr="003879F9">
              <w:rPr>
                <w:color w:val="000000"/>
              </w:rPr>
              <w:t>1</w:t>
            </w:r>
          </w:p>
          <w:p w:rsidR="008825A8" w:rsidRPr="003879F9" w:rsidRDefault="008825A8" w:rsidP="003879F9">
            <w:pPr>
              <w:rPr>
                <w:color w:val="000000"/>
              </w:rPr>
            </w:pPr>
            <w:r w:rsidRPr="003879F9">
              <w:rPr>
                <w:color w:val="000000"/>
              </w:rPr>
              <w:t>(14.3%)</w:t>
            </w:r>
          </w:p>
        </w:tc>
        <w:tc>
          <w:tcPr>
            <w:tcW w:w="1283" w:type="dxa"/>
            <w:tcBorders>
              <w:top w:val="nil"/>
              <w:left w:val="nil"/>
              <w:bottom w:val="nil"/>
              <w:right w:val="nil"/>
            </w:tcBorders>
            <w:shd w:val="clear" w:color="auto" w:fill="auto"/>
            <w:noWrap/>
            <w:hideMark/>
          </w:tcPr>
          <w:p w:rsidR="008825A8" w:rsidRPr="003879F9" w:rsidRDefault="008825A8" w:rsidP="003879F9">
            <w:pPr>
              <w:rPr>
                <w:color w:val="000000"/>
              </w:rPr>
            </w:pPr>
            <w:r w:rsidRPr="003879F9">
              <w:rPr>
                <w:color w:val="000000"/>
              </w:rPr>
              <w:t>2</w:t>
            </w:r>
          </w:p>
          <w:p w:rsidR="008825A8" w:rsidRPr="003879F9" w:rsidRDefault="008825A8" w:rsidP="003879F9">
            <w:pPr>
              <w:rPr>
                <w:color w:val="000000"/>
              </w:rPr>
            </w:pPr>
            <w:r w:rsidRPr="003879F9">
              <w:rPr>
                <w:color w:val="000000"/>
              </w:rPr>
              <w:t>(28.6%)</w:t>
            </w:r>
          </w:p>
        </w:tc>
        <w:tc>
          <w:tcPr>
            <w:tcW w:w="1284" w:type="dxa"/>
            <w:tcBorders>
              <w:top w:val="nil"/>
              <w:left w:val="nil"/>
              <w:bottom w:val="nil"/>
              <w:right w:val="nil"/>
            </w:tcBorders>
            <w:shd w:val="clear" w:color="auto" w:fill="auto"/>
            <w:noWrap/>
            <w:hideMark/>
          </w:tcPr>
          <w:p w:rsidR="008825A8" w:rsidRPr="003879F9" w:rsidRDefault="008825A8" w:rsidP="003879F9">
            <w:pPr>
              <w:rPr>
                <w:color w:val="000000"/>
              </w:rPr>
            </w:pPr>
            <w:r w:rsidRPr="003879F9">
              <w:rPr>
                <w:color w:val="000000"/>
              </w:rPr>
              <w:t>3</w:t>
            </w:r>
          </w:p>
          <w:p w:rsidR="008825A8" w:rsidRPr="003879F9" w:rsidRDefault="008825A8" w:rsidP="003879F9">
            <w:pPr>
              <w:rPr>
                <w:color w:val="000000"/>
              </w:rPr>
            </w:pPr>
            <w:r w:rsidRPr="003879F9">
              <w:rPr>
                <w:color w:val="000000"/>
              </w:rPr>
              <w:t>(42.8%)</w:t>
            </w:r>
          </w:p>
        </w:tc>
        <w:tc>
          <w:tcPr>
            <w:tcW w:w="1283" w:type="dxa"/>
            <w:tcBorders>
              <w:top w:val="nil"/>
              <w:left w:val="nil"/>
              <w:bottom w:val="nil"/>
              <w:right w:val="nil"/>
            </w:tcBorders>
            <w:shd w:val="clear" w:color="auto" w:fill="auto"/>
            <w:noWrap/>
            <w:hideMark/>
          </w:tcPr>
          <w:p w:rsidR="008825A8" w:rsidRPr="003879F9" w:rsidRDefault="008825A8" w:rsidP="003879F9">
            <w:pPr>
              <w:rPr>
                <w:color w:val="000000"/>
              </w:rPr>
            </w:pPr>
            <w:r w:rsidRPr="003879F9">
              <w:rPr>
                <w:color w:val="000000"/>
              </w:rPr>
              <w:t>0</w:t>
            </w:r>
          </w:p>
          <w:p w:rsidR="008825A8" w:rsidRPr="003879F9" w:rsidRDefault="008825A8" w:rsidP="003879F9">
            <w:pPr>
              <w:rPr>
                <w:color w:val="000000"/>
              </w:rPr>
            </w:pPr>
          </w:p>
        </w:tc>
        <w:tc>
          <w:tcPr>
            <w:tcW w:w="1284" w:type="dxa"/>
            <w:tcBorders>
              <w:top w:val="nil"/>
              <w:left w:val="nil"/>
              <w:bottom w:val="nil"/>
              <w:right w:val="double" w:sz="6" w:space="0" w:color="000000"/>
            </w:tcBorders>
            <w:shd w:val="clear" w:color="auto" w:fill="auto"/>
            <w:noWrap/>
            <w:hideMark/>
          </w:tcPr>
          <w:p w:rsidR="008825A8" w:rsidRPr="003879F9" w:rsidRDefault="008825A8" w:rsidP="003879F9">
            <w:pPr>
              <w:rPr>
                <w:color w:val="000000"/>
              </w:rPr>
            </w:pPr>
            <w:r w:rsidRPr="003879F9">
              <w:rPr>
                <w:color w:val="000000"/>
              </w:rPr>
              <w:t>1</w:t>
            </w:r>
          </w:p>
          <w:p w:rsidR="008825A8" w:rsidRPr="003879F9" w:rsidRDefault="008825A8" w:rsidP="003879F9">
            <w:pPr>
              <w:rPr>
                <w:color w:val="000000"/>
              </w:rPr>
            </w:pPr>
            <w:r w:rsidRPr="003879F9">
              <w:rPr>
                <w:color w:val="000000"/>
              </w:rPr>
              <w:t>(14.3%)</w:t>
            </w:r>
          </w:p>
        </w:tc>
      </w:tr>
      <w:tr w:rsidR="008825A8" w:rsidRPr="003879F9" w:rsidTr="003879F9">
        <w:trPr>
          <w:trHeight w:val="720"/>
          <w:jc w:val="center"/>
        </w:trPr>
        <w:tc>
          <w:tcPr>
            <w:tcW w:w="1369" w:type="dxa"/>
            <w:tcBorders>
              <w:top w:val="nil"/>
              <w:left w:val="double" w:sz="6" w:space="0" w:color="000000"/>
              <w:bottom w:val="nil"/>
            </w:tcBorders>
            <w:shd w:val="clear" w:color="auto" w:fill="auto"/>
            <w:noWrap/>
            <w:hideMark/>
          </w:tcPr>
          <w:p w:rsidR="008825A8" w:rsidRPr="003879F9" w:rsidRDefault="008825A8" w:rsidP="003879F9">
            <w:pPr>
              <w:rPr>
                <w:color w:val="000000"/>
              </w:rPr>
            </w:pPr>
            <w:r w:rsidRPr="003879F9">
              <w:rPr>
                <w:color w:val="000000"/>
              </w:rPr>
              <w:t>6</w:t>
            </w:r>
          </w:p>
        </w:tc>
        <w:tc>
          <w:tcPr>
            <w:tcW w:w="1468" w:type="dxa"/>
            <w:tcBorders>
              <w:top w:val="nil"/>
              <w:bottom w:val="nil"/>
            </w:tcBorders>
            <w:shd w:val="clear" w:color="auto" w:fill="auto"/>
            <w:noWrap/>
            <w:hideMark/>
          </w:tcPr>
          <w:p w:rsidR="008825A8" w:rsidRPr="003879F9" w:rsidRDefault="008825A8" w:rsidP="003879F9">
            <w:pPr>
              <w:rPr>
                <w:color w:val="000000"/>
              </w:rPr>
            </w:pPr>
            <w:r w:rsidRPr="003879F9">
              <w:rPr>
                <w:color w:val="000000"/>
              </w:rPr>
              <w:t>1</w:t>
            </w:r>
          </w:p>
          <w:p w:rsidR="008825A8" w:rsidRPr="003879F9" w:rsidRDefault="008825A8" w:rsidP="003879F9">
            <w:pPr>
              <w:rPr>
                <w:color w:val="000000"/>
              </w:rPr>
            </w:pPr>
            <w:r w:rsidRPr="003879F9">
              <w:rPr>
                <w:color w:val="000000"/>
              </w:rPr>
              <w:t>(0.0%)</w:t>
            </w:r>
          </w:p>
        </w:tc>
        <w:tc>
          <w:tcPr>
            <w:tcW w:w="1283" w:type="dxa"/>
            <w:tcBorders>
              <w:top w:val="nil"/>
              <w:bottom w:val="nil"/>
              <w:right w:val="nil"/>
            </w:tcBorders>
            <w:shd w:val="clear" w:color="auto" w:fill="auto"/>
            <w:noWrap/>
            <w:hideMark/>
          </w:tcPr>
          <w:p w:rsidR="008825A8" w:rsidRPr="003879F9" w:rsidRDefault="008825A8" w:rsidP="003879F9">
            <w:pPr>
              <w:rPr>
                <w:color w:val="000000"/>
              </w:rPr>
            </w:pPr>
            <w:r w:rsidRPr="003879F9">
              <w:rPr>
                <w:color w:val="000000"/>
              </w:rPr>
              <w:t>0</w:t>
            </w:r>
          </w:p>
          <w:p w:rsidR="008825A8" w:rsidRPr="003879F9" w:rsidRDefault="008825A8" w:rsidP="003879F9">
            <w:pPr>
              <w:rPr>
                <w:color w:val="000000"/>
              </w:rPr>
            </w:pPr>
            <w:r w:rsidRPr="003879F9">
              <w:rPr>
                <w:color w:val="000000"/>
              </w:rPr>
              <w:t>(0.0%)</w:t>
            </w:r>
          </w:p>
        </w:tc>
        <w:tc>
          <w:tcPr>
            <w:tcW w:w="1283" w:type="dxa"/>
            <w:tcBorders>
              <w:top w:val="nil"/>
              <w:left w:val="nil"/>
              <w:bottom w:val="nil"/>
              <w:right w:val="nil"/>
            </w:tcBorders>
            <w:shd w:val="clear" w:color="auto" w:fill="auto"/>
            <w:noWrap/>
            <w:hideMark/>
          </w:tcPr>
          <w:p w:rsidR="008825A8" w:rsidRPr="003879F9" w:rsidRDefault="008825A8" w:rsidP="003879F9">
            <w:pPr>
              <w:rPr>
                <w:color w:val="000000"/>
              </w:rPr>
            </w:pPr>
            <w:r w:rsidRPr="003879F9">
              <w:rPr>
                <w:color w:val="000000"/>
              </w:rPr>
              <w:t>1</w:t>
            </w:r>
          </w:p>
          <w:p w:rsidR="008825A8" w:rsidRPr="003879F9" w:rsidRDefault="008825A8" w:rsidP="003879F9">
            <w:pPr>
              <w:rPr>
                <w:color w:val="000000"/>
              </w:rPr>
            </w:pPr>
            <w:r w:rsidRPr="003879F9">
              <w:rPr>
                <w:color w:val="000000"/>
              </w:rPr>
              <w:t>(100.0%)</w:t>
            </w:r>
          </w:p>
        </w:tc>
        <w:tc>
          <w:tcPr>
            <w:tcW w:w="1284" w:type="dxa"/>
            <w:tcBorders>
              <w:top w:val="nil"/>
              <w:left w:val="nil"/>
              <w:bottom w:val="nil"/>
              <w:right w:val="nil"/>
            </w:tcBorders>
            <w:shd w:val="clear" w:color="auto" w:fill="auto"/>
            <w:noWrap/>
            <w:hideMark/>
          </w:tcPr>
          <w:p w:rsidR="008825A8" w:rsidRPr="003879F9" w:rsidRDefault="008825A8" w:rsidP="003879F9">
            <w:pPr>
              <w:rPr>
                <w:color w:val="000000"/>
              </w:rPr>
            </w:pPr>
            <w:r w:rsidRPr="003879F9">
              <w:rPr>
                <w:color w:val="000000"/>
              </w:rPr>
              <w:t>0</w:t>
            </w:r>
          </w:p>
          <w:p w:rsidR="008825A8" w:rsidRPr="003879F9" w:rsidRDefault="008825A8" w:rsidP="003879F9">
            <w:pPr>
              <w:rPr>
                <w:color w:val="000000"/>
              </w:rPr>
            </w:pPr>
          </w:p>
        </w:tc>
        <w:tc>
          <w:tcPr>
            <w:tcW w:w="1283" w:type="dxa"/>
            <w:tcBorders>
              <w:top w:val="nil"/>
              <w:left w:val="nil"/>
              <w:bottom w:val="nil"/>
              <w:right w:val="nil"/>
            </w:tcBorders>
            <w:shd w:val="clear" w:color="auto" w:fill="auto"/>
            <w:noWrap/>
            <w:hideMark/>
          </w:tcPr>
          <w:p w:rsidR="008825A8" w:rsidRPr="003879F9" w:rsidRDefault="008825A8" w:rsidP="003879F9">
            <w:pPr>
              <w:rPr>
                <w:color w:val="000000"/>
              </w:rPr>
            </w:pPr>
            <w:r w:rsidRPr="003879F9">
              <w:rPr>
                <w:color w:val="000000"/>
              </w:rPr>
              <w:t>0</w:t>
            </w:r>
          </w:p>
          <w:p w:rsidR="008825A8" w:rsidRPr="003879F9" w:rsidRDefault="008825A8" w:rsidP="003879F9">
            <w:pPr>
              <w:rPr>
                <w:color w:val="000000"/>
              </w:rPr>
            </w:pPr>
          </w:p>
        </w:tc>
        <w:tc>
          <w:tcPr>
            <w:tcW w:w="1284" w:type="dxa"/>
            <w:tcBorders>
              <w:top w:val="nil"/>
              <w:left w:val="nil"/>
              <w:bottom w:val="nil"/>
              <w:right w:val="double" w:sz="6" w:space="0" w:color="000000"/>
            </w:tcBorders>
            <w:shd w:val="clear" w:color="auto" w:fill="auto"/>
            <w:noWrap/>
            <w:hideMark/>
          </w:tcPr>
          <w:p w:rsidR="008825A8" w:rsidRPr="003879F9" w:rsidRDefault="008825A8" w:rsidP="003879F9">
            <w:pPr>
              <w:rPr>
                <w:color w:val="000000"/>
              </w:rPr>
            </w:pPr>
            <w:r w:rsidRPr="003879F9">
              <w:rPr>
                <w:color w:val="000000"/>
              </w:rPr>
              <w:t>0</w:t>
            </w:r>
          </w:p>
          <w:p w:rsidR="008825A8" w:rsidRPr="003879F9" w:rsidRDefault="008825A8" w:rsidP="003879F9">
            <w:pPr>
              <w:rPr>
                <w:color w:val="000000"/>
              </w:rPr>
            </w:pPr>
          </w:p>
        </w:tc>
      </w:tr>
      <w:tr w:rsidR="008825A8" w:rsidRPr="003879F9" w:rsidTr="003879F9">
        <w:trPr>
          <w:trHeight w:val="720"/>
          <w:jc w:val="center"/>
        </w:trPr>
        <w:tc>
          <w:tcPr>
            <w:tcW w:w="1369" w:type="dxa"/>
            <w:tcBorders>
              <w:top w:val="nil"/>
              <w:left w:val="double" w:sz="6" w:space="0" w:color="000000"/>
              <w:bottom w:val="nil"/>
            </w:tcBorders>
            <w:shd w:val="clear" w:color="auto" w:fill="auto"/>
            <w:noWrap/>
            <w:hideMark/>
          </w:tcPr>
          <w:p w:rsidR="008825A8" w:rsidRPr="003879F9" w:rsidRDefault="008825A8" w:rsidP="003879F9">
            <w:pPr>
              <w:rPr>
                <w:color w:val="000000"/>
              </w:rPr>
            </w:pPr>
            <w:r w:rsidRPr="003879F9">
              <w:rPr>
                <w:color w:val="000000"/>
              </w:rPr>
              <w:t>7</w:t>
            </w:r>
          </w:p>
        </w:tc>
        <w:tc>
          <w:tcPr>
            <w:tcW w:w="1468" w:type="dxa"/>
            <w:tcBorders>
              <w:top w:val="nil"/>
              <w:bottom w:val="nil"/>
            </w:tcBorders>
            <w:shd w:val="clear" w:color="auto" w:fill="auto"/>
            <w:noWrap/>
            <w:hideMark/>
          </w:tcPr>
          <w:p w:rsidR="008825A8" w:rsidRPr="003879F9" w:rsidRDefault="008825A8" w:rsidP="003879F9">
            <w:pPr>
              <w:rPr>
                <w:color w:val="000000"/>
              </w:rPr>
            </w:pPr>
            <w:r w:rsidRPr="003879F9">
              <w:rPr>
                <w:color w:val="000000"/>
              </w:rPr>
              <w:t>2</w:t>
            </w:r>
          </w:p>
          <w:p w:rsidR="008825A8" w:rsidRPr="003879F9" w:rsidRDefault="008825A8" w:rsidP="003879F9">
            <w:pPr>
              <w:rPr>
                <w:color w:val="000000"/>
              </w:rPr>
            </w:pPr>
            <w:r w:rsidRPr="003879F9">
              <w:rPr>
                <w:color w:val="000000"/>
              </w:rPr>
              <w:t>(0.1%)</w:t>
            </w:r>
          </w:p>
        </w:tc>
        <w:tc>
          <w:tcPr>
            <w:tcW w:w="1283" w:type="dxa"/>
            <w:tcBorders>
              <w:top w:val="nil"/>
              <w:bottom w:val="nil"/>
              <w:right w:val="nil"/>
            </w:tcBorders>
            <w:shd w:val="clear" w:color="auto" w:fill="auto"/>
            <w:noWrap/>
            <w:hideMark/>
          </w:tcPr>
          <w:p w:rsidR="008825A8" w:rsidRPr="003879F9" w:rsidRDefault="008825A8" w:rsidP="003879F9">
            <w:pPr>
              <w:rPr>
                <w:color w:val="000000"/>
              </w:rPr>
            </w:pPr>
            <w:r w:rsidRPr="003879F9">
              <w:rPr>
                <w:color w:val="000000"/>
              </w:rPr>
              <w:t>0</w:t>
            </w:r>
          </w:p>
          <w:p w:rsidR="008825A8" w:rsidRPr="003879F9" w:rsidRDefault="008825A8" w:rsidP="003879F9">
            <w:pPr>
              <w:rPr>
                <w:color w:val="000000"/>
              </w:rPr>
            </w:pPr>
          </w:p>
        </w:tc>
        <w:tc>
          <w:tcPr>
            <w:tcW w:w="1283" w:type="dxa"/>
            <w:tcBorders>
              <w:top w:val="nil"/>
              <w:left w:val="nil"/>
              <w:bottom w:val="nil"/>
              <w:right w:val="nil"/>
            </w:tcBorders>
            <w:shd w:val="clear" w:color="auto" w:fill="auto"/>
            <w:noWrap/>
            <w:hideMark/>
          </w:tcPr>
          <w:p w:rsidR="008825A8" w:rsidRPr="003879F9" w:rsidRDefault="008825A8" w:rsidP="003879F9">
            <w:pPr>
              <w:rPr>
                <w:color w:val="000000"/>
              </w:rPr>
            </w:pPr>
            <w:r w:rsidRPr="003879F9">
              <w:rPr>
                <w:color w:val="000000"/>
              </w:rPr>
              <w:t>1</w:t>
            </w:r>
          </w:p>
          <w:p w:rsidR="008825A8" w:rsidRPr="003879F9" w:rsidRDefault="008825A8" w:rsidP="003879F9">
            <w:pPr>
              <w:rPr>
                <w:color w:val="000000"/>
              </w:rPr>
            </w:pPr>
            <w:r w:rsidRPr="003879F9">
              <w:rPr>
                <w:color w:val="000000"/>
              </w:rPr>
              <w:t>(50%)</w:t>
            </w:r>
          </w:p>
        </w:tc>
        <w:tc>
          <w:tcPr>
            <w:tcW w:w="1284" w:type="dxa"/>
            <w:tcBorders>
              <w:top w:val="nil"/>
              <w:left w:val="nil"/>
              <w:bottom w:val="nil"/>
              <w:right w:val="nil"/>
            </w:tcBorders>
            <w:shd w:val="clear" w:color="auto" w:fill="auto"/>
            <w:noWrap/>
            <w:hideMark/>
          </w:tcPr>
          <w:p w:rsidR="008825A8" w:rsidRPr="003879F9" w:rsidRDefault="008825A8" w:rsidP="003879F9">
            <w:pPr>
              <w:rPr>
                <w:color w:val="000000"/>
              </w:rPr>
            </w:pPr>
            <w:r w:rsidRPr="003879F9">
              <w:rPr>
                <w:color w:val="000000"/>
              </w:rPr>
              <w:t>1</w:t>
            </w:r>
          </w:p>
          <w:p w:rsidR="008825A8" w:rsidRPr="003879F9" w:rsidRDefault="008825A8" w:rsidP="003879F9">
            <w:pPr>
              <w:rPr>
                <w:color w:val="000000"/>
              </w:rPr>
            </w:pPr>
            <w:r w:rsidRPr="003879F9">
              <w:rPr>
                <w:color w:val="000000"/>
              </w:rPr>
              <w:t>(50%)</w:t>
            </w:r>
          </w:p>
        </w:tc>
        <w:tc>
          <w:tcPr>
            <w:tcW w:w="1283" w:type="dxa"/>
            <w:tcBorders>
              <w:top w:val="nil"/>
              <w:left w:val="nil"/>
              <w:bottom w:val="nil"/>
              <w:right w:val="nil"/>
            </w:tcBorders>
            <w:shd w:val="clear" w:color="auto" w:fill="auto"/>
            <w:noWrap/>
            <w:hideMark/>
          </w:tcPr>
          <w:p w:rsidR="008825A8" w:rsidRPr="003879F9" w:rsidRDefault="008825A8" w:rsidP="003879F9">
            <w:pPr>
              <w:rPr>
                <w:color w:val="000000"/>
              </w:rPr>
            </w:pPr>
            <w:r w:rsidRPr="003879F9">
              <w:rPr>
                <w:color w:val="000000"/>
              </w:rPr>
              <w:t>0</w:t>
            </w:r>
          </w:p>
          <w:p w:rsidR="008825A8" w:rsidRPr="003879F9" w:rsidRDefault="008825A8" w:rsidP="003879F9">
            <w:pPr>
              <w:rPr>
                <w:color w:val="000000"/>
              </w:rPr>
            </w:pPr>
          </w:p>
        </w:tc>
        <w:tc>
          <w:tcPr>
            <w:tcW w:w="1284" w:type="dxa"/>
            <w:tcBorders>
              <w:top w:val="nil"/>
              <w:left w:val="nil"/>
              <w:bottom w:val="nil"/>
              <w:right w:val="double" w:sz="6" w:space="0" w:color="000000"/>
            </w:tcBorders>
            <w:shd w:val="clear" w:color="auto" w:fill="auto"/>
            <w:noWrap/>
            <w:hideMark/>
          </w:tcPr>
          <w:p w:rsidR="008825A8" w:rsidRPr="003879F9" w:rsidRDefault="008825A8" w:rsidP="003879F9">
            <w:pPr>
              <w:rPr>
                <w:color w:val="000000"/>
              </w:rPr>
            </w:pPr>
            <w:r w:rsidRPr="003879F9">
              <w:rPr>
                <w:color w:val="000000"/>
              </w:rPr>
              <w:t>0</w:t>
            </w:r>
          </w:p>
          <w:p w:rsidR="008825A8" w:rsidRPr="003879F9" w:rsidRDefault="008825A8" w:rsidP="003879F9">
            <w:pPr>
              <w:rPr>
                <w:color w:val="000000"/>
              </w:rPr>
            </w:pPr>
          </w:p>
        </w:tc>
      </w:tr>
      <w:tr w:rsidR="008825A8" w:rsidRPr="003879F9" w:rsidTr="003879F9">
        <w:trPr>
          <w:trHeight w:val="720"/>
          <w:jc w:val="center"/>
        </w:trPr>
        <w:tc>
          <w:tcPr>
            <w:tcW w:w="1369" w:type="dxa"/>
            <w:tcBorders>
              <w:top w:val="nil"/>
              <w:left w:val="double" w:sz="6" w:space="0" w:color="000000"/>
              <w:bottom w:val="double" w:sz="6" w:space="0" w:color="000000"/>
            </w:tcBorders>
            <w:shd w:val="clear" w:color="auto" w:fill="auto"/>
            <w:noWrap/>
            <w:hideMark/>
          </w:tcPr>
          <w:p w:rsidR="008825A8" w:rsidRPr="003879F9" w:rsidRDefault="008825A8" w:rsidP="003879F9">
            <w:pPr>
              <w:rPr>
                <w:color w:val="000000"/>
              </w:rPr>
            </w:pPr>
            <w:r w:rsidRPr="003879F9">
              <w:rPr>
                <w:color w:val="000000"/>
              </w:rPr>
              <w:t>10</w:t>
            </w:r>
          </w:p>
        </w:tc>
        <w:tc>
          <w:tcPr>
            <w:tcW w:w="1468" w:type="dxa"/>
            <w:tcBorders>
              <w:top w:val="nil"/>
              <w:bottom w:val="double" w:sz="6" w:space="0" w:color="000000"/>
            </w:tcBorders>
            <w:shd w:val="clear" w:color="auto" w:fill="auto"/>
            <w:noWrap/>
            <w:hideMark/>
          </w:tcPr>
          <w:p w:rsidR="008825A8" w:rsidRPr="003879F9" w:rsidRDefault="008825A8" w:rsidP="003879F9">
            <w:pPr>
              <w:rPr>
                <w:color w:val="000000"/>
              </w:rPr>
            </w:pPr>
            <w:r w:rsidRPr="003879F9">
              <w:rPr>
                <w:color w:val="000000"/>
              </w:rPr>
              <w:t>2</w:t>
            </w:r>
          </w:p>
          <w:p w:rsidR="008825A8" w:rsidRPr="003879F9" w:rsidRDefault="008825A8" w:rsidP="003879F9">
            <w:pPr>
              <w:rPr>
                <w:color w:val="000000"/>
              </w:rPr>
            </w:pPr>
            <w:r w:rsidRPr="003879F9">
              <w:rPr>
                <w:color w:val="000000"/>
              </w:rPr>
              <w:t>(0.1%)</w:t>
            </w:r>
          </w:p>
        </w:tc>
        <w:tc>
          <w:tcPr>
            <w:tcW w:w="1283" w:type="dxa"/>
            <w:tcBorders>
              <w:top w:val="nil"/>
              <w:bottom w:val="double" w:sz="6" w:space="0" w:color="000000"/>
              <w:right w:val="nil"/>
            </w:tcBorders>
            <w:shd w:val="clear" w:color="auto" w:fill="auto"/>
            <w:noWrap/>
            <w:hideMark/>
          </w:tcPr>
          <w:p w:rsidR="008825A8" w:rsidRPr="003879F9" w:rsidRDefault="008825A8" w:rsidP="003879F9">
            <w:pPr>
              <w:rPr>
                <w:color w:val="000000"/>
              </w:rPr>
            </w:pPr>
            <w:r w:rsidRPr="003879F9">
              <w:rPr>
                <w:color w:val="000000"/>
              </w:rPr>
              <w:t>0</w:t>
            </w:r>
          </w:p>
          <w:p w:rsidR="008825A8" w:rsidRPr="003879F9" w:rsidRDefault="008825A8" w:rsidP="003879F9">
            <w:pPr>
              <w:rPr>
                <w:color w:val="000000"/>
              </w:rPr>
            </w:pPr>
          </w:p>
        </w:tc>
        <w:tc>
          <w:tcPr>
            <w:tcW w:w="1283" w:type="dxa"/>
            <w:tcBorders>
              <w:top w:val="nil"/>
              <w:left w:val="nil"/>
              <w:bottom w:val="double" w:sz="6" w:space="0" w:color="000000"/>
              <w:right w:val="nil"/>
            </w:tcBorders>
            <w:shd w:val="clear" w:color="auto" w:fill="auto"/>
            <w:noWrap/>
            <w:hideMark/>
          </w:tcPr>
          <w:p w:rsidR="008825A8" w:rsidRPr="003879F9" w:rsidRDefault="008825A8" w:rsidP="003879F9">
            <w:pPr>
              <w:rPr>
                <w:color w:val="000000"/>
              </w:rPr>
            </w:pPr>
            <w:r w:rsidRPr="003879F9">
              <w:rPr>
                <w:color w:val="000000"/>
              </w:rPr>
              <w:t>0</w:t>
            </w:r>
          </w:p>
          <w:p w:rsidR="008825A8" w:rsidRPr="003879F9" w:rsidRDefault="008825A8" w:rsidP="003879F9">
            <w:pPr>
              <w:rPr>
                <w:color w:val="000000"/>
              </w:rPr>
            </w:pPr>
          </w:p>
        </w:tc>
        <w:tc>
          <w:tcPr>
            <w:tcW w:w="1284" w:type="dxa"/>
            <w:tcBorders>
              <w:top w:val="nil"/>
              <w:left w:val="nil"/>
              <w:bottom w:val="double" w:sz="6" w:space="0" w:color="000000"/>
              <w:right w:val="nil"/>
            </w:tcBorders>
            <w:shd w:val="clear" w:color="auto" w:fill="auto"/>
            <w:noWrap/>
            <w:hideMark/>
          </w:tcPr>
          <w:p w:rsidR="008825A8" w:rsidRPr="003879F9" w:rsidRDefault="008825A8" w:rsidP="003879F9">
            <w:pPr>
              <w:rPr>
                <w:color w:val="000000"/>
              </w:rPr>
            </w:pPr>
            <w:r w:rsidRPr="003879F9">
              <w:rPr>
                <w:color w:val="000000"/>
              </w:rPr>
              <w:t>2</w:t>
            </w:r>
          </w:p>
          <w:p w:rsidR="008825A8" w:rsidRPr="003879F9" w:rsidRDefault="008825A8" w:rsidP="003879F9">
            <w:pPr>
              <w:rPr>
                <w:color w:val="000000"/>
              </w:rPr>
            </w:pPr>
            <w:r w:rsidRPr="003879F9">
              <w:rPr>
                <w:color w:val="000000"/>
              </w:rPr>
              <w:t>(100%)</w:t>
            </w:r>
          </w:p>
        </w:tc>
        <w:tc>
          <w:tcPr>
            <w:tcW w:w="1283" w:type="dxa"/>
            <w:tcBorders>
              <w:top w:val="nil"/>
              <w:left w:val="nil"/>
              <w:bottom w:val="double" w:sz="6" w:space="0" w:color="000000"/>
              <w:right w:val="nil"/>
            </w:tcBorders>
            <w:shd w:val="clear" w:color="auto" w:fill="auto"/>
            <w:noWrap/>
            <w:hideMark/>
          </w:tcPr>
          <w:p w:rsidR="008825A8" w:rsidRPr="003879F9" w:rsidRDefault="008825A8" w:rsidP="003879F9">
            <w:pPr>
              <w:rPr>
                <w:color w:val="000000"/>
              </w:rPr>
            </w:pPr>
            <w:r w:rsidRPr="003879F9">
              <w:rPr>
                <w:color w:val="000000"/>
              </w:rPr>
              <w:t>0</w:t>
            </w:r>
          </w:p>
          <w:p w:rsidR="008825A8" w:rsidRPr="003879F9" w:rsidRDefault="008825A8" w:rsidP="003879F9">
            <w:pPr>
              <w:rPr>
                <w:color w:val="000000"/>
              </w:rPr>
            </w:pPr>
          </w:p>
        </w:tc>
        <w:tc>
          <w:tcPr>
            <w:tcW w:w="1284" w:type="dxa"/>
            <w:tcBorders>
              <w:top w:val="nil"/>
              <w:left w:val="nil"/>
              <w:bottom w:val="double" w:sz="6" w:space="0" w:color="000000"/>
              <w:right w:val="double" w:sz="6" w:space="0" w:color="000000"/>
            </w:tcBorders>
            <w:shd w:val="clear" w:color="auto" w:fill="auto"/>
            <w:noWrap/>
            <w:hideMark/>
          </w:tcPr>
          <w:p w:rsidR="008825A8" w:rsidRPr="003879F9" w:rsidRDefault="008825A8" w:rsidP="003879F9">
            <w:pPr>
              <w:rPr>
                <w:color w:val="000000"/>
              </w:rPr>
            </w:pPr>
            <w:r w:rsidRPr="003879F9">
              <w:rPr>
                <w:color w:val="000000"/>
              </w:rPr>
              <w:t>0</w:t>
            </w:r>
          </w:p>
          <w:p w:rsidR="008825A8" w:rsidRPr="003879F9" w:rsidRDefault="008825A8" w:rsidP="003879F9">
            <w:pPr>
              <w:rPr>
                <w:color w:val="000000"/>
              </w:rPr>
            </w:pPr>
          </w:p>
        </w:tc>
      </w:tr>
    </w:tbl>
    <w:p w:rsidR="008825A8" w:rsidRPr="003879F9" w:rsidRDefault="008825A8" w:rsidP="003D3477">
      <w:pPr>
        <w:ind w:left="90"/>
        <w:jc w:val="both"/>
      </w:pPr>
      <w:r w:rsidRPr="003879F9">
        <w:rPr>
          <w:color w:val="000000"/>
          <w:vertAlign w:val="superscript"/>
        </w:rPr>
        <w:t>a</w:t>
      </w:r>
      <w:r w:rsidRPr="003879F9">
        <w:rPr>
          <w:vertAlign w:val="superscript"/>
        </w:rPr>
        <w:t xml:space="preserve"> </w:t>
      </w:r>
      <w:r w:rsidRPr="003879F9">
        <w:t xml:space="preserve">Percentages add up to 100% in each row. </w:t>
      </w:r>
    </w:p>
    <w:p w:rsidR="00FF4284" w:rsidRPr="003879F9" w:rsidRDefault="00FF4284" w:rsidP="003879F9">
      <w:pPr>
        <w:pStyle w:val="ListParagraph"/>
        <w:spacing w:after="0" w:line="240" w:lineRule="auto"/>
        <w:ind w:left="0" w:firstLine="720"/>
        <w:jc w:val="both"/>
        <w:rPr>
          <w:rFonts w:ascii="Times New Roman" w:hAnsi="Times New Roman"/>
          <w:sz w:val="24"/>
          <w:szCs w:val="24"/>
        </w:rPr>
      </w:pPr>
    </w:p>
    <w:p w:rsidR="005D4A7D" w:rsidRDefault="005D4A7D" w:rsidP="004035E1">
      <w:pPr>
        <w:autoSpaceDE w:val="0"/>
        <w:autoSpaceDN w:val="0"/>
        <w:adjustRightInd w:val="0"/>
        <w:spacing w:line="276" w:lineRule="auto"/>
        <w:jc w:val="both"/>
        <w:rPr>
          <w:b/>
        </w:rPr>
        <w:sectPr w:rsidR="005D4A7D" w:rsidSect="00BC3B86">
          <w:footerReference w:type="default" r:id="rId533"/>
          <w:pgSz w:w="12240" w:h="15840" w:code="1"/>
          <w:pgMar w:top="1440" w:right="1440" w:bottom="1440" w:left="1440" w:header="720" w:footer="720" w:gutter="0"/>
          <w:pgNumType w:start="1"/>
          <w:cols w:space="720"/>
          <w:docGrid w:linePitch="360"/>
        </w:sectPr>
      </w:pPr>
    </w:p>
    <w:p w:rsidR="00D45C17" w:rsidRDefault="00D45C17" w:rsidP="003879F9">
      <w:pPr>
        <w:autoSpaceDE w:val="0"/>
        <w:autoSpaceDN w:val="0"/>
        <w:adjustRightInd w:val="0"/>
        <w:spacing w:after="120"/>
        <w:jc w:val="both"/>
        <w:rPr>
          <w:b/>
        </w:rPr>
      </w:pPr>
    </w:p>
    <w:p w:rsidR="00D45C17" w:rsidRDefault="00D45C17" w:rsidP="003879F9">
      <w:pPr>
        <w:autoSpaceDE w:val="0"/>
        <w:autoSpaceDN w:val="0"/>
        <w:adjustRightInd w:val="0"/>
        <w:spacing w:after="120"/>
        <w:jc w:val="both"/>
        <w:rPr>
          <w:b/>
        </w:rPr>
      </w:pPr>
    </w:p>
    <w:p w:rsidR="00D45C17" w:rsidRDefault="00D45C17" w:rsidP="003879F9">
      <w:pPr>
        <w:autoSpaceDE w:val="0"/>
        <w:autoSpaceDN w:val="0"/>
        <w:adjustRightInd w:val="0"/>
        <w:spacing w:after="120"/>
        <w:jc w:val="both"/>
        <w:rPr>
          <w:b/>
        </w:rPr>
      </w:pPr>
    </w:p>
    <w:p w:rsidR="00D45C17" w:rsidRDefault="00D45C17" w:rsidP="003879F9">
      <w:pPr>
        <w:autoSpaceDE w:val="0"/>
        <w:autoSpaceDN w:val="0"/>
        <w:adjustRightInd w:val="0"/>
        <w:spacing w:after="120"/>
        <w:jc w:val="both"/>
        <w:rPr>
          <w:b/>
        </w:rPr>
      </w:pPr>
    </w:p>
    <w:p w:rsidR="00FF4284" w:rsidRPr="004035E1" w:rsidRDefault="00FF4284" w:rsidP="003879F9">
      <w:pPr>
        <w:autoSpaceDE w:val="0"/>
        <w:autoSpaceDN w:val="0"/>
        <w:adjustRightInd w:val="0"/>
        <w:spacing w:after="120"/>
        <w:jc w:val="both"/>
        <w:rPr>
          <w:b/>
        </w:rPr>
      </w:pPr>
      <w:r w:rsidRPr="004035E1">
        <w:rPr>
          <w:b/>
        </w:rPr>
        <w:t xml:space="preserve">Table </w:t>
      </w:r>
      <w:r w:rsidR="006267B8">
        <w:rPr>
          <w:b/>
        </w:rPr>
        <w:t>2</w:t>
      </w:r>
      <w:r w:rsidRPr="004035E1">
        <w:rPr>
          <w:b/>
        </w:rPr>
        <w:t>. Destination Region Characteristics</w:t>
      </w:r>
      <w:r w:rsidR="00C83A1D" w:rsidRPr="00C83A1D">
        <w:rPr>
          <w:color w:val="000000"/>
          <w:sz w:val="22"/>
          <w:szCs w:val="22"/>
        </w:rPr>
        <w:t xml:space="preserve"> </w:t>
      </w:r>
    </w:p>
    <w:tbl>
      <w:tblPr>
        <w:tblW w:w="13052" w:type="dxa"/>
        <w:jc w:val="center"/>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2208"/>
        <w:gridCol w:w="1216"/>
        <w:gridCol w:w="1506"/>
        <w:gridCol w:w="1539"/>
        <w:gridCol w:w="1141"/>
        <w:gridCol w:w="1463"/>
        <w:gridCol w:w="1101"/>
        <w:gridCol w:w="1573"/>
        <w:gridCol w:w="1305"/>
      </w:tblGrid>
      <w:tr w:rsidR="00197E52" w:rsidRPr="00C83A1D" w:rsidTr="00197E52">
        <w:trPr>
          <w:cantSplit/>
          <w:trHeight w:val="360"/>
          <w:jc w:val="center"/>
        </w:trPr>
        <w:tc>
          <w:tcPr>
            <w:tcW w:w="2208" w:type="dxa"/>
            <w:vMerge w:val="restart"/>
            <w:tcBorders>
              <w:top w:val="double" w:sz="6" w:space="0" w:color="auto"/>
              <w:right w:val="double" w:sz="6" w:space="0" w:color="auto"/>
            </w:tcBorders>
            <w:shd w:val="clear" w:color="auto" w:fill="auto"/>
            <w:noWrap/>
            <w:vAlign w:val="center"/>
          </w:tcPr>
          <w:p w:rsidR="00197E52" w:rsidRPr="00C83A1D" w:rsidRDefault="00197E52" w:rsidP="003879F9">
            <w:pPr>
              <w:jc w:val="both"/>
              <w:rPr>
                <w:color w:val="000000"/>
                <w:sz w:val="22"/>
                <w:szCs w:val="22"/>
              </w:rPr>
            </w:pPr>
            <w:r w:rsidRPr="00C83A1D">
              <w:rPr>
                <w:color w:val="000000"/>
                <w:sz w:val="22"/>
                <w:szCs w:val="22"/>
              </w:rPr>
              <w:t>Destination Region</w:t>
            </w:r>
          </w:p>
        </w:tc>
        <w:tc>
          <w:tcPr>
            <w:tcW w:w="4261" w:type="dxa"/>
            <w:gridSpan w:val="3"/>
            <w:tcBorders>
              <w:top w:val="double" w:sz="6" w:space="0" w:color="auto"/>
              <w:left w:val="double" w:sz="6" w:space="0" w:color="auto"/>
              <w:bottom w:val="nil"/>
              <w:right w:val="double" w:sz="6" w:space="0" w:color="auto"/>
            </w:tcBorders>
            <w:shd w:val="clear" w:color="auto" w:fill="auto"/>
            <w:noWrap/>
            <w:vAlign w:val="center"/>
          </w:tcPr>
          <w:p w:rsidR="00197E52" w:rsidRPr="00C83A1D" w:rsidRDefault="00197E52" w:rsidP="003879F9">
            <w:pPr>
              <w:jc w:val="center"/>
              <w:rPr>
                <w:color w:val="000000"/>
                <w:sz w:val="22"/>
                <w:szCs w:val="22"/>
              </w:rPr>
            </w:pPr>
            <w:r w:rsidRPr="00C83A1D">
              <w:rPr>
                <w:color w:val="000000"/>
                <w:sz w:val="22"/>
                <w:szCs w:val="22"/>
              </w:rPr>
              <w:t>Travel Impedance Measures (Std. Dev.)</w:t>
            </w:r>
          </w:p>
        </w:tc>
        <w:tc>
          <w:tcPr>
            <w:tcW w:w="1141" w:type="dxa"/>
            <w:vMerge w:val="restart"/>
            <w:tcBorders>
              <w:top w:val="double" w:sz="6" w:space="0" w:color="auto"/>
              <w:left w:val="double" w:sz="6" w:space="0" w:color="auto"/>
              <w:right w:val="single" w:sz="4" w:space="0" w:color="auto"/>
            </w:tcBorders>
            <w:vAlign w:val="center"/>
          </w:tcPr>
          <w:p w:rsidR="00197E52" w:rsidRPr="00C83A1D" w:rsidRDefault="00197E52" w:rsidP="003879F9">
            <w:pPr>
              <w:jc w:val="center"/>
              <w:rPr>
                <w:color w:val="000000"/>
                <w:sz w:val="22"/>
                <w:szCs w:val="22"/>
              </w:rPr>
            </w:pPr>
            <w:r w:rsidRPr="00C83A1D">
              <w:rPr>
                <w:color w:val="000000"/>
                <w:sz w:val="22"/>
                <w:szCs w:val="22"/>
              </w:rPr>
              <w:t>Land Coverage Diversity Index</w:t>
            </w:r>
          </w:p>
        </w:tc>
        <w:tc>
          <w:tcPr>
            <w:tcW w:w="1463" w:type="dxa"/>
            <w:vMerge w:val="restart"/>
            <w:tcBorders>
              <w:top w:val="double" w:sz="6" w:space="0" w:color="auto"/>
              <w:left w:val="single" w:sz="4" w:space="0" w:color="auto"/>
              <w:right w:val="single" w:sz="4" w:space="0" w:color="auto"/>
            </w:tcBorders>
            <w:vAlign w:val="center"/>
          </w:tcPr>
          <w:p w:rsidR="00197E52" w:rsidRPr="00C83A1D" w:rsidRDefault="00197E52" w:rsidP="003879F9">
            <w:pPr>
              <w:jc w:val="center"/>
              <w:rPr>
                <w:color w:val="000000"/>
                <w:sz w:val="22"/>
                <w:szCs w:val="22"/>
              </w:rPr>
            </w:pPr>
            <w:r w:rsidRPr="00C83A1D">
              <w:rPr>
                <w:color w:val="000000"/>
                <w:sz w:val="22"/>
                <w:szCs w:val="22"/>
              </w:rPr>
              <w:t>Total number (%) of individuals visiting</w:t>
            </w:r>
          </w:p>
        </w:tc>
        <w:tc>
          <w:tcPr>
            <w:tcW w:w="1101" w:type="dxa"/>
            <w:vMerge w:val="restart"/>
            <w:tcBorders>
              <w:top w:val="double" w:sz="6" w:space="0" w:color="auto"/>
              <w:left w:val="single" w:sz="4" w:space="0" w:color="auto"/>
              <w:right w:val="single" w:sz="4" w:space="0" w:color="auto"/>
            </w:tcBorders>
            <w:vAlign w:val="center"/>
          </w:tcPr>
          <w:p w:rsidR="00197E52" w:rsidRPr="00C83A1D" w:rsidRDefault="00197E52" w:rsidP="003879F9">
            <w:pPr>
              <w:jc w:val="center"/>
              <w:rPr>
                <w:color w:val="000000"/>
                <w:sz w:val="22"/>
                <w:szCs w:val="22"/>
              </w:rPr>
            </w:pPr>
            <w:r w:rsidRPr="00C83A1D">
              <w:rPr>
                <w:color w:val="000000"/>
                <w:sz w:val="22"/>
                <w:szCs w:val="22"/>
              </w:rPr>
              <w:t>Area (miles</w:t>
            </w:r>
            <w:r w:rsidRPr="00C83A1D">
              <w:rPr>
                <w:color w:val="000000"/>
                <w:sz w:val="22"/>
                <w:szCs w:val="22"/>
                <w:vertAlign w:val="superscript"/>
              </w:rPr>
              <w:t>2</w:t>
            </w:r>
            <w:r w:rsidRPr="00C83A1D">
              <w:rPr>
                <w:color w:val="000000"/>
                <w:sz w:val="22"/>
                <w:szCs w:val="22"/>
              </w:rPr>
              <w:t>)</w:t>
            </w:r>
          </w:p>
        </w:tc>
        <w:tc>
          <w:tcPr>
            <w:tcW w:w="1573" w:type="dxa"/>
            <w:vMerge w:val="restart"/>
            <w:tcBorders>
              <w:top w:val="double" w:sz="6" w:space="0" w:color="auto"/>
              <w:left w:val="single" w:sz="4" w:space="0" w:color="auto"/>
              <w:right w:val="single" w:sz="4" w:space="0" w:color="auto"/>
            </w:tcBorders>
            <w:vAlign w:val="center"/>
          </w:tcPr>
          <w:p w:rsidR="00197E52" w:rsidRPr="00C83A1D" w:rsidRDefault="00197E52" w:rsidP="003879F9">
            <w:pPr>
              <w:jc w:val="center"/>
              <w:rPr>
                <w:color w:val="000000"/>
                <w:sz w:val="22"/>
                <w:szCs w:val="22"/>
              </w:rPr>
            </w:pPr>
            <w:r w:rsidRPr="00C83A1D">
              <w:rPr>
                <w:color w:val="000000"/>
                <w:sz w:val="22"/>
                <w:szCs w:val="22"/>
              </w:rPr>
              <w:t>Number of visiting individuals per unit area (per mile</w:t>
            </w:r>
            <w:r w:rsidRPr="00C83A1D">
              <w:rPr>
                <w:color w:val="000000"/>
                <w:sz w:val="22"/>
                <w:szCs w:val="22"/>
                <w:vertAlign w:val="superscript"/>
              </w:rPr>
              <w:t>2</w:t>
            </w:r>
            <w:r w:rsidRPr="00C83A1D">
              <w:rPr>
                <w:color w:val="000000"/>
                <w:sz w:val="22"/>
                <w:szCs w:val="22"/>
              </w:rPr>
              <w:t>)</w:t>
            </w:r>
          </w:p>
        </w:tc>
        <w:tc>
          <w:tcPr>
            <w:tcW w:w="1305" w:type="dxa"/>
            <w:vMerge w:val="restart"/>
            <w:tcBorders>
              <w:top w:val="double" w:sz="6" w:space="0" w:color="auto"/>
              <w:left w:val="single" w:sz="4" w:space="0" w:color="auto"/>
              <w:right w:val="double" w:sz="6" w:space="0" w:color="auto"/>
            </w:tcBorders>
            <w:vAlign w:val="center"/>
          </w:tcPr>
          <w:p w:rsidR="00197E52" w:rsidRPr="00C83A1D" w:rsidRDefault="00197E52" w:rsidP="003879F9">
            <w:pPr>
              <w:jc w:val="center"/>
              <w:rPr>
                <w:color w:val="000000"/>
                <w:sz w:val="22"/>
                <w:szCs w:val="22"/>
              </w:rPr>
            </w:pPr>
            <w:r w:rsidRPr="00C83A1D">
              <w:rPr>
                <w:color w:val="000000"/>
                <w:sz w:val="22"/>
                <w:szCs w:val="22"/>
              </w:rPr>
              <w:t>Mean and Range of number of trips</w:t>
            </w:r>
          </w:p>
        </w:tc>
      </w:tr>
      <w:tr w:rsidR="00197E52" w:rsidRPr="00C83A1D" w:rsidTr="00197E52">
        <w:trPr>
          <w:cantSplit/>
          <w:trHeight w:val="360"/>
          <w:jc w:val="center"/>
        </w:trPr>
        <w:tc>
          <w:tcPr>
            <w:tcW w:w="2208" w:type="dxa"/>
            <w:vMerge/>
            <w:tcBorders>
              <w:bottom w:val="double" w:sz="6" w:space="0" w:color="auto"/>
              <w:right w:val="double" w:sz="6" w:space="0" w:color="auto"/>
            </w:tcBorders>
            <w:shd w:val="clear" w:color="auto" w:fill="auto"/>
            <w:noWrap/>
            <w:vAlign w:val="center"/>
          </w:tcPr>
          <w:p w:rsidR="00197E52" w:rsidRPr="00C83A1D" w:rsidRDefault="00197E52" w:rsidP="003879F9">
            <w:pPr>
              <w:jc w:val="both"/>
              <w:rPr>
                <w:color w:val="000000"/>
                <w:sz w:val="22"/>
                <w:szCs w:val="22"/>
              </w:rPr>
            </w:pPr>
          </w:p>
        </w:tc>
        <w:tc>
          <w:tcPr>
            <w:tcW w:w="1216" w:type="dxa"/>
            <w:tcBorders>
              <w:top w:val="single" w:sz="4" w:space="0" w:color="auto"/>
              <w:left w:val="double" w:sz="6" w:space="0" w:color="auto"/>
              <w:bottom w:val="double" w:sz="6" w:space="0" w:color="auto"/>
            </w:tcBorders>
            <w:shd w:val="clear" w:color="auto" w:fill="auto"/>
            <w:noWrap/>
            <w:vAlign w:val="center"/>
          </w:tcPr>
          <w:p w:rsidR="00197E52" w:rsidRPr="00C83A1D" w:rsidRDefault="00197E52" w:rsidP="003879F9">
            <w:pPr>
              <w:jc w:val="center"/>
              <w:rPr>
                <w:color w:val="000000"/>
                <w:sz w:val="22"/>
                <w:szCs w:val="22"/>
              </w:rPr>
            </w:pPr>
            <w:r w:rsidRPr="00C83A1D">
              <w:rPr>
                <w:color w:val="000000"/>
                <w:sz w:val="22"/>
                <w:szCs w:val="22"/>
              </w:rPr>
              <w:t>Travel Time (hours)</w:t>
            </w:r>
          </w:p>
        </w:tc>
        <w:tc>
          <w:tcPr>
            <w:tcW w:w="1506" w:type="dxa"/>
            <w:tcBorders>
              <w:top w:val="single" w:sz="4" w:space="0" w:color="auto"/>
              <w:bottom w:val="double" w:sz="6" w:space="0" w:color="auto"/>
            </w:tcBorders>
            <w:shd w:val="clear" w:color="auto" w:fill="auto"/>
            <w:noWrap/>
            <w:vAlign w:val="center"/>
          </w:tcPr>
          <w:p w:rsidR="00197E52" w:rsidRPr="00C83A1D" w:rsidRDefault="00197E52" w:rsidP="003879F9">
            <w:pPr>
              <w:jc w:val="center"/>
              <w:rPr>
                <w:color w:val="000000"/>
                <w:sz w:val="22"/>
                <w:szCs w:val="22"/>
              </w:rPr>
            </w:pPr>
            <w:r w:rsidRPr="00C83A1D">
              <w:rPr>
                <w:color w:val="000000"/>
                <w:sz w:val="22"/>
                <w:szCs w:val="22"/>
              </w:rPr>
              <w:t>Travel Distance (miles)</w:t>
            </w:r>
          </w:p>
        </w:tc>
        <w:tc>
          <w:tcPr>
            <w:tcW w:w="1539" w:type="dxa"/>
            <w:tcBorders>
              <w:top w:val="single" w:sz="4" w:space="0" w:color="auto"/>
              <w:bottom w:val="double" w:sz="6" w:space="0" w:color="auto"/>
              <w:right w:val="double" w:sz="6" w:space="0" w:color="auto"/>
            </w:tcBorders>
            <w:shd w:val="clear" w:color="auto" w:fill="auto"/>
            <w:noWrap/>
            <w:vAlign w:val="center"/>
          </w:tcPr>
          <w:p w:rsidR="00197E52" w:rsidRPr="00C83A1D" w:rsidRDefault="00197E52" w:rsidP="003879F9">
            <w:pPr>
              <w:jc w:val="center"/>
              <w:rPr>
                <w:color w:val="000000"/>
                <w:sz w:val="22"/>
                <w:szCs w:val="22"/>
              </w:rPr>
            </w:pPr>
            <w:r w:rsidRPr="00C83A1D">
              <w:rPr>
                <w:color w:val="000000"/>
                <w:sz w:val="22"/>
                <w:szCs w:val="22"/>
              </w:rPr>
              <w:t>Cost (NZ$)</w:t>
            </w:r>
          </w:p>
        </w:tc>
        <w:tc>
          <w:tcPr>
            <w:tcW w:w="1141" w:type="dxa"/>
            <w:vMerge/>
            <w:tcBorders>
              <w:left w:val="double" w:sz="6" w:space="0" w:color="auto"/>
              <w:bottom w:val="double" w:sz="4" w:space="0" w:color="auto"/>
              <w:right w:val="single" w:sz="4" w:space="0" w:color="auto"/>
            </w:tcBorders>
            <w:vAlign w:val="center"/>
          </w:tcPr>
          <w:p w:rsidR="00197E52" w:rsidRPr="00C83A1D" w:rsidRDefault="00197E52" w:rsidP="003879F9">
            <w:pPr>
              <w:jc w:val="center"/>
              <w:rPr>
                <w:color w:val="000000"/>
                <w:sz w:val="22"/>
                <w:szCs w:val="22"/>
              </w:rPr>
            </w:pPr>
          </w:p>
        </w:tc>
        <w:tc>
          <w:tcPr>
            <w:tcW w:w="1463" w:type="dxa"/>
            <w:vMerge/>
            <w:tcBorders>
              <w:left w:val="single" w:sz="4" w:space="0" w:color="auto"/>
              <w:bottom w:val="double" w:sz="4" w:space="0" w:color="auto"/>
              <w:right w:val="single" w:sz="4" w:space="0" w:color="auto"/>
            </w:tcBorders>
            <w:vAlign w:val="center"/>
          </w:tcPr>
          <w:p w:rsidR="00197E52" w:rsidRPr="00C83A1D" w:rsidRDefault="00197E52" w:rsidP="003879F9">
            <w:pPr>
              <w:jc w:val="center"/>
              <w:rPr>
                <w:color w:val="000000"/>
                <w:sz w:val="22"/>
                <w:szCs w:val="22"/>
              </w:rPr>
            </w:pPr>
          </w:p>
        </w:tc>
        <w:tc>
          <w:tcPr>
            <w:tcW w:w="1101" w:type="dxa"/>
            <w:vMerge/>
            <w:tcBorders>
              <w:left w:val="single" w:sz="4" w:space="0" w:color="auto"/>
              <w:bottom w:val="double" w:sz="4" w:space="0" w:color="auto"/>
              <w:right w:val="single" w:sz="4" w:space="0" w:color="auto"/>
            </w:tcBorders>
            <w:vAlign w:val="center"/>
          </w:tcPr>
          <w:p w:rsidR="00197E52" w:rsidRPr="00C83A1D" w:rsidRDefault="00197E52" w:rsidP="003879F9">
            <w:pPr>
              <w:jc w:val="center"/>
              <w:rPr>
                <w:color w:val="000000"/>
                <w:sz w:val="22"/>
                <w:szCs w:val="22"/>
                <w:vertAlign w:val="superscript"/>
              </w:rPr>
            </w:pPr>
          </w:p>
        </w:tc>
        <w:tc>
          <w:tcPr>
            <w:tcW w:w="1573" w:type="dxa"/>
            <w:vMerge/>
            <w:tcBorders>
              <w:left w:val="single" w:sz="4" w:space="0" w:color="auto"/>
              <w:bottom w:val="double" w:sz="4" w:space="0" w:color="auto"/>
              <w:right w:val="single" w:sz="4" w:space="0" w:color="auto"/>
            </w:tcBorders>
            <w:vAlign w:val="center"/>
          </w:tcPr>
          <w:p w:rsidR="00197E52" w:rsidRPr="00C83A1D" w:rsidRDefault="00197E52" w:rsidP="003879F9">
            <w:pPr>
              <w:jc w:val="center"/>
              <w:rPr>
                <w:color w:val="000000"/>
                <w:sz w:val="22"/>
                <w:szCs w:val="22"/>
              </w:rPr>
            </w:pPr>
          </w:p>
        </w:tc>
        <w:tc>
          <w:tcPr>
            <w:tcW w:w="1305" w:type="dxa"/>
            <w:vMerge/>
            <w:tcBorders>
              <w:left w:val="single" w:sz="4" w:space="0" w:color="auto"/>
              <w:bottom w:val="double" w:sz="4" w:space="0" w:color="auto"/>
              <w:right w:val="double" w:sz="6" w:space="0" w:color="auto"/>
            </w:tcBorders>
            <w:vAlign w:val="center"/>
          </w:tcPr>
          <w:p w:rsidR="00197E52" w:rsidRPr="00C83A1D" w:rsidRDefault="00197E52" w:rsidP="003879F9">
            <w:pPr>
              <w:jc w:val="center"/>
              <w:rPr>
                <w:color w:val="000000"/>
                <w:sz w:val="22"/>
                <w:szCs w:val="22"/>
              </w:rPr>
            </w:pPr>
          </w:p>
        </w:tc>
      </w:tr>
      <w:tr w:rsidR="003879F9" w:rsidRPr="00C83A1D" w:rsidTr="003879F9">
        <w:trPr>
          <w:cantSplit/>
          <w:trHeight w:val="360"/>
          <w:jc w:val="center"/>
        </w:trPr>
        <w:tc>
          <w:tcPr>
            <w:tcW w:w="2208" w:type="dxa"/>
            <w:tcBorders>
              <w:top w:val="double" w:sz="6" w:space="0" w:color="auto"/>
              <w:right w:val="double" w:sz="6" w:space="0" w:color="auto"/>
            </w:tcBorders>
            <w:shd w:val="clear" w:color="auto" w:fill="auto"/>
            <w:noWrap/>
            <w:vAlign w:val="center"/>
          </w:tcPr>
          <w:p w:rsidR="003879F9" w:rsidRPr="00C83A1D" w:rsidRDefault="003879F9" w:rsidP="003879F9">
            <w:pPr>
              <w:jc w:val="both"/>
              <w:rPr>
                <w:color w:val="000000"/>
                <w:sz w:val="22"/>
                <w:szCs w:val="22"/>
              </w:rPr>
            </w:pPr>
            <w:r w:rsidRPr="00C83A1D">
              <w:rPr>
                <w:color w:val="000000"/>
                <w:sz w:val="22"/>
                <w:szCs w:val="22"/>
              </w:rPr>
              <w:t>Northland</w:t>
            </w:r>
          </w:p>
        </w:tc>
        <w:tc>
          <w:tcPr>
            <w:tcW w:w="1216" w:type="dxa"/>
            <w:tcBorders>
              <w:top w:val="double" w:sz="6" w:space="0" w:color="auto"/>
              <w:left w:val="double" w:sz="6" w:space="0" w:color="auto"/>
            </w:tcBorders>
            <w:shd w:val="clear" w:color="auto" w:fill="auto"/>
            <w:noWrap/>
            <w:vAlign w:val="center"/>
          </w:tcPr>
          <w:p w:rsidR="003879F9" w:rsidRPr="00C83A1D" w:rsidRDefault="003879F9" w:rsidP="003879F9">
            <w:pPr>
              <w:jc w:val="center"/>
              <w:rPr>
                <w:color w:val="000000"/>
                <w:sz w:val="22"/>
                <w:szCs w:val="22"/>
              </w:rPr>
            </w:pPr>
            <w:r w:rsidRPr="00C83A1D">
              <w:rPr>
                <w:color w:val="000000"/>
                <w:sz w:val="22"/>
                <w:szCs w:val="22"/>
              </w:rPr>
              <w:t>4.64 (2.99)</w:t>
            </w:r>
          </w:p>
        </w:tc>
        <w:tc>
          <w:tcPr>
            <w:tcW w:w="1506" w:type="dxa"/>
            <w:tcBorders>
              <w:top w:val="double" w:sz="6" w:space="0" w:color="auto"/>
            </w:tcBorders>
            <w:shd w:val="clear" w:color="auto" w:fill="auto"/>
            <w:noWrap/>
            <w:vAlign w:val="center"/>
          </w:tcPr>
          <w:p w:rsidR="003879F9" w:rsidRPr="00C83A1D" w:rsidRDefault="003879F9" w:rsidP="003879F9">
            <w:pPr>
              <w:jc w:val="right"/>
              <w:rPr>
                <w:color w:val="000000"/>
                <w:sz w:val="22"/>
                <w:szCs w:val="22"/>
              </w:rPr>
            </w:pPr>
            <w:r w:rsidRPr="00C83A1D">
              <w:rPr>
                <w:color w:val="000000"/>
                <w:sz w:val="22"/>
                <w:szCs w:val="22"/>
              </w:rPr>
              <w:t>242.8 (160.5)</w:t>
            </w:r>
          </w:p>
        </w:tc>
        <w:tc>
          <w:tcPr>
            <w:tcW w:w="1539" w:type="dxa"/>
            <w:tcBorders>
              <w:top w:val="double" w:sz="6" w:space="0" w:color="auto"/>
              <w:right w:val="double" w:sz="6" w:space="0" w:color="auto"/>
            </w:tcBorders>
            <w:shd w:val="clear" w:color="auto" w:fill="auto"/>
            <w:noWrap/>
            <w:vAlign w:val="center"/>
          </w:tcPr>
          <w:p w:rsidR="003879F9" w:rsidRPr="00C83A1D" w:rsidRDefault="003879F9" w:rsidP="003879F9">
            <w:pPr>
              <w:ind w:right="55"/>
              <w:jc w:val="right"/>
              <w:rPr>
                <w:color w:val="000000"/>
                <w:sz w:val="22"/>
                <w:szCs w:val="22"/>
              </w:rPr>
            </w:pPr>
            <w:r w:rsidRPr="00C83A1D">
              <w:rPr>
                <w:color w:val="000000"/>
                <w:sz w:val="22"/>
                <w:szCs w:val="22"/>
              </w:rPr>
              <w:t>171.3 (183.8)</w:t>
            </w:r>
          </w:p>
        </w:tc>
        <w:tc>
          <w:tcPr>
            <w:tcW w:w="1141" w:type="dxa"/>
            <w:tcBorders>
              <w:top w:val="double" w:sz="4" w:space="0" w:color="auto"/>
              <w:left w:val="double" w:sz="6" w:space="0" w:color="auto"/>
              <w:right w:val="single" w:sz="4" w:space="0" w:color="auto"/>
            </w:tcBorders>
            <w:vAlign w:val="center"/>
          </w:tcPr>
          <w:p w:rsidR="003879F9" w:rsidRPr="003879F9" w:rsidRDefault="003879F9" w:rsidP="003879F9">
            <w:pPr>
              <w:jc w:val="center"/>
              <w:rPr>
                <w:color w:val="000000"/>
                <w:sz w:val="22"/>
                <w:szCs w:val="22"/>
              </w:rPr>
            </w:pPr>
            <w:r w:rsidRPr="003879F9">
              <w:rPr>
                <w:color w:val="000000"/>
                <w:sz w:val="22"/>
                <w:szCs w:val="22"/>
              </w:rPr>
              <w:t>0.264</w:t>
            </w:r>
          </w:p>
        </w:tc>
        <w:tc>
          <w:tcPr>
            <w:tcW w:w="1463" w:type="dxa"/>
            <w:tcBorders>
              <w:top w:val="double" w:sz="4" w:space="0" w:color="auto"/>
              <w:left w:val="single" w:sz="4" w:space="0" w:color="auto"/>
              <w:right w:val="single" w:sz="4" w:space="0" w:color="auto"/>
            </w:tcBorders>
            <w:vAlign w:val="center"/>
          </w:tcPr>
          <w:p w:rsidR="003879F9" w:rsidRPr="003879F9" w:rsidRDefault="007A0EED" w:rsidP="00A802E7">
            <w:pPr>
              <w:rPr>
                <w:color w:val="000000"/>
                <w:sz w:val="22"/>
                <w:szCs w:val="22"/>
              </w:rPr>
            </w:pPr>
            <w:r>
              <w:rPr>
                <w:color w:val="000000"/>
                <w:sz w:val="22"/>
                <w:szCs w:val="22"/>
              </w:rPr>
              <w:t xml:space="preserve">  </w:t>
            </w:r>
            <w:r w:rsidR="003879F9" w:rsidRPr="003879F9">
              <w:rPr>
                <w:color w:val="000000"/>
                <w:sz w:val="22"/>
                <w:szCs w:val="22"/>
              </w:rPr>
              <w:t xml:space="preserve">289 </w:t>
            </w:r>
            <w:r>
              <w:rPr>
                <w:color w:val="000000"/>
                <w:sz w:val="22"/>
                <w:szCs w:val="22"/>
              </w:rPr>
              <w:t xml:space="preserve"> </w:t>
            </w:r>
            <w:r w:rsidR="003879F9" w:rsidRPr="003879F9">
              <w:rPr>
                <w:color w:val="000000"/>
                <w:sz w:val="22"/>
                <w:szCs w:val="22"/>
              </w:rPr>
              <w:t>(5.1%)</w:t>
            </w:r>
          </w:p>
        </w:tc>
        <w:tc>
          <w:tcPr>
            <w:tcW w:w="1101" w:type="dxa"/>
            <w:tcBorders>
              <w:top w:val="double" w:sz="4" w:space="0" w:color="auto"/>
              <w:left w:val="single" w:sz="4" w:space="0" w:color="auto"/>
              <w:right w:val="single" w:sz="4" w:space="0" w:color="auto"/>
            </w:tcBorders>
            <w:vAlign w:val="center"/>
          </w:tcPr>
          <w:p w:rsidR="003879F9" w:rsidRPr="003879F9" w:rsidRDefault="003879F9" w:rsidP="003879F9">
            <w:pPr>
              <w:jc w:val="center"/>
              <w:rPr>
                <w:color w:val="000000"/>
                <w:sz w:val="22"/>
                <w:szCs w:val="22"/>
              </w:rPr>
            </w:pPr>
            <w:r w:rsidRPr="003879F9">
              <w:rPr>
                <w:color w:val="000000"/>
                <w:sz w:val="22"/>
                <w:szCs w:val="22"/>
              </w:rPr>
              <w:t>5,383</w:t>
            </w:r>
          </w:p>
        </w:tc>
        <w:tc>
          <w:tcPr>
            <w:tcW w:w="1573" w:type="dxa"/>
            <w:tcBorders>
              <w:top w:val="double" w:sz="4" w:space="0" w:color="auto"/>
              <w:left w:val="single" w:sz="4" w:space="0" w:color="auto"/>
              <w:right w:val="single" w:sz="4" w:space="0" w:color="auto"/>
            </w:tcBorders>
            <w:vAlign w:val="center"/>
          </w:tcPr>
          <w:p w:rsidR="003879F9" w:rsidRPr="003879F9" w:rsidRDefault="003879F9" w:rsidP="003879F9">
            <w:pPr>
              <w:jc w:val="center"/>
              <w:rPr>
                <w:color w:val="000000"/>
                <w:sz w:val="22"/>
                <w:szCs w:val="22"/>
              </w:rPr>
            </w:pPr>
            <w:r w:rsidRPr="003879F9">
              <w:rPr>
                <w:color w:val="000000"/>
                <w:sz w:val="22"/>
                <w:szCs w:val="22"/>
              </w:rPr>
              <w:t>0.0537</w:t>
            </w:r>
          </w:p>
        </w:tc>
        <w:tc>
          <w:tcPr>
            <w:tcW w:w="1305" w:type="dxa"/>
            <w:tcBorders>
              <w:top w:val="double" w:sz="4" w:space="0" w:color="auto"/>
              <w:left w:val="single" w:sz="4" w:space="0" w:color="auto"/>
              <w:right w:val="double" w:sz="6" w:space="0" w:color="auto"/>
            </w:tcBorders>
            <w:vAlign w:val="center"/>
          </w:tcPr>
          <w:p w:rsidR="003879F9" w:rsidRPr="003879F9" w:rsidRDefault="003879F9" w:rsidP="003879F9">
            <w:pPr>
              <w:jc w:val="center"/>
              <w:rPr>
                <w:color w:val="000000"/>
                <w:sz w:val="22"/>
                <w:szCs w:val="22"/>
              </w:rPr>
            </w:pPr>
            <w:r w:rsidRPr="003879F9">
              <w:rPr>
                <w:color w:val="000000"/>
                <w:sz w:val="22"/>
                <w:szCs w:val="22"/>
              </w:rPr>
              <w:t>1.16 (1-4)</w:t>
            </w:r>
          </w:p>
        </w:tc>
      </w:tr>
      <w:tr w:rsidR="00056683" w:rsidRPr="00C83A1D" w:rsidTr="00197E52">
        <w:trPr>
          <w:cantSplit/>
          <w:trHeight w:val="360"/>
          <w:jc w:val="center"/>
        </w:trPr>
        <w:tc>
          <w:tcPr>
            <w:tcW w:w="2208" w:type="dxa"/>
            <w:tcBorders>
              <w:right w:val="double" w:sz="6" w:space="0" w:color="auto"/>
            </w:tcBorders>
            <w:shd w:val="clear" w:color="auto" w:fill="auto"/>
            <w:noWrap/>
            <w:vAlign w:val="center"/>
          </w:tcPr>
          <w:p w:rsidR="00056683" w:rsidRPr="00C83A1D" w:rsidRDefault="00056683" w:rsidP="003879F9">
            <w:pPr>
              <w:jc w:val="both"/>
              <w:rPr>
                <w:color w:val="000000"/>
                <w:sz w:val="22"/>
                <w:szCs w:val="22"/>
              </w:rPr>
            </w:pPr>
            <w:r w:rsidRPr="00C83A1D">
              <w:rPr>
                <w:color w:val="000000"/>
                <w:sz w:val="22"/>
                <w:szCs w:val="22"/>
              </w:rPr>
              <w:t>Auckland</w:t>
            </w:r>
          </w:p>
        </w:tc>
        <w:tc>
          <w:tcPr>
            <w:tcW w:w="1216" w:type="dxa"/>
            <w:tcBorders>
              <w:left w:val="double" w:sz="6" w:space="0" w:color="auto"/>
            </w:tcBorders>
            <w:shd w:val="clear" w:color="auto" w:fill="auto"/>
            <w:noWrap/>
            <w:vAlign w:val="center"/>
          </w:tcPr>
          <w:p w:rsidR="00056683" w:rsidRPr="00C83A1D" w:rsidRDefault="00056683" w:rsidP="003879F9">
            <w:pPr>
              <w:jc w:val="center"/>
              <w:rPr>
                <w:color w:val="000000"/>
                <w:sz w:val="22"/>
                <w:szCs w:val="22"/>
              </w:rPr>
            </w:pPr>
            <w:r w:rsidRPr="00C83A1D">
              <w:rPr>
                <w:color w:val="000000"/>
                <w:sz w:val="22"/>
                <w:szCs w:val="22"/>
              </w:rPr>
              <w:t>2.92 (2.76)</w:t>
            </w:r>
          </w:p>
        </w:tc>
        <w:tc>
          <w:tcPr>
            <w:tcW w:w="1506" w:type="dxa"/>
            <w:shd w:val="clear" w:color="auto" w:fill="auto"/>
            <w:noWrap/>
            <w:vAlign w:val="center"/>
          </w:tcPr>
          <w:p w:rsidR="00056683" w:rsidRPr="00C83A1D" w:rsidRDefault="00056683" w:rsidP="003879F9">
            <w:pPr>
              <w:jc w:val="right"/>
              <w:rPr>
                <w:color w:val="000000"/>
                <w:sz w:val="22"/>
                <w:szCs w:val="22"/>
              </w:rPr>
            </w:pPr>
            <w:r w:rsidRPr="00C83A1D">
              <w:rPr>
                <w:color w:val="000000"/>
                <w:sz w:val="22"/>
                <w:szCs w:val="22"/>
              </w:rPr>
              <w:t>152.8 (151.1)</w:t>
            </w:r>
          </w:p>
        </w:tc>
        <w:tc>
          <w:tcPr>
            <w:tcW w:w="1539" w:type="dxa"/>
            <w:tcBorders>
              <w:right w:val="double" w:sz="6" w:space="0" w:color="auto"/>
            </w:tcBorders>
            <w:shd w:val="clear" w:color="auto" w:fill="auto"/>
            <w:noWrap/>
            <w:vAlign w:val="center"/>
          </w:tcPr>
          <w:p w:rsidR="00056683" w:rsidRPr="00C83A1D" w:rsidRDefault="00056683" w:rsidP="003879F9">
            <w:pPr>
              <w:ind w:right="55"/>
              <w:jc w:val="right"/>
              <w:rPr>
                <w:color w:val="000000"/>
                <w:sz w:val="22"/>
                <w:szCs w:val="22"/>
              </w:rPr>
            </w:pPr>
            <w:r w:rsidRPr="00C83A1D">
              <w:rPr>
                <w:color w:val="000000"/>
                <w:sz w:val="22"/>
                <w:szCs w:val="22"/>
              </w:rPr>
              <w:t>132.3 (155.9)</w:t>
            </w:r>
          </w:p>
        </w:tc>
        <w:tc>
          <w:tcPr>
            <w:tcW w:w="1141" w:type="dxa"/>
            <w:tcBorders>
              <w:left w:val="double" w:sz="6" w:space="0" w:color="auto"/>
              <w:right w:val="single" w:sz="4" w:space="0" w:color="auto"/>
            </w:tcBorders>
            <w:vAlign w:val="center"/>
          </w:tcPr>
          <w:p w:rsidR="00056683" w:rsidRPr="00C83A1D" w:rsidRDefault="00056683" w:rsidP="003879F9">
            <w:pPr>
              <w:jc w:val="center"/>
              <w:rPr>
                <w:color w:val="000000"/>
                <w:sz w:val="22"/>
                <w:szCs w:val="22"/>
              </w:rPr>
            </w:pPr>
            <w:r w:rsidRPr="00C83A1D">
              <w:rPr>
                <w:color w:val="000000"/>
                <w:sz w:val="22"/>
                <w:szCs w:val="22"/>
              </w:rPr>
              <w:t>0.381</w:t>
            </w:r>
          </w:p>
        </w:tc>
        <w:tc>
          <w:tcPr>
            <w:tcW w:w="1463" w:type="dxa"/>
            <w:tcBorders>
              <w:left w:val="single" w:sz="4" w:space="0" w:color="auto"/>
              <w:right w:val="single" w:sz="4" w:space="0" w:color="auto"/>
            </w:tcBorders>
            <w:vAlign w:val="center"/>
          </w:tcPr>
          <w:p w:rsidR="00056683" w:rsidRPr="00C83A1D" w:rsidRDefault="00056683" w:rsidP="003879F9">
            <w:pPr>
              <w:ind w:right="52"/>
              <w:jc w:val="right"/>
              <w:rPr>
                <w:color w:val="000000"/>
                <w:sz w:val="22"/>
                <w:szCs w:val="22"/>
              </w:rPr>
            </w:pPr>
            <w:r w:rsidRPr="00C83A1D">
              <w:rPr>
                <w:color w:val="000000"/>
                <w:sz w:val="22"/>
                <w:szCs w:val="22"/>
              </w:rPr>
              <w:t>574 (10.2%)</w:t>
            </w:r>
          </w:p>
        </w:tc>
        <w:tc>
          <w:tcPr>
            <w:tcW w:w="1101" w:type="dxa"/>
            <w:tcBorders>
              <w:left w:val="single" w:sz="4" w:space="0" w:color="auto"/>
              <w:right w:val="single" w:sz="4" w:space="0" w:color="auto"/>
            </w:tcBorders>
            <w:vAlign w:val="center"/>
          </w:tcPr>
          <w:p w:rsidR="00056683" w:rsidRPr="00C83A1D" w:rsidRDefault="00056683" w:rsidP="003879F9">
            <w:pPr>
              <w:jc w:val="center"/>
              <w:rPr>
                <w:color w:val="000000"/>
                <w:sz w:val="22"/>
                <w:szCs w:val="22"/>
              </w:rPr>
            </w:pPr>
            <w:r w:rsidRPr="00C83A1D">
              <w:rPr>
                <w:color w:val="000000"/>
                <w:sz w:val="22"/>
                <w:szCs w:val="22"/>
              </w:rPr>
              <w:t>2,162</w:t>
            </w:r>
          </w:p>
        </w:tc>
        <w:tc>
          <w:tcPr>
            <w:tcW w:w="1573" w:type="dxa"/>
            <w:tcBorders>
              <w:left w:val="single" w:sz="4" w:space="0" w:color="auto"/>
              <w:right w:val="single" w:sz="4" w:space="0" w:color="auto"/>
            </w:tcBorders>
            <w:vAlign w:val="center"/>
          </w:tcPr>
          <w:p w:rsidR="00056683" w:rsidRPr="00C83A1D" w:rsidRDefault="00056683" w:rsidP="003879F9">
            <w:pPr>
              <w:jc w:val="center"/>
              <w:rPr>
                <w:color w:val="000000"/>
                <w:sz w:val="22"/>
                <w:szCs w:val="22"/>
              </w:rPr>
            </w:pPr>
            <w:r w:rsidRPr="00C83A1D">
              <w:rPr>
                <w:color w:val="000000"/>
                <w:sz w:val="22"/>
                <w:szCs w:val="22"/>
              </w:rPr>
              <w:t>0.2655</w:t>
            </w:r>
          </w:p>
        </w:tc>
        <w:tc>
          <w:tcPr>
            <w:tcW w:w="1305" w:type="dxa"/>
            <w:tcBorders>
              <w:left w:val="single" w:sz="4" w:space="0" w:color="auto"/>
              <w:right w:val="double" w:sz="6" w:space="0" w:color="auto"/>
            </w:tcBorders>
            <w:vAlign w:val="center"/>
          </w:tcPr>
          <w:p w:rsidR="00056683" w:rsidRPr="00C83A1D" w:rsidRDefault="00056683" w:rsidP="003879F9">
            <w:pPr>
              <w:jc w:val="center"/>
              <w:rPr>
                <w:color w:val="000000"/>
                <w:sz w:val="22"/>
                <w:szCs w:val="22"/>
              </w:rPr>
            </w:pPr>
            <w:r w:rsidRPr="00C83A1D">
              <w:rPr>
                <w:color w:val="000000"/>
                <w:sz w:val="22"/>
                <w:szCs w:val="22"/>
              </w:rPr>
              <w:t>1.17 (1-6)</w:t>
            </w:r>
          </w:p>
        </w:tc>
      </w:tr>
      <w:tr w:rsidR="00056683" w:rsidRPr="00C83A1D" w:rsidTr="00197E52">
        <w:trPr>
          <w:cantSplit/>
          <w:trHeight w:val="360"/>
          <w:jc w:val="center"/>
        </w:trPr>
        <w:tc>
          <w:tcPr>
            <w:tcW w:w="2208" w:type="dxa"/>
            <w:tcBorders>
              <w:right w:val="double" w:sz="6" w:space="0" w:color="auto"/>
            </w:tcBorders>
            <w:shd w:val="clear" w:color="auto" w:fill="auto"/>
            <w:noWrap/>
            <w:vAlign w:val="center"/>
          </w:tcPr>
          <w:p w:rsidR="00056683" w:rsidRPr="00C83A1D" w:rsidRDefault="00056683" w:rsidP="003879F9">
            <w:pPr>
              <w:jc w:val="both"/>
              <w:rPr>
                <w:color w:val="000000"/>
                <w:sz w:val="22"/>
                <w:szCs w:val="22"/>
              </w:rPr>
            </w:pPr>
            <w:r w:rsidRPr="00C83A1D">
              <w:rPr>
                <w:color w:val="000000"/>
                <w:sz w:val="22"/>
                <w:szCs w:val="22"/>
              </w:rPr>
              <w:t>Waikato</w:t>
            </w:r>
          </w:p>
        </w:tc>
        <w:tc>
          <w:tcPr>
            <w:tcW w:w="1216" w:type="dxa"/>
            <w:tcBorders>
              <w:left w:val="double" w:sz="6" w:space="0" w:color="auto"/>
            </w:tcBorders>
            <w:shd w:val="clear" w:color="auto" w:fill="auto"/>
            <w:vAlign w:val="center"/>
          </w:tcPr>
          <w:p w:rsidR="00056683" w:rsidRPr="00C83A1D" w:rsidRDefault="00056683" w:rsidP="003879F9">
            <w:pPr>
              <w:jc w:val="center"/>
              <w:rPr>
                <w:color w:val="000000"/>
                <w:sz w:val="22"/>
                <w:szCs w:val="22"/>
              </w:rPr>
            </w:pPr>
            <w:r w:rsidRPr="00C83A1D">
              <w:rPr>
                <w:color w:val="000000"/>
                <w:sz w:val="22"/>
                <w:szCs w:val="22"/>
              </w:rPr>
              <w:t>2.76 (1.95)</w:t>
            </w:r>
          </w:p>
        </w:tc>
        <w:tc>
          <w:tcPr>
            <w:tcW w:w="1506" w:type="dxa"/>
            <w:shd w:val="clear" w:color="auto" w:fill="auto"/>
            <w:vAlign w:val="center"/>
          </w:tcPr>
          <w:p w:rsidR="00056683" w:rsidRPr="00C83A1D" w:rsidRDefault="00056683" w:rsidP="003879F9">
            <w:pPr>
              <w:jc w:val="right"/>
              <w:rPr>
                <w:color w:val="000000"/>
                <w:sz w:val="22"/>
                <w:szCs w:val="22"/>
              </w:rPr>
            </w:pPr>
            <w:r w:rsidRPr="00C83A1D">
              <w:rPr>
                <w:color w:val="000000"/>
                <w:sz w:val="22"/>
                <w:szCs w:val="22"/>
              </w:rPr>
              <w:t>141.6 (103.5)</w:t>
            </w:r>
          </w:p>
        </w:tc>
        <w:tc>
          <w:tcPr>
            <w:tcW w:w="1539" w:type="dxa"/>
            <w:tcBorders>
              <w:right w:val="double" w:sz="6" w:space="0" w:color="auto"/>
            </w:tcBorders>
            <w:shd w:val="clear" w:color="auto" w:fill="auto"/>
            <w:vAlign w:val="center"/>
          </w:tcPr>
          <w:p w:rsidR="00056683" w:rsidRPr="00C83A1D" w:rsidRDefault="00056683" w:rsidP="003879F9">
            <w:pPr>
              <w:ind w:right="55"/>
              <w:jc w:val="right"/>
              <w:rPr>
                <w:color w:val="000000"/>
                <w:sz w:val="22"/>
                <w:szCs w:val="22"/>
              </w:rPr>
            </w:pPr>
            <w:r w:rsidRPr="00C83A1D">
              <w:rPr>
                <w:color w:val="000000"/>
                <w:sz w:val="22"/>
                <w:szCs w:val="22"/>
              </w:rPr>
              <w:t>120.9 (120.3)</w:t>
            </w:r>
          </w:p>
        </w:tc>
        <w:tc>
          <w:tcPr>
            <w:tcW w:w="1141" w:type="dxa"/>
            <w:tcBorders>
              <w:left w:val="double" w:sz="6" w:space="0" w:color="auto"/>
              <w:right w:val="single" w:sz="4" w:space="0" w:color="auto"/>
            </w:tcBorders>
            <w:vAlign w:val="center"/>
          </w:tcPr>
          <w:p w:rsidR="00056683" w:rsidRPr="00C83A1D" w:rsidRDefault="00056683" w:rsidP="003879F9">
            <w:pPr>
              <w:jc w:val="center"/>
              <w:rPr>
                <w:color w:val="000000"/>
                <w:sz w:val="22"/>
                <w:szCs w:val="22"/>
              </w:rPr>
            </w:pPr>
            <w:r w:rsidRPr="00C83A1D">
              <w:rPr>
                <w:color w:val="000000"/>
                <w:sz w:val="22"/>
                <w:szCs w:val="22"/>
              </w:rPr>
              <w:t>0.275</w:t>
            </w:r>
          </w:p>
        </w:tc>
        <w:tc>
          <w:tcPr>
            <w:tcW w:w="1463" w:type="dxa"/>
            <w:tcBorders>
              <w:left w:val="single" w:sz="4" w:space="0" w:color="auto"/>
              <w:right w:val="single" w:sz="4" w:space="0" w:color="auto"/>
            </w:tcBorders>
            <w:vAlign w:val="center"/>
          </w:tcPr>
          <w:p w:rsidR="00056683" w:rsidRPr="00C83A1D" w:rsidRDefault="00056683" w:rsidP="003879F9">
            <w:pPr>
              <w:ind w:right="52"/>
              <w:jc w:val="right"/>
              <w:rPr>
                <w:color w:val="000000"/>
                <w:sz w:val="22"/>
                <w:szCs w:val="22"/>
              </w:rPr>
            </w:pPr>
            <w:r w:rsidRPr="00C83A1D">
              <w:rPr>
                <w:color w:val="000000"/>
                <w:sz w:val="22"/>
                <w:szCs w:val="22"/>
              </w:rPr>
              <w:t>786 (14.0%)</w:t>
            </w:r>
          </w:p>
        </w:tc>
        <w:tc>
          <w:tcPr>
            <w:tcW w:w="1101" w:type="dxa"/>
            <w:tcBorders>
              <w:left w:val="single" w:sz="4" w:space="0" w:color="auto"/>
              <w:right w:val="single" w:sz="4" w:space="0" w:color="auto"/>
            </w:tcBorders>
            <w:vAlign w:val="center"/>
          </w:tcPr>
          <w:p w:rsidR="00056683" w:rsidRPr="00C83A1D" w:rsidRDefault="00056683" w:rsidP="003879F9">
            <w:pPr>
              <w:jc w:val="center"/>
              <w:rPr>
                <w:color w:val="000000"/>
                <w:sz w:val="22"/>
                <w:szCs w:val="22"/>
              </w:rPr>
            </w:pPr>
            <w:r w:rsidRPr="00C83A1D">
              <w:rPr>
                <w:color w:val="000000"/>
                <w:sz w:val="22"/>
                <w:szCs w:val="22"/>
              </w:rPr>
              <w:t>9,883</w:t>
            </w:r>
          </w:p>
        </w:tc>
        <w:tc>
          <w:tcPr>
            <w:tcW w:w="1573" w:type="dxa"/>
            <w:tcBorders>
              <w:left w:val="single" w:sz="4" w:space="0" w:color="auto"/>
              <w:right w:val="single" w:sz="4" w:space="0" w:color="auto"/>
            </w:tcBorders>
            <w:vAlign w:val="center"/>
          </w:tcPr>
          <w:p w:rsidR="00056683" w:rsidRPr="00C83A1D" w:rsidRDefault="00056683" w:rsidP="003879F9">
            <w:pPr>
              <w:jc w:val="center"/>
              <w:rPr>
                <w:color w:val="000000"/>
                <w:sz w:val="22"/>
                <w:szCs w:val="22"/>
              </w:rPr>
            </w:pPr>
            <w:r w:rsidRPr="00C83A1D">
              <w:rPr>
                <w:color w:val="000000"/>
                <w:sz w:val="22"/>
                <w:szCs w:val="22"/>
              </w:rPr>
              <w:t>0.0795</w:t>
            </w:r>
          </w:p>
        </w:tc>
        <w:tc>
          <w:tcPr>
            <w:tcW w:w="1305" w:type="dxa"/>
            <w:tcBorders>
              <w:left w:val="single" w:sz="4" w:space="0" w:color="auto"/>
              <w:right w:val="double" w:sz="6" w:space="0" w:color="auto"/>
            </w:tcBorders>
            <w:vAlign w:val="center"/>
          </w:tcPr>
          <w:p w:rsidR="00056683" w:rsidRPr="00C83A1D" w:rsidRDefault="00056683" w:rsidP="003879F9">
            <w:pPr>
              <w:jc w:val="center"/>
              <w:rPr>
                <w:color w:val="000000"/>
                <w:sz w:val="22"/>
                <w:szCs w:val="22"/>
              </w:rPr>
            </w:pPr>
            <w:r w:rsidRPr="00C83A1D">
              <w:rPr>
                <w:color w:val="000000"/>
                <w:sz w:val="22"/>
                <w:szCs w:val="22"/>
              </w:rPr>
              <w:t>1.19 (1-7)</w:t>
            </w:r>
          </w:p>
        </w:tc>
      </w:tr>
      <w:tr w:rsidR="00056683" w:rsidRPr="00C83A1D" w:rsidTr="00197E52">
        <w:trPr>
          <w:cantSplit/>
          <w:trHeight w:val="360"/>
          <w:jc w:val="center"/>
        </w:trPr>
        <w:tc>
          <w:tcPr>
            <w:tcW w:w="2208" w:type="dxa"/>
            <w:tcBorders>
              <w:right w:val="double" w:sz="6" w:space="0" w:color="auto"/>
            </w:tcBorders>
            <w:shd w:val="clear" w:color="auto" w:fill="auto"/>
            <w:noWrap/>
            <w:vAlign w:val="center"/>
          </w:tcPr>
          <w:p w:rsidR="00056683" w:rsidRPr="00C83A1D" w:rsidRDefault="00056683" w:rsidP="003879F9">
            <w:pPr>
              <w:jc w:val="both"/>
              <w:rPr>
                <w:color w:val="000000"/>
                <w:sz w:val="22"/>
                <w:szCs w:val="22"/>
              </w:rPr>
            </w:pPr>
            <w:r w:rsidRPr="00C83A1D">
              <w:rPr>
                <w:color w:val="000000"/>
                <w:sz w:val="22"/>
                <w:szCs w:val="22"/>
              </w:rPr>
              <w:t>Bay of Plenty</w:t>
            </w:r>
          </w:p>
        </w:tc>
        <w:tc>
          <w:tcPr>
            <w:tcW w:w="1216" w:type="dxa"/>
            <w:tcBorders>
              <w:left w:val="double" w:sz="6" w:space="0" w:color="auto"/>
            </w:tcBorders>
            <w:shd w:val="clear" w:color="auto" w:fill="auto"/>
            <w:vAlign w:val="center"/>
          </w:tcPr>
          <w:p w:rsidR="00056683" w:rsidRPr="00C83A1D" w:rsidRDefault="00056683" w:rsidP="003879F9">
            <w:pPr>
              <w:jc w:val="center"/>
              <w:rPr>
                <w:color w:val="000000"/>
                <w:sz w:val="22"/>
                <w:szCs w:val="22"/>
              </w:rPr>
            </w:pPr>
            <w:r w:rsidRPr="00C83A1D">
              <w:rPr>
                <w:color w:val="000000"/>
                <w:sz w:val="22"/>
                <w:szCs w:val="22"/>
              </w:rPr>
              <w:t>3.77 (1.69)</w:t>
            </w:r>
          </w:p>
        </w:tc>
        <w:tc>
          <w:tcPr>
            <w:tcW w:w="1506" w:type="dxa"/>
            <w:shd w:val="clear" w:color="auto" w:fill="auto"/>
            <w:vAlign w:val="center"/>
          </w:tcPr>
          <w:p w:rsidR="00056683" w:rsidRPr="00C83A1D" w:rsidRDefault="00056683" w:rsidP="003879F9">
            <w:pPr>
              <w:jc w:val="right"/>
              <w:rPr>
                <w:color w:val="000000"/>
                <w:sz w:val="22"/>
                <w:szCs w:val="22"/>
              </w:rPr>
            </w:pPr>
            <w:r w:rsidRPr="00C83A1D">
              <w:rPr>
                <w:color w:val="000000"/>
                <w:sz w:val="22"/>
                <w:szCs w:val="22"/>
              </w:rPr>
              <w:t>195.4 (188.9)</w:t>
            </w:r>
          </w:p>
        </w:tc>
        <w:tc>
          <w:tcPr>
            <w:tcW w:w="1539" w:type="dxa"/>
            <w:tcBorders>
              <w:right w:val="double" w:sz="6" w:space="0" w:color="auto"/>
            </w:tcBorders>
            <w:shd w:val="clear" w:color="auto" w:fill="auto"/>
            <w:vAlign w:val="center"/>
          </w:tcPr>
          <w:p w:rsidR="00056683" w:rsidRPr="00C83A1D" w:rsidRDefault="00056683" w:rsidP="003879F9">
            <w:pPr>
              <w:ind w:right="55"/>
              <w:jc w:val="right"/>
              <w:rPr>
                <w:color w:val="000000"/>
                <w:sz w:val="22"/>
                <w:szCs w:val="22"/>
              </w:rPr>
            </w:pPr>
            <w:r w:rsidRPr="00C83A1D">
              <w:rPr>
                <w:color w:val="000000"/>
                <w:sz w:val="22"/>
                <w:szCs w:val="22"/>
              </w:rPr>
              <w:t>154.0 (122.5)</w:t>
            </w:r>
          </w:p>
        </w:tc>
        <w:tc>
          <w:tcPr>
            <w:tcW w:w="1141" w:type="dxa"/>
            <w:tcBorders>
              <w:left w:val="double" w:sz="6" w:space="0" w:color="auto"/>
              <w:right w:val="single" w:sz="4" w:space="0" w:color="auto"/>
            </w:tcBorders>
            <w:vAlign w:val="center"/>
          </w:tcPr>
          <w:p w:rsidR="00056683" w:rsidRPr="00C83A1D" w:rsidRDefault="00056683" w:rsidP="003879F9">
            <w:pPr>
              <w:jc w:val="center"/>
              <w:rPr>
                <w:color w:val="000000"/>
                <w:sz w:val="22"/>
                <w:szCs w:val="22"/>
              </w:rPr>
            </w:pPr>
            <w:r w:rsidRPr="00C83A1D">
              <w:rPr>
                <w:color w:val="000000"/>
                <w:sz w:val="22"/>
                <w:szCs w:val="22"/>
              </w:rPr>
              <w:t>0.251</w:t>
            </w:r>
          </w:p>
        </w:tc>
        <w:tc>
          <w:tcPr>
            <w:tcW w:w="1463" w:type="dxa"/>
            <w:tcBorders>
              <w:left w:val="single" w:sz="4" w:space="0" w:color="auto"/>
              <w:right w:val="single" w:sz="4" w:space="0" w:color="auto"/>
            </w:tcBorders>
            <w:vAlign w:val="center"/>
          </w:tcPr>
          <w:p w:rsidR="00056683" w:rsidRPr="00C83A1D" w:rsidRDefault="007A0EED" w:rsidP="00A802E7">
            <w:pPr>
              <w:ind w:right="52"/>
              <w:jc w:val="center"/>
              <w:rPr>
                <w:color w:val="000000"/>
                <w:sz w:val="22"/>
                <w:szCs w:val="22"/>
              </w:rPr>
            </w:pPr>
            <w:r>
              <w:rPr>
                <w:color w:val="000000"/>
                <w:sz w:val="22"/>
                <w:szCs w:val="22"/>
              </w:rPr>
              <w:t xml:space="preserve"> </w:t>
            </w:r>
            <w:r w:rsidR="00056683" w:rsidRPr="00C83A1D">
              <w:rPr>
                <w:color w:val="000000"/>
                <w:sz w:val="22"/>
                <w:szCs w:val="22"/>
              </w:rPr>
              <w:t xml:space="preserve">454 </w:t>
            </w:r>
            <w:r>
              <w:rPr>
                <w:color w:val="000000"/>
                <w:sz w:val="22"/>
                <w:szCs w:val="22"/>
              </w:rPr>
              <w:t xml:space="preserve"> </w:t>
            </w:r>
            <w:r w:rsidR="00056683" w:rsidRPr="00C83A1D">
              <w:rPr>
                <w:color w:val="000000"/>
                <w:sz w:val="22"/>
                <w:szCs w:val="22"/>
              </w:rPr>
              <w:t>(8.0%)</w:t>
            </w:r>
          </w:p>
        </w:tc>
        <w:tc>
          <w:tcPr>
            <w:tcW w:w="1101" w:type="dxa"/>
            <w:tcBorders>
              <w:left w:val="single" w:sz="4" w:space="0" w:color="auto"/>
              <w:right w:val="single" w:sz="4" w:space="0" w:color="auto"/>
            </w:tcBorders>
            <w:vAlign w:val="center"/>
          </w:tcPr>
          <w:p w:rsidR="00056683" w:rsidRPr="00C83A1D" w:rsidRDefault="00056683" w:rsidP="003879F9">
            <w:pPr>
              <w:jc w:val="center"/>
              <w:rPr>
                <w:color w:val="000000"/>
                <w:sz w:val="22"/>
                <w:szCs w:val="22"/>
              </w:rPr>
            </w:pPr>
            <w:r w:rsidRPr="00C83A1D">
              <w:rPr>
                <w:color w:val="000000"/>
                <w:sz w:val="22"/>
                <w:szCs w:val="22"/>
              </w:rPr>
              <w:t>4,806</w:t>
            </w:r>
          </w:p>
        </w:tc>
        <w:tc>
          <w:tcPr>
            <w:tcW w:w="1573" w:type="dxa"/>
            <w:tcBorders>
              <w:left w:val="single" w:sz="4" w:space="0" w:color="auto"/>
              <w:right w:val="single" w:sz="4" w:space="0" w:color="auto"/>
            </w:tcBorders>
            <w:vAlign w:val="center"/>
          </w:tcPr>
          <w:p w:rsidR="00056683" w:rsidRPr="00C83A1D" w:rsidRDefault="00056683" w:rsidP="003879F9">
            <w:pPr>
              <w:jc w:val="center"/>
              <w:rPr>
                <w:color w:val="000000"/>
                <w:sz w:val="22"/>
                <w:szCs w:val="22"/>
              </w:rPr>
            </w:pPr>
            <w:r w:rsidRPr="00C83A1D">
              <w:rPr>
                <w:color w:val="000000"/>
                <w:sz w:val="22"/>
                <w:szCs w:val="22"/>
              </w:rPr>
              <w:t>0.0945</w:t>
            </w:r>
          </w:p>
        </w:tc>
        <w:tc>
          <w:tcPr>
            <w:tcW w:w="1305" w:type="dxa"/>
            <w:tcBorders>
              <w:left w:val="single" w:sz="4" w:space="0" w:color="auto"/>
              <w:right w:val="double" w:sz="6" w:space="0" w:color="auto"/>
            </w:tcBorders>
            <w:vAlign w:val="center"/>
          </w:tcPr>
          <w:p w:rsidR="00056683" w:rsidRPr="00C83A1D" w:rsidRDefault="00056683" w:rsidP="003879F9">
            <w:pPr>
              <w:jc w:val="center"/>
              <w:rPr>
                <w:color w:val="000000"/>
                <w:sz w:val="22"/>
                <w:szCs w:val="22"/>
              </w:rPr>
            </w:pPr>
            <w:r w:rsidRPr="00C83A1D">
              <w:rPr>
                <w:color w:val="000000"/>
                <w:sz w:val="22"/>
                <w:szCs w:val="22"/>
              </w:rPr>
              <w:t>1.20 (1-8)</w:t>
            </w:r>
          </w:p>
        </w:tc>
      </w:tr>
      <w:tr w:rsidR="00056683" w:rsidRPr="00C83A1D" w:rsidTr="00197E52">
        <w:trPr>
          <w:cantSplit/>
          <w:trHeight w:val="360"/>
          <w:jc w:val="center"/>
        </w:trPr>
        <w:tc>
          <w:tcPr>
            <w:tcW w:w="2208" w:type="dxa"/>
            <w:tcBorders>
              <w:right w:val="double" w:sz="6" w:space="0" w:color="auto"/>
            </w:tcBorders>
            <w:shd w:val="clear" w:color="auto" w:fill="auto"/>
            <w:noWrap/>
            <w:vAlign w:val="center"/>
          </w:tcPr>
          <w:p w:rsidR="00056683" w:rsidRPr="00C83A1D" w:rsidRDefault="00056683" w:rsidP="003879F9">
            <w:pPr>
              <w:jc w:val="both"/>
              <w:rPr>
                <w:color w:val="000000"/>
                <w:sz w:val="22"/>
                <w:szCs w:val="22"/>
              </w:rPr>
            </w:pPr>
            <w:r w:rsidRPr="00C83A1D">
              <w:rPr>
                <w:color w:val="000000"/>
                <w:sz w:val="22"/>
                <w:szCs w:val="22"/>
              </w:rPr>
              <w:t>Gisborne</w:t>
            </w:r>
          </w:p>
        </w:tc>
        <w:tc>
          <w:tcPr>
            <w:tcW w:w="1216" w:type="dxa"/>
            <w:tcBorders>
              <w:left w:val="double" w:sz="6" w:space="0" w:color="auto"/>
            </w:tcBorders>
            <w:shd w:val="clear" w:color="auto" w:fill="auto"/>
            <w:vAlign w:val="center"/>
          </w:tcPr>
          <w:p w:rsidR="00056683" w:rsidRPr="00C83A1D" w:rsidRDefault="00056683" w:rsidP="003879F9">
            <w:pPr>
              <w:jc w:val="center"/>
              <w:rPr>
                <w:color w:val="000000"/>
                <w:sz w:val="22"/>
                <w:szCs w:val="22"/>
              </w:rPr>
            </w:pPr>
            <w:r w:rsidRPr="00C83A1D">
              <w:rPr>
                <w:color w:val="000000"/>
                <w:sz w:val="22"/>
                <w:szCs w:val="22"/>
              </w:rPr>
              <w:t>5.24 (1.62)</w:t>
            </w:r>
          </w:p>
        </w:tc>
        <w:tc>
          <w:tcPr>
            <w:tcW w:w="1506" w:type="dxa"/>
            <w:shd w:val="clear" w:color="auto" w:fill="auto"/>
            <w:vAlign w:val="center"/>
          </w:tcPr>
          <w:p w:rsidR="00056683" w:rsidRPr="00C83A1D" w:rsidRDefault="00056683" w:rsidP="003879F9">
            <w:pPr>
              <w:jc w:val="right"/>
              <w:rPr>
                <w:color w:val="000000"/>
                <w:sz w:val="22"/>
                <w:szCs w:val="22"/>
              </w:rPr>
            </w:pPr>
            <w:r w:rsidRPr="00C83A1D">
              <w:rPr>
                <w:color w:val="000000"/>
                <w:sz w:val="22"/>
                <w:szCs w:val="22"/>
              </w:rPr>
              <w:t xml:space="preserve">266.9 </w:t>
            </w:r>
            <w:r>
              <w:rPr>
                <w:color w:val="000000"/>
                <w:sz w:val="22"/>
                <w:szCs w:val="22"/>
              </w:rPr>
              <w:t xml:space="preserve">  </w:t>
            </w:r>
            <w:r w:rsidRPr="00C83A1D">
              <w:rPr>
                <w:color w:val="000000"/>
                <w:sz w:val="22"/>
                <w:szCs w:val="22"/>
              </w:rPr>
              <w:t>(84.4)</w:t>
            </w:r>
          </w:p>
        </w:tc>
        <w:tc>
          <w:tcPr>
            <w:tcW w:w="1539" w:type="dxa"/>
            <w:tcBorders>
              <w:right w:val="double" w:sz="6" w:space="0" w:color="auto"/>
            </w:tcBorders>
            <w:shd w:val="clear" w:color="auto" w:fill="auto"/>
            <w:vAlign w:val="center"/>
          </w:tcPr>
          <w:p w:rsidR="00056683" w:rsidRPr="00C83A1D" w:rsidRDefault="00056683" w:rsidP="003879F9">
            <w:pPr>
              <w:ind w:right="55"/>
              <w:jc w:val="right"/>
              <w:rPr>
                <w:color w:val="000000"/>
                <w:sz w:val="22"/>
                <w:szCs w:val="22"/>
              </w:rPr>
            </w:pPr>
            <w:r w:rsidRPr="00C83A1D">
              <w:rPr>
                <w:color w:val="000000"/>
                <w:sz w:val="22"/>
                <w:szCs w:val="22"/>
              </w:rPr>
              <w:t>205.6 (130.6)</w:t>
            </w:r>
          </w:p>
        </w:tc>
        <w:tc>
          <w:tcPr>
            <w:tcW w:w="1141" w:type="dxa"/>
            <w:tcBorders>
              <w:left w:val="double" w:sz="6" w:space="0" w:color="auto"/>
              <w:right w:val="single" w:sz="4" w:space="0" w:color="auto"/>
            </w:tcBorders>
            <w:vAlign w:val="center"/>
          </w:tcPr>
          <w:p w:rsidR="00056683" w:rsidRPr="00C83A1D" w:rsidRDefault="00056683" w:rsidP="003879F9">
            <w:pPr>
              <w:jc w:val="center"/>
              <w:rPr>
                <w:color w:val="000000"/>
                <w:sz w:val="22"/>
                <w:szCs w:val="22"/>
              </w:rPr>
            </w:pPr>
            <w:r w:rsidRPr="00C83A1D">
              <w:rPr>
                <w:color w:val="000000"/>
                <w:sz w:val="22"/>
                <w:szCs w:val="22"/>
              </w:rPr>
              <w:t>0.232</w:t>
            </w:r>
          </w:p>
        </w:tc>
        <w:tc>
          <w:tcPr>
            <w:tcW w:w="1463" w:type="dxa"/>
            <w:tcBorders>
              <w:left w:val="single" w:sz="4" w:space="0" w:color="auto"/>
              <w:right w:val="single" w:sz="4" w:space="0" w:color="auto"/>
            </w:tcBorders>
            <w:vAlign w:val="center"/>
          </w:tcPr>
          <w:p w:rsidR="00056683" w:rsidRPr="00C83A1D" w:rsidRDefault="007A0EED" w:rsidP="00A802E7">
            <w:pPr>
              <w:ind w:right="52"/>
              <w:jc w:val="center"/>
              <w:rPr>
                <w:color w:val="000000"/>
                <w:sz w:val="22"/>
                <w:szCs w:val="22"/>
              </w:rPr>
            </w:pPr>
            <w:r>
              <w:rPr>
                <w:color w:val="000000"/>
                <w:sz w:val="22"/>
                <w:szCs w:val="22"/>
              </w:rPr>
              <w:t xml:space="preserve">   </w:t>
            </w:r>
            <w:r w:rsidR="00056683" w:rsidRPr="00C83A1D">
              <w:rPr>
                <w:color w:val="000000"/>
                <w:sz w:val="22"/>
                <w:szCs w:val="22"/>
              </w:rPr>
              <w:t>42</w:t>
            </w:r>
            <w:r w:rsidR="00056683">
              <w:rPr>
                <w:color w:val="000000"/>
                <w:sz w:val="22"/>
                <w:szCs w:val="22"/>
              </w:rPr>
              <w:t xml:space="preserve"> </w:t>
            </w:r>
            <w:r>
              <w:rPr>
                <w:color w:val="000000"/>
                <w:sz w:val="22"/>
                <w:szCs w:val="22"/>
              </w:rPr>
              <w:t xml:space="preserve"> </w:t>
            </w:r>
            <w:r w:rsidR="00056683" w:rsidRPr="00C83A1D">
              <w:rPr>
                <w:color w:val="000000"/>
                <w:sz w:val="22"/>
                <w:szCs w:val="22"/>
              </w:rPr>
              <w:t>(0.7%)</w:t>
            </w:r>
          </w:p>
        </w:tc>
        <w:tc>
          <w:tcPr>
            <w:tcW w:w="1101" w:type="dxa"/>
            <w:tcBorders>
              <w:left w:val="single" w:sz="4" w:space="0" w:color="auto"/>
              <w:right w:val="single" w:sz="4" w:space="0" w:color="auto"/>
            </w:tcBorders>
            <w:vAlign w:val="center"/>
          </w:tcPr>
          <w:p w:rsidR="00056683" w:rsidRPr="00C83A1D" w:rsidRDefault="00056683" w:rsidP="003879F9">
            <w:pPr>
              <w:jc w:val="center"/>
              <w:rPr>
                <w:color w:val="000000"/>
                <w:sz w:val="22"/>
                <w:szCs w:val="22"/>
              </w:rPr>
            </w:pPr>
            <w:r w:rsidRPr="00C83A1D">
              <w:rPr>
                <w:color w:val="000000"/>
                <w:sz w:val="22"/>
                <w:szCs w:val="22"/>
              </w:rPr>
              <w:t>3,224</w:t>
            </w:r>
          </w:p>
        </w:tc>
        <w:tc>
          <w:tcPr>
            <w:tcW w:w="1573" w:type="dxa"/>
            <w:tcBorders>
              <w:left w:val="single" w:sz="4" w:space="0" w:color="auto"/>
              <w:right w:val="single" w:sz="4" w:space="0" w:color="auto"/>
            </w:tcBorders>
            <w:vAlign w:val="center"/>
          </w:tcPr>
          <w:p w:rsidR="00056683" w:rsidRPr="00C83A1D" w:rsidRDefault="00056683" w:rsidP="003879F9">
            <w:pPr>
              <w:jc w:val="center"/>
              <w:rPr>
                <w:color w:val="000000"/>
                <w:sz w:val="22"/>
                <w:szCs w:val="22"/>
              </w:rPr>
            </w:pPr>
            <w:r w:rsidRPr="00C83A1D">
              <w:rPr>
                <w:color w:val="000000"/>
                <w:sz w:val="22"/>
                <w:szCs w:val="22"/>
              </w:rPr>
              <w:t>0.0130</w:t>
            </w:r>
          </w:p>
        </w:tc>
        <w:tc>
          <w:tcPr>
            <w:tcW w:w="1305" w:type="dxa"/>
            <w:tcBorders>
              <w:left w:val="single" w:sz="4" w:space="0" w:color="auto"/>
              <w:right w:val="double" w:sz="6" w:space="0" w:color="auto"/>
            </w:tcBorders>
            <w:vAlign w:val="center"/>
          </w:tcPr>
          <w:p w:rsidR="00056683" w:rsidRPr="00C83A1D" w:rsidRDefault="00056683" w:rsidP="003879F9">
            <w:pPr>
              <w:jc w:val="center"/>
              <w:rPr>
                <w:color w:val="000000"/>
                <w:sz w:val="22"/>
                <w:szCs w:val="22"/>
              </w:rPr>
            </w:pPr>
            <w:r w:rsidRPr="00C83A1D">
              <w:rPr>
                <w:color w:val="000000"/>
                <w:sz w:val="22"/>
                <w:szCs w:val="22"/>
              </w:rPr>
              <w:t>1.17 (1-4)</w:t>
            </w:r>
          </w:p>
        </w:tc>
      </w:tr>
      <w:tr w:rsidR="00056683" w:rsidRPr="00C83A1D" w:rsidTr="00197E52">
        <w:trPr>
          <w:cantSplit/>
          <w:trHeight w:val="360"/>
          <w:jc w:val="center"/>
        </w:trPr>
        <w:tc>
          <w:tcPr>
            <w:tcW w:w="2208" w:type="dxa"/>
            <w:tcBorders>
              <w:right w:val="double" w:sz="6" w:space="0" w:color="auto"/>
            </w:tcBorders>
            <w:shd w:val="clear" w:color="auto" w:fill="auto"/>
            <w:noWrap/>
            <w:vAlign w:val="center"/>
          </w:tcPr>
          <w:p w:rsidR="00056683" w:rsidRPr="00C83A1D" w:rsidRDefault="00056683" w:rsidP="003879F9">
            <w:pPr>
              <w:jc w:val="both"/>
              <w:rPr>
                <w:color w:val="000000"/>
                <w:sz w:val="22"/>
                <w:szCs w:val="22"/>
              </w:rPr>
            </w:pPr>
            <w:r w:rsidRPr="00C83A1D">
              <w:rPr>
                <w:color w:val="000000"/>
                <w:sz w:val="22"/>
                <w:szCs w:val="22"/>
              </w:rPr>
              <w:t>Taranaki</w:t>
            </w:r>
          </w:p>
        </w:tc>
        <w:tc>
          <w:tcPr>
            <w:tcW w:w="1216" w:type="dxa"/>
            <w:tcBorders>
              <w:left w:val="double" w:sz="6" w:space="0" w:color="auto"/>
            </w:tcBorders>
            <w:shd w:val="clear" w:color="auto" w:fill="auto"/>
            <w:vAlign w:val="center"/>
          </w:tcPr>
          <w:p w:rsidR="00056683" w:rsidRPr="00C83A1D" w:rsidRDefault="00056683" w:rsidP="003879F9">
            <w:pPr>
              <w:jc w:val="center"/>
              <w:rPr>
                <w:color w:val="000000"/>
                <w:sz w:val="22"/>
                <w:szCs w:val="22"/>
              </w:rPr>
            </w:pPr>
            <w:r w:rsidRPr="00C83A1D">
              <w:rPr>
                <w:color w:val="000000"/>
                <w:sz w:val="22"/>
                <w:szCs w:val="22"/>
              </w:rPr>
              <w:t>4.11 (1.25)</w:t>
            </w:r>
          </w:p>
        </w:tc>
        <w:tc>
          <w:tcPr>
            <w:tcW w:w="1506" w:type="dxa"/>
            <w:shd w:val="clear" w:color="auto" w:fill="auto"/>
            <w:vAlign w:val="center"/>
          </w:tcPr>
          <w:p w:rsidR="00056683" w:rsidRPr="00C83A1D" w:rsidRDefault="00056683" w:rsidP="003879F9">
            <w:pPr>
              <w:jc w:val="right"/>
              <w:rPr>
                <w:color w:val="000000"/>
                <w:sz w:val="22"/>
                <w:szCs w:val="22"/>
              </w:rPr>
            </w:pPr>
            <w:r w:rsidRPr="00C83A1D">
              <w:rPr>
                <w:color w:val="000000"/>
                <w:sz w:val="22"/>
                <w:szCs w:val="22"/>
              </w:rPr>
              <w:t>213.3</w:t>
            </w:r>
            <w:r>
              <w:rPr>
                <w:color w:val="000000"/>
                <w:sz w:val="22"/>
                <w:szCs w:val="22"/>
              </w:rPr>
              <w:t xml:space="preserve">   </w:t>
            </w:r>
            <w:r w:rsidRPr="00C83A1D">
              <w:rPr>
                <w:color w:val="000000"/>
                <w:sz w:val="22"/>
                <w:szCs w:val="22"/>
              </w:rPr>
              <w:t>(68.2)</w:t>
            </w:r>
          </w:p>
        </w:tc>
        <w:tc>
          <w:tcPr>
            <w:tcW w:w="1539" w:type="dxa"/>
            <w:tcBorders>
              <w:right w:val="double" w:sz="6" w:space="0" w:color="auto"/>
            </w:tcBorders>
            <w:shd w:val="clear" w:color="auto" w:fill="auto"/>
            <w:vAlign w:val="center"/>
          </w:tcPr>
          <w:p w:rsidR="00056683" w:rsidRPr="00C83A1D" w:rsidRDefault="00056683" w:rsidP="003879F9">
            <w:pPr>
              <w:ind w:right="55"/>
              <w:jc w:val="right"/>
              <w:rPr>
                <w:color w:val="000000"/>
                <w:sz w:val="22"/>
                <w:szCs w:val="22"/>
              </w:rPr>
            </w:pPr>
            <w:r w:rsidRPr="00C83A1D">
              <w:rPr>
                <w:color w:val="000000"/>
                <w:sz w:val="22"/>
                <w:szCs w:val="22"/>
              </w:rPr>
              <w:t>160.8   (99.4)</w:t>
            </w:r>
          </w:p>
        </w:tc>
        <w:tc>
          <w:tcPr>
            <w:tcW w:w="1141" w:type="dxa"/>
            <w:tcBorders>
              <w:left w:val="double" w:sz="6" w:space="0" w:color="auto"/>
              <w:right w:val="single" w:sz="4" w:space="0" w:color="auto"/>
            </w:tcBorders>
            <w:vAlign w:val="center"/>
          </w:tcPr>
          <w:p w:rsidR="00056683" w:rsidRPr="00C83A1D" w:rsidRDefault="00056683" w:rsidP="003879F9">
            <w:pPr>
              <w:jc w:val="center"/>
              <w:rPr>
                <w:color w:val="000000"/>
                <w:sz w:val="22"/>
                <w:szCs w:val="22"/>
              </w:rPr>
            </w:pPr>
            <w:r w:rsidRPr="00C83A1D">
              <w:rPr>
                <w:color w:val="000000"/>
                <w:sz w:val="22"/>
                <w:szCs w:val="22"/>
              </w:rPr>
              <w:t>0.227</w:t>
            </w:r>
          </w:p>
        </w:tc>
        <w:tc>
          <w:tcPr>
            <w:tcW w:w="1463" w:type="dxa"/>
            <w:tcBorders>
              <w:left w:val="single" w:sz="4" w:space="0" w:color="auto"/>
              <w:right w:val="single" w:sz="4" w:space="0" w:color="auto"/>
            </w:tcBorders>
            <w:vAlign w:val="center"/>
          </w:tcPr>
          <w:p w:rsidR="00056683" w:rsidRPr="00C83A1D" w:rsidRDefault="007A0EED" w:rsidP="00A802E7">
            <w:pPr>
              <w:ind w:right="52"/>
              <w:jc w:val="center"/>
              <w:rPr>
                <w:color w:val="000000"/>
                <w:sz w:val="22"/>
                <w:szCs w:val="22"/>
              </w:rPr>
            </w:pPr>
            <w:r>
              <w:rPr>
                <w:color w:val="000000"/>
                <w:sz w:val="22"/>
                <w:szCs w:val="22"/>
              </w:rPr>
              <w:t xml:space="preserve"> </w:t>
            </w:r>
            <w:r w:rsidR="00056683" w:rsidRPr="00C83A1D">
              <w:rPr>
                <w:color w:val="000000"/>
                <w:sz w:val="22"/>
                <w:szCs w:val="22"/>
              </w:rPr>
              <w:t xml:space="preserve">104 </w:t>
            </w:r>
            <w:r>
              <w:rPr>
                <w:color w:val="000000"/>
                <w:sz w:val="22"/>
                <w:szCs w:val="22"/>
              </w:rPr>
              <w:t xml:space="preserve"> </w:t>
            </w:r>
            <w:r w:rsidR="00056683" w:rsidRPr="00C83A1D">
              <w:rPr>
                <w:color w:val="000000"/>
                <w:sz w:val="22"/>
                <w:szCs w:val="22"/>
              </w:rPr>
              <w:t>(1.8%)</w:t>
            </w:r>
          </w:p>
        </w:tc>
        <w:tc>
          <w:tcPr>
            <w:tcW w:w="1101" w:type="dxa"/>
            <w:tcBorders>
              <w:left w:val="single" w:sz="4" w:space="0" w:color="auto"/>
              <w:right w:val="single" w:sz="4" w:space="0" w:color="auto"/>
            </w:tcBorders>
            <w:vAlign w:val="center"/>
          </w:tcPr>
          <w:p w:rsidR="00056683" w:rsidRPr="00C83A1D" w:rsidRDefault="00056683" w:rsidP="003879F9">
            <w:pPr>
              <w:jc w:val="center"/>
              <w:rPr>
                <w:color w:val="000000"/>
                <w:sz w:val="22"/>
                <w:szCs w:val="22"/>
              </w:rPr>
            </w:pPr>
            <w:r w:rsidRPr="00C83A1D">
              <w:rPr>
                <w:color w:val="000000"/>
                <w:sz w:val="22"/>
                <w:szCs w:val="22"/>
              </w:rPr>
              <w:t>2,808</w:t>
            </w:r>
          </w:p>
        </w:tc>
        <w:tc>
          <w:tcPr>
            <w:tcW w:w="1573" w:type="dxa"/>
            <w:tcBorders>
              <w:left w:val="single" w:sz="4" w:space="0" w:color="auto"/>
              <w:right w:val="single" w:sz="4" w:space="0" w:color="auto"/>
            </w:tcBorders>
            <w:vAlign w:val="center"/>
          </w:tcPr>
          <w:p w:rsidR="00056683" w:rsidRPr="00C83A1D" w:rsidRDefault="00056683" w:rsidP="003879F9">
            <w:pPr>
              <w:jc w:val="center"/>
              <w:rPr>
                <w:color w:val="000000"/>
                <w:sz w:val="22"/>
                <w:szCs w:val="22"/>
              </w:rPr>
            </w:pPr>
            <w:r w:rsidRPr="00C83A1D">
              <w:rPr>
                <w:color w:val="000000"/>
                <w:sz w:val="22"/>
                <w:szCs w:val="22"/>
              </w:rPr>
              <w:t>0.0370</w:t>
            </w:r>
          </w:p>
        </w:tc>
        <w:tc>
          <w:tcPr>
            <w:tcW w:w="1305" w:type="dxa"/>
            <w:tcBorders>
              <w:left w:val="single" w:sz="4" w:space="0" w:color="auto"/>
              <w:right w:val="double" w:sz="6" w:space="0" w:color="auto"/>
            </w:tcBorders>
            <w:vAlign w:val="center"/>
          </w:tcPr>
          <w:p w:rsidR="00056683" w:rsidRPr="00C83A1D" w:rsidRDefault="00056683" w:rsidP="003879F9">
            <w:pPr>
              <w:jc w:val="center"/>
              <w:rPr>
                <w:color w:val="000000"/>
                <w:sz w:val="22"/>
                <w:szCs w:val="22"/>
              </w:rPr>
            </w:pPr>
            <w:r w:rsidRPr="00C83A1D">
              <w:rPr>
                <w:color w:val="000000"/>
                <w:sz w:val="22"/>
                <w:szCs w:val="22"/>
              </w:rPr>
              <w:t>1.12 (1-3)</w:t>
            </w:r>
          </w:p>
        </w:tc>
      </w:tr>
      <w:tr w:rsidR="00056683" w:rsidRPr="00C83A1D" w:rsidTr="00197E52">
        <w:trPr>
          <w:cantSplit/>
          <w:trHeight w:val="360"/>
          <w:jc w:val="center"/>
        </w:trPr>
        <w:tc>
          <w:tcPr>
            <w:tcW w:w="2208" w:type="dxa"/>
            <w:tcBorders>
              <w:right w:val="double" w:sz="6" w:space="0" w:color="auto"/>
            </w:tcBorders>
            <w:shd w:val="clear" w:color="auto" w:fill="auto"/>
            <w:noWrap/>
            <w:vAlign w:val="center"/>
          </w:tcPr>
          <w:p w:rsidR="00056683" w:rsidRPr="00C83A1D" w:rsidRDefault="00056683" w:rsidP="003879F9">
            <w:pPr>
              <w:jc w:val="both"/>
              <w:rPr>
                <w:color w:val="000000"/>
                <w:sz w:val="22"/>
                <w:szCs w:val="22"/>
              </w:rPr>
            </w:pPr>
            <w:r w:rsidRPr="00C83A1D">
              <w:rPr>
                <w:color w:val="000000"/>
                <w:sz w:val="22"/>
                <w:szCs w:val="22"/>
              </w:rPr>
              <w:t>Manawatu-Wanganui</w:t>
            </w:r>
          </w:p>
        </w:tc>
        <w:tc>
          <w:tcPr>
            <w:tcW w:w="1216" w:type="dxa"/>
            <w:tcBorders>
              <w:left w:val="double" w:sz="6" w:space="0" w:color="auto"/>
            </w:tcBorders>
            <w:shd w:val="clear" w:color="auto" w:fill="auto"/>
            <w:vAlign w:val="center"/>
          </w:tcPr>
          <w:p w:rsidR="00056683" w:rsidRPr="00C83A1D" w:rsidRDefault="00056683" w:rsidP="003879F9">
            <w:pPr>
              <w:jc w:val="center"/>
              <w:rPr>
                <w:color w:val="000000"/>
                <w:sz w:val="22"/>
                <w:szCs w:val="22"/>
              </w:rPr>
            </w:pPr>
            <w:r w:rsidRPr="00C83A1D">
              <w:rPr>
                <w:color w:val="000000"/>
                <w:sz w:val="22"/>
                <w:szCs w:val="22"/>
              </w:rPr>
              <w:t>4.36 (2.13)</w:t>
            </w:r>
          </w:p>
        </w:tc>
        <w:tc>
          <w:tcPr>
            <w:tcW w:w="1506" w:type="dxa"/>
            <w:shd w:val="clear" w:color="auto" w:fill="auto"/>
            <w:vAlign w:val="center"/>
          </w:tcPr>
          <w:p w:rsidR="00056683" w:rsidRPr="00C83A1D" w:rsidRDefault="00056683" w:rsidP="003879F9">
            <w:pPr>
              <w:jc w:val="right"/>
              <w:rPr>
                <w:color w:val="000000"/>
                <w:sz w:val="22"/>
                <w:szCs w:val="22"/>
              </w:rPr>
            </w:pPr>
            <w:r w:rsidRPr="00C83A1D">
              <w:rPr>
                <w:color w:val="000000"/>
                <w:sz w:val="22"/>
                <w:szCs w:val="22"/>
              </w:rPr>
              <w:t>230.0 (118.8)</w:t>
            </w:r>
          </w:p>
        </w:tc>
        <w:tc>
          <w:tcPr>
            <w:tcW w:w="1539" w:type="dxa"/>
            <w:tcBorders>
              <w:right w:val="double" w:sz="6" w:space="0" w:color="auto"/>
            </w:tcBorders>
            <w:shd w:val="clear" w:color="auto" w:fill="auto"/>
            <w:vAlign w:val="center"/>
          </w:tcPr>
          <w:p w:rsidR="00056683" w:rsidRPr="00C83A1D" w:rsidRDefault="00056683" w:rsidP="003879F9">
            <w:pPr>
              <w:ind w:right="55"/>
              <w:jc w:val="right"/>
              <w:rPr>
                <w:color w:val="000000"/>
                <w:sz w:val="22"/>
                <w:szCs w:val="22"/>
              </w:rPr>
            </w:pPr>
            <w:r w:rsidRPr="00C83A1D">
              <w:rPr>
                <w:color w:val="000000"/>
                <w:sz w:val="22"/>
                <w:szCs w:val="22"/>
              </w:rPr>
              <w:t>163.8 (122.3)</w:t>
            </w:r>
          </w:p>
        </w:tc>
        <w:tc>
          <w:tcPr>
            <w:tcW w:w="1141" w:type="dxa"/>
            <w:tcBorders>
              <w:left w:val="double" w:sz="6" w:space="0" w:color="auto"/>
              <w:right w:val="single" w:sz="4" w:space="0" w:color="auto"/>
            </w:tcBorders>
            <w:vAlign w:val="center"/>
          </w:tcPr>
          <w:p w:rsidR="00056683" w:rsidRPr="00C83A1D" w:rsidRDefault="00056683" w:rsidP="003879F9">
            <w:pPr>
              <w:jc w:val="center"/>
              <w:rPr>
                <w:color w:val="000000"/>
                <w:sz w:val="22"/>
                <w:szCs w:val="22"/>
              </w:rPr>
            </w:pPr>
            <w:r w:rsidRPr="00C83A1D">
              <w:rPr>
                <w:color w:val="000000"/>
                <w:sz w:val="22"/>
                <w:szCs w:val="22"/>
              </w:rPr>
              <w:t>0.228</w:t>
            </w:r>
          </w:p>
        </w:tc>
        <w:tc>
          <w:tcPr>
            <w:tcW w:w="1463" w:type="dxa"/>
            <w:tcBorders>
              <w:left w:val="single" w:sz="4" w:space="0" w:color="auto"/>
              <w:right w:val="single" w:sz="4" w:space="0" w:color="auto"/>
            </w:tcBorders>
            <w:vAlign w:val="center"/>
          </w:tcPr>
          <w:p w:rsidR="00056683" w:rsidRPr="00C83A1D" w:rsidRDefault="007A0EED" w:rsidP="00A802E7">
            <w:pPr>
              <w:ind w:right="52"/>
              <w:jc w:val="center"/>
              <w:rPr>
                <w:color w:val="000000"/>
                <w:sz w:val="22"/>
                <w:szCs w:val="22"/>
              </w:rPr>
            </w:pPr>
            <w:r>
              <w:rPr>
                <w:color w:val="000000"/>
                <w:sz w:val="22"/>
                <w:szCs w:val="22"/>
              </w:rPr>
              <w:t xml:space="preserve"> </w:t>
            </w:r>
            <w:r w:rsidR="00056683" w:rsidRPr="00C83A1D">
              <w:rPr>
                <w:color w:val="000000"/>
                <w:sz w:val="22"/>
                <w:szCs w:val="22"/>
              </w:rPr>
              <w:t xml:space="preserve">288 </w:t>
            </w:r>
            <w:r>
              <w:rPr>
                <w:color w:val="000000"/>
                <w:sz w:val="22"/>
                <w:szCs w:val="22"/>
              </w:rPr>
              <w:t xml:space="preserve"> </w:t>
            </w:r>
            <w:r w:rsidR="00056683" w:rsidRPr="00C83A1D">
              <w:rPr>
                <w:color w:val="000000"/>
                <w:sz w:val="22"/>
                <w:szCs w:val="22"/>
              </w:rPr>
              <w:t>(5.1%)</w:t>
            </w:r>
          </w:p>
        </w:tc>
        <w:tc>
          <w:tcPr>
            <w:tcW w:w="1101" w:type="dxa"/>
            <w:tcBorders>
              <w:left w:val="single" w:sz="4" w:space="0" w:color="auto"/>
              <w:right w:val="single" w:sz="4" w:space="0" w:color="auto"/>
            </w:tcBorders>
            <w:vAlign w:val="center"/>
          </w:tcPr>
          <w:p w:rsidR="00056683" w:rsidRPr="00C83A1D" w:rsidRDefault="00056683" w:rsidP="003879F9">
            <w:pPr>
              <w:jc w:val="center"/>
              <w:rPr>
                <w:color w:val="000000"/>
                <w:sz w:val="22"/>
                <w:szCs w:val="22"/>
              </w:rPr>
            </w:pPr>
            <w:r w:rsidRPr="00C83A1D">
              <w:rPr>
                <w:color w:val="000000"/>
                <w:sz w:val="22"/>
                <w:szCs w:val="22"/>
              </w:rPr>
              <w:t>8,577</w:t>
            </w:r>
          </w:p>
        </w:tc>
        <w:tc>
          <w:tcPr>
            <w:tcW w:w="1573" w:type="dxa"/>
            <w:tcBorders>
              <w:left w:val="single" w:sz="4" w:space="0" w:color="auto"/>
              <w:right w:val="single" w:sz="4" w:space="0" w:color="auto"/>
            </w:tcBorders>
            <w:vAlign w:val="center"/>
          </w:tcPr>
          <w:p w:rsidR="00056683" w:rsidRPr="00C83A1D" w:rsidRDefault="00056683" w:rsidP="003879F9">
            <w:pPr>
              <w:jc w:val="center"/>
              <w:rPr>
                <w:color w:val="000000"/>
                <w:sz w:val="22"/>
                <w:szCs w:val="22"/>
              </w:rPr>
            </w:pPr>
            <w:r w:rsidRPr="00C83A1D">
              <w:rPr>
                <w:color w:val="000000"/>
                <w:sz w:val="22"/>
                <w:szCs w:val="22"/>
              </w:rPr>
              <w:t>0.0336</w:t>
            </w:r>
          </w:p>
        </w:tc>
        <w:tc>
          <w:tcPr>
            <w:tcW w:w="1305" w:type="dxa"/>
            <w:tcBorders>
              <w:left w:val="single" w:sz="4" w:space="0" w:color="auto"/>
              <w:right w:val="double" w:sz="6" w:space="0" w:color="auto"/>
            </w:tcBorders>
            <w:vAlign w:val="center"/>
          </w:tcPr>
          <w:p w:rsidR="00056683" w:rsidRPr="00C83A1D" w:rsidRDefault="00056683" w:rsidP="003879F9">
            <w:pPr>
              <w:jc w:val="center"/>
              <w:rPr>
                <w:color w:val="000000"/>
                <w:sz w:val="22"/>
                <w:szCs w:val="22"/>
              </w:rPr>
            </w:pPr>
            <w:r w:rsidRPr="00C83A1D">
              <w:rPr>
                <w:color w:val="000000"/>
                <w:sz w:val="22"/>
                <w:szCs w:val="22"/>
              </w:rPr>
              <w:t>1.13 (1-4)</w:t>
            </w:r>
          </w:p>
        </w:tc>
      </w:tr>
      <w:tr w:rsidR="00056683" w:rsidRPr="00C83A1D" w:rsidTr="00197E52">
        <w:trPr>
          <w:cantSplit/>
          <w:trHeight w:val="360"/>
          <w:jc w:val="center"/>
        </w:trPr>
        <w:tc>
          <w:tcPr>
            <w:tcW w:w="2208" w:type="dxa"/>
            <w:tcBorders>
              <w:right w:val="double" w:sz="6" w:space="0" w:color="auto"/>
            </w:tcBorders>
            <w:shd w:val="clear" w:color="auto" w:fill="auto"/>
            <w:noWrap/>
            <w:vAlign w:val="center"/>
          </w:tcPr>
          <w:p w:rsidR="00056683" w:rsidRPr="00C83A1D" w:rsidRDefault="00056683" w:rsidP="003879F9">
            <w:pPr>
              <w:jc w:val="both"/>
              <w:rPr>
                <w:color w:val="000000"/>
                <w:sz w:val="22"/>
                <w:szCs w:val="22"/>
              </w:rPr>
            </w:pPr>
            <w:r w:rsidRPr="00C83A1D">
              <w:rPr>
                <w:color w:val="000000"/>
                <w:sz w:val="22"/>
                <w:szCs w:val="22"/>
              </w:rPr>
              <w:t>Hawke</w:t>
            </w:r>
            <w:r w:rsidR="003D3477">
              <w:rPr>
                <w:color w:val="000000"/>
                <w:sz w:val="22"/>
                <w:szCs w:val="22"/>
              </w:rPr>
              <w:t>’</w:t>
            </w:r>
            <w:r w:rsidRPr="00C83A1D">
              <w:rPr>
                <w:color w:val="000000"/>
                <w:sz w:val="22"/>
                <w:szCs w:val="22"/>
              </w:rPr>
              <w:t>s Bay</w:t>
            </w:r>
          </w:p>
        </w:tc>
        <w:tc>
          <w:tcPr>
            <w:tcW w:w="1216" w:type="dxa"/>
            <w:tcBorders>
              <w:left w:val="double" w:sz="6" w:space="0" w:color="auto"/>
            </w:tcBorders>
            <w:shd w:val="clear" w:color="auto" w:fill="auto"/>
            <w:vAlign w:val="center"/>
          </w:tcPr>
          <w:p w:rsidR="00056683" w:rsidRPr="00C83A1D" w:rsidRDefault="00056683" w:rsidP="003879F9">
            <w:pPr>
              <w:jc w:val="center"/>
              <w:rPr>
                <w:color w:val="000000"/>
                <w:sz w:val="22"/>
                <w:szCs w:val="22"/>
              </w:rPr>
            </w:pPr>
            <w:r w:rsidRPr="00C83A1D">
              <w:rPr>
                <w:color w:val="000000"/>
                <w:sz w:val="22"/>
                <w:szCs w:val="22"/>
              </w:rPr>
              <w:t>3.99 (0.38)</w:t>
            </w:r>
          </w:p>
        </w:tc>
        <w:tc>
          <w:tcPr>
            <w:tcW w:w="1506" w:type="dxa"/>
            <w:shd w:val="clear" w:color="auto" w:fill="auto"/>
            <w:vAlign w:val="center"/>
          </w:tcPr>
          <w:p w:rsidR="00056683" w:rsidRPr="00C83A1D" w:rsidRDefault="00056683" w:rsidP="003879F9">
            <w:pPr>
              <w:jc w:val="right"/>
              <w:rPr>
                <w:color w:val="000000"/>
                <w:sz w:val="22"/>
                <w:szCs w:val="22"/>
              </w:rPr>
            </w:pPr>
            <w:r w:rsidRPr="00C83A1D">
              <w:rPr>
                <w:color w:val="000000"/>
                <w:sz w:val="22"/>
                <w:szCs w:val="22"/>
              </w:rPr>
              <w:t>208.1</w:t>
            </w:r>
            <w:r>
              <w:rPr>
                <w:color w:val="000000"/>
                <w:sz w:val="22"/>
                <w:szCs w:val="22"/>
              </w:rPr>
              <w:t xml:space="preserve">   </w:t>
            </w:r>
            <w:r w:rsidRPr="00C83A1D">
              <w:rPr>
                <w:color w:val="000000"/>
                <w:sz w:val="22"/>
                <w:szCs w:val="22"/>
              </w:rPr>
              <w:t>(75.9)</w:t>
            </w:r>
          </w:p>
        </w:tc>
        <w:tc>
          <w:tcPr>
            <w:tcW w:w="1539" w:type="dxa"/>
            <w:tcBorders>
              <w:right w:val="double" w:sz="6" w:space="0" w:color="auto"/>
            </w:tcBorders>
            <w:shd w:val="clear" w:color="auto" w:fill="auto"/>
            <w:vAlign w:val="center"/>
          </w:tcPr>
          <w:p w:rsidR="00056683" w:rsidRPr="00C83A1D" w:rsidRDefault="00056683" w:rsidP="003879F9">
            <w:pPr>
              <w:ind w:right="55"/>
              <w:jc w:val="right"/>
              <w:rPr>
                <w:color w:val="000000"/>
                <w:sz w:val="22"/>
                <w:szCs w:val="22"/>
              </w:rPr>
            </w:pPr>
            <w:r w:rsidRPr="00C83A1D">
              <w:rPr>
                <w:color w:val="000000"/>
                <w:sz w:val="22"/>
                <w:szCs w:val="22"/>
              </w:rPr>
              <w:t>156.6 (100.2)</w:t>
            </w:r>
          </w:p>
        </w:tc>
        <w:tc>
          <w:tcPr>
            <w:tcW w:w="1141" w:type="dxa"/>
            <w:tcBorders>
              <w:left w:val="double" w:sz="6" w:space="0" w:color="auto"/>
              <w:right w:val="single" w:sz="4" w:space="0" w:color="auto"/>
            </w:tcBorders>
            <w:vAlign w:val="center"/>
          </w:tcPr>
          <w:p w:rsidR="00056683" w:rsidRPr="00C83A1D" w:rsidRDefault="00056683" w:rsidP="003879F9">
            <w:pPr>
              <w:jc w:val="center"/>
              <w:rPr>
                <w:color w:val="000000"/>
                <w:sz w:val="22"/>
                <w:szCs w:val="22"/>
              </w:rPr>
            </w:pPr>
            <w:r w:rsidRPr="00C83A1D">
              <w:rPr>
                <w:color w:val="000000"/>
                <w:sz w:val="22"/>
                <w:szCs w:val="22"/>
              </w:rPr>
              <w:t>0.223</w:t>
            </w:r>
          </w:p>
        </w:tc>
        <w:tc>
          <w:tcPr>
            <w:tcW w:w="1463" w:type="dxa"/>
            <w:tcBorders>
              <w:left w:val="single" w:sz="4" w:space="0" w:color="auto"/>
              <w:right w:val="single" w:sz="4" w:space="0" w:color="auto"/>
            </w:tcBorders>
            <w:vAlign w:val="center"/>
          </w:tcPr>
          <w:p w:rsidR="00056683" w:rsidRPr="00C83A1D" w:rsidRDefault="007A0EED" w:rsidP="00A802E7">
            <w:pPr>
              <w:ind w:right="52"/>
              <w:jc w:val="center"/>
              <w:rPr>
                <w:color w:val="000000"/>
                <w:sz w:val="22"/>
                <w:szCs w:val="22"/>
              </w:rPr>
            </w:pPr>
            <w:r>
              <w:rPr>
                <w:color w:val="000000"/>
                <w:sz w:val="22"/>
                <w:szCs w:val="22"/>
              </w:rPr>
              <w:t xml:space="preserve"> </w:t>
            </w:r>
            <w:r w:rsidR="00056683" w:rsidRPr="00C83A1D">
              <w:rPr>
                <w:color w:val="000000"/>
                <w:sz w:val="22"/>
                <w:szCs w:val="22"/>
              </w:rPr>
              <w:t xml:space="preserve">183 </w:t>
            </w:r>
            <w:r>
              <w:rPr>
                <w:color w:val="000000"/>
                <w:sz w:val="22"/>
                <w:szCs w:val="22"/>
              </w:rPr>
              <w:t xml:space="preserve"> </w:t>
            </w:r>
            <w:r w:rsidR="00056683" w:rsidRPr="00C83A1D">
              <w:rPr>
                <w:color w:val="000000"/>
                <w:sz w:val="22"/>
                <w:szCs w:val="22"/>
              </w:rPr>
              <w:t>(3.3%)</w:t>
            </w:r>
          </w:p>
        </w:tc>
        <w:tc>
          <w:tcPr>
            <w:tcW w:w="1101" w:type="dxa"/>
            <w:tcBorders>
              <w:left w:val="single" w:sz="4" w:space="0" w:color="auto"/>
              <w:right w:val="single" w:sz="4" w:space="0" w:color="auto"/>
            </w:tcBorders>
            <w:vAlign w:val="center"/>
          </w:tcPr>
          <w:p w:rsidR="00056683" w:rsidRPr="00C83A1D" w:rsidRDefault="00056683" w:rsidP="003879F9">
            <w:pPr>
              <w:jc w:val="center"/>
              <w:rPr>
                <w:color w:val="000000"/>
                <w:sz w:val="22"/>
                <w:szCs w:val="22"/>
              </w:rPr>
            </w:pPr>
            <w:r w:rsidRPr="00C83A1D">
              <w:rPr>
                <w:color w:val="000000"/>
                <w:sz w:val="22"/>
                <w:szCs w:val="22"/>
              </w:rPr>
              <w:t>5,469</w:t>
            </w:r>
          </w:p>
        </w:tc>
        <w:tc>
          <w:tcPr>
            <w:tcW w:w="1573" w:type="dxa"/>
            <w:tcBorders>
              <w:left w:val="single" w:sz="4" w:space="0" w:color="auto"/>
              <w:right w:val="single" w:sz="4" w:space="0" w:color="auto"/>
            </w:tcBorders>
            <w:vAlign w:val="center"/>
          </w:tcPr>
          <w:p w:rsidR="00056683" w:rsidRPr="00C83A1D" w:rsidRDefault="00056683" w:rsidP="003879F9">
            <w:pPr>
              <w:jc w:val="center"/>
              <w:rPr>
                <w:color w:val="000000"/>
                <w:sz w:val="22"/>
                <w:szCs w:val="22"/>
              </w:rPr>
            </w:pPr>
            <w:r w:rsidRPr="00C83A1D">
              <w:rPr>
                <w:color w:val="000000"/>
                <w:sz w:val="22"/>
                <w:szCs w:val="22"/>
              </w:rPr>
              <w:t>0.0335</w:t>
            </w:r>
          </w:p>
        </w:tc>
        <w:tc>
          <w:tcPr>
            <w:tcW w:w="1305" w:type="dxa"/>
            <w:tcBorders>
              <w:left w:val="single" w:sz="4" w:space="0" w:color="auto"/>
              <w:right w:val="double" w:sz="6" w:space="0" w:color="auto"/>
            </w:tcBorders>
            <w:vAlign w:val="center"/>
          </w:tcPr>
          <w:p w:rsidR="00056683" w:rsidRPr="00C83A1D" w:rsidRDefault="00056683" w:rsidP="003879F9">
            <w:pPr>
              <w:jc w:val="center"/>
              <w:rPr>
                <w:color w:val="000000"/>
                <w:sz w:val="22"/>
                <w:szCs w:val="22"/>
              </w:rPr>
            </w:pPr>
            <w:r w:rsidRPr="00C83A1D">
              <w:rPr>
                <w:color w:val="000000"/>
                <w:sz w:val="22"/>
                <w:szCs w:val="22"/>
              </w:rPr>
              <w:t>1.09 (1-3)</w:t>
            </w:r>
          </w:p>
        </w:tc>
      </w:tr>
      <w:tr w:rsidR="00056683" w:rsidRPr="00C83A1D" w:rsidTr="00197E52">
        <w:trPr>
          <w:cantSplit/>
          <w:trHeight w:val="360"/>
          <w:jc w:val="center"/>
        </w:trPr>
        <w:tc>
          <w:tcPr>
            <w:tcW w:w="2208" w:type="dxa"/>
            <w:tcBorders>
              <w:right w:val="double" w:sz="6" w:space="0" w:color="auto"/>
            </w:tcBorders>
            <w:shd w:val="clear" w:color="auto" w:fill="auto"/>
            <w:noWrap/>
            <w:vAlign w:val="center"/>
          </w:tcPr>
          <w:p w:rsidR="00056683" w:rsidRPr="00C83A1D" w:rsidRDefault="00056683" w:rsidP="003879F9">
            <w:pPr>
              <w:jc w:val="both"/>
              <w:rPr>
                <w:color w:val="000000"/>
                <w:sz w:val="22"/>
                <w:szCs w:val="22"/>
              </w:rPr>
            </w:pPr>
            <w:r w:rsidRPr="00C83A1D">
              <w:rPr>
                <w:color w:val="000000"/>
                <w:sz w:val="22"/>
                <w:szCs w:val="22"/>
              </w:rPr>
              <w:t>Wellington</w:t>
            </w:r>
          </w:p>
        </w:tc>
        <w:tc>
          <w:tcPr>
            <w:tcW w:w="1216" w:type="dxa"/>
            <w:tcBorders>
              <w:left w:val="double" w:sz="6" w:space="0" w:color="auto"/>
            </w:tcBorders>
            <w:shd w:val="clear" w:color="auto" w:fill="auto"/>
            <w:vAlign w:val="center"/>
          </w:tcPr>
          <w:p w:rsidR="00056683" w:rsidRPr="00C83A1D" w:rsidRDefault="00056683" w:rsidP="003879F9">
            <w:pPr>
              <w:jc w:val="center"/>
              <w:rPr>
                <w:color w:val="000000"/>
                <w:sz w:val="22"/>
                <w:szCs w:val="22"/>
              </w:rPr>
            </w:pPr>
            <w:r w:rsidRPr="00C83A1D">
              <w:rPr>
                <w:color w:val="000000"/>
                <w:sz w:val="22"/>
                <w:szCs w:val="22"/>
              </w:rPr>
              <w:t>5.44 (2.85)</w:t>
            </w:r>
          </w:p>
        </w:tc>
        <w:tc>
          <w:tcPr>
            <w:tcW w:w="1506" w:type="dxa"/>
            <w:shd w:val="clear" w:color="auto" w:fill="auto"/>
            <w:vAlign w:val="center"/>
          </w:tcPr>
          <w:p w:rsidR="00056683" w:rsidRPr="00C83A1D" w:rsidRDefault="00056683" w:rsidP="003879F9">
            <w:pPr>
              <w:jc w:val="right"/>
              <w:rPr>
                <w:color w:val="000000"/>
                <w:sz w:val="22"/>
                <w:szCs w:val="22"/>
              </w:rPr>
            </w:pPr>
            <w:r w:rsidRPr="00C83A1D">
              <w:rPr>
                <w:color w:val="000000"/>
                <w:sz w:val="22"/>
                <w:szCs w:val="22"/>
              </w:rPr>
              <w:t>285.7 (156.1)</w:t>
            </w:r>
          </w:p>
        </w:tc>
        <w:tc>
          <w:tcPr>
            <w:tcW w:w="1539" w:type="dxa"/>
            <w:tcBorders>
              <w:right w:val="double" w:sz="6" w:space="0" w:color="auto"/>
            </w:tcBorders>
            <w:shd w:val="clear" w:color="auto" w:fill="auto"/>
            <w:vAlign w:val="center"/>
          </w:tcPr>
          <w:p w:rsidR="00056683" w:rsidRPr="00C83A1D" w:rsidRDefault="00056683" w:rsidP="003879F9">
            <w:pPr>
              <w:ind w:right="55"/>
              <w:jc w:val="right"/>
              <w:rPr>
                <w:color w:val="000000"/>
                <w:sz w:val="22"/>
                <w:szCs w:val="22"/>
              </w:rPr>
            </w:pPr>
            <w:r w:rsidRPr="00C83A1D">
              <w:rPr>
                <w:color w:val="000000"/>
                <w:sz w:val="22"/>
                <w:szCs w:val="22"/>
              </w:rPr>
              <w:t>198.1 (160.1)</w:t>
            </w:r>
          </w:p>
        </w:tc>
        <w:tc>
          <w:tcPr>
            <w:tcW w:w="1141" w:type="dxa"/>
            <w:tcBorders>
              <w:left w:val="double" w:sz="6" w:space="0" w:color="auto"/>
              <w:bottom w:val="double" w:sz="6" w:space="0" w:color="auto"/>
              <w:right w:val="single" w:sz="4" w:space="0" w:color="auto"/>
            </w:tcBorders>
            <w:vAlign w:val="center"/>
          </w:tcPr>
          <w:p w:rsidR="00056683" w:rsidRPr="00C83A1D" w:rsidRDefault="00056683" w:rsidP="003879F9">
            <w:pPr>
              <w:jc w:val="center"/>
              <w:rPr>
                <w:color w:val="000000"/>
                <w:sz w:val="22"/>
                <w:szCs w:val="22"/>
              </w:rPr>
            </w:pPr>
            <w:r w:rsidRPr="00C83A1D">
              <w:rPr>
                <w:color w:val="000000"/>
                <w:sz w:val="22"/>
                <w:szCs w:val="22"/>
              </w:rPr>
              <w:t>0.258</w:t>
            </w:r>
          </w:p>
        </w:tc>
        <w:tc>
          <w:tcPr>
            <w:tcW w:w="1463" w:type="dxa"/>
            <w:tcBorders>
              <w:left w:val="single" w:sz="4" w:space="0" w:color="auto"/>
              <w:bottom w:val="double" w:sz="6" w:space="0" w:color="auto"/>
              <w:right w:val="single" w:sz="4" w:space="0" w:color="auto"/>
            </w:tcBorders>
            <w:vAlign w:val="center"/>
          </w:tcPr>
          <w:p w:rsidR="00056683" w:rsidRPr="00C83A1D" w:rsidRDefault="007A0EED" w:rsidP="00A802E7">
            <w:pPr>
              <w:ind w:right="52"/>
              <w:jc w:val="center"/>
              <w:rPr>
                <w:color w:val="000000"/>
                <w:sz w:val="22"/>
                <w:szCs w:val="22"/>
              </w:rPr>
            </w:pPr>
            <w:r>
              <w:rPr>
                <w:color w:val="000000"/>
                <w:sz w:val="22"/>
                <w:szCs w:val="22"/>
              </w:rPr>
              <w:t xml:space="preserve"> </w:t>
            </w:r>
            <w:r w:rsidR="00056683" w:rsidRPr="00C83A1D">
              <w:rPr>
                <w:color w:val="000000"/>
                <w:sz w:val="22"/>
                <w:szCs w:val="22"/>
              </w:rPr>
              <w:t xml:space="preserve">325 </w:t>
            </w:r>
            <w:r>
              <w:rPr>
                <w:color w:val="000000"/>
                <w:sz w:val="22"/>
                <w:szCs w:val="22"/>
              </w:rPr>
              <w:t xml:space="preserve"> </w:t>
            </w:r>
            <w:r w:rsidR="00056683" w:rsidRPr="00C83A1D">
              <w:rPr>
                <w:color w:val="000000"/>
                <w:sz w:val="22"/>
                <w:szCs w:val="22"/>
              </w:rPr>
              <w:t>(5.8%)</w:t>
            </w:r>
          </w:p>
        </w:tc>
        <w:tc>
          <w:tcPr>
            <w:tcW w:w="1101" w:type="dxa"/>
            <w:tcBorders>
              <w:left w:val="single" w:sz="4" w:space="0" w:color="auto"/>
              <w:bottom w:val="double" w:sz="6" w:space="0" w:color="auto"/>
              <w:right w:val="single" w:sz="4" w:space="0" w:color="auto"/>
            </w:tcBorders>
            <w:vAlign w:val="center"/>
          </w:tcPr>
          <w:p w:rsidR="00056683" w:rsidRPr="00C83A1D" w:rsidRDefault="00056683" w:rsidP="003879F9">
            <w:pPr>
              <w:jc w:val="center"/>
              <w:rPr>
                <w:color w:val="000000"/>
                <w:sz w:val="22"/>
                <w:szCs w:val="22"/>
              </w:rPr>
            </w:pPr>
            <w:r w:rsidRPr="00C83A1D">
              <w:rPr>
                <w:color w:val="000000"/>
                <w:sz w:val="22"/>
                <w:szCs w:val="22"/>
              </w:rPr>
              <w:t>3,137</w:t>
            </w:r>
          </w:p>
        </w:tc>
        <w:tc>
          <w:tcPr>
            <w:tcW w:w="1573" w:type="dxa"/>
            <w:tcBorders>
              <w:left w:val="single" w:sz="4" w:space="0" w:color="auto"/>
              <w:bottom w:val="double" w:sz="6" w:space="0" w:color="auto"/>
              <w:right w:val="single" w:sz="4" w:space="0" w:color="auto"/>
            </w:tcBorders>
            <w:vAlign w:val="center"/>
          </w:tcPr>
          <w:p w:rsidR="00056683" w:rsidRPr="00C83A1D" w:rsidRDefault="00056683" w:rsidP="003879F9">
            <w:pPr>
              <w:jc w:val="center"/>
              <w:rPr>
                <w:color w:val="000000"/>
                <w:sz w:val="22"/>
                <w:szCs w:val="22"/>
              </w:rPr>
            </w:pPr>
            <w:r w:rsidRPr="00C83A1D">
              <w:rPr>
                <w:color w:val="000000"/>
                <w:sz w:val="22"/>
                <w:szCs w:val="22"/>
              </w:rPr>
              <w:t>0.1036</w:t>
            </w:r>
          </w:p>
        </w:tc>
        <w:tc>
          <w:tcPr>
            <w:tcW w:w="1305" w:type="dxa"/>
            <w:tcBorders>
              <w:left w:val="single" w:sz="4" w:space="0" w:color="auto"/>
              <w:bottom w:val="double" w:sz="6" w:space="0" w:color="auto"/>
              <w:right w:val="double" w:sz="6" w:space="0" w:color="auto"/>
            </w:tcBorders>
            <w:vAlign w:val="center"/>
          </w:tcPr>
          <w:p w:rsidR="00056683" w:rsidRPr="00C83A1D" w:rsidRDefault="00056683" w:rsidP="003879F9">
            <w:pPr>
              <w:jc w:val="center"/>
              <w:rPr>
                <w:color w:val="000000"/>
                <w:sz w:val="22"/>
                <w:szCs w:val="22"/>
              </w:rPr>
            </w:pPr>
            <w:r w:rsidRPr="00C83A1D">
              <w:rPr>
                <w:color w:val="000000"/>
                <w:sz w:val="22"/>
                <w:szCs w:val="22"/>
              </w:rPr>
              <w:t>1.18 (1-4)</w:t>
            </w:r>
          </w:p>
        </w:tc>
      </w:tr>
    </w:tbl>
    <w:p w:rsidR="00FF4284" w:rsidRPr="004035E1" w:rsidRDefault="00FF4284" w:rsidP="003879F9">
      <w:pPr>
        <w:autoSpaceDE w:val="0"/>
        <w:autoSpaceDN w:val="0"/>
        <w:adjustRightInd w:val="0"/>
        <w:jc w:val="both"/>
        <w:rPr>
          <w:b/>
        </w:rPr>
      </w:pPr>
    </w:p>
    <w:p w:rsidR="00FF4284" w:rsidRPr="004035E1" w:rsidRDefault="00FF4284" w:rsidP="003879F9">
      <w:pPr>
        <w:autoSpaceDE w:val="0"/>
        <w:autoSpaceDN w:val="0"/>
        <w:adjustRightInd w:val="0"/>
        <w:jc w:val="both"/>
        <w:rPr>
          <w:b/>
        </w:rPr>
      </w:pPr>
    </w:p>
    <w:p w:rsidR="005D4A7D" w:rsidRDefault="005D4A7D" w:rsidP="0096724C">
      <w:pPr>
        <w:spacing w:after="120" w:line="276" w:lineRule="auto"/>
        <w:jc w:val="center"/>
        <w:rPr>
          <w:b/>
        </w:rPr>
        <w:sectPr w:rsidR="005D4A7D" w:rsidSect="006E45EC">
          <w:pgSz w:w="15840" w:h="12240" w:orient="landscape" w:code="1"/>
          <w:pgMar w:top="1440" w:right="1440" w:bottom="1440" w:left="1440" w:header="720" w:footer="720" w:gutter="0"/>
          <w:cols w:space="720"/>
          <w:docGrid w:linePitch="360"/>
        </w:sectPr>
      </w:pPr>
    </w:p>
    <w:p w:rsidR="007A0EED" w:rsidRDefault="007A0EED" w:rsidP="003879F9">
      <w:pPr>
        <w:spacing w:after="120"/>
        <w:rPr>
          <w:b/>
        </w:rPr>
      </w:pPr>
    </w:p>
    <w:p w:rsidR="007A0EED" w:rsidRDefault="007A0EED" w:rsidP="003879F9">
      <w:pPr>
        <w:spacing w:after="120"/>
        <w:rPr>
          <w:b/>
        </w:rPr>
      </w:pPr>
    </w:p>
    <w:p w:rsidR="007A0EED" w:rsidRDefault="007A0EED" w:rsidP="003879F9">
      <w:pPr>
        <w:spacing w:after="120"/>
        <w:rPr>
          <w:b/>
        </w:rPr>
      </w:pPr>
    </w:p>
    <w:p w:rsidR="0096724C" w:rsidRPr="005E7887" w:rsidRDefault="0096724C" w:rsidP="003879F9">
      <w:pPr>
        <w:spacing w:after="120"/>
        <w:rPr>
          <w:b/>
        </w:rPr>
      </w:pPr>
      <w:r w:rsidRPr="005E7887">
        <w:rPr>
          <w:b/>
        </w:rPr>
        <w:t>Table 3. Fractional MDCEV Model</w:t>
      </w:r>
      <w:r w:rsidR="005E7887">
        <w:rPr>
          <w:b/>
        </w:rPr>
        <w:t xml:space="preserve"> Component</w:t>
      </w:r>
      <w:r w:rsidRPr="005E7887">
        <w:rPr>
          <w:b/>
        </w:rPr>
        <w:t xml:space="preserve"> Results</w:t>
      </w:r>
    </w:p>
    <w:tbl>
      <w:tblPr>
        <w:tblW w:w="8550" w:type="dxa"/>
        <w:tblLook w:val="04A0" w:firstRow="1" w:lastRow="0" w:firstColumn="1" w:lastColumn="0" w:noHBand="0" w:noVBand="1"/>
      </w:tblPr>
      <w:tblGrid>
        <w:gridCol w:w="5958"/>
        <w:gridCol w:w="1296"/>
        <w:gridCol w:w="1296"/>
      </w:tblGrid>
      <w:tr w:rsidR="005E7887" w:rsidRPr="005E7887" w:rsidTr="003879F9">
        <w:trPr>
          <w:trHeight w:val="432"/>
        </w:trPr>
        <w:tc>
          <w:tcPr>
            <w:tcW w:w="5958" w:type="dxa"/>
            <w:tcBorders>
              <w:top w:val="double" w:sz="6" w:space="0" w:color="auto"/>
              <w:left w:val="double" w:sz="6" w:space="0" w:color="auto"/>
              <w:bottom w:val="nil"/>
              <w:right w:val="double" w:sz="6" w:space="0" w:color="auto"/>
            </w:tcBorders>
            <w:shd w:val="clear" w:color="auto" w:fill="FFFFFF"/>
            <w:noWrap/>
            <w:vAlign w:val="center"/>
          </w:tcPr>
          <w:p w:rsidR="005E7887" w:rsidRPr="005E7887" w:rsidRDefault="005E7887" w:rsidP="003879F9">
            <w:pPr>
              <w:rPr>
                <w:color w:val="000000"/>
              </w:rPr>
            </w:pPr>
            <w:r w:rsidRPr="005E7887">
              <w:rPr>
                <w:color w:val="000000"/>
              </w:rPr>
              <w:t>Variable</w:t>
            </w:r>
          </w:p>
        </w:tc>
        <w:tc>
          <w:tcPr>
            <w:tcW w:w="1296" w:type="dxa"/>
            <w:tcBorders>
              <w:top w:val="double" w:sz="6" w:space="0" w:color="auto"/>
              <w:left w:val="nil"/>
              <w:bottom w:val="nil"/>
              <w:right w:val="single" w:sz="4" w:space="0" w:color="auto"/>
            </w:tcBorders>
            <w:shd w:val="clear" w:color="auto" w:fill="FFFFFF"/>
            <w:noWrap/>
            <w:vAlign w:val="center"/>
          </w:tcPr>
          <w:p w:rsidR="005E7887" w:rsidRPr="005E7887" w:rsidRDefault="005E7887" w:rsidP="003879F9">
            <w:pPr>
              <w:tabs>
                <w:tab w:val="decimal" w:pos="217"/>
              </w:tabs>
              <w:jc w:val="center"/>
              <w:rPr>
                <w:color w:val="000000"/>
              </w:rPr>
            </w:pPr>
            <w:r w:rsidRPr="005E7887">
              <w:rPr>
                <w:color w:val="000000"/>
              </w:rPr>
              <w:t>Estimate</w:t>
            </w:r>
          </w:p>
        </w:tc>
        <w:tc>
          <w:tcPr>
            <w:tcW w:w="1296" w:type="dxa"/>
            <w:tcBorders>
              <w:top w:val="double" w:sz="6" w:space="0" w:color="auto"/>
              <w:left w:val="nil"/>
              <w:bottom w:val="nil"/>
              <w:right w:val="double" w:sz="6" w:space="0" w:color="auto"/>
            </w:tcBorders>
            <w:shd w:val="clear" w:color="auto" w:fill="FFFFFF"/>
            <w:noWrap/>
            <w:vAlign w:val="center"/>
          </w:tcPr>
          <w:p w:rsidR="005E7887" w:rsidRPr="005E7887" w:rsidRDefault="005E7887" w:rsidP="003879F9">
            <w:pPr>
              <w:tabs>
                <w:tab w:val="decimal" w:pos="217"/>
              </w:tabs>
              <w:jc w:val="center"/>
              <w:rPr>
                <w:color w:val="000000"/>
              </w:rPr>
            </w:pPr>
            <w:r w:rsidRPr="005E7887">
              <w:rPr>
                <w:color w:val="000000"/>
              </w:rPr>
              <w:t>t-stat.</w:t>
            </w:r>
          </w:p>
        </w:tc>
      </w:tr>
      <w:tr w:rsidR="0096724C" w:rsidRPr="005E7887" w:rsidTr="003879F9">
        <w:trPr>
          <w:trHeight w:val="432"/>
        </w:trPr>
        <w:tc>
          <w:tcPr>
            <w:tcW w:w="5958" w:type="dxa"/>
            <w:tcBorders>
              <w:top w:val="double" w:sz="6" w:space="0" w:color="auto"/>
              <w:left w:val="double" w:sz="6" w:space="0" w:color="auto"/>
              <w:bottom w:val="nil"/>
              <w:right w:val="double" w:sz="6" w:space="0" w:color="auto"/>
            </w:tcBorders>
            <w:shd w:val="clear" w:color="auto" w:fill="FFFFFF"/>
            <w:noWrap/>
            <w:vAlign w:val="center"/>
            <w:hideMark/>
          </w:tcPr>
          <w:p w:rsidR="0096724C" w:rsidRPr="005E7887" w:rsidRDefault="0096724C" w:rsidP="003879F9">
            <w:pPr>
              <w:rPr>
                <w:i/>
                <w:color w:val="000000"/>
              </w:rPr>
            </w:pPr>
            <w:r w:rsidRPr="005E7887">
              <w:rPr>
                <w:i/>
                <w:color w:val="000000"/>
              </w:rPr>
              <w:t xml:space="preserve">Baseline utilities </w:t>
            </w:r>
          </w:p>
        </w:tc>
        <w:tc>
          <w:tcPr>
            <w:tcW w:w="1296" w:type="dxa"/>
            <w:tcBorders>
              <w:top w:val="double" w:sz="6" w:space="0" w:color="auto"/>
              <w:left w:val="nil"/>
              <w:bottom w:val="nil"/>
              <w:right w:val="single" w:sz="4" w:space="0" w:color="auto"/>
            </w:tcBorders>
            <w:shd w:val="clear" w:color="auto" w:fill="FFFFFF"/>
            <w:noWrap/>
            <w:vAlign w:val="bottom"/>
          </w:tcPr>
          <w:p w:rsidR="0096724C" w:rsidRPr="005E7887" w:rsidRDefault="0096724C" w:rsidP="003879F9">
            <w:pPr>
              <w:tabs>
                <w:tab w:val="decimal" w:pos="217"/>
              </w:tabs>
              <w:jc w:val="center"/>
              <w:rPr>
                <w:color w:val="000000"/>
              </w:rPr>
            </w:pPr>
          </w:p>
        </w:tc>
        <w:tc>
          <w:tcPr>
            <w:tcW w:w="1296" w:type="dxa"/>
            <w:tcBorders>
              <w:top w:val="double" w:sz="6" w:space="0" w:color="auto"/>
              <w:left w:val="nil"/>
              <w:bottom w:val="nil"/>
              <w:right w:val="double" w:sz="6" w:space="0" w:color="auto"/>
            </w:tcBorders>
            <w:shd w:val="clear" w:color="auto" w:fill="FFFFFF"/>
            <w:noWrap/>
            <w:vAlign w:val="bottom"/>
          </w:tcPr>
          <w:p w:rsidR="0096724C" w:rsidRPr="005E7887" w:rsidRDefault="0096724C" w:rsidP="003879F9">
            <w:pPr>
              <w:tabs>
                <w:tab w:val="decimal" w:pos="217"/>
              </w:tabs>
              <w:jc w:val="center"/>
              <w:rPr>
                <w:color w:val="000000"/>
              </w:rPr>
            </w:pPr>
          </w:p>
        </w:tc>
      </w:tr>
      <w:tr w:rsidR="0096724C" w:rsidRPr="005E7887" w:rsidTr="003879F9">
        <w:trPr>
          <w:trHeight w:val="432"/>
        </w:trPr>
        <w:tc>
          <w:tcPr>
            <w:tcW w:w="5958" w:type="dxa"/>
            <w:tcBorders>
              <w:top w:val="nil"/>
              <w:left w:val="double" w:sz="6" w:space="0" w:color="auto"/>
              <w:bottom w:val="nil"/>
              <w:right w:val="double" w:sz="6" w:space="0" w:color="auto"/>
            </w:tcBorders>
            <w:shd w:val="clear" w:color="auto" w:fill="FFFFFF"/>
            <w:noWrap/>
            <w:vAlign w:val="center"/>
            <w:hideMark/>
          </w:tcPr>
          <w:p w:rsidR="0096724C" w:rsidRPr="005E7887" w:rsidRDefault="0096724C" w:rsidP="003879F9">
            <w:pPr>
              <w:rPr>
                <w:color w:val="000000"/>
              </w:rPr>
            </w:pPr>
            <w:r w:rsidRPr="005E7887">
              <w:rPr>
                <w:color w:val="000000"/>
              </w:rPr>
              <w:t xml:space="preserve">    Logarithm of the area (miles</w:t>
            </w:r>
            <w:r w:rsidRPr="005E7887">
              <w:rPr>
                <w:color w:val="000000"/>
                <w:vertAlign w:val="superscript"/>
              </w:rPr>
              <w:t>2</w:t>
            </w:r>
            <w:r w:rsidRPr="005E7887">
              <w:rPr>
                <w:color w:val="000000"/>
              </w:rPr>
              <w:t>) – mean</w:t>
            </w:r>
          </w:p>
        </w:tc>
        <w:tc>
          <w:tcPr>
            <w:tcW w:w="1296" w:type="dxa"/>
            <w:tcBorders>
              <w:top w:val="nil"/>
              <w:left w:val="nil"/>
              <w:bottom w:val="nil"/>
              <w:right w:val="single" w:sz="4" w:space="0" w:color="auto"/>
            </w:tcBorders>
            <w:shd w:val="clear" w:color="auto" w:fill="FFFFFF"/>
            <w:noWrap/>
            <w:vAlign w:val="center"/>
            <w:hideMark/>
          </w:tcPr>
          <w:p w:rsidR="0096724C" w:rsidRPr="005E7887" w:rsidRDefault="0096724C" w:rsidP="00A878AA">
            <w:pPr>
              <w:tabs>
                <w:tab w:val="decimal" w:pos="394"/>
              </w:tabs>
              <w:rPr>
                <w:color w:val="000000"/>
              </w:rPr>
            </w:pPr>
            <w:r w:rsidRPr="005E7887">
              <w:rPr>
                <w:color w:val="000000"/>
              </w:rPr>
              <w:t>0.4</w:t>
            </w:r>
            <w:r w:rsidR="00357D65">
              <w:rPr>
                <w:color w:val="000000"/>
              </w:rPr>
              <w:t>42</w:t>
            </w:r>
          </w:p>
        </w:tc>
        <w:tc>
          <w:tcPr>
            <w:tcW w:w="1296" w:type="dxa"/>
            <w:tcBorders>
              <w:top w:val="nil"/>
              <w:left w:val="nil"/>
              <w:bottom w:val="nil"/>
              <w:right w:val="double" w:sz="6" w:space="0" w:color="auto"/>
            </w:tcBorders>
            <w:shd w:val="clear" w:color="auto" w:fill="FFFFFF"/>
            <w:noWrap/>
            <w:vAlign w:val="center"/>
            <w:hideMark/>
          </w:tcPr>
          <w:p w:rsidR="0096724C" w:rsidRPr="005E7887" w:rsidRDefault="0096724C" w:rsidP="00A878AA">
            <w:pPr>
              <w:tabs>
                <w:tab w:val="decimal" w:pos="442"/>
              </w:tabs>
              <w:rPr>
                <w:color w:val="000000"/>
              </w:rPr>
            </w:pPr>
            <w:r w:rsidRPr="005E7887">
              <w:rPr>
                <w:color w:val="000000"/>
              </w:rPr>
              <w:t xml:space="preserve"> 1</w:t>
            </w:r>
            <w:r w:rsidR="00357D65">
              <w:rPr>
                <w:color w:val="000000"/>
              </w:rPr>
              <w:t>6</w:t>
            </w:r>
            <w:r w:rsidRPr="005E7887">
              <w:rPr>
                <w:color w:val="000000"/>
              </w:rPr>
              <w:t>.5</w:t>
            </w:r>
            <w:r w:rsidR="00357D65">
              <w:rPr>
                <w:color w:val="000000"/>
              </w:rPr>
              <w:t>2</w:t>
            </w:r>
          </w:p>
        </w:tc>
      </w:tr>
      <w:tr w:rsidR="0096724C" w:rsidRPr="005E7887" w:rsidTr="003879F9">
        <w:trPr>
          <w:trHeight w:val="432"/>
        </w:trPr>
        <w:tc>
          <w:tcPr>
            <w:tcW w:w="5958" w:type="dxa"/>
            <w:tcBorders>
              <w:top w:val="nil"/>
              <w:left w:val="double" w:sz="6" w:space="0" w:color="auto"/>
              <w:bottom w:val="nil"/>
              <w:right w:val="double" w:sz="6" w:space="0" w:color="auto"/>
            </w:tcBorders>
            <w:shd w:val="clear" w:color="auto" w:fill="FFFFFF"/>
            <w:noWrap/>
            <w:vAlign w:val="center"/>
            <w:hideMark/>
          </w:tcPr>
          <w:p w:rsidR="0096724C" w:rsidRPr="005E7887" w:rsidRDefault="0096724C" w:rsidP="003879F9">
            <w:pPr>
              <w:rPr>
                <w:color w:val="000000"/>
              </w:rPr>
            </w:pPr>
            <w:r w:rsidRPr="005E7887">
              <w:rPr>
                <w:color w:val="000000"/>
              </w:rPr>
              <w:t xml:space="preserve">    Land cover accessibility measure specific to</w:t>
            </w:r>
          </w:p>
        </w:tc>
        <w:tc>
          <w:tcPr>
            <w:tcW w:w="1296" w:type="dxa"/>
            <w:tcBorders>
              <w:top w:val="nil"/>
              <w:left w:val="nil"/>
              <w:bottom w:val="nil"/>
              <w:right w:val="single" w:sz="4" w:space="0" w:color="auto"/>
            </w:tcBorders>
            <w:shd w:val="clear" w:color="auto" w:fill="FFFFFF"/>
            <w:noWrap/>
            <w:vAlign w:val="bottom"/>
          </w:tcPr>
          <w:p w:rsidR="0096724C" w:rsidRPr="005E7887" w:rsidRDefault="0096724C" w:rsidP="00A878AA">
            <w:pPr>
              <w:tabs>
                <w:tab w:val="decimal" w:pos="394"/>
              </w:tabs>
              <w:rPr>
                <w:color w:val="000000"/>
              </w:rPr>
            </w:pPr>
          </w:p>
        </w:tc>
        <w:tc>
          <w:tcPr>
            <w:tcW w:w="1296" w:type="dxa"/>
            <w:tcBorders>
              <w:top w:val="nil"/>
              <w:left w:val="nil"/>
              <w:bottom w:val="nil"/>
              <w:right w:val="double" w:sz="6" w:space="0" w:color="auto"/>
            </w:tcBorders>
            <w:shd w:val="clear" w:color="auto" w:fill="FFFFFF"/>
            <w:noWrap/>
            <w:vAlign w:val="bottom"/>
          </w:tcPr>
          <w:p w:rsidR="0096724C" w:rsidRPr="005E7887" w:rsidRDefault="0096724C" w:rsidP="00A878AA">
            <w:pPr>
              <w:tabs>
                <w:tab w:val="decimal" w:pos="442"/>
              </w:tabs>
              <w:rPr>
                <w:color w:val="000000"/>
              </w:rPr>
            </w:pPr>
          </w:p>
        </w:tc>
      </w:tr>
      <w:tr w:rsidR="0096724C" w:rsidRPr="005E7887" w:rsidTr="003879F9">
        <w:trPr>
          <w:trHeight w:val="432"/>
        </w:trPr>
        <w:tc>
          <w:tcPr>
            <w:tcW w:w="5958" w:type="dxa"/>
            <w:tcBorders>
              <w:top w:val="nil"/>
              <w:left w:val="double" w:sz="6" w:space="0" w:color="auto"/>
              <w:bottom w:val="nil"/>
              <w:right w:val="double" w:sz="6" w:space="0" w:color="auto"/>
            </w:tcBorders>
            <w:shd w:val="clear" w:color="auto" w:fill="FFFFFF"/>
            <w:noWrap/>
            <w:vAlign w:val="center"/>
            <w:hideMark/>
          </w:tcPr>
          <w:p w:rsidR="0096724C" w:rsidRPr="005E7887" w:rsidRDefault="0096724C" w:rsidP="003879F9">
            <w:pPr>
              <w:rPr>
                <w:color w:val="000000"/>
              </w:rPr>
            </w:pPr>
            <w:r w:rsidRPr="005E7887">
              <w:rPr>
                <w:color w:val="000000"/>
              </w:rPr>
              <w:t xml:space="preserve">         Wetland (/10</w:t>
            </w:r>
            <w:r w:rsidRPr="005E7887">
              <w:rPr>
                <w:color w:val="000000"/>
                <w:vertAlign w:val="superscript"/>
              </w:rPr>
              <w:t>3</w:t>
            </w:r>
            <w:r w:rsidRPr="005E7887">
              <w:rPr>
                <w:color w:val="000000"/>
              </w:rPr>
              <w:t xml:space="preserve">) </w:t>
            </w:r>
          </w:p>
        </w:tc>
        <w:tc>
          <w:tcPr>
            <w:tcW w:w="1296" w:type="dxa"/>
            <w:tcBorders>
              <w:top w:val="nil"/>
              <w:left w:val="nil"/>
              <w:bottom w:val="nil"/>
              <w:right w:val="single" w:sz="4" w:space="0" w:color="auto"/>
            </w:tcBorders>
            <w:shd w:val="clear" w:color="auto" w:fill="FFFFFF"/>
            <w:noWrap/>
            <w:vAlign w:val="center"/>
            <w:hideMark/>
          </w:tcPr>
          <w:p w:rsidR="0096724C" w:rsidRPr="005E7887" w:rsidRDefault="0096724C" w:rsidP="00A878AA">
            <w:pPr>
              <w:tabs>
                <w:tab w:val="decimal" w:pos="394"/>
              </w:tabs>
              <w:rPr>
                <w:color w:val="000000"/>
              </w:rPr>
            </w:pPr>
            <w:r w:rsidRPr="005E7887">
              <w:rPr>
                <w:color w:val="000000"/>
              </w:rPr>
              <w:t>0.</w:t>
            </w:r>
            <w:r w:rsidR="00357D65">
              <w:rPr>
                <w:color w:val="000000"/>
              </w:rPr>
              <w:t>137</w:t>
            </w:r>
          </w:p>
        </w:tc>
        <w:tc>
          <w:tcPr>
            <w:tcW w:w="1296" w:type="dxa"/>
            <w:tcBorders>
              <w:top w:val="nil"/>
              <w:left w:val="nil"/>
              <w:bottom w:val="nil"/>
              <w:right w:val="double" w:sz="6" w:space="0" w:color="auto"/>
            </w:tcBorders>
            <w:shd w:val="clear" w:color="auto" w:fill="FFFFFF"/>
            <w:noWrap/>
            <w:vAlign w:val="center"/>
            <w:hideMark/>
          </w:tcPr>
          <w:p w:rsidR="0096724C" w:rsidRPr="005E7887" w:rsidRDefault="00357D65" w:rsidP="00A878AA">
            <w:pPr>
              <w:tabs>
                <w:tab w:val="decimal" w:pos="442"/>
              </w:tabs>
              <w:rPr>
                <w:color w:val="000000"/>
              </w:rPr>
            </w:pPr>
            <w:r>
              <w:rPr>
                <w:color w:val="000000"/>
              </w:rPr>
              <w:t>1.</w:t>
            </w:r>
            <w:r w:rsidR="00816B9A">
              <w:rPr>
                <w:color w:val="000000"/>
              </w:rPr>
              <w:t>12</w:t>
            </w:r>
          </w:p>
        </w:tc>
      </w:tr>
      <w:tr w:rsidR="0096724C" w:rsidRPr="005E7887" w:rsidTr="003879F9">
        <w:trPr>
          <w:trHeight w:val="432"/>
        </w:trPr>
        <w:tc>
          <w:tcPr>
            <w:tcW w:w="5958" w:type="dxa"/>
            <w:tcBorders>
              <w:top w:val="nil"/>
              <w:left w:val="double" w:sz="6" w:space="0" w:color="auto"/>
              <w:bottom w:val="nil"/>
              <w:right w:val="double" w:sz="6" w:space="0" w:color="auto"/>
            </w:tcBorders>
            <w:shd w:val="clear" w:color="auto" w:fill="FFFFFF"/>
            <w:noWrap/>
            <w:vAlign w:val="center"/>
            <w:hideMark/>
          </w:tcPr>
          <w:p w:rsidR="0096724C" w:rsidRPr="005E7887" w:rsidRDefault="0096724C" w:rsidP="003879F9">
            <w:pPr>
              <w:rPr>
                <w:color w:val="000000"/>
              </w:rPr>
            </w:pPr>
            <w:r w:rsidRPr="005E7887">
              <w:rPr>
                <w:color w:val="000000"/>
              </w:rPr>
              <w:t xml:space="preserve">         Urban (/10</w:t>
            </w:r>
            <w:r w:rsidRPr="005E7887">
              <w:rPr>
                <w:color w:val="000000"/>
                <w:vertAlign w:val="superscript"/>
              </w:rPr>
              <w:t>4</w:t>
            </w:r>
            <w:r w:rsidRPr="005E7887">
              <w:rPr>
                <w:color w:val="000000"/>
              </w:rPr>
              <w:t>)</w:t>
            </w:r>
          </w:p>
        </w:tc>
        <w:tc>
          <w:tcPr>
            <w:tcW w:w="1296" w:type="dxa"/>
            <w:tcBorders>
              <w:top w:val="nil"/>
              <w:left w:val="nil"/>
              <w:bottom w:val="nil"/>
              <w:right w:val="single" w:sz="4" w:space="0" w:color="auto"/>
            </w:tcBorders>
            <w:shd w:val="clear" w:color="auto" w:fill="FFFFFF"/>
            <w:noWrap/>
            <w:vAlign w:val="center"/>
            <w:hideMark/>
          </w:tcPr>
          <w:p w:rsidR="0096724C" w:rsidRPr="005E7887" w:rsidRDefault="00A878AA" w:rsidP="00A878AA">
            <w:pPr>
              <w:tabs>
                <w:tab w:val="decimal" w:pos="394"/>
              </w:tabs>
              <w:rPr>
                <w:color w:val="000000"/>
              </w:rPr>
            </w:pPr>
            <w:r>
              <w:rPr>
                <w:color w:val="000000"/>
              </w:rPr>
              <w:t>–</w:t>
            </w:r>
            <w:r w:rsidR="0096724C" w:rsidRPr="005E7887">
              <w:rPr>
                <w:color w:val="000000"/>
              </w:rPr>
              <w:t>1</w:t>
            </w:r>
            <w:r w:rsidR="00816B9A">
              <w:rPr>
                <w:color w:val="000000"/>
              </w:rPr>
              <w:t>.690</w:t>
            </w:r>
          </w:p>
        </w:tc>
        <w:tc>
          <w:tcPr>
            <w:tcW w:w="1296" w:type="dxa"/>
            <w:tcBorders>
              <w:top w:val="nil"/>
              <w:left w:val="nil"/>
              <w:bottom w:val="nil"/>
              <w:right w:val="double" w:sz="6" w:space="0" w:color="auto"/>
            </w:tcBorders>
            <w:shd w:val="clear" w:color="auto" w:fill="FFFFFF"/>
            <w:noWrap/>
            <w:vAlign w:val="center"/>
            <w:hideMark/>
          </w:tcPr>
          <w:p w:rsidR="0096724C" w:rsidRPr="005E7887" w:rsidRDefault="00A878AA" w:rsidP="00A878AA">
            <w:pPr>
              <w:tabs>
                <w:tab w:val="decimal" w:pos="442"/>
              </w:tabs>
              <w:rPr>
                <w:color w:val="000000"/>
              </w:rPr>
            </w:pPr>
            <w:r>
              <w:rPr>
                <w:color w:val="000000"/>
              </w:rPr>
              <w:t>–</w:t>
            </w:r>
            <w:r w:rsidR="00816B9A">
              <w:rPr>
                <w:color w:val="000000"/>
              </w:rPr>
              <w:t>4.92</w:t>
            </w:r>
          </w:p>
        </w:tc>
      </w:tr>
      <w:tr w:rsidR="0096724C" w:rsidRPr="005E7887" w:rsidTr="003879F9">
        <w:trPr>
          <w:trHeight w:val="432"/>
        </w:trPr>
        <w:tc>
          <w:tcPr>
            <w:tcW w:w="5958" w:type="dxa"/>
            <w:tcBorders>
              <w:top w:val="nil"/>
              <w:left w:val="double" w:sz="6" w:space="0" w:color="auto"/>
              <w:bottom w:val="nil"/>
              <w:right w:val="double" w:sz="6" w:space="0" w:color="auto"/>
            </w:tcBorders>
            <w:shd w:val="clear" w:color="auto" w:fill="FFFFFF"/>
            <w:noWrap/>
            <w:vAlign w:val="center"/>
            <w:hideMark/>
          </w:tcPr>
          <w:p w:rsidR="0096724C" w:rsidRPr="005E7887" w:rsidRDefault="0096724C" w:rsidP="003879F9">
            <w:pPr>
              <w:rPr>
                <w:color w:val="000000"/>
              </w:rPr>
            </w:pPr>
            <w:r w:rsidRPr="005E7887">
              <w:rPr>
                <w:color w:val="000000"/>
              </w:rPr>
              <w:t xml:space="preserve">         Forest (/10</w:t>
            </w:r>
            <w:r w:rsidRPr="005E7887">
              <w:rPr>
                <w:color w:val="000000"/>
                <w:vertAlign w:val="superscript"/>
              </w:rPr>
              <w:t>4</w:t>
            </w:r>
            <w:r w:rsidRPr="005E7887">
              <w:rPr>
                <w:color w:val="000000"/>
              </w:rPr>
              <w:t>)</w:t>
            </w:r>
          </w:p>
        </w:tc>
        <w:tc>
          <w:tcPr>
            <w:tcW w:w="1296" w:type="dxa"/>
            <w:tcBorders>
              <w:top w:val="nil"/>
              <w:left w:val="nil"/>
              <w:bottom w:val="nil"/>
              <w:right w:val="single" w:sz="4" w:space="0" w:color="auto"/>
            </w:tcBorders>
            <w:shd w:val="clear" w:color="auto" w:fill="FFFFFF"/>
            <w:noWrap/>
            <w:vAlign w:val="center"/>
            <w:hideMark/>
          </w:tcPr>
          <w:p w:rsidR="0096724C" w:rsidRPr="005E7887" w:rsidRDefault="00A878AA" w:rsidP="00A878AA">
            <w:pPr>
              <w:tabs>
                <w:tab w:val="decimal" w:pos="394"/>
              </w:tabs>
              <w:rPr>
                <w:color w:val="000000"/>
              </w:rPr>
            </w:pPr>
            <w:r>
              <w:rPr>
                <w:color w:val="000000"/>
              </w:rPr>
              <w:t>–</w:t>
            </w:r>
            <w:r w:rsidR="0096724C" w:rsidRPr="005E7887">
              <w:rPr>
                <w:color w:val="000000"/>
              </w:rPr>
              <w:t>0.1</w:t>
            </w:r>
            <w:r w:rsidR="00816B9A">
              <w:rPr>
                <w:color w:val="000000"/>
              </w:rPr>
              <w:t>59</w:t>
            </w:r>
          </w:p>
        </w:tc>
        <w:tc>
          <w:tcPr>
            <w:tcW w:w="1296" w:type="dxa"/>
            <w:tcBorders>
              <w:top w:val="nil"/>
              <w:left w:val="nil"/>
              <w:bottom w:val="nil"/>
              <w:right w:val="double" w:sz="6" w:space="0" w:color="auto"/>
            </w:tcBorders>
            <w:shd w:val="clear" w:color="auto" w:fill="FFFFFF"/>
            <w:noWrap/>
            <w:vAlign w:val="center"/>
            <w:hideMark/>
          </w:tcPr>
          <w:p w:rsidR="0096724C" w:rsidRPr="005E7887" w:rsidRDefault="00A878AA" w:rsidP="00A878AA">
            <w:pPr>
              <w:tabs>
                <w:tab w:val="decimal" w:pos="442"/>
              </w:tabs>
              <w:rPr>
                <w:color w:val="000000"/>
              </w:rPr>
            </w:pPr>
            <w:r>
              <w:rPr>
                <w:color w:val="000000"/>
              </w:rPr>
              <w:t>–</w:t>
            </w:r>
            <w:r w:rsidR="0096724C" w:rsidRPr="005E7887">
              <w:rPr>
                <w:color w:val="000000"/>
              </w:rPr>
              <w:t>6.</w:t>
            </w:r>
            <w:r w:rsidR="00816B9A">
              <w:rPr>
                <w:color w:val="000000"/>
              </w:rPr>
              <w:t>6</w:t>
            </w:r>
            <w:r w:rsidR="0096724C" w:rsidRPr="005E7887">
              <w:rPr>
                <w:color w:val="000000"/>
              </w:rPr>
              <w:t>8</w:t>
            </w:r>
          </w:p>
        </w:tc>
      </w:tr>
      <w:tr w:rsidR="0096724C" w:rsidRPr="005E7887" w:rsidTr="003879F9">
        <w:trPr>
          <w:trHeight w:val="432"/>
        </w:trPr>
        <w:tc>
          <w:tcPr>
            <w:tcW w:w="5958" w:type="dxa"/>
            <w:tcBorders>
              <w:top w:val="nil"/>
              <w:left w:val="double" w:sz="6" w:space="0" w:color="auto"/>
              <w:bottom w:val="nil"/>
              <w:right w:val="double" w:sz="6" w:space="0" w:color="auto"/>
            </w:tcBorders>
            <w:shd w:val="clear" w:color="auto" w:fill="FFFFFF"/>
            <w:noWrap/>
            <w:vAlign w:val="center"/>
            <w:hideMark/>
          </w:tcPr>
          <w:p w:rsidR="0096724C" w:rsidRPr="005E7887" w:rsidRDefault="0096724C" w:rsidP="003879F9">
            <w:pPr>
              <w:rPr>
                <w:color w:val="000000"/>
              </w:rPr>
            </w:pPr>
            <w:r w:rsidRPr="005E7887">
              <w:rPr>
                <w:color w:val="000000"/>
              </w:rPr>
              <w:t xml:space="preserve">         Agricultural (/10</w:t>
            </w:r>
            <w:r w:rsidRPr="005E7887">
              <w:rPr>
                <w:color w:val="000000"/>
                <w:vertAlign w:val="superscript"/>
              </w:rPr>
              <w:t>4</w:t>
            </w:r>
            <w:r w:rsidRPr="005E7887">
              <w:rPr>
                <w:color w:val="000000"/>
              </w:rPr>
              <w:t>) x Income less than NZ $50,000</w:t>
            </w:r>
          </w:p>
        </w:tc>
        <w:tc>
          <w:tcPr>
            <w:tcW w:w="1296" w:type="dxa"/>
            <w:tcBorders>
              <w:top w:val="nil"/>
              <w:left w:val="nil"/>
              <w:bottom w:val="nil"/>
              <w:right w:val="single" w:sz="4" w:space="0" w:color="auto"/>
            </w:tcBorders>
            <w:shd w:val="clear" w:color="auto" w:fill="FFFFFF"/>
            <w:noWrap/>
            <w:vAlign w:val="center"/>
            <w:hideMark/>
          </w:tcPr>
          <w:p w:rsidR="0096724C" w:rsidRPr="005E7887" w:rsidRDefault="0096724C" w:rsidP="00A878AA">
            <w:pPr>
              <w:tabs>
                <w:tab w:val="decimal" w:pos="394"/>
              </w:tabs>
              <w:rPr>
                <w:color w:val="000000"/>
              </w:rPr>
            </w:pPr>
            <w:r w:rsidRPr="005E7887">
              <w:rPr>
                <w:color w:val="000000"/>
              </w:rPr>
              <w:t>0.0</w:t>
            </w:r>
            <w:r w:rsidR="00816B9A">
              <w:rPr>
                <w:color w:val="000000"/>
              </w:rPr>
              <w:t>43</w:t>
            </w:r>
          </w:p>
        </w:tc>
        <w:tc>
          <w:tcPr>
            <w:tcW w:w="1296" w:type="dxa"/>
            <w:tcBorders>
              <w:top w:val="nil"/>
              <w:left w:val="nil"/>
              <w:bottom w:val="nil"/>
              <w:right w:val="double" w:sz="6" w:space="0" w:color="auto"/>
            </w:tcBorders>
            <w:shd w:val="clear" w:color="auto" w:fill="FFFFFF"/>
            <w:noWrap/>
            <w:vAlign w:val="center"/>
            <w:hideMark/>
          </w:tcPr>
          <w:p w:rsidR="0096724C" w:rsidRPr="005E7887" w:rsidRDefault="004F2636" w:rsidP="00A878AA">
            <w:pPr>
              <w:tabs>
                <w:tab w:val="decimal" w:pos="442"/>
              </w:tabs>
              <w:rPr>
                <w:color w:val="000000"/>
              </w:rPr>
            </w:pPr>
            <w:r>
              <w:rPr>
                <w:color w:val="000000"/>
              </w:rPr>
              <w:t>2.89</w:t>
            </w:r>
          </w:p>
        </w:tc>
      </w:tr>
      <w:tr w:rsidR="0096724C" w:rsidRPr="005E7887" w:rsidTr="003879F9">
        <w:trPr>
          <w:trHeight w:val="432"/>
        </w:trPr>
        <w:tc>
          <w:tcPr>
            <w:tcW w:w="5958" w:type="dxa"/>
            <w:tcBorders>
              <w:top w:val="nil"/>
              <w:left w:val="double" w:sz="6" w:space="0" w:color="auto"/>
              <w:bottom w:val="nil"/>
              <w:right w:val="double" w:sz="6" w:space="0" w:color="auto"/>
            </w:tcBorders>
            <w:shd w:val="clear" w:color="auto" w:fill="FFFFFF"/>
            <w:noWrap/>
            <w:vAlign w:val="center"/>
            <w:hideMark/>
          </w:tcPr>
          <w:p w:rsidR="0096724C" w:rsidRPr="005E7887" w:rsidRDefault="0096724C" w:rsidP="003879F9">
            <w:pPr>
              <w:rPr>
                <w:color w:val="000000"/>
              </w:rPr>
            </w:pPr>
            <w:r w:rsidRPr="005E7887">
              <w:rPr>
                <w:color w:val="000000"/>
              </w:rPr>
              <w:t xml:space="preserve">    Land-cover diversity index (LDI) </w:t>
            </w:r>
            <w:r w:rsidR="003879F9">
              <w:rPr>
                <w:color w:val="000000"/>
              </w:rPr>
              <w:t>×</w:t>
            </w:r>
            <w:r w:rsidRPr="005E7887">
              <w:rPr>
                <w:color w:val="000000"/>
              </w:rPr>
              <w:t xml:space="preserve"> 10</w:t>
            </w:r>
          </w:p>
        </w:tc>
        <w:tc>
          <w:tcPr>
            <w:tcW w:w="1296" w:type="dxa"/>
            <w:tcBorders>
              <w:top w:val="nil"/>
              <w:left w:val="nil"/>
              <w:bottom w:val="nil"/>
              <w:right w:val="single" w:sz="4" w:space="0" w:color="auto"/>
            </w:tcBorders>
            <w:shd w:val="clear" w:color="auto" w:fill="FFFFFF"/>
            <w:noWrap/>
            <w:vAlign w:val="center"/>
          </w:tcPr>
          <w:p w:rsidR="0096724C" w:rsidRPr="005E7887" w:rsidRDefault="0096724C" w:rsidP="00A878AA">
            <w:pPr>
              <w:tabs>
                <w:tab w:val="decimal" w:pos="394"/>
              </w:tabs>
              <w:rPr>
                <w:color w:val="000000"/>
              </w:rPr>
            </w:pPr>
          </w:p>
        </w:tc>
        <w:tc>
          <w:tcPr>
            <w:tcW w:w="1296" w:type="dxa"/>
            <w:tcBorders>
              <w:top w:val="nil"/>
              <w:left w:val="nil"/>
              <w:bottom w:val="nil"/>
              <w:right w:val="double" w:sz="6" w:space="0" w:color="auto"/>
            </w:tcBorders>
            <w:shd w:val="clear" w:color="auto" w:fill="FFFFFF"/>
            <w:noWrap/>
            <w:vAlign w:val="center"/>
          </w:tcPr>
          <w:p w:rsidR="0096724C" w:rsidRPr="005E7887" w:rsidRDefault="0096724C" w:rsidP="00A878AA">
            <w:pPr>
              <w:tabs>
                <w:tab w:val="decimal" w:pos="442"/>
              </w:tabs>
              <w:rPr>
                <w:color w:val="000000"/>
              </w:rPr>
            </w:pPr>
          </w:p>
        </w:tc>
      </w:tr>
      <w:tr w:rsidR="0096724C" w:rsidRPr="005E7887" w:rsidTr="003879F9">
        <w:trPr>
          <w:trHeight w:val="432"/>
        </w:trPr>
        <w:tc>
          <w:tcPr>
            <w:tcW w:w="5958" w:type="dxa"/>
            <w:tcBorders>
              <w:top w:val="nil"/>
              <w:left w:val="double" w:sz="6" w:space="0" w:color="auto"/>
              <w:bottom w:val="nil"/>
              <w:right w:val="double" w:sz="6" w:space="0" w:color="auto"/>
            </w:tcBorders>
            <w:shd w:val="clear" w:color="auto" w:fill="FFFFFF"/>
            <w:noWrap/>
            <w:vAlign w:val="center"/>
            <w:hideMark/>
          </w:tcPr>
          <w:p w:rsidR="0096724C" w:rsidRPr="005E7887" w:rsidRDefault="0096724C" w:rsidP="003879F9">
            <w:pPr>
              <w:ind w:left="474"/>
              <w:rPr>
                <w:color w:val="000000"/>
              </w:rPr>
            </w:pPr>
            <w:r w:rsidRPr="005E7887">
              <w:rPr>
                <w:color w:val="000000"/>
              </w:rPr>
              <w:t>Constant</w:t>
            </w:r>
          </w:p>
        </w:tc>
        <w:tc>
          <w:tcPr>
            <w:tcW w:w="1296" w:type="dxa"/>
            <w:tcBorders>
              <w:top w:val="nil"/>
              <w:left w:val="nil"/>
              <w:bottom w:val="nil"/>
              <w:right w:val="single" w:sz="4" w:space="0" w:color="auto"/>
            </w:tcBorders>
            <w:shd w:val="clear" w:color="auto" w:fill="FFFFFF"/>
            <w:noWrap/>
            <w:vAlign w:val="center"/>
            <w:hideMark/>
          </w:tcPr>
          <w:p w:rsidR="0096724C" w:rsidRPr="005E7887" w:rsidRDefault="0096724C" w:rsidP="00A878AA">
            <w:pPr>
              <w:tabs>
                <w:tab w:val="decimal" w:pos="394"/>
              </w:tabs>
              <w:rPr>
                <w:color w:val="000000"/>
              </w:rPr>
            </w:pPr>
            <w:r w:rsidRPr="005E7887">
              <w:rPr>
                <w:color w:val="000000"/>
              </w:rPr>
              <w:t>0.</w:t>
            </w:r>
            <w:r w:rsidR="004F2636">
              <w:rPr>
                <w:color w:val="000000"/>
              </w:rPr>
              <w:t>662</w:t>
            </w:r>
          </w:p>
        </w:tc>
        <w:tc>
          <w:tcPr>
            <w:tcW w:w="1296" w:type="dxa"/>
            <w:tcBorders>
              <w:top w:val="nil"/>
              <w:left w:val="nil"/>
              <w:bottom w:val="nil"/>
              <w:right w:val="double" w:sz="6" w:space="0" w:color="auto"/>
            </w:tcBorders>
            <w:shd w:val="clear" w:color="auto" w:fill="FFFFFF"/>
            <w:noWrap/>
            <w:vAlign w:val="center"/>
            <w:hideMark/>
          </w:tcPr>
          <w:p w:rsidR="0096724C" w:rsidRPr="005E7887" w:rsidRDefault="003B590A" w:rsidP="00A878AA">
            <w:pPr>
              <w:tabs>
                <w:tab w:val="decimal" w:pos="442"/>
              </w:tabs>
              <w:rPr>
                <w:color w:val="000000"/>
              </w:rPr>
            </w:pPr>
            <w:r>
              <w:rPr>
                <w:color w:val="000000"/>
              </w:rPr>
              <w:t xml:space="preserve"> </w:t>
            </w:r>
            <w:r w:rsidR="0096724C" w:rsidRPr="005E7887">
              <w:rPr>
                <w:color w:val="000000"/>
              </w:rPr>
              <w:t>2</w:t>
            </w:r>
            <w:r w:rsidR="004F2636">
              <w:rPr>
                <w:color w:val="000000"/>
              </w:rPr>
              <w:t>1</w:t>
            </w:r>
            <w:r w:rsidR="0096724C" w:rsidRPr="005E7887">
              <w:rPr>
                <w:color w:val="000000"/>
              </w:rPr>
              <w:t>.</w:t>
            </w:r>
            <w:r w:rsidR="004F2636">
              <w:rPr>
                <w:color w:val="000000"/>
              </w:rPr>
              <w:t>7</w:t>
            </w:r>
            <w:r w:rsidR="00847BC2">
              <w:rPr>
                <w:color w:val="000000"/>
              </w:rPr>
              <w:t>3</w:t>
            </w:r>
          </w:p>
        </w:tc>
      </w:tr>
      <w:tr w:rsidR="0096724C" w:rsidRPr="005E7887" w:rsidTr="003879F9">
        <w:trPr>
          <w:trHeight w:val="432"/>
        </w:trPr>
        <w:tc>
          <w:tcPr>
            <w:tcW w:w="5958" w:type="dxa"/>
            <w:tcBorders>
              <w:top w:val="nil"/>
              <w:left w:val="double" w:sz="6" w:space="0" w:color="auto"/>
              <w:bottom w:val="nil"/>
              <w:right w:val="double" w:sz="6" w:space="0" w:color="auto"/>
            </w:tcBorders>
            <w:shd w:val="clear" w:color="auto" w:fill="FFFFFF"/>
            <w:noWrap/>
            <w:vAlign w:val="center"/>
            <w:hideMark/>
          </w:tcPr>
          <w:p w:rsidR="0096724C" w:rsidRPr="005E7887" w:rsidRDefault="0096724C" w:rsidP="003879F9">
            <w:pPr>
              <w:ind w:left="474"/>
              <w:rPr>
                <w:color w:val="000000"/>
              </w:rPr>
            </w:pPr>
            <w:r w:rsidRPr="005E7887">
              <w:rPr>
                <w:color w:val="000000"/>
              </w:rPr>
              <w:t>Interacted with Income less than NZ $50,000</w:t>
            </w:r>
          </w:p>
        </w:tc>
        <w:tc>
          <w:tcPr>
            <w:tcW w:w="1296" w:type="dxa"/>
            <w:tcBorders>
              <w:top w:val="nil"/>
              <w:left w:val="nil"/>
              <w:bottom w:val="nil"/>
              <w:right w:val="single" w:sz="4" w:space="0" w:color="auto"/>
            </w:tcBorders>
            <w:shd w:val="clear" w:color="auto" w:fill="FFFFFF"/>
            <w:noWrap/>
            <w:vAlign w:val="center"/>
            <w:hideMark/>
          </w:tcPr>
          <w:p w:rsidR="0096724C" w:rsidRPr="005E7887" w:rsidRDefault="00A878AA" w:rsidP="00A878AA">
            <w:pPr>
              <w:tabs>
                <w:tab w:val="decimal" w:pos="394"/>
              </w:tabs>
              <w:rPr>
                <w:color w:val="000000"/>
              </w:rPr>
            </w:pPr>
            <w:r>
              <w:rPr>
                <w:color w:val="000000"/>
              </w:rPr>
              <w:t>–</w:t>
            </w:r>
            <w:r w:rsidR="0096724C" w:rsidRPr="005E7887">
              <w:rPr>
                <w:color w:val="000000"/>
              </w:rPr>
              <w:t>0.</w:t>
            </w:r>
            <w:r w:rsidR="00847BC2">
              <w:rPr>
                <w:color w:val="000000"/>
              </w:rPr>
              <w:t>343</w:t>
            </w:r>
          </w:p>
        </w:tc>
        <w:tc>
          <w:tcPr>
            <w:tcW w:w="1296" w:type="dxa"/>
            <w:tcBorders>
              <w:top w:val="nil"/>
              <w:left w:val="nil"/>
              <w:bottom w:val="nil"/>
              <w:right w:val="double" w:sz="6" w:space="0" w:color="auto"/>
            </w:tcBorders>
            <w:shd w:val="clear" w:color="auto" w:fill="FFFFFF"/>
            <w:noWrap/>
            <w:vAlign w:val="center"/>
            <w:hideMark/>
          </w:tcPr>
          <w:p w:rsidR="0096724C" w:rsidRPr="005E7887" w:rsidRDefault="00A878AA" w:rsidP="00A878AA">
            <w:pPr>
              <w:tabs>
                <w:tab w:val="decimal" w:pos="442"/>
              </w:tabs>
              <w:rPr>
                <w:color w:val="000000"/>
              </w:rPr>
            </w:pPr>
            <w:r>
              <w:rPr>
                <w:color w:val="000000"/>
              </w:rPr>
              <w:t>–</w:t>
            </w:r>
            <w:r w:rsidR="00847BC2">
              <w:rPr>
                <w:color w:val="000000"/>
              </w:rPr>
              <w:t>11</w:t>
            </w:r>
            <w:r w:rsidR="0096724C" w:rsidRPr="005E7887">
              <w:rPr>
                <w:color w:val="000000"/>
              </w:rPr>
              <w:t>.</w:t>
            </w:r>
            <w:r w:rsidR="00847BC2">
              <w:rPr>
                <w:color w:val="000000"/>
              </w:rPr>
              <w:t>28</w:t>
            </w:r>
          </w:p>
        </w:tc>
      </w:tr>
      <w:tr w:rsidR="0096724C" w:rsidRPr="005E7887" w:rsidTr="003879F9">
        <w:trPr>
          <w:trHeight w:val="432"/>
        </w:trPr>
        <w:tc>
          <w:tcPr>
            <w:tcW w:w="5958" w:type="dxa"/>
            <w:tcBorders>
              <w:top w:val="nil"/>
              <w:left w:val="double" w:sz="6" w:space="0" w:color="auto"/>
              <w:bottom w:val="double" w:sz="6" w:space="0" w:color="auto"/>
              <w:right w:val="double" w:sz="6" w:space="0" w:color="auto"/>
            </w:tcBorders>
            <w:shd w:val="clear" w:color="auto" w:fill="FFFFFF"/>
            <w:noWrap/>
            <w:vAlign w:val="center"/>
            <w:hideMark/>
          </w:tcPr>
          <w:p w:rsidR="0096724C" w:rsidRPr="005E7887" w:rsidRDefault="0096724C" w:rsidP="003879F9">
            <w:pPr>
              <w:ind w:left="204"/>
              <w:rPr>
                <w:color w:val="000000"/>
              </w:rPr>
            </w:pPr>
            <w:r w:rsidRPr="005E7887">
              <w:rPr>
                <w:color w:val="000000"/>
              </w:rPr>
              <w:t>Logarithm of Price (</w:t>
            </w:r>
            <w:r w:rsidR="00A878AA">
              <w:rPr>
                <w:color w:val="000000"/>
              </w:rPr>
              <w:t>–</w:t>
            </w:r>
            <w:r w:rsidRPr="005E7887">
              <w:rPr>
                <w:color w:val="000000"/>
              </w:rPr>
              <w:t>1/</w:t>
            </w:r>
            <w:r w:rsidRPr="005E7887">
              <w:rPr>
                <w:rFonts w:eastAsia="Calibri"/>
                <w:position w:val="-6"/>
              </w:rPr>
              <w:object w:dxaOrig="192" w:dyaOrig="180" w14:anchorId="1089358E">
                <v:shape id="_x0000_i1301" type="#_x0000_t75" style="width:9.45pt;height:8.55pt" o:ole="" o:preferrelative="f">
                  <v:imagedata r:id="rId534" o:title=""/>
                </v:shape>
                <o:OLEObject Type="Embed" ProgID="Equation.DSMT4" ShapeID="_x0000_i1301" DrawAspect="Content" ObjectID="_1722174447" r:id="rId535"/>
              </w:object>
            </w:r>
            <w:r w:rsidRPr="005E7887">
              <w:t>)</w:t>
            </w:r>
          </w:p>
        </w:tc>
        <w:tc>
          <w:tcPr>
            <w:tcW w:w="1296" w:type="dxa"/>
            <w:tcBorders>
              <w:top w:val="nil"/>
              <w:left w:val="nil"/>
              <w:bottom w:val="double" w:sz="6" w:space="0" w:color="auto"/>
              <w:right w:val="single" w:sz="4" w:space="0" w:color="auto"/>
            </w:tcBorders>
            <w:shd w:val="clear" w:color="auto" w:fill="FFFFFF"/>
            <w:noWrap/>
            <w:vAlign w:val="center"/>
            <w:hideMark/>
          </w:tcPr>
          <w:p w:rsidR="0096724C" w:rsidRPr="005E7887" w:rsidRDefault="00A878AA" w:rsidP="00A878AA">
            <w:pPr>
              <w:tabs>
                <w:tab w:val="decimal" w:pos="394"/>
              </w:tabs>
              <w:rPr>
                <w:color w:val="000000"/>
              </w:rPr>
            </w:pPr>
            <w:r>
              <w:rPr>
                <w:color w:val="000000"/>
              </w:rPr>
              <w:t>–</w:t>
            </w:r>
            <w:r w:rsidR="0096724C" w:rsidRPr="005E7887">
              <w:rPr>
                <w:color w:val="000000"/>
              </w:rPr>
              <w:t>0.3</w:t>
            </w:r>
            <w:r w:rsidR="00847BC2">
              <w:rPr>
                <w:color w:val="000000"/>
              </w:rPr>
              <w:t>75</w:t>
            </w:r>
          </w:p>
        </w:tc>
        <w:tc>
          <w:tcPr>
            <w:tcW w:w="1296" w:type="dxa"/>
            <w:tcBorders>
              <w:top w:val="nil"/>
              <w:left w:val="nil"/>
              <w:bottom w:val="double" w:sz="6" w:space="0" w:color="auto"/>
              <w:right w:val="double" w:sz="6" w:space="0" w:color="auto"/>
            </w:tcBorders>
            <w:shd w:val="clear" w:color="auto" w:fill="FFFFFF"/>
            <w:noWrap/>
            <w:vAlign w:val="center"/>
            <w:hideMark/>
          </w:tcPr>
          <w:p w:rsidR="0096724C" w:rsidRPr="005E7887" w:rsidRDefault="00A878AA" w:rsidP="00A878AA">
            <w:pPr>
              <w:tabs>
                <w:tab w:val="decimal" w:pos="442"/>
              </w:tabs>
              <w:rPr>
                <w:color w:val="000000"/>
              </w:rPr>
            </w:pPr>
            <w:r>
              <w:rPr>
                <w:color w:val="000000"/>
              </w:rPr>
              <w:t>–</w:t>
            </w:r>
            <w:r w:rsidR="0096724C" w:rsidRPr="005E7887">
              <w:rPr>
                <w:color w:val="000000"/>
              </w:rPr>
              <w:t>1</w:t>
            </w:r>
            <w:r w:rsidR="00847BC2">
              <w:rPr>
                <w:color w:val="000000"/>
              </w:rPr>
              <w:t>8</w:t>
            </w:r>
            <w:r w:rsidR="0096724C" w:rsidRPr="005E7887">
              <w:rPr>
                <w:color w:val="000000"/>
              </w:rPr>
              <w:t>.6</w:t>
            </w:r>
            <w:r w:rsidR="00847BC2">
              <w:rPr>
                <w:color w:val="000000"/>
              </w:rPr>
              <w:t>5</w:t>
            </w:r>
          </w:p>
        </w:tc>
      </w:tr>
      <w:tr w:rsidR="0096724C" w:rsidRPr="005E7887" w:rsidTr="003879F9">
        <w:trPr>
          <w:trHeight w:val="432"/>
        </w:trPr>
        <w:tc>
          <w:tcPr>
            <w:tcW w:w="5958" w:type="dxa"/>
            <w:tcBorders>
              <w:top w:val="double" w:sz="6" w:space="0" w:color="auto"/>
              <w:left w:val="double" w:sz="6" w:space="0" w:color="auto"/>
              <w:bottom w:val="nil"/>
              <w:right w:val="double" w:sz="6" w:space="0" w:color="auto"/>
            </w:tcBorders>
            <w:shd w:val="clear" w:color="auto" w:fill="FFFFFF"/>
            <w:noWrap/>
            <w:vAlign w:val="center"/>
            <w:hideMark/>
          </w:tcPr>
          <w:p w:rsidR="0096724C" w:rsidRPr="005E7887" w:rsidRDefault="0096724C" w:rsidP="003879F9">
            <w:pPr>
              <w:rPr>
                <w:i/>
                <w:color w:val="000000"/>
              </w:rPr>
            </w:pPr>
            <w:r w:rsidRPr="005E7887">
              <w:rPr>
                <w:i/>
                <w:color w:val="000000"/>
              </w:rPr>
              <w:t xml:space="preserve">Satiation parameters </w:t>
            </w:r>
            <w:r w:rsidRPr="005E7887">
              <w:rPr>
                <w:color w:val="000000"/>
              </w:rPr>
              <w:t>(</w:t>
            </w:r>
            <w:r w:rsidR="005E7887" w:rsidRPr="005E7887">
              <w:rPr>
                <w:position w:val="-12"/>
              </w:rPr>
              <w:object w:dxaOrig="279" w:dyaOrig="360" w14:anchorId="7AD83A8F">
                <v:shape id="_x0000_i1302" type="#_x0000_t75" style="width:14.55pt;height:18pt" o:ole="">
                  <v:imagedata r:id="rId476" o:title=""/>
                </v:shape>
                <o:OLEObject Type="Embed" ProgID="Equation.DSMT4" ShapeID="_x0000_i1302" DrawAspect="Content" ObjectID="_1722174448" r:id="rId536"/>
              </w:object>
            </w:r>
            <w:r w:rsidR="005E7887" w:rsidRPr="005E7887">
              <w:t xml:space="preserve"> </w:t>
            </w:r>
            <w:r w:rsidRPr="005E7887">
              <w:t>parameters)</w:t>
            </w:r>
          </w:p>
        </w:tc>
        <w:tc>
          <w:tcPr>
            <w:tcW w:w="1296" w:type="dxa"/>
            <w:tcBorders>
              <w:top w:val="double" w:sz="6" w:space="0" w:color="auto"/>
              <w:left w:val="nil"/>
              <w:bottom w:val="nil"/>
              <w:right w:val="single" w:sz="4" w:space="0" w:color="auto"/>
            </w:tcBorders>
            <w:shd w:val="clear" w:color="auto" w:fill="FFFFFF"/>
            <w:noWrap/>
            <w:vAlign w:val="center"/>
          </w:tcPr>
          <w:p w:rsidR="0096724C" w:rsidRPr="005E7887" w:rsidRDefault="0096724C" w:rsidP="00A878AA">
            <w:pPr>
              <w:tabs>
                <w:tab w:val="decimal" w:pos="394"/>
              </w:tabs>
              <w:rPr>
                <w:color w:val="000000"/>
              </w:rPr>
            </w:pPr>
          </w:p>
        </w:tc>
        <w:tc>
          <w:tcPr>
            <w:tcW w:w="1296" w:type="dxa"/>
            <w:tcBorders>
              <w:top w:val="double" w:sz="6" w:space="0" w:color="auto"/>
              <w:left w:val="nil"/>
              <w:bottom w:val="nil"/>
              <w:right w:val="double" w:sz="6" w:space="0" w:color="auto"/>
            </w:tcBorders>
            <w:shd w:val="clear" w:color="auto" w:fill="FFFFFF"/>
            <w:noWrap/>
            <w:vAlign w:val="center"/>
          </w:tcPr>
          <w:p w:rsidR="0096724C" w:rsidRPr="005E7887" w:rsidRDefault="0096724C" w:rsidP="00A878AA">
            <w:pPr>
              <w:tabs>
                <w:tab w:val="decimal" w:pos="442"/>
              </w:tabs>
              <w:rPr>
                <w:color w:val="000000"/>
              </w:rPr>
            </w:pPr>
          </w:p>
        </w:tc>
      </w:tr>
      <w:tr w:rsidR="0096724C" w:rsidRPr="005E7887" w:rsidTr="003879F9">
        <w:trPr>
          <w:trHeight w:val="432"/>
        </w:trPr>
        <w:tc>
          <w:tcPr>
            <w:tcW w:w="5958" w:type="dxa"/>
            <w:tcBorders>
              <w:top w:val="nil"/>
              <w:left w:val="double" w:sz="6" w:space="0" w:color="auto"/>
              <w:bottom w:val="nil"/>
              <w:right w:val="double" w:sz="6" w:space="0" w:color="auto"/>
            </w:tcBorders>
            <w:shd w:val="clear" w:color="auto" w:fill="FFFFFF"/>
            <w:noWrap/>
            <w:vAlign w:val="center"/>
            <w:hideMark/>
          </w:tcPr>
          <w:p w:rsidR="0096724C" w:rsidRPr="005E7887" w:rsidRDefault="0096724C" w:rsidP="003879F9">
            <w:pPr>
              <w:rPr>
                <w:color w:val="000000"/>
              </w:rPr>
            </w:pPr>
            <w:r w:rsidRPr="005E7887">
              <w:rPr>
                <w:color w:val="000000"/>
              </w:rPr>
              <w:t xml:space="preserve">    Land cover accessibility measure specific to</w:t>
            </w:r>
          </w:p>
        </w:tc>
        <w:tc>
          <w:tcPr>
            <w:tcW w:w="1296" w:type="dxa"/>
            <w:tcBorders>
              <w:top w:val="nil"/>
              <w:left w:val="nil"/>
              <w:bottom w:val="nil"/>
              <w:right w:val="single" w:sz="4" w:space="0" w:color="auto"/>
            </w:tcBorders>
            <w:shd w:val="clear" w:color="auto" w:fill="FFFFFF"/>
            <w:noWrap/>
            <w:vAlign w:val="center"/>
          </w:tcPr>
          <w:p w:rsidR="0096724C" w:rsidRPr="005E7887" w:rsidRDefault="0096724C" w:rsidP="00A878AA">
            <w:pPr>
              <w:tabs>
                <w:tab w:val="decimal" w:pos="394"/>
              </w:tabs>
              <w:rPr>
                <w:color w:val="000000"/>
              </w:rPr>
            </w:pPr>
          </w:p>
        </w:tc>
        <w:tc>
          <w:tcPr>
            <w:tcW w:w="1296" w:type="dxa"/>
            <w:tcBorders>
              <w:top w:val="nil"/>
              <w:left w:val="nil"/>
              <w:bottom w:val="nil"/>
              <w:right w:val="double" w:sz="6" w:space="0" w:color="auto"/>
            </w:tcBorders>
            <w:shd w:val="clear" w:color="auto" w:fill="FFFFFF"/>
            <w:noWrap/>
            <w:vAlign w:val="center"/>
          </w:tcPr>
          <w:p w:rsidR="0096724C" w:rsidRPr="005E7887" w:rsidRDefault="0096724C" w:rsidP="00A878AA">
            <w:pPr>
              <w:tabs>
                <w:tab w:val="decimal" w:pos="442"/>
              </w:tabs>
              <w:rPr>
                <w:color w:val="000000"/>
              </w:rPr>
            </w:pPr>
          </w:p>
        </w:tc>
      </w:tr>
      <w:tr w:rsidR="0096724C" w:rsidRPr="005E7887" w:rsidTr="003879F9">
        <w:trPr>
          <w:trHeight w:val="432"/>
        </w:trPr>
        <w:tc>
          <w:tcPr>
            <w:tcW w:w="5958" w:type="dxa"/>
            <w:tcBorders>
              <w:top w:val="nil"/>
              <w:left w:val="double" w:sz="6" w:space="0" w:color="auto"/>
              <w:bottom w:val="nil"/>
              <w:right w:val="double" w:sz="6" w:space="0" w:color="auto"/>
            </w:tcBorders>
            <w:shd w:val="clear" w:color="auto" w:fill="FFFFFF"/>
            <w:noWrap/>
            <w:vAlign w:val="center"/>
            <w:hideMark/>
          </w:tcPr>
          <w:p w:rsidR="0096724C" w:rsidRPr="005E7887" w:rsidRDefault="0096724C" w:rsidP="003879F9">
            <w:pPr>
              <w:rPr>
                <w:color w:val="000000"/>
              </w:rPr>
            </w:pPr>
            <w:r w:rsidRPr="005E7887">
              <w:rPr>
                <w:color w:val="000000"/>
              </w:rPr>
              <w:t xml:space="preserve">         Wetland (/10</w:t>
            </w:r>
            <w:r w:rsidRPr="005E7887">
              <w:rPr>
                <w:color w:val="000000"/>
                <w:vertAlign w:val="superscript"/>
              </w:rPr>
              <w:t>3</w:t>
            </w:r>
            <w:r w:rsidRPr="005E7887">
              <w:rPr>
                <w:color w:val="000000"/>
              </w:rPr>
              <w:t xml:space="preserve">) </w:t>
            </w:r>
          </w:p>
        </w:tc>
        <w:tc>
          <w:tcPr>
            <w:tcW w:w="1296" w:type="dxa"/>
            <w:tcBorders>
              <w:top w:val="nil"/>
              <w:left w:val="nil"/>
              <w:bottom w:val="nil"/>
              <w:right w:val="single" w:sz="4" w:space="0" w:color="auto"/>
            </w:tcBorders>
            <w:shd w:val="clear" w:color="auto" w:fill="FFFFFF"/>
            <w:noWrap/>
            <w:vAlign w:val="center"/>
            <w:hideMark/>
          </w:tcPr>
          <w:p w:rsidR="0096724C" w:rsidRPr="005E7887" w:rsidRDefault="00847BC2" w:rsidP="00A878AA">
            <w:pPr>
              <w:tabs>
                <w:tab w:val="decimal" w:pos="394"/>
              </w:tabs>
              <w:rPr>
                <w:color w:val="000000"/>
              </w:rPr>
            </w:pPr>
            <w:r>
              <w:rPr>
                <w:color w:val="000000"/>
              </w:rPr>
              <w:t>2.569</w:t>
            </w:r>
          </w:p>
        </w:tc>
        <w:tc>
          <w:tcPr>
            <w:tcW w:w="1296" w:type="dxa"/>
            <w:tcBorders>
              <w:top w:val="nil"/>
              <w:left w:val="nil"/>
              <w:bottom w:val="nil"/>
              <w:right w:val="double" w:sz="6" w:space="0" w:color="auto"/>
            </w:tcBorders>
            <w:shd w:val="clear" w:color="auto" w:fill="FFFFFF"/>
            <w:noWrap/>
            <w:vAlign w:val="center"/>
            <w:hideMark/>
          </w:tcPr>
          <w:p w:rsidR="0096724C" w:rsidRPr="005E7887" w:rsidRDefault="00847BC2" w:rsidP="00A878AA">
            <w:pPr>
              <w:tabs>
                <w:tab w:val="decimal" w:pos="442"/>
              </w:tabs>
              <w:rPr>
                <w:color w:val="000000"/>
              </w:rPr>
            </w:pPr>
            <w:r>
              <w:rPr>
                <w:color w:val="000000"/>
              </w:rPr>
              <w:t xml:space="preserve"> 19.05</w:t>
            </w:r>
          </w:p>
        </w:tc>
      </w:tr>
      <w:tr w:rsidR="0096724C" w:rsidRPr="005E7887" w:rsidTr="003879F9">
        <w:trPr>
          <w:trHeight w:val="432"/>
        </w:trPr>
        <w:tc>
          <w:tcPr>
            <w:tcW w:w="5958" w:type="dxa"/>
            <w:tcBorders>
              <w:top w:val="nil"/>
              <w:left w:val="double" w:sz="6" w:space="0" w:color="auto"/>
              <w:bottom w:val="nil"/>
              <w:right w:val="double" w:sz="6" w:space="0" w:color="auto"/>
            </w:tcBorders>
            <w:shd w:val="clear" w:color="auto" w:fill="FFFFFF"/>
            <w:noWrap/>
            <w:vAlign w:val="center"/>
            <w:hideMark/>
          </w:tcPr>
          <w:p w:rsidR="0096724C" w:rsidRPr="005E7887" w:rsidRDefault="0096724C" w:rsidP="003879F9">
            <w:pPr>
              <w:rPr>
                <w:color w:val="000000"/>
              </w:rPr>
            </w:pPr>
            <w:r w:rsidRPr="005E7887">
              <w:rPr>
                <w:color w:val="000000"/>
              </w:rPr>
              <w:t xml:space="preserve">    Land-cover diversity index (LDI) </w:t>
            </w:r>
            <w:r w:rsidR="003879F9">
              <w:rPr>
                <w:color w:val="000000"/>
              </w:rPr>
              <w:t>×</w:t>
            </w:r>
            <w:r w:rsidRPr="005E7887">
              <w:rPr>
                <w:color w:val="000000"/>
              </w:rPr>
              <w:t xml:space="preserve"> 10</w:t>
            </w:r>
          </w:p>
        </w:tc>
        <w:tc>
          <w:tcPr>
            <w:tcW w:w="1296" w:type="dxa"/>
            <w:tcBorders>
              <w:top w:val="nil"/>
              <w:left w:val="nil"/>
              <w:bottom w:val="nil"/>
              <w:right w:val="single" w:sz="4" w:space="0" w:color="auto"/>
            </w:tcBorders>
            <w:shd w:val="clear" w:color="auto" w:fill="FFFFFF"/>
            <w:noWrap/>
            <w:vAlign w:val="center"/>
          </w:tcPr>
          <w:p w:rsidR="0096724C" w:rsidRPr="005E7887" w:rsidRDefault="0096724C" w:rsidP="00A878AA">
            <w:pPr>
              <w:tabs>
                <w:tab w:val="decimal" w:pos="394"/>
              </w:tabs>
              <w:rPr>
                <w:color w:val="000000"/>
              </w:rPr>
            </w:pPr>
          </w:p>
        </w:tc>
        <w:tc>
          <w:tcPr>
            <w:tcW w:w="1296" w:type="dxa"/>
            <w:tcBorders>
              <w:top w:val="nil"/>
              <w:left w:val="nil"/>
              <w:bottom w:val="nil"/>
              <w:right w:val="double" w:sz="6" w:space="0" w:color="auto"/>
            </w:tcBorders>
            <w:shd w:val="clear" w:color="auto" w:fill="FFFFFF"/>
            <w:noWrap/>
            <w:vAlign w:val="center"/>
          </w:tcPr>
          <w:p w:rsidR="0096724C" w:rsidRPr="005E7887" w:rsidRDefault="0096724C" w:rsidP="00A878AA">
            <w:pPr>
              <w:tabs>
                <w:tab w:val="decimal" w:pos="442"/>
              </w:tabs>
              <w:rPr>
                <w:color w:val="000000"/>
              </w:rPr>
            </w:pPr>
          </w:p>
        </w:tc>
      </w:tr>
      <w:tr w:rsidR="0096724C" w:rsidRPr="005E7887" w:rsidTr="003879F9">
        <w:trPr>
          <w:trHeight w:val="432"/>
        </w:trPr>
        <w:tc>
          <w:tcPr>
            <w:tcW w:w="5958" w:type="dxa"/>
            <w:tcBorders>
              <w:top w:val="nil"/>
              <w:left w:val="double" w:sz="6" w:space="0" w:color="auto"/>
              <w:bottom w:val="nil"/>
              <w:right w:val="double" w:sz="6" w:space="0" w:color="auto"/>
            </w:tcBorders>
            <w:shd w:val="clear" w:color="auto" w:fill="FFFFFF"/>
            <w:noWrap/>
            <w:vAlign w:val="center"/>
            <w:hideMark/>
          </w:tcPr>
          <w:p w:rsidR="0096724C" w:rsidRPr="005E7887" w:rsidRDefault="0096724C" w:rsidP="003879F9">
            <w:pPr>
              <w:ind w:left="474"/>
              <w:rPr>
                <w:color w:val="000000"/>
              </w:rPr>
            </w:pPr>
            <w:r w:rsidRPr="005E7887">
              <w:rPr>
                <w:color w:val="000000"/>
              </w:rPr>
              <w:t>Constant</w:t>
            </w:r>
          </w:p>
        </w:tc>
        <w:tc>
          <w:tcPr>
            <w:tcW w:w="1296" w:type="dxa"/>
            <w:tcBorders>
              <w:top w:val="nil"/>
              <w:left w:val="nil"/>
              <w:bottom w:val="nil"/>
              <w:right w:val="single" w:sz="4" w:space="0" w:color="auto"/>
            </w:tcBorders>
            <w:shd w:val="clear" w:color="auto" w:fill="FFFFFF"/>
            <w:noWrap/>
            <w:vAlign w:val="center"/>
            <w:hideMark/>
          </w:tcPr>
          <w:p w:rsidR="0096724C" w:rsidRPr="005E7887" w:rsidRDefault="00A878AA" w:rsidP="00A878AA">
            <w:pPr>
              <w:tabs>
                <w:tab w:val="decimal" w:pos="394"/>
              </w:tabs>
              <w:rPr>
                <w:color w:val="000000"/>
              </w:rPr>
            </w:pPr>
            <w:r>
              <w:rPr>
                <w:color w:val="000000"/>
              </w:rPr>
              <w:t>–</w:t>
            </w:r>
            <w:r w:rsidR="0096724C" w:rsidRPr="005E7887">
              <w:rPr>
                <w:color w:val="000000"/>
              </w:rPr>
              <w:t>0.</w:t>
            </w:r>
            <w:r w:rsidR="00847BC2">
              <w:rPr>
                <w:color w:val="000000"/>
              </w:rPr>
              <w:t>76</w:t>
            </w:r>
            <w:r w:rsidR="0096724C" w:rsidRPr="005E7887">
              <w:rPr>
                <w:color w:val="000000"/>
              </w:rPr>
              <w:t>5</w:t>
            </w:r>
          </w:p>
        </w:tc>
        <w:tc>
          <w:tcPr>
            <w:tcW w:w="1296" w:type="dxa"/>
            <w:tcBorders>
              <w:top w:val="nil"/>
              <w:left w:val="nil"/>
              <w:bottom w:val="nil"/>
              <w:right w:val="double" w:sz="6" w:space="0" w:color="auto"/>
            </w:tcBorders>
            <w:shd w:val="clear" w:color="auto" w:fill="FFFFFF"/>
            <w:noWrap/>
            <w:vAlign w:val="center"/>
            <w:hideMark/>
          </w:tcPr>
          <w:p w:rsidR="0096724C" w:rsidRPr="005E7887" w:rsidRDefault="00125401" w:rsidP="00A878AA">
            <w:pPr>
              <w:tabs>
                <w:tab w:val="decimal" w:pos="442"/>
              </w:tabs>
              <w:rPr>
                <w:color w:val="000000"/>
              </w:rPr>
            </w:pPr>
            <w:r>
              <w:rPr>
                <w:color w:val="000000"/>
              </w:rPr>
              <w:t xml:space="preserve"> </w:t>
            </w:r>
            <w:r w:rsidR="00A878AA">
              <w:rPr>
                <w:color w:val="000000"/>
              </w:rPr>
              <w:t>–</w:t>
            </w:r>
            <w:r w:rsidR="00847BC2">
              <w:rPr>
                <w:color w:val="000000"/>
              </w:rPr>
              <w:t>6</w:t>
            </w:r>
            <w:r w:rsidR="0096724C" w:rsidRPr="005E7887">
              <w:rPr>
                <w:color w:val="000000"/>
              </w:rPr>
              <w:t>.</w:t>
            </w:r>
            <w:r w:rsidR="00847BC2">
              <w:rPr>
                <w:color w:val="000000"/>
              </w:rPr>
              <w:t>95</w:t>
            </w:r>
          </w:p>
        </w:tc>
      </w:tr>
      <w:tr w:rsidR="0096724C" w:rsidRPr="005E7887" w:rsidTr="003879F9">
        <w:trPr>
          <w:trHeight w:val="432"/>
        </w:trPr>
        <w:tc>
          <w:tcPr>
            <w:tcW w:w="5958" w:type="dxa"/>
            <w:tcBorders>
              <w:top w:val="nil"/>
              <w:left w:val="double" w:sz="6" w:space="0" w:color="auto"/>
              <w:bottom w:val="nil"/>
              <w:right w:val="double" w:sz="6" w:space="0" w:color="auto"/>
            </w:tcBorders>
            <w:shd w:val="clear" w:color="auto" w:fill="FFFFFF"/>
            <w:noWrap/>
            <w:vAlign w:val="center"/>
            <w:hideMark/>
          </w:tcPr>
          <w:p w:rsidR="0096724C" w:rsidRPr="005E7887" w:rsidRDefault="0096724C" w:rsidP="003879F9">
            <w:pPr>
              <w:ind w:left="474"/>
              <w:rPr>
                <w:color w:val="000000"/>
              </w:rPr>
            </w:pPr>
            <w:r w:rsidRPr="005E7887">
              <w:rPr>
                <w:color w:val="000000"/>
              </w:rPr>
              <w:t>Single person household</w:t>
            </w:r>
          </w:p>
        </w:tc>
        <w:tc>
          <w:tcPr>
            <w:tcW w:w="1296" w:type="dxa"/>
            <w:tcBorders>
              <w:top w:val="nil"/>
              <w:left w:val="nil"/>
              <w:bottom w:val="nil"/>
              <w:right w:val="single" w:sz="4" w:space="0" w:color="auto"/>
            </w:tcBorders>
            <w:shd w:val="clear" w:color="auto" w:fill="FFFFFF"/>
            <w:noWrap/>
            <w:vAlign w:val="center"/>
            <w:hideMark/>
          </w:tcPr>
          <w:p w:rsidR="0096724C" w:rsidRPr="005E7887" w:rsidRDefault="00A878AA" w:rsidP="00A878AA">
            <w:pPr>
              <w:tabs>
                <w:tab w:val="decimal" w:pos="394"/>
              </w:tabs>
              <w:rPr>
                <w:color w:val="000000"/>
              </w:rPr>
            </w:pPr>
            <w:r>
              <w:rPr>
                <w:color w:val="000000"/>
              </w:rPr>
              <w:t>–</w:t>
            </w:r>
            <w:r w:rsidR="0096724C" w:rsidRPr="005E7887">
              <w:rPr>
                <w:color w:val="000000"/>
              </w:rPr>
              <w:t>0.</w:t>
            </w:r>
            <w:r w:rsidR="00847BC2">
              <w:rPr>
                <w:color w:val="000000"/>
              </w:rPr>
              <w:t>926</w:t>
            </w:r>
          </w:p>
        </w:tc>
        <w:tc>
          <w:tcPr>
            <w:tcW w:w="1296" w:type="dxa"/>
            <w:tcBorders>
              <w:top w:val="nil"/>
              <w:left w:val="nil"/>
              <w:bottom w:val="nil"/>
              <w:right w:val="double" w:sz="6" w:space="0" w:color="auto"/>
            </w:tcBorders>
            <w:shd w:val="clear" w:color="auto" w:fill="FFFFFF"/>
            <w:noWrap/>
            <w:vAlign w:val="center"/>
            <w:hideMark/>
          </w:tcPr>
          <w:p w:rsidR="0096724C" w:rsidRPr="005E7887" w:rsidRDefault="00125401" w:rsidP="00A878AA">
            <w:pPr>
              <w:tabs>
                <w:tab w:val="decimal" w:pos="442"/>
              </w:tabs>
              <w:rPr>
                <w:color w:val="000000"/>
              </w:rPr>
            </w:pPr>
            <w:r>
              <w:rPr>
                <w:color w:val="000000"/>
              </w:rPr>
              <w:t xml:space="preserve"> </w:t>
            </w:r>
            <w:r w:rsidR="00A878AA">
              <w:rPr>
                <w:color w:val="000000"/>
              </w:rPr>
              <w:t>–</w:t>
            </w:r>
            <w:r w:rsidR="00847BC2">
              <w:rPr>
                <w:color w:val="000000"/>
              </w:rPr>
              <w:t>5.33</w:t>
            </w:r>
          </w:p>
        </w:tc>
      </w:tr>
      <w:tr w:rsidR="0096724C" w:rsidRPr="005E7887" w:rsidTr="003879F9">
        <w:trPr>
          <w:trHeight w:val="432"/>
        </w:trPr>
        <w:tc>
          <w:tcPr>
            <w:tcW w:w="5958" w:type="dxa"/>
            <w:tcBorders>
              <w:top w:val="nil"/>
              <w:left w:val="double" w:sz="6" w:space="0" w:color="auto"/>
              <w:bottom w:val="nil"/>
              <w:right w:val="double" w:sz="6" w:space="0" w:color="auto"/>
            </w:tcBorders>
            <w:shd w:val="clear" w:color="auto" w:fill="FFFFFF"/>
            <w:noWrap/>
            <w:vAlign w:val="center"/>
            <w:hideMark/>
          </w:tcPr>
          <w:p w:rsidR="0096724C" w:rsidRPr="005E7887" w:rsidRDefault="0096724C" w:rsidP="003879F9">
            <w:pPr>
              <w:ind w:left="474"/>
              <w:rPr>
                <w:color w:val="000000"/>
              </w:rPr>
            </w:pPr>
            <w:r w:rsidRPr="005E7887">
              <w:rPr>
                <w:color w:val="000000"/>
              </w:rPr>
              <w:t>Income less then NZ $50,000</w:t>
            </w:r>
          </w:p>
        </w:tc>
        <w:tc>
          <w:tcPr>
            <w:tcW w:w="1296" w:type="dxa"/>
            <w:tcBorders>
              <w:top w:val="nil"/>
              <w:left w:val="nil"/>
              <w:bottom w:val="nil"/>
              <w:right w:val="single" w:sz="4" w:space="0" w:color="auto"/>
            </w:tcBorders>
            <w:shd w:val="clear" w:color="auto" w:fill="FFFFFF"/>
            <w:noWrap/>
            <w:vAlign w:val="center"/>
            <w:hideMark/>
          </w:tcPr>
          <w:p w:rsidR="0096724C" w:rsidRPr="005E7887" w:rsidRDefault="0096724C" w:rsidP="00A878AA">
            <w:pPr>
              <w:tabs>
                <w:tab w:val="decimal" w:pos="394"/>
              </w:tabs>
              <w:rPr>
                <w:color w:val="000000"/>
              </w:rPr>
            </w:pPr>
            <w:r w:rsidRPr="005E7887">
              <w:rPr>
                <w:color w:val="000000"/>
              </w:rPr>
              <w:t>0.6</w:t>
            </w:r>
            <w:r w:rsidR="00847BC2">
              <w:rPr>
                <w:color w:val="000000"/>
              </w:rPr>
              <w:t>98</w:t>
            </w:r>
          </w:p>
        </w:tc>
        <w:tc>
          <w:tcPr>
            <w:tcW w:w="1296" w:type="dxa"/>
            <w:tcBorders>
              <w:top w:val="nil"/>
              <w:left w:val="nil"/>
              <w:bottom w:val="nil"/>
              <w:right w:val="double" w:sz="6" w:space="0" w:color="auto"/>
            </w:tcBorders>
            <w:shd w:val="clear" w:color="auto" w:fill="FFFFFF"/>
            <w:noWrap/>
            <w:vAlign w:val="center"/>
            <w:hideMark/>
          </w:tcPr>
          <w:p w:rsidR="0096724C" w:rsidRPr="005E7887" w:rsidRDefault="00125401" w:rsidP="00A878AA">
            <w:pPr>
              <w:tabs>
                <w:tab w:val="decimal" w:pos="442"/>
              </w:tabs>
              <w:rPr>
                <w:color w:val="000000"/>
              </w:rPr>
            </w:pPr>
            <w:r>
              <w:rPr>
                <w:color w:val="000000"/>
              </w:rPr>
              <w:t xml:space="preserve"> </w:t>
            </w:r>
            <w:r w:rsidR="00A878AA">
              <w:rPr>
                <w:color w:val="000000"/>
              </w:rPr>
              <w:t xml:space="preserve"> </w:t>
            </w:r>
            <w:r w:rsidR="00847BC2">
              <w:rPr>
                <w:color w:val="000000"/>
              </w:rPr>
              <w:t>4.07</w:t>
            </w:r>
          </w:p>
        </w:tc>
      </w:tr>
      <w:tr w:rsidR="0096724C" w:rsidRPr="005E7887" w:rsidTr="003879F9">
        <w:trPr>
          <w:trHeight w:val="432"/>
        </w:trPr>
        <w:tc>
          <w:tcPr>
            <w:tcW w:w="5958" w:type="dxa"/>
            <w:tcBorders>
              <w:top w:val="nil"/>
              <w:left w:val="double" w:sz="6" w:space="0" w:color="auto"/>
              <w:bottom w:val="nil"/>
              <w:right w:val="double" w:sz="6" w:space="0" w:color="auto"/>
            </w:tcBorders>
            <w:shd w:val="clear" w:color="auto" w:fill="FFFFFF"/>
            <w:noWrap/>
            <w:vAlign w:val="center"/>
            <w:hideMark/>
          </w:tcPr>
          <w:p w:rsidR="0096724C" w:rsidRPr="005E7887" w:rsidRDefault="0096724C" w:rsidP="003879F9">
            <w:pPr>
              <w:ind w:left="474"/>
              <w:rPr>
                <w:color w:val="000000"/>
              </w:rPr>
            </w:pPr>
            <w:r w:rsidRPr="005E7887">
              <w:rPr>
                <w:color w:val="000000"/>
              </w:rPr>
              <w:t>Age ≥ 48 years</w:t>
            </w:r>
          </w:p>
        </w:tc>
        <w:tc>
          <w:tcPr>
            <w:tcW w:w="1296" w:type="dxa"/>
            <w:tcBorders>
              <w:top w:val="nil"/>
              <w:left w:val="nil"/>
              <w:bottom w:val="nil"/>
              <w:right w:val="single" w:sz="4" w:space="0" w:color="auto"/>
            </w:tcBorders>
            <w:shd w:val="clear" w:color="auto" w:fill="FFFFFF"/>
            <w:noWrap/>
            <w:vAlign w:val="center"/>
            <w:hideMark/>
          </w:tcPr>
          <w:p w:rsidR="0096724C" w:rsidRPr="005E7887" w:rsidRDefault="0096724C" w:rsidP="00A878AA">
            <w:pPr>
              <w:tabs>
                <w:tab w:val="decimal" w:pos="394"/>
              </w:tabs>
              <w:rPr>
                <w:color w:val="000000"/>
              </w:rPr>
            </w:pPr>
            <w:r w:rsidRPr="005E7887">
              <w:rPr>
                <w:color w:val="000000"/>
              </w:rPr>
              <w:t>0.</w:t>
            </w:r>
            <w:r w:rsidR="00847BC2">
              <w:rPr>
                <w:color w:val="000000"/>
              </w:rPr>
              <w:t>124</w:t>
            </w:r>
          </w:p>
        </w:tc>
        <w:tc>
          <w:tcPr>
            <w:tcW w:w="1296" w:type="dxa"/>
            <w:tcBorders>
              <w:top w:val="nil"/>
              <w:left w:val="nil"/>
              <w:bottom w:val="nil"/>
              <w:right w:val="double" w:sz="6" w:space="0" w:color="auto"/>
            </w:tcBorders>
            <w:shd w:val="clear" w:color="auto" w:fill="FFFFFF"/>
            <w:noWrap/>
            <w:vAlign w:val="center"/>
            <w:hideMark/>
          </w:tcPr>
          <w:p w:rsidR="0096724C" w:rsidRPr="005E7887" w:rsidRDefault="00847BC2" w:rsidP="00A878AA">
            <w:pPr>
              <w:tabs>
                <w:tab w:val="decimal" w:pos="442"/>
              </w:tabs>
              <w:rPr>
                <w:color w:val="000000"/>
              </w:rPr>
            </w:pPr>
            <w:r>
              <w:rPr>
                <w:color w:val="000000"/>
              </w:rPr>
              <w:t xml:space="preserve">  </w:t>
            </w:r>
            <w:r w:rsidR="00125401">
              <w:rPr>
                <w:color w:val="000000"/>
              </w:rPr>
              <w:t xml:space="preserve"> </w:t>
            </w:r>
            <w:r>
              <w:rPr>
                <w:color w:val="000000"/>
              </w:rPr>
              <w:t>8.63</w:t>
            </w:r>
          </w:p>
        </w:tc>
      </w:tr>
      <w:tr w:rsidR="0096724C" w:rsidRPr="005E7887" w:rsidTr="003879F9">
        <w:trPr>
          <w:trHeight w:val="432"/>
        </w:trPr>
        <w:tc>
          <w:tcPr>
            <w:tcW w:w="5958" w:type="dxa"/>
            <w:tcBorders>
              <w:top w:val="nil"/>
              <w:left w:val="double" w:sz="6" w:space="0" w:color="auto"/>
              <w:bottom w:val="double" w:sz="6" w:space="0" w:color="auto"/>
              <w:right w:val="double" w:sz="6" w:space="0" w:color="auto"/>
            </w:tcBorders>
            <w:shd w:val="clear" w:color="auto" w:fill="FFFFFF"/>
            <w:noWrap/>
            <w:vAlign w:val="center"/>
            <w:hideMark/>
          </w:tcPr>
          <w:p w:rsidR="0096724C" w:rsidRPr="005E7887" w:rsidRDefault="0096724C" w:rsidP="003879F9">
            <w:pPr>
              <w:rPr>
                <w:color w:val="000000"/>
              </w:rPr>
            </w:pPr>
            <w:r w:rsidRPr="005E7887">
              <w:rPr>
                <w:color w:val="000000"/>
              </w:rPr>
              <w:t>Constant</w:t>
            </w:r>
          </w:p>
        </w:tc>
        <w:tc>
          <w:tcPr>
            <w:tcW w:w="1296" w:type="dxa"/>
            <w:tcBorders>
              <w:top w:val="nil"/>
              <w:left w:val="nil"/>
              <w:bottom w:val="double" w:sz="6" w:space="0" w:color="auto"/>
              <w:right w:val="single" w:sz="4" w:space="0" w:color="auto"/>
            </w:tcBorders>
            <w:shd w:val="clear" w:color="auto" w:fill="FFFFFF"/>
            <w:noWrap/>
            <w:vAlign w:val="center"/>
            <w:hideMark/>
          </w:tcPr>
          <w:p w:rsidR="0096724C" w:rsidRPr="005E7887" w:rsidRDefault="0096724C" w:rsidP="00A878AA">
            <w:pPr>
              <w:tabs>
                <w:tab w:val="decimal" w:pos="394"/>
              </w:tabs>
              <w:rPr>
                <w:color w:val="000000"/>
              </w:rPr>
            </w:pPr>
            <w:r w:rsidRPr="005E7887">
              <w:rPr>
                <w:color w:val="000000"/>
              </w:rPr>
              <w:t>3.</w:t>
            </w:r>
            <w:r w:rsidR="00847BC2">
              <w:rPr>
                <w:color w:val="000000"/>
              </w:rPr>
              <w:t>957</w:t>
            </w:r>
          </w:p>
        </w:tc>
        <w:tc>
          <w:tcPr>
            <w:tcW w:w="1296" w:type="dxa"/>
            <w:tcBorders>
              <w:top w:val="nil"/>
              <w:left w:val="nil"/>
              <w:bottom w:val="double" w:sz="6" w:space="0" w:color="auto"/>
              <w:right w:val="double" w:sz="6" w:space="0" w:color="auto"/>
            </w:tcBorders>
            <w:shd w:val="clear" w:color="auto" w:fill="FFFFFF"/>
            <w:noWrap/>
            <w:vAlign w:val="center"/>
            <w:hideMark/>
          </w:tcPr>
          <w:p w:rsidR="0096724C" w:rsidRPr="005E7887" w:rsidRDefault="00847BC2" w:rsidP="00A878AA">
            <w:pPr>
              <w:tabs>
                <w:tab w:val="decimal" w:pos="442"/>
              </w:tabs>
              <w:rPr>
                <w:color w:val="000000"/>
              </w:rPr>
            </w:pPr>
            <w:r>
              <w:rPr>
                <w:color w:val="000000"/>
              </w:rPr>
              <w:t>12.60</w:t>
            </w:r>
          </w:p>
        </w:tc>
      </w:tr>
    </w:tbl>
    <w:p w:rsidR="0096724C" w:rsidRPr="003879F9" w:rsidRDefault="0096724C" w:rsidP="003879F9">
      <w:pPr>
        <w:spacing w:before="120"/>
        <w:ind w:left="180" w:right="1080" w:hanging="180"/>
        <w:rPr>
          <w:rFonts w:eastAsia="Calibri"/>
          <w:sz w:val="20"/>
          <w:szCs w:val="20"/>
        </w:rPr>
      </w:pPr>
      <w:r w:rsidRPr="003879F9">
        <w:rPr>
          <w:sz w:val="20"/>
          <w:szCs w:val="20"/>
        </w:rPr>
        <w:t>The 95% confidence level corresponds to an absolute t-statistic value of 1.96.</w:t>
      </w:r>
    </w:p>
    <w:p w:rsidR="007A0EED" w:rsidRDefault="0096724C" w:rsidP="003879F9">
      <w:pPr>
        <w:spacing w:after="120"/>
        <w:rPr>
          <w:b/>
        </w:rPr>
      </w:pPr>
      <w:r>
        <w:rPr>
          <w:b/>
        </w:rPr>
        <w:t xml:space="preserve"> </w:t>
      </w:r>
      <w:r>
        <w:rPr>
          <w:b/>
        </w:rPr>
        <w:br w:type="page"/>
      </w:r>
    </w:p>
    <w:p w:rsidR="007A0EED" w:rsidRDefault="007A0EED" w:rsidP="003879F9">
      <w:pPr>
        <w:spacing w:after="120"/>
        <w:rPr>
          <w:b/>
        </w:rPr>
      </w:pPr>
    </w:p>
    <w:p w:rsidR="005E7887" w:rsidRPr="005E7887" w:rsidRDefault="005E7887" w:rsidP="003879F9">
      <w:pPr>
        <w:spacing w:after="120"/>
        <w:rPr>
          <w:b/>
        </w:rPr>
      </w:pPr>
      <w:r w:rsidRPr="005E7887">
        <w:rPr>
          <w:b/>
        </w:rPr>
        <w:t xml:space="preserve">Table </w:t>
      </w:r>
      <w:r>
        <w:rPr>
          <w:b/>
        </w:rPr>
        <w:t>4</w:t>
      </w:r>
      <w:r w:rsidRPr="005E7887">
        <w:rPr>
          <w:b/>
        </w:rPr>
        <w:t xml:space="preserve">. </w:t>
      </w:r>
      <w:r>
        <w:rPr>
          <w:b/>
        </w:rPr>
        <w:t xml:space="preserve">Count </w:t>
      </w:r>
      <w:r w:rsidR="003B590A">
        <w:rPr>
          <w:b/>
        </w:rPr>
        <w:t xml:space="preserve">Data </w:t>
      </w:r>
      <w:r w:rsidRPr="005E7887">
        <w:rPr>
          <w:b/>
        </w:rPr>
        <w:t xml:space="preserve">Model </w:t>
      </w:r>
      <w:r>
        <w:rPr>
          <w:b/>
        </w:rPr>
        <w:t xml:space="preserve">Component </w:t>
      </w:r>
      <w:r w:rsidRPr="005E7887">
        <w:rPr>
          <w:b/>
        </w:rPr>
        <w:t>Results</w:t>
      </w:r>
    </w:p>
    <w:tbl>
      <w:tblPr>
        <w:tblW w:w="7920" w:type="dxa"/>
        <w:tblLook w:val="04A0" w:firstRow="1" w:lastRow="0" w:firstColumn="1" w:lastColumn="0" w:noHBand="0" w:noVBand="1"/>
      </w:tblPr>
      <w:tblGrid>
        <w:gridCol w:w="5328"/>
        <w:gridCol w:w="1296"/>
        <w:gridCol w:w="1296"/>
      </w:tblGrid>
      <w:tr w:rsidR="005E7887" w:rsidRPr="005E7887" w:rsidTr="003879F9">
        <w:trPr>
          <w:trHeight w:val="432"/>
        </w:trPr>
        <w:tc>
          <w:tcPr>
            <w:tcW w:w="5328" w:type="dxa"/>
            <w:tcBorders>
              <w:top w:val="double" w:sz="6" w:space="0" w:color="auto"/>
              <w:left w:val="double" w:sz="6" w:space="0" w:color="auto"/>
              <w:bottom w:val="double" w:sz="4" w:space="0" w:color="auto"/>
              <w:right w:val="double" w:sz="6" w:space="0" w:color="auto"/>
            </w:tcBorders>
            <w:shd w:val="clear" w:color="auto" w:fill="FFFFFF"/>
            <w:noWrap/>
            <w:vAlign w:val="center"/>
          </w:tcPr>
          <w:p w:rsidR="005E7887" w:rsidRPr="005E7887" w:rsidRDefault="005E7887" w:rsidP="003879F9">
            <w:pPr>
              <w:rPr>
                <w:color w:val="000000"/>
              </w:rPr>
            </w:pPr>
            <w:r w:rsidRPr="005E7887">
              <w:rPr>
                <w:color w:val="000000"/>
              </w:rPr>
              <w:t>Variable</w:t>
            </w:r>
          </w:p>
        </w:tc>
        <w:tc>
          <w:tcPr>
            <w:tcW w:w="1296" w:type="dxa"/>
            <w:tcBorders>
              <w:top w:val="double" w:sz="6" w:space="0" w:color="auto"/>
              <w:left w:val="nil"/>
              <w:bottom w:val="double" w:sz="4" w:space="0" w:color="auto"/>
              <w:right w:val="single" w:sz="4" w:space="0" w:color="auto"/>
            </w:tcBorders>
            <w:shd w:val="clear" w:color="auto" w:fill="FFFFFF"/>
            <w:noWrap/>
            <w:vAlign w:val="center"/>
          </w:tcPr>
          <w:p w:rsidR="005E7887" w:rsidRPr="005E7887" w:rsidRDefault="005E7887" w:rsidP="003879F9">
            <w:pPr>
              <w:tabs>
                <w:tab w:val="decimal" w:pos="217"/>
              </w:tabs>
              <w:jc w:val="center"/>
              <w:rPr>
                <w:color w:val="000000"/>
              </w:rPr>
            </w:pPr>
            <w:r w:rsidRPr="005E7887">
              <w:rPr>
                <w:color w:val="000000"/>
              </w:rPr>
              <w:t>Estimate</w:t>
            </w:r>
          </w:p>
        </w:tc>
        <w:tc>
          <w:tcPr>
            <w:tcW w:w="1296" w:type="dxa"/>
            <w:tcBorders>
              <w:top w:val="double" w:sz="6" w:space="0" w:color="auto"/>
              <w:left w:val="nil"/>
              <w:bottom w:val="double" w:sz="4" w:space="0" w:color="auto"/>
              <w:right w:val="double" w:sz="6" w:space="0" w:color="auto"/>
            </w:tcBorders>
            <w:shd w:val="clear" w:color="auto" w:fill="FFFFFF"/>
            <w:noWrap/>
            <w:vAlign w:val="center"/>
          </w:tcPr>
          <w:p w:rsidR="005E7887" w:rsidRPr="005E7887" w:rsidRDefault="005E7887" w:rsidP="003879F9">
            <w:pPr>
              <w:tabs>
                <w:tab w:val="decimal" w:pos="217"/>
              </w:tabs>
              <w:jc w:val="center"/>
              <w:rPr>
                <w:color w:val="000000"/>
              </w:rPr>
            </w:pPr>
            <w:r w:rsidRPr="005E7887">
              <w:rPr>
                <w:color w:val="000000"/>
              </w:rPr>
              <w:t>t-stat.</w:t>
            </w:r>
          </w:p>
        </w:tc>
      </w:tr>
      <w:tr w:rsidR="005E7887" w:rsidRPr="005E7887" w:rsidTr="003879F9">
        <w:trPr>
          <w:trHeight w:val="432"/>
        </w:trPr>
        <w:tc>
          <w:tcPr>
            <w:tcW w:w="5328" w:type="dxa"/>
            <w:tcBorders>
              <w:top w:val="double" w:sz="4" w:space="0" w:color="auto"/>
              <w:left w:val="double" w:sz="6" w:space="0" w:color="auto"/>
              <w:bottom w:val="nil"/>
              <w:right w:val="double" w:sz="6" w:space="0" w:color="auto"/>
            </w:tcBorders>
            <w:shd w:val="clear" w:color="auto" w:fill="FFFFFF"/>
            <w:noWrap/>
            <w:vAlign w:val="center"/>
            <w:hideMark/>
          </w:tcPr>
          <w:p w:rsidR="005E7887" w:rsidRPr="005E7887" w:rsidRDefault="005E7887" w:rsidP="003879F9">
            <w:pPr>
              <w:ind w:left="6"/>
              <w:rPr>
                <w:color w:val="000000"/>
              </w:rPr>
            </w:pPr>
            <w:r w:rsidRPr="005E7887">
              <w:rPr>
                <w:position w:val="-12"/>
              </w:rPr>
              <w:object w:dxaOrig="300" w:dyaOrig="360" w14:anchorId="544B8612">
                <v:shape id="_x0000_i1303" type="#_x0000_t75" style="width:15pt;height:18pt" o:ole="">
                  <v:imagedata r:id="rId537" o:title=""/>
                </v:shape>
                <o:OLEObject Type="Embed" ProgID="Equation.DSMT4" ShapeID="_x0000_i1303" DrawAspect="Content" ObjectID="_1722174449" r:id="rId538"/>
              </w:object>
            </w:r>
          </w:p>
        </w:tc>
        <w:tc>
          <w:tcPr>
            <w:tcW w:w="1296" w:type="dxa"/>
            <w:tcBorders>
              <w:top w:val="double" w:sz="4" w:space="0" w:color="auto"/>
              <w:left w:val="nil"/>
              <w:bottom w:val="nil"/>
              <w:right w:val="single" w:sz="4" w:space="0" w:color="auto"/>
            </w:tcBorders>
            <w:shd w:val="clear" w:color="auto" w:fill="FFFFFF"/>
            <w:noWrap/>
            <w:vAlign w:val="center"/>
          </w:tcPr>
          <w:p w:rsidR="005E7887" w:rsidRPr="005E7887" w:rsidRDefault="003C2AE5" w:rsidP="00A878AA">
            <w:pPr>
              <w:tabs>
                <w:tab w:val="decimal" w:pos="390"/>
              </w:tabs>
              <w:rPr>
                <w:color w:val="000000"/>
              </w:rPr>
            </w:pPr>
            <w:r>
              <w:rPr>
                <w:color w:val="000000"/>
              </w:rPr>
              <w:t xml:space="preserve">  </w:t>
            </w:r>
            <w:r w:rsidR="00125401">
              <w:rPr>
                <w:color w:val="000000"/>
              </w:rPr>
              <w:t>9.675</w:t>
            </w:r>
          </w:p>
        </w:tc>
        <w:tc>
          <w:tcPr>
            <w:tcW w:w="1296" w:type="dxa"/>
            <w:tcBorders>
              <w:top w:val="double" w:sz="4" w:space="0" w:color="auto"/>
              <w:left w:val="nil"/>
              <w:bottom w:val="nil"/>
              <w:right w:val="double" w:sz="6" w:space="0" w:color="auto"/>
            </w:tcBorders>
            <w:shd w:val="clear" w:color="auto" w:fill="FFFFFF"/>
            <w:noWrap/>
            <w:vAlign w:val="center"/>
          </w:tcPr>
          <w:p w:rsidR="005E7887" w:rsidRPr="005E7887" w:rsidRDefault="003C2AE5" w:rsidP="00A878AA">
            <w:pPr>
              <w:tabs>
                <w:tab w:val="decimal" w:pos="447"/>
              </w:tabs>
              <w:rPr>
                <w:color w:val="000000"/>
              </w:rPr>
            </w:pPr>
            <w:r>
              <w:rPr>
                <w:color w:val="000000"/>
              </w:rPr>
              <w:t>3</w:t>
            </w:r>
            <w:r w:rsidR="00125401">
              <w:rPr>
                <w:color w:val="000000"/>
              </w:rPr>
              <w:t>2</w:t>
            </w:r>
            <w:r>
              <w:rPr>
                <w:color w:val="000000"/>
              </w:rPr>
              <w:t>.</w:t>
            </w:r>
            <w:r w:rsidR="00125401">
              <w:rPr>
                <w:color w:val="000000"/>
              </w:rPr>
              <w:t>6</w:t>
            </w:r>
            <w:r>
              <w:rPr>
                <w:color w:val="000000"/>
              </w:rPr>
              <w:t>2</w:t>
            </w:r>
          </w:p>
        </w:tc>
      </w:tr>
      <w:tr w:rsidR="005E7887" w:rsidRPr="005E7887" w:rsidTr="003879F9">
        <w:trPr>
          <w:trHeight w:val="432"/>
        </w:trPr>
        <w:tc>
          <w:tcPr>
            <w:tcW w:w="5328" w:type="dxa"/>
            <w:tcBorders>
              <w:top w:val="nil"/>
              <w:left w:val="double" w:sz="6" w:space="0" w:color="auto"/>
              <w:bottom w:val="nil"/>
              <w:right w:val="double" w:sz="6" w:space="0" w:color="auto"/>
            </w:tcBorders>
            <w:shd w:val="clear" w:color="auto" w:fill="FFFFFF"/>
            <w:noWrap/>
            <w:vAlign w:val="center"/>
          </w:tcPr>
          <w:p w:rsidR="005E7887" w:rsidRPr="005E7887" w:rsidRDefault="005E7887" w:rsidP="003879F9">
            <w:pPr>
              <w:ind w:left="6"/>
              <w:rPr>
                <w:color w:val="000000"/>
              </w:rPr>
            </w:pPr>
            <w:r w:rsidRPr="005E7887">
              <w:rPr>
                <w:position w:val="-12"/>
              </w:rPr>
              <w:object w:dxaOrig="279" w:dyaOrig="360" w14:anchorId="70633FC5">
                <v:shape id="_x0000_i1304" type="#_x0000_t75" style="width:14.55pt;height:18pt" o:ole="">
                  <v:imagedata r:id="rId539" o:title=""/>
                </v:shape>
                <o:OLEObject Type="Embed" ProgID="Equation.DSMT4" ShapeID="_x0000_i1304" DrawAspect="Content" ObjectID="_1722174450" r:id="rId540"/>
              </w:object>
            </w:r>
          </w:p>
        </w:tc>
        <w:tc>
          <w:tcPr>
            <w:tcW w:w="1296" w:type="dxa"/>
            <w:tcBorders>
              <w:top w:val="nil"/>
              <w:left w:val="nil"/>
              <w:bottom w:val="nil"/>
              <w:right w:val="single" w:sz="4" w:space="0" w:color="auto"/>
            </w:tcBorders>
            <w:shd w:val="clear" w:color="auto" w:fill="FFFFFF"/>
            <w:noWrap/>
            <w:vAlign w:val="center"/>
          </w:tcPr>
          <w:p w:rsidR="005E7887" w:rsidRPr="005E7887" w:rsidRDefault="003B590A" w:rsidP="00A878AA">
            <w:pPr>
              <w:tabs>
                <w:tab w:val="decimal" w:pos="390"/>
              </w:tabs>
              <w:rPr>
                <w:color w:val="000000"/>
              </w:rPr>
            </w:pPr>
            <w:r>
              <w:rPr>
                <w:color w:val="000000"/>
              </w:rPr>
              <w:t xml:space="preserve">  </w:t>
            </w:r>
            <w:r w:rsidR="003C2AE5">
              <w:rPr>
                <w:color w:val="000000"/>
              </w:rPr>
              <w:t>0.</w:t>
            </w:r>
            <w:r w:rsidR="00125401">
              <w:rPr>
                <w:color w:val="000000"/>
              </w:rPr>
              <w:t>516</w:t>
            </w:r>
          </w:p>
        </w:tc>
        <w:tc>
          <w:tcPr>
            <w:tcW w:w="1296" w:type="dxa"/>
            <w:tcBorders>
              <w:top w:val="nil"/>
              <w:left w:val="nil"/>
              <w:bottom w:val="nil"/>
              <w:right w:val="double" w:sz="6" w:space="0" w:color="auto"/>
            </w:tcBorders>
            <w:shd w:val="clear" w:color="auto" w:fill="FFFFFF"/>
            <w:noWrap/>
            <w:vAlign w:val="center"/>
          </w:tcPr>
          <w:p w:rsidR="005E7887" w:rsidRPr="005E7887" w:rsidRDefault="00125401" w:rsidP="00A878AA">
            <w:pPr>
              <w:tabs>
                <w:tab w:val="decimal" w:pos="447"/>
              </w:tabs>
              <w:rPr>
                <w:color w:val="000000"/>
              </w:rPr>
            </w:pPr>
            <w:r>
              <w:rPr>
                <w:color w:val="000000"/>
              </w:rPr>
              <w:t>8.80</w:t>
            </w:r>
          </w:p>
        </w:tc>
      </w:tr>
      <w:tr w:rsidR="005E7887" w:rsidRPr="005E7887" w:rsidTr="003879F9">
        <w:trPr>
          <w:trHeight w:val="432"/>
        </w:trPr>
        <w:tc>
          <w:tcPr>
            <w:tcW w:w="5328" w:type="dxa"/>
            <w:tcBorders>
              <w:top w:val="nil"/>
              <w:left w:val="double" w:sz="6" w:space="0" w:color="auto"/>
              <w:bottom w:val="nil"/>
              <w:right w:val="double" w:sz="6" w:space="0" w:color="auto"/>
            </w:tcBorders>
            <w:shd w:val="clear" w:color="auto" w:fill="FFFFFF"/>
            <w:noWrap/>
            <w:vAlign w:val="center"/>
            <w:hideMark/>
          </w:tcPr>
          <w:p w:rsidR="005E7887" w:rsidRPr="005E7887" w:rsidRDefault="005E7887" w:rsidP="003879F9">
            <w:pPr>
              <w:ind w:left="6"/>
              <w:rPr>
                <w:color w:val="000000"/>
              </w:rPr>
            </w:pPr>
            <w:r>
              <w:rPr>
                <w:color w:val="000000"/>
              </w:rPr>
              <w:t>Constant</w:t>
            </w:r>
          </w:p>
        </w:tc>
        <w:tc>
          <w:tcPr>
            <w:tcW w:w="1296" w:type="dxa"/>
            <w:tcBorders>
              <w:top w:val="nil"/>
              <w:left w:val="nil"/>
              <w:bottom w:val="nil"/>
              <w:right w:val="single" w:sz="4" w:space="0" w:color="auto"/>
            </w:tcBorders>
            <w:shd w:val="clear" w:color="auto" w:fill="FFFFFF"/>
            <w:noWrap/>
            <w:vAlign w:val="center"/>
            <w:hideMark/>
          </w:tcPr>
          <w:p w:rsidR="005E7887" w:rsidRPr="005E7887" w:rsidRDefault="005E7887" w:rsidP="00A878AA">
            <w:pPr>
              <w:tabs>
                <w:tab w:val="decimal" w:pos="390"/>
              </w:tabs>
              <w:rPr>
                <w:color w:val="000000"/>
              </w:rPr>
            </w:pPr>
            <w:r w:rsidRPr="005E7887">
              <w:rPr>
                <w:color w:val="000000"/>
              </w:rPr>
              <w:t xml:space="preserve"> </w:t>
            </w:r>
            <w:r w:rsidR="00125401">
              <w:rPr>
                <w:color w:val="000000"/>
              </w:rPr>
              <w:t xml:space="preserve"> 0.016</w:t>
            </w:r>
          </w:p>
        </w:tc>
        <w:tc>
          <w:tcPr>
            <w:tcW w:w="1296" w:type="dxa"/>
            <w:tcBorders>
              <w:top w:val="nil"/>
              <w:left w:val="nil"/>
              <w:bottom w:val="nil"/>
              <w:right w:val="double" w:sz="6" w:space="0" w:color="auto"/>
            </w:tcBorders>
            <w:shd w:val="clear" w:color="auto" w:fill="FFFFFF"/>
            <w:noWrap/>
            <w:vAlign w:val="center"/>
            <w:hideMark/>
          </w:tcPr>
          <w:p w:rsidR="005E7887" w:rsidRPr="005E7887" w:rsidRDefault="00125401" w:rsidP="00A878AA">
            <w:pPr>
              <w:tabs>
                <w:tab w:val="decimal" w:pos="447"/>
              </w:tabs>
              <w:rPr>
                <w:color w:val="000000"/>
              </w:rPr>
            </w:pPr>
            <w:r>
              <w:rPr>
                <w:color w:val="000000"/>
              </w:rPr>
              <w:t xml:space="preserve"> 0.28</w:t>
            </w:r>
          </w:p>
        </w:tc>
      </w:tr>
      <w:tr w:rsidR="003C2AE5" w:rsidRPr="005E7887" w:rsidTr="003879F9">
        <w:trPr>
          <w:trHeight w:val="432"/>
        </w:trPr>
        <w:tc>
          <w:tcPr>
            <w:tcW w:w="5328" w:type="dxa"/>
            <w:tcBorders>
              <w:top w:val="nil"/>
              <w:left w:val="double" w:sz="6" w:space="0" w:color="auto"/>
              <w:bottom w:val="nil"/>
              <w:right w:val="double" w:sz="6" w:space="0" w:color="auto"/>
            </w:tcBorders>
            <w:shd w:val="clear" w:color="auto" w:fill="FFFFFF"/>
            <w:noWrap/>
            <w:vAlign w:val="center"/>
          </w:tcPr>
          <w:p w:rsidR="003C2AE5" w:rsidRDefault="003C2AE5" w:rsidP="003879F9">
            <w:pPr>
              <w:rPr>
                <w:color w:val="000000"/>
              </w:rPr>
            </w:pPr>
            <w:r>
              <w:rPr>
                <w:color w:val="000000"/>
              </w:rPr>
              <w:t>Family Structure (nuclear</w:t>
            </w:r>
            <w:r w:rsidR="007A0EED">
              <w:rPr>
                <w:color w:val="000000"/>
              </w:rPr>
              <w:t>/</w:t>
            </w:r>
            <w:r>
              <w:rPr>
                <w:color w:val="000000"/>
              </w:rPr>
              <w:t>joint</w:t>
            </w:r>
            <w:r w:rsidR="007A0EED">
              <w:rPr>
                <w:color w:val="000000"/>
              </w:rPr>
              <w:t xml:space="preserve"> </w:t>
            </w:r>
            <w:r>
              <w:rPr>
                <w:color w:val="000000"/>
              </w:rPr>
              <w:t xml:space="preserve">family </w:t>
            </w:r>
            <w:r w:rsidR="007A0EED">
              <w:rPr>
                <w:color w:val="000000"/>
              </w:rPr>
              <w:t xml:space="preserve">is </w:t>
            </w:r>
            <w:r>
              <w:rPr>
                <w:color w:val="000000"/>
              </w:rPr>
              <w:t>base)</w:t>
            </w:r>
          </w:p>
        </w:tc>
        <w:tc>
          <w:tcPr>
            <w:tcW w:w="1296" w:type="dxa"/>
            <w:tcBorders>
              <w:top w:val="nil"/>
              <w:left w:val="nil"/>
              <w:bottom w:val="nil"/>
              <w:right w:val="single" w:sz="4" w:space="0" w:color="auto"/>
            </w:tcBorders>
            <w:shd w:val="clear" w:color="auto" w:fill="FFFFFF"/>
            <w:noWrap/>
            <w:vAlign w:val="center"/>
          </w:tcPr>
          <w:p w:rsidR="003C2AE5" w:rsidRPr="005E7887" w:rsidRDefault="003C2AE5" w:rsidP="00A878AA">
            <w:pPr>
              <w:tabs>
                <w:tab w:val="decimal" w:pos="390"/>
              </w:tabs>
              <w:rPr>
                <w:color w:val="000000"/>
              </w:rPr>
            </w:pPr>
          </w:p>
        </w:tc>
        <w:tc>
          <w:tcPr>
            <w:tcW w:w="1296" w:type="dxa"/>
            <w:tcBorders>
              <w:top w:val="nil"/>
              <w:left w:val="nil"/>
              <w:bottom w:val="nil"/>
              <w:right w:val="double" w:sz="6" w:space="0" w:color="auto"/>
            </w:tcBorders>
            <w:shd w:val="clear" w:color="auto" w:fill="FFFFFF"/>
            <w:noWrap/>
            <w:vAlign w:val="center"/>
          </w:tcPr>
          <w:p w:rsidR="003C2AE5" w:rsidRPr="005E7887" w:rsidRDefault="003C2AE5" w:rsidP="00A878AA">
            <w:pPr>
              <w:tabs>
                <w:tab w:val="decimal" w:pos="447"/>
              </w:tabs>
              <w:rPr>
                <w:color w:val="000000"/>
              </w:rPr>
            </w:pPr>
          </w:p>
        </w:tc>
      </w:tr>
      <w:tr w:rsidR="005E7887" w:rsidRPr="005E7887" w:rsidTr="003879F9">
        <w:trPr>
          <w:trHeight w:val="432"/>
        </w:trPr>
        <w:tc>
          <w:tcPr>
            <w:tcW w:w="5328" w:type="dxa"/>
            <w:tcBorders>
              <w:top w:val="nil"/>
              <w:left w:val="double" w:sz="6" w:space="0" w:color="auto"/>
              <w:bottom w:val="nil"/>
              <w:right w:val="double" w:sz="6" w:space="0" w:color="auto"/>
            </w:tcBorders>
            <w:shd w:val="clear" w:color="auto" w:fill="FFFFFF"/>
            <w:noWrap/>
            <w:vAlign w:val="center"/>
            <w:hideMark/>
          </w:tcPr>
          <w:p w:rsidR="005E7887" w:rsidRPr="005E7887" w:rsidRDefault="005E7887" w:rsidP="003879F9">
            <w:pPr>
              <w:ind w:left="456"/>
              <w:rPr>
                <w:color w:val="000000"/>
              </w:rPr>
            </w:pPr>
            <w:r>
              <w:rPr>
                <w:color w:val="000000"/>
              </w:rPr>
              <w:t>Single person household</w:t>
            </w:r>
          </w:p>
        </w:tc>
        <w:tc>
          <w:tcPr>
            <w:tcW w:w="1296" w:type="dxa"/>
            <w:tcBorders>
              <w:top w:val="nil"/>
              <w:left w:val="nil"/>
              <w:bottom w:val="nil"/>
              <w:right w:val="single" w:sz="4" w:space="0" w:color="auto"/>
            </w:tcBorders>
            <w:shd w:val="clear" w:color="auto" w:fill="FFFFFF"/>
            <w:noWrap/>
            <w:vAlign w:val="center"/>
            <w:hideMark/>
          </w:tcPr>
          <w:p w:rsidR="005E7887" w:rsidRPr="005E7887" w:rsidRDefault="003C2AE5" w:rsidP="00A878AA">
            <w:pPr>
              <w:tabs>
                <w:tab w:val="decimal" w:pos="390"/>
              </w:tabs>
              <w:rPr>
                <w:color w:val="000000"/>
              </w:rPr>
            </w:pPr>
            <w:r>
              <w:rPr>
                <w:color w:val="000000"/>
              </w:rPr>
              <w:t xml:space="preserve">  0.</w:t>
            </w:r>
            <w:r w:rsidR="00ED0311">
              <w:rPr>
                <w:color w:val="000000"/>
              </w:rPr>
              <w:t>549</w:t>
            </w:r>
          </w:p>
        </w:tc>
        <w:tc>
          <w:tcPr>
            <w:tcW w:w="1296" w:type="dxa"/>
            <w:tcBorders>
              <w:top w:val="nil"/>
              <w:left w:val="nil"/>
              <w:bottom w:val="nil"/>
              <w:right w:val="double" w:sz="6" w:space="0" w:color="auto"/>
            </w:tcBorders>
            <w:shd w:val="clear" w:color="auto" w:fill="FFFFFF"/>
            <w:noWrap/>
            <w:vAlign w:val="center"/>
            <w:hideMark/>
          </w:tcPr>
          <w:p w:rsidR="005E7887" w:rsidRPr="005E7887" w:rsidRDefault="00ED0311" w:rsidP="00A878AA">
            <w:pPr>
              <w:tabs>
                <w:tab w:val="decimal" w:pos="447"/>
              </w:tabs>
              <w:rPr>
                <w:color w:val="000000"/>
              </w:rPr>
            </w:pPr>
            <w:r>
              <w:rPr>
                <w:color w:val="000000"/>
              </w:rPr>
              <w:t>8.70</w:t>
            </w:r>
          </w:p>
        </w:tc>
      </w:tr>
      <w:tr w:rsidR="005E7887" w:rsidRPr="005E7887" w:rsidTr="003879F9">
        <w:trPr>
          <w:trHeight w:val="432"/>
        </w:trPr>
        <w:tc>
          <w:tcPr>
            <w:tcW w:w="5328" w:type="dxa"/>
            <w:tcBorders>
              <w:top w:val="nil"/>
              <w:left w:val="double" w:sz="6" w:space="0" w:color="auto"/>
              <w:bottom w:val="nil"/>
              <w:right w:val="double" w:sz="6" w:space="0" w:color="auto"/>
            </w:tcBorders>
            <w:shd w:val="clear" w:color="auto" w:fill="FFFFFF"/>
            <w:noWrap/>
            <w:vAlign w:val="center"/>
            <w:hideMark/>
          </w:tcPr>
          <w:p w:rsidR="005E7887" w:rsidRPr="005E7887" w:rsidRDefault="005E7887" w:rsidP="003879F9">
            <w:pPr>
              <w:ind w:left="456"/>
              <w:rPr>
                <w:color w:val="000000"/>
              </w:rPr>
            </w:pPr>
            <w:r>
              <w:rPr>
                <w:color w:val="000000"/>
              </w:rPr>
              <w:t>Couple family household</w:t>
            </w:r>
          </w:p>
        </w:tc>
        <w:tc>
          <w:tcPr>
            <w:tcW w:w="1296" w:type="dxa"/>
            <w:tcBorders>
              <w:top w:val="nil"/>
              <w:left w:val="nil"/>
              <w:bottom w:val="nil"/>
              <w:right w:val="single" w:sz="4" w:space="0" w:color="auto"/>
            </w:tcBorders>
            <w:shd w:val="clear" w:color="auto" w:fill="FFFFFF"/>
            <w:noWrap/>
            <w:vAlign w:val="center"/>
            <w:hideMark/>
          </w:tcPr>
          <w:p w:rsidR="005E7887" w:rsidRPr="005E7887" w:rsidRDefault="003C2AE5" w:rsidP="00A878AA">
            <w:pPr>
              <w:tabs>
                <w:tab w:val="decimal" w:pos="390"/>
              </w:tabs>
              <w:rPr>
                <w:color w:val="000000"/>
              </w:rPr>
            </w:pPr>
            <w:r>
              <w:rPr>
                <w:color w:val="000000"/>
              </w:rPr>
              <w:t xml:space="preserve">  0.2</w:t>
            </w:r>
            <w:r w:rsidR="00ED0311">
              <w:rPr>
                <w:color w:val="000000"/>
              </w:rPr>
              <w:t>22</w:t>
            </w:r>
          </w:p>
        </w:tc>
        <w:tc>
          <w:tcPr>
            <w:tcW w:w="1296" w:type="dxa"/>
            <w:tcBorders>
              <w:top w:val="nil"/>
              <w:left w:val="nil"/>
              <w:bottom w:val="nil"/>
              <w:right w:val="double" w:sz="6" w:space="0" w:color="auto"/>
            </w:tcBorders>
            <w:shd w:val="clear" w:color="auto" w:fill="FFFFFF"/>
            <w:noWrap/>
            <w:vAlign w:val="center"/>
            <w:hideMark/>
          </w:tcPr>
          <w:p w:rsidR="005E7887" w:rsidRPr="005E7887" w:rsidRDefault="003C2AE5" w:rsidP="00A878AA">
            <w:pPr>
              <w:tabs>
                <w:tab w:val="decimal" w:pos="447"/>
              </w:tabs>
              <w:rPr>
                <w:color w:val="000000"/>
              </w:rPr>
            </w:pPr>
            <w:r>
              <w:rPr>
                <w:color w:val="000000"/>
              </w:rPr>
              <w:t>4.</w:t>
            </w:r>
            <w:r w:rsidR="00ED0311">
              <w:rPr>
                <w:color w:val="000000"/>
              </w:rPr>
              <w:t>4</w:t>
            </w:r>
            <w:r>
              <w:rPr>
                <w:color w:val="000000"/>
              </w:rPr>
              <w:t>2</w:t>
            </w:r>
          </w:p>
        </w:tc>
      </w:tr>
      <w:tr w:rsidR="005E7887" w:rsidRPr="005E7887" w:rsidTr="003879F9">
        <w:trPr>
          <w:trHeight w:val="432"/>
        </w:trPr>
        <w:tc>
          <w:tcPr>
            <w:tcW w:w="5328" w:type="dxa"/>
            <w:tcBorders>
              <w:top w:val="nil"/>
              <w:left w:val="double" w:sz="6" w:space="0" w:color="auto"/>
              <w:bottom w:val="nil"/>
              <w:right w:val="double" w:sz="6" w:space="0" w:color="auto"/>
            </w:tcBorders>
            <w:shd w:val="clear" w:color="auto" w:fill="FFFFFF"/>
            <w:noWrap/>
            <w:vAlign w:val="center"/>
            <w:hideMark/>
          </w:tcPr>
          <w:p w:rsidR="005E7887" w:rsidRPr="005E7887" w:rsidRDefault="005E7887" w:rsidP="003879F9">
            <w:pPr>
              <w:ind w:left="456"/>
              <w:rPr>
                <w:color w:val="000000"/>
              </w:rPr>
            </w:pPr>
            <w:r>
              <w:rPr>
                <w:color w:val="000000"/>
              </w:rPr>
              <w:t>Single parent household</w:t>
            </w:r>
          </w:p>
        </w:tc>
        <w:tc>
          <w:tcPr>
            <w:tcW w:w="1296" w:type="dxa"/>
            <w:tcBorders>
              <w:top w:val="nil"/>
              <w:left w:val="nil"/>
              <w:bottom w:val="nil"/>
              <w:right w:val="single" w:sz="4" w:space="0" w:color="auto"/>
            </w:tcBorders>
            <w:shd w:val="clear" w:color="auto" w:fill="FFFFFF"/>
            <w:noWrap/>
            <w:vAlign w:val="center"/>
            <w:hideMark/>
          </w:tcPr>
          <w:p w:rsidR="005E7887" w:rsidRPr="005E7887" w:rsidRDefault="003C2AE5" w:rsidP="00A878AA">
            <w:pPr>
              <w:tabs>
                <w:tab w:val="decimal" w:pos="390"/>
              </w:tabs>
              <w:rPr>
                <w:color w:val="000000"/>
              </w:rPr>
            </w:pPr>
            <w:r>
              <w:rPr>
                <w:color w:val="000000"/>
              </w:rPr>
              <w:t xml:space="preserve"> </w:t>
            </w:r>
            <w:r w:rsidR="005E7887" w:rsidRPr="005E7887">
              <w:rPr>
                <w:color w:val="000000"/>
              </w:rPr>
              <w:t xml:space="preserve"> 0.</w:t>
            </w:r>
            <w:r w:rsidR="00ED0311">
              <w:rPr>
                <w:color w:val="000000"/>
              </w:rPr>
              <w:t>222</w:t>
            </w:r>
          </w:p>
        </w:tc>
        <w:tc>
          <w:tcPr>
            <w:tcW w:w="1296" w:type="dxa"/>
            <w:tcBorders>
              <w:top w:val="nil"/>
              <w:left w:val="nil"/>
              <w:bottom w:val="nil"/>
              <w:right w:val="double" w:sz="6" w:space="0" w:color="auto"/>
            </w:tcBorders>
            <w:shd w:val="clear" w:color="auto" w:fill="FFFFFF"/>
            <w:noWrap/>
            <w:vAlign w:val="center"/>
            <w:hideMark/>
          </w:tcPr>
          <w:p w:rsidR="005E7887" w:rsidRPr="005E7887" w:rsidRDefault="005E7887" w:rsidP="00A878AA">
            <w:pPr>
              <w:tabs>
                <w:tab w:val="decimal" w:pos="447"/>
              </w:tabs>
              <w:rPr>
                <w:color w:val="000000"/>
              </w:rPr>
            </w:pPr>
            <w:r w:rsidRPr="005E7887">
              <w:rPr>
                <w:color w:val="000000"/>
              </w:rPr>
              <w:t>3.</w:t>
            </w:r>
            <w:r w:rsidR="00ED0311">
              <w:rPr>
                <w:color w:val="000000"/>
              </w:rPr>
              <w:t>17</w:t>
            </w:r>
          </w:p>
        </w:tc>
      </w:tr>
      <w:tr w:rsidR="005E7887" w:rsidRPr="005E7887" w:rsidTr="003879F9">
        <w:trPr>
          <w:trHeight w:val="432"/>
        </w:trPr>
        <w:tc>
          <w:tcPr>
            <w:tcW w:w="5328" w:type="dxa"/>
            <w:tcBorders>
              <w:top w:val="nil"/>
              <w:left w:val="double" w:sz="6" w:space="0" w:color="auto"/>
              <w:right w:val="double" w:sz="6" w:space="0" w:color="auto"/>
            </w:tcBorders>
            <w:shd w:val="clear" w:color="auto" w:fill="FFFFFF"/>
            <w:noWrap/>
            <w:vAlign w:val="center"/>
            <w:hideMark/>
          </w:tcPr>
          <w:p w:rsidR="005E7887" w:rsidRPr="005E7887" w:rsidRDefault="003C2AE5" w:rsidP="003879F9">
            <w:pPr>
              <w:rPr>
                <w:color w:val="000000"/>
              </w:rPr>
            </w:pPr>
            <w:r>
              <w:rPr>
                <w:color w:val="000000"/>
              </w:rPr>
              <w:t>Age ≥</w:t>
            </w:r>
            <w:r w:rsidR="005E7887" w:rsidRPr="005E7887">
              <w:rPr>
                <w:color w:val="000000"/>
              </w:rPr>
              <w:t xml:space="preserve"> </w:t>
            </w:r>
            <w:r>
              <w:rPr>
                <w:color w:val="000000"/>
              </w:rPr>
              <w:t>48 years</w:t>
            </w:r>
          </w:p>
        </w:tc>
        <w:tc>
          <w:tcPr>
            <w:tcW w:w="1296" w:type="dxa"/>
            <w:tcBorders>
              <w:top w:val="nil"/>
              <w:left w:val="nil"/>
              <w:right w:val="single" w:sz="4" w:space="0" w:color="auto"/>
            </w:tcBorders>
            <w:shd w:val="clear" w:color="auto" w:fill="FFFFFF"/>
            <w:noWrap/>
            <w:vAlign w:val="center"/>
          </w:tcPr>
          <w:p w:rsidR="005E7887" w:rsidRPr="005E7887" w:rsidRDefault="003C2AE5" w:rsidP="00A878AA">
            <w:pPr>
              <w:tabs>
                <w:tab w:val="decimal" w:pos="390"/>
              </w:tabs>
              <w:rPr>
                <w:color w:val="000000"/>
              </w:rPr>
            </w:pPr>
            <w:r>
              <w:rPr>
                <w:color w:val="000000"/>
              </w:rPr>
              <w:t xml:space="preserve"> </w:t>
            </w:r>
            <w:r w:rsidR="00A878AA">
              <w:rPr>
                <w:color w:val="000000"/>
              </w:rPr>
              <w:t>–</w:t>
            </w:r>
            <w:r>
              <w:rPr>
                <w:color w:val="000000"/>
              </w:rPr>
              <w:t>0</w:t>
            </w:r>
            <w:r w:rsidR="00ED0311">
              <w:rPr>
                <w:color w:val="000000"/>
              </w:rPr>
              <w:t>.559</w:t>
            </w:r>
          </w:p>
        </w:tc>
        <w:tc>
          <w:tcPr>
            <w:tcW w:w="1296" w:type="dxa"/>
            <w:tcBorders>
              <w:top w:val="nil"/>
              <w:left w:val="nil"/>
              <w:right w:val="double" w:sz="6" w:space="0" w:color="auto"/>
            </w:tcBorders>
            <w:shd w:val="clear" w:color="auto" w:fill="FFFFFF"/>
            <w:noWrap/>
            <w:vAlign w:val="center"/>
          </w:tcPr>
          <w:p w:rsidR="005E7887" w:rsidRPr="005E7887" w:rsidRDefault="00A878AA" w:rsidP="00A878AA">
            <w:pPr>
              <w:tabs>
                <w:tab w:val="decimal" w:pos="447"/>
              </w:tabs>
              <w:rPr>
                <w:color w:val="000000"/>
              </w:rPr>
            </w:pPr>
            <w:r>
              <w:rPr>
                <w:color w:val="000000"/>
              </w:rPr>
              <w:t>–</w:t>
            </w:r>
            <w:r w:rsidR="00ED0311">
              <w:rPr>
                <w:color w:val="000000"/>
              </w:rPr>
              <w:t>9.58</w:t>
            </w:r>
          </w:p>
        </w:tc>
      </w:tr>
      <w:tr w:rsidR="005E7887" w:rsidRPr="005E7887" w:rsidTr="003879F9">
        <w:trPr>
          <w:trHeight w:val="432"/>
        </w:trPr>
        <w:tc>
          <w:tcPr>
            <w:tcW w:w="5328" w:type="dxa"/>
            <w:tcBorders>
              <w:top w:val="nil"/>
              <w:left w:val="double" w:sz="6" w:space="0" w:color="auto"/>
              <w:bottom w:val="double" w:sz="4" w:space="0" w:color="auto"/>
              <w:right w:val="double" w:sz="6" w:space="0" w:color="auto"/>
            </w:tcBorders>
            <w:shd w:val="clear" w:color="auto" w:fill="FFFFFF"/>
            <w:noWrap/>
            <w:vAlign w:val="center"/>
            <w:hideMark/>
          </w:tcPr>
          <w:p w:rsidR="005E7887" w:rsidRPr="005E7887" w:rsidRDefault="003C2AE5" w:rsidP="003879F9">
            <w:pPr>
              <w:rPr>
                <w:color w:val="000000"/>
              </w:rPr>
            </w:pPr>
            <w:r>
              <w:rPr>
                <w:color w:val="000000"/>
              </w:rPr>
              <w:t>Linkage parameter</w:t>
            </w:r>
          </w:p>
        </w:tc>
        <w:tc>
          <w:tcPr>
            <w:tcW w:w="1296" w:type="dxa"/>
            <w:tcBorders>
              <w:top w:val="nil"/>
              <w:left w:val="nil"/>
              <w:bottom w:val="double" w:sz="4" w:space="0" w:color="auto"/>
              <w:right w:val="single" w:sz="4" w:space="0" w:color="auto"/>
            </w:tcBorders>
            <w:shd w:val="clear" w:color="auto" w:fill="FFFFFF"/>
            <w:noWrap/>
            <w:vAlign w:val="center"/>
            <w:hideMark/>
          </w:tcPr>
          <w:p w:rsidR="005E7887" w:rsidRPr="005E7887" w:rsidRDefault="003C2AE5" w:rsidP="00A878AA">
            <w:pPr>
              <w:tabs>
                <w:tab w:val="decimal" w:pos="390"/>
              </w:tabs>
              <w:rPr>
                <w:color w:val="000000"/>
              </w:rPr>
            </w:pPr>
            <w:r>
              <w:rPr>
                <w:color w:val="000000"/>
              </w:rPr>
              <w:t xml:space="preserve"> </w:t>
            </w:r>
            <w:r w:rsidR="005E7887" w:rsidRPr="005E7887">
              <w:rPr>
                <w:color w:val="000000"/>
              </w:rPr>
              <w:t xml:space="preserve"> 0.</w:t>
            </w:r>
            <w:r>
              <w:rPr>
                <w:color w:val="000000"/>
              </w:rPr>
              <w:t>3</w:t>
            </w:r>
            <w:r w:rsidR="00ED0311">
              <w:rPr>
                <w:color w:val="000000"/>
              </w:rPr>
              <w:t>75</w:t>
            </w:r>
          </w:p>
        </w:tc>
        <w:tc>
          <w:tcPr>
            <w:tcW w:w="1296" w:type="dxa"/>
            <w:tcBorders>
              <w:top w:val="nil"/>
              <w:left w:val="nil"/>
              <w:bottom w:val="double" w:sz="4" w:space="0" w:color="auto"/>
              <w:right w:val="double" w:sz="6" w:space="0" w:color="auto"/>
            </w:tcBorders>
            <w:shd w:val="clear" w:color="auto" w:fill="FFFFFF"/>
            <w:noWrap/>
            <w:vAlign w:val="center"/>
            <w:hideMark/>
          </w:tcPr>
          <w:p w:rsidR="005E7887" w:rsidRPr="005E7887" w:rsidRDefault="003C2AE5" w:rsidP="00A878AA">
            <w:pPr>
              <w:tabs>
                <w:tab w:val="decimal" w:pos="447"/>
              </w:tabs>
              <w:rPr>
                <w:color w:val="000000"/>
              </w:rPr>
            </w:pPr>
            <w:r>
              <w:rPr>
                <w:color w:val="000000"/>
              </w:rPr>
              <w:t>1</w:t>
            </w:r>
            <w:r w:rsidR="00ED0311">
              <w:rPr>
                <w:color w:val="000000"/>
              </w:rPr>
              <w:t>8</w:t>
            </w:r>
            <w:r>
              <w:rPr>
                <w:color w:val="000000"/>
              </w:rPr>
              <w:t>.6</w:t>
            </w:r>
            <w:r w:rsidR="00ED0311">
              <w:rPr>
                <w:color w:val="000000"/>
              </w:rPr>
              <w:t>5</w:t>
            </w:r>
          </w:p>
        </w:tc>
      </w:tr>
    </w:tbl>
    <w:p w:rsidR="003879F9" w:rsidRDefault="003879F9" w:rsidP="003879F9">
      <w:pPr>
        <w:autoSpaceDE w:val="0"/>
        <w:autoSpaceDN w:val="0"/>
        <w:adjustRightInd w:val="0"/>
        <w:jc w:val="both"/>
        <w:rPr>
          <w:b/>
        </w:rPr>
      </w:pPr>
    </w:p>
    <w:p w:rsidR="003879F9" w:rsidRDefault="003879F9" w:rsidP="003879F9">
      <w:pPr>
        <w:autoSpaceDE w:val="0"/>
        <w:autoSpaceDN w:val="0"/>
        <w:adjustRightInd w:val="0"/>
        <w:jc w:val="both"/>
        <w:rPr>
          <w:b/>
        </w:rPr>
      </w:pPr>
    </w:p>
    <w:p w:rsidR="003879F9" w:rsidRDefault="003879F9" w:rsidP="003879F9">
      <w:pPr>
        <w:autoSpaceDE w:val="0"/>
        <w:autoSpaceDN w:val="0"/>
        <w:adjustRightInd w:val="0"/>
        <w:jc w:val="both"/>
        <w:rPr>
          <w:b/>
        </w:rPr>
      </w:pPr>
    </w:p>
    <w:p w:rsidR="003879F9" w:rsidRDefault="003879F9" w:rsidP="003879F9">
      <w:pPr>
        <w:autoSpaceDE w:val="0"/>
        <w:autoSpaceDN w:val="0"/>
        <w:adjustRightInd w:val="0"/>
        <w:jc w:val="both"/>
        <w:rPr>
          <w:b/>
        </w:rPr>
      </w:pPr>
    </w:p>
    <w:p w:rsidR="003879F9" w:rsidRDefault="00026A67" w:rsidP="003879F9">
      <w:pPr>
        <w:autoSpaceDE w:val="0"/>
        <w:autoSpaceDN w:val="0"/>
        <w:adjustRightInd w:val="0"/>
        <w:spacing w:after="120"/>
        <w:jc w:val="both"/>
        <w:rPr>
          <w:b/>
        </w:rPr>
      </w:pPr>
      <w:r w:rsidRPr="004035E1">
        <w:rPr>
          <w:b/>
        </w:rPr>
        <w:t xml:space="preserve">Table </w:t>
      </w:r>
      <w:r>
        <w:rPr>
          <w:b/>
        </w:rPr>
        <w:t>5</w:t>
      </w:r>
      <w:r w:rsidRPr="004035E1">
        <w:rPr>
          <w:b/>
        </w:rPr>
        <w:t xml:space="preserve">. </w:t>
      </w:r>
      <w:r>
        <w:rPr>
          <w:b/>
        </w:rPr>
        <w:t>Percentage Shifts in Total Visit Counts Due to a 15% Travel Cost Reduction to Northland and Wellington</w:t>
      </w:r>
      <w:r w:rsidR="00D26A36">
        <w:rPr>
          <w:b/>
        </w:rPr>
        <w:t xml:space="preserve"> (numbers in parenthesis are 95% confidence bounds)</w:t>
      </w:r>
    </w:p>
    <w:tbl>
      <w:tblPr>
        <w:tblW w:w="9517"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3118"/>
        <w:gridCol w:w="3249"/>
        <w:gridCol w:w="3150"/>
      </w:tblGrid>
      <w:tr w:rsidR="003879F9" w:rsidRPr="004035E1" w:rsidTr="00D26A36">
        <w:trPr>
          <w:trHeight w:val="315"/>
        </w:trPr>
        <w:tc>
          <w:tcPr>
            <w:tcW w:w="3118" w:type="dxa"/>
            <w:tcBorders>
              <w:top w:val="double" w:sz="6" w:space="0" w:color="auto"/>
              <w:right w:val="double" w:sz="6" w:space="0" w:color="auto"/>
            </w:tcBorders>
            <w:shd w:val="clear" w:color="auto" w:fill="auto"/>
            <w:noWrap/>
            <w:tcMar>
              <w:left w:w="58" w:type="dxa"/>
              <w:right w:w="58" w:type="dxa"/>
            </w:tcMar>
            <w:vAlign w:val="center"/>
          </w:tcPr>
          <w:p w:rsidR="003879F9" w:rsidRPr="004035E1" w:rsidRDefault="003879F9" w:rsidP="003879F9">
            <w:pPr>
              <w:jc w:val="both"/>
              <w:rPr>
                <w:color w:val="000000"/>
              </w:rPr>
            </w:pPr>
            <w:r w:rsidRPr="004035E1">
              <w:rPr>
                <w:color w:val="000000"/>
              </w:rPr>
              <w:t>Destination Region</w:t>
            </w:r>
          </w:p>
        </w:tc>
        <w:tc>
          <w:tcPr>
            <w:tcW w:w="3249" w:type="dxa"/>
            <w:tcBorders>
              <w:top w:val="double" w:sz="6" w:space="0" w:color="auto"/>
              <w:bottom w:val="single" w:sz="4" w:space="0" w:color="auto"/>
            </w:tcBorders>
          </w:tcPr>
          <w:p w:rsidR="00D26A36" w:rsidRDefault="003879F9" w:rsidP="003879F9">
            <w:pPr>
              <w:jc w:val="center"/>
              <w:rPr>
                <w:color w:val="000000"/>
              </w:rPr>
            </w:pPr>
            <w:r>
              <w:rPr>
                <w:color w:val="000000"/>
              </w:rPr>
              <w:t xml:space="preserve">Linked Model Percentage </w:t>
            </w:r>
          </w:p>
          <w:p w:rsidR="003879F9" w:rsidRPr="004035E1" w:rsidRDefault="003879F9" w:rsidP="003879F9">
            <w:pPr>
              <w:jc w:val="center"/>
              <w:rPr>
                <w:color w:val="000000"/>
              </w:rPr>
            </w:pPr>
            <w:r>
              <w:rPr>
                <w:color w:val="000000"/>
              </w:rPr>
              <w:t>Shift</w:t>
            </w:r>
          </w:p>
        </w:tc>
        <w:tc>
          <w:tcPr>
            <w:tcW w:w="3150" w:type="dxa"/>
            <w:tcBorders>
              <w:top w:val="double" w:sz="6" w:space="0" w:color="auto"/>
              <w:bottom w:val="single" w:sz="4" w:space="0" w:color="auto"/>
              <w:right w:val="double" w:sz="6" w:space="0" w:color="auto"/>
            </w:tcBorders>
          </w:tcPr>
          <w:p w:rsidR="003879F9" w:rsidRPr="004035E1" w:rsidRDefault="003879F9" w:rsidP="003879F9">
            <w:pPr>
              <w:jc w:val="center"/>
              <w:rPr>
                <w:color w:val="000000"/>
              </w:rPr>
            </w:pPr>
            <w:r>
              <w:rPr>
                <w:color w:val="000000"/>
              </w:rPr>
              <w:t>Unlinked Model Percentage Shift</w:t>
            </w:r>
          </w:p>
        </w:tc>
      </w:tr>
      <w:tr w:rsidR="003879F9" w:rsidRPr="004035E1" w:rsidTr="00D26A36">
        <w:trPr>
          <w:cantSplit/>
          <w:trHeight w:val="360"/>
        </w:trPr>
        <w:tc>
          <w:tcPr>
            <w:tcW w:w="3118" w:type="dxa"/>
            <w:tcBorders>
              <w:top w:val="double" w:sz="6" w:space="0" w:color="auto"/>
              <w:right w:val="double" w:sz="6" w:space="0" w:color="auto"/>
            </w:tcBorders>
            <w:shd w:val="clear" w:color="auto" w:fill="auto"/>
            <w:noWrap/>
            <w:vAlign w:val="center"/>
          </w:tcPr>
          <w:p w:rsidR="003879F9" w:rsidRPr="004035E1" w:rsidRDefault="003879F9" w:rsidP="003879F9">
            <w:pPr>
              <w:rPr>
                <w:color w:val="000000"/>
              </w:rPr>
            </w:pPr>
            <w:r w:rsidRPr="004035E1">
              <w:rPr>
                <w:color w:val="000000"/>
              </w:rPr>
              <w:t>Northland</w:t>
            </w:r>
          </w:p>
        </w:tc>
        <w:tc>
          <w:tcPr>
            <w:tcW w:w="3249" w:type="dxa"/>
            <w:tcBorders>
              <w:top w:val="double" w:sz="6" w:space="0" w:color="auto"/>
              <w:right w:val="double" w:sz="6" w:space="0" w:color="auto"/>
            </w:tcBorders>
            <w:vAlign w:val="center"/>
          </w:tcPr>
          <w:p w:rsidR="003879F9" w:rsidRPr="004035E1" w:rsidRDefault="00D26A36" w:rsidP="00D26A36">
            <w:pPr>
              <w:tabs>
                <w:tab w:val="decimal" w:pos="978"/>
              </w:tabs>
              <w:rPr>
                <w:color w:val="000000"/>
              </w:rPr>
            </w:pPr>
            <w:r>
              <w:rPr>
                <w:color w:val="000000"/>
              </w:rPr>
              <w:t xml:space="preserve">   </w:t>
            </w:r>
            <w:r w:rsidR="003879F9">
              <w:rPr>
                <w:color w:val="000000"/>
              </w:rPr>
              <w:t>+</w:t>
            </w:r>
            <w:r w:rsidR="00944A50">
              <w:rPr>
                <w:color w:val="000000"/>
              </w:rPr>
              <w:t>10.0</w:t>
            </w:r>
            <w:r>
              <w:rPr>
                <w:color w:val="000000"/>
              </w:rPr>
              <w:t xml:space="preserve">   </w:t>
            </w:r>
            <w:r w:rsidR="003A5A44">
              <w:rPr>
                <w:color w:val="000000"/>
              </w:rPr>
              <w:t xml:space="preserve">  </w:t>
            </w:r>
            <w:r>
              <w:rPr>
                <w:color w:val="000000"/>
              </w:rPr>
              <w:t xml:space="preserve"> (+6.6;+13.4)</w:t>
            </w:r>
          </w:p>
        </w:tc>
        <w:tc>
          <w:tcPr>
            <w:tcW w:w="3150" w:type="dxa"/>
            <w:tcBorders>
              <w:top w:val="double" w:sz="6" w:space="0" w:color="auto"/>
              <w:right w:val="double" w:sz="6" w:space="0" w:color="auto"/>
            </w:tcBorders>
            <w:vAlign w:val="center"/>
          </w:tcPr>
          <w:p w:rsidR="003879F9" w:rsidRPr="004035E1" w:rsidRDefault="00D26A36" w:rsidP="00D26A36">
            <w:pPr>
              <w:tabs>
                <w:tab w:val="decimal" w:pos="966"/>
              </w:tabs>
              <w:rPr>
                <w:color w:val="000000"/>
              </w:rPr>
            </w:pPr>
            <w:r>
              <w:rPr>
                <w:color w:val="000000"/>
              </w:rPr>
              <w:t xml:space="preserve">   </w:t>
            </w:r>
            <w:r w:rsidR="003879F9">
              <w:rPr>
                <w:color w:val="000000"/>
              </w:rPr>
              <w:t>+12.4</w:t>
            </w:r>
            <w:r>
              <w:rPr>
                <w:color w:val="000000"/>
              </w:rPr>
              <w:t xml:space="preserve">    </w:t>
            </w:r>
            <w:r w:rsidR="003A5A44">
              <w:rPr>
                <w:color w:val="000000"/>
              </w:rPr>
              <w:t xml:space="preserve">  </w:t>
            </w:r>
            <w:r>
              <w:rPr>
                <w:color w:val="000000"/>
              </w:rPr>
              <w:t>(+8.8;+16.0)</w:t>
            </w:r>
          </w:p>
        </w:tc>
      </w:tr>
      <w:tr w:rsidR="003879F9" w:rsidRPr="004035E1" w:rsidTr="00D26A36">
        <w:trPr>
          <w:cantSplit/>
          <w:trHeight w:val="360"/>
        </w:trPr>
        <w:tc>
          <w:tcPr>
            <w:tcW w:w="3118" w:type="dxa"/>
            <w:tcBorders>
              <w:right w:val="double" w:sz="6" w:space="0" w:color="auto"/>
            </w:tcBorders>
            <w:shd w:val="clear" w:color="auto" w:fill="auto"/>
            <w:noWrap/>
            <w:vAlign w:val="center"/>
          </w:tcPr>
          <w:p w:rsidR="003879F9" w:rsidRPr="004035E1" w:rsidRDefault="003879F9" w:rsidP="003879F9">
            <w:pPr>
              <w:rPr>
                <w:color w:val="000000"/>
              </w:rPr>
            </w:pPr>
            <w:r w:rsidRPr="004035E1">
              <w:rPr>
                <w:color w:val="000000"/>
              </w:rPr>
              <w:t>Auckland</w:t>
            </w:r>
          </w:p>
        </w:tc>
        <w:tc>
          <w:tcPr>
            <w:tcW w:w="3249" w:type="dxa"/>
            <w:tcBorders>
              <w:right w:val="double" w:sz="6" w:space="0" w:color="auto"/>
            </w:tcBorders>
            <w:vAlign w:val="center"/>
          </w:tcPr>
          <w:p w:rsidR="003879F9" w:rsidRPr="004035E1" w:rsidRDefault="00D26A36" w:rsidP="00D26A36">
            <w:pPr>
              <w:tabs>
                <w:tab w:val="decimal" w:pos="978"/>
              </w:tabs>
              <w:rPr>
                <w:color w:val="000000"/>
              </w:rPr>
            </w:pPr>
            <w:r>
              <w:rPr>
                <w:color w:val="000000"/>
              </w:rPr>
              <w:t xml:space="preserve">       </w:t>
            </w:r>
            <w:r w:rsidR="00A878AA">
              <w:rPr>
                <w:color w:val="000000"/>
              </w:rPr>
              <w:t>–</w:t>
            </w:r>
            <w:r w:rsidR="00944A50">
              <w:rPr>
                <w:color w:val="000000"/>
              </w:rPr>
              <w:t>4.0</w:t>
            </w:r>
            <w:r>
              <w:rPr>
                <w:color w:val="000000"/>
              </w:rPr>
              <w:t xml:space="preserve">      (+2.5;+5.2)</w:t>
            </w:r>
          </w:p>
        </w:tc>
        <w:tc>
          <w:tcPr>
            <w:tcW w:w="3150" w:type="dxa"/>
            <w:tcBorders>
              <w:right w:val="double" w:sz="6" w:space="0" w:color="auto"/>
            </w:tcBorders>
            <w:vAlign w:val="center"/>
          </w:tcPr>
          <w:p w:rsidR="003879F9" w:rsidRPr="004035E1" w:rsidRDefault="00D26A36" w:rsidP="00D26A36">
            <w:pPr>
              <w:tabs>
                <w:tab w:val="decimal" w:pos="966"/>
              </w:tabs>
              <w:rPr>
                <w:color w:val="000000"/>
              </w:rPr>
            </w:pPr>
            <w:r>
              <w:rPr>
                <w:color w:val="000000"/>
              </w:rPr>
              <w:t xml:space="preserve">   </w:t>
            </w:r>
            <w:r w:rsidR="00A878AA">
              <w:rPr>
                <w:color w:val="000000"/>
              </w:rPr>
              <w:t>–</w:t>
            </w:r>
            <w:r w:rsidR="003879F9">
              <w:rPr>
                <w:color w:val="000000"/>
              </w:rPr>
              <w:t>2.5</w:t>
            </w:r>
            <w:r>
              <w:rPr>
                <w:color w:val="000000"/>
              </w:rPr>
              <w:t xml:space="preserve">      (</w:t>
            </w:r>
            <w:r w:rsidR="003D3477">
              <w:rPr>
                <w:color w:val="000000"/>
              </w:rPr>
              <w:t>–</w:t>
            </w:r>
            <w:r>
              <w:rPr>
                <w:color w:val="000000"/>
              </w:rPr>
              <w:t>1.3;+3.7)</w:t>
            </w:r>
          </w:p>
        </w:tc>
      </w:tr>
      <w:tr w:rsidR="003879F9" w:rsidRPr="004035E1" w:rsidTr="00D26A36">
        <w:trPr>
          <w:cantSplit/>
          <w:trHeight w:val="360"/>
        </w:trPr>
        <w:tc>
          <w:tcPr>
            <w:tcW w:w="3118" w:type="dxa"/>
            <w:tcBorders>
              <w:right w:val="double" w:sz="6" w:space="0" w:color="auto"/>
            </w:tcBorders>
            <w:shd w:val="clear" w:color="auto" w:fill="auto"/>
            <w:noWrap/>
            <w:vAlign w:val="center"/>
          </w:tcPr>
          <w:p w:rsidR="003879F9" w:rsidRPr="004035E1" w:rsidRDefault="003879F9" w:rsidP="003879F9">
            <w:pPr>
              <w:rPr>
                <w:color w:val="000000"/>
              </w:rPr>
            </w:pPr>
            <w:r w:rsidRPr="004035E1">
              <w:rPr>
                <w:color w:val="000000"/>
              </w:rPr>
              <w:t>Waikato</w:t>
            </w:r>
          </w:p>
        </w:tc>
        <w:tc>
          <w:tcPr>
            <w:tcW w:w="3249" w:type="dxa"/>
            <w:tcBorders>
              <w:right w:val="double" w:sz="6" w:space="0" w:color="auto"/>
            </w:tcBorders>
            <w:vAlign w:val="center"/>
          </w:tcPr>
          <w:p w:rsidR="003879F9" w:rsidRPr="004035E1" w:rsidRDefault="00D26A36" w:rsidP="00D26A36">
            <w:pPr>
              <w:tabs>
                <w:tab w:val="decimal" w:pos="978"/>
              </w:tabs>
              <w:rPr>
                <w:color w:val="000000"/>
              </w:rPr>
            </w:pPr>
            <w:r>
              <w:rPr>
                <w:color w:val="000000"/>
              </w:rPr>
              <w:t xml:space="preserve">   </w:t>
            </w:r>
            <w:r w:rsidR="005D125A">
              <w:rPr>
                <w:color w:val="000000"/>
              </w:rPr>
              <w:t>+</w:t>
            </w:r>
            <w:r w:rsidR="003879F9">
              <w:rPr>
                <w:color w:val="000000"/>
              </w:rPr>
              <w:t>0.</w:t>
            </w:r>
            <w:r w:rsidR="005D125A">
              <w:rPr>
                <w:color w:val="000000"/>
              </w:rPr>
              <w:t>7</w:t>
            </w:r>
            <w:r>
              <w:rPr>
                <w:color w:val="000000"/>
              </w:rPr>
              <w:t xml:space="preserve">       (</w:t>
            </w:r>
            <w:r w:rsidR="003D3477">
              <w:rPr>
                <w:color w:val="000000"/>
              </w:rPr>
              <w:t>–</w:t>
            </w:r>
            <w:r>
              <w:rPr>
                <w:color w:val="000000"/>
              </w:rPr>
              <w:t>0.4;+1.8)</w:t>
            </w:r>
          </w:p>
        </w:tc>
        <w:tc>
          <w:tcPr>
            <w:tcW w:w="3150" w:type="dxa"/>
            <w:tcBorders>
              <w:right w:val="double" w:sz="6" w:space="0" w:color="auto"/>
            </w:tcBorders>
            <w:vAlign w:val="center"/>
          </w:tcPr>
          <w:p w:rsidR="003879F9" w:rsidRPr="004035E1" w:rsidRDefault="00D26A36" w:rsidP="00D26A36">
            <w:pPr>
              <w:tabs>
                <w:tab w:val="decimal" w:pos="966"/>
              </w:tabs>
              <w:rPr>
                <w:color w:val="000000"/>
              </w:rPr>
            </w:pPr>
            <w:r>
              <w:rPr>
                <w:color w:val="000000"/>
              </w:rPr>
              <w:t xml:space="preserve">  </w:t>
            </w:r>
            <w:r w:rsidR="00A878AA">
              <w:rPr>
                <w:color w:val="000000"/>
              </w:rPr>
              <w:t>–</w:t>
            </w:r>
            <w:r w:rsidR="003879F9">
              <w:rPr>
                <w:color w:val="000000"/>
              </w:rPr>
              <w:t>2.7</w:t>
            </w:r>
            <w:r>
              <w:rPr>
                <w:color w:val="000000"/>
              </w:rPr>
              <w:t xml:space="preserve">       (</w:t>
            </w:r>
            <w:r w:rsidR="003D3477">
              <w:rPr>
                <w:color w:val="000000"/>
              </w:rPr>
              <w:t>–</w:t>
            </w:r>
            <w:r>
              <w:rPr>
                <w:color w:val="000000"/>
              </w:rPr>
              <w:t>3.9;</w:t>
            </w:r>
            <w:r w:rsidR="003D3477">
              <w:rPr>
                <w:color w:val="000000"/>
              </w:rPr>
              <w:t xml:space="preserve"> –</w:t>
            </w:r>
            <w:r>
              <w:rPr>
                <w:color w:val="000000"/>
              </w:rPr>
              <w:t>1.5)</w:t>
            </w:r>
          </w:p>
        </w:tc>
      </w:tr>
      <w:tr w:rsidR="003879F9" w:rsidRPr="004035E1" w:rsidTr="00D26A36">
        <w:trPr>
          <w:cantSplit/>
          <w:trHeight w:val="360"/>
        </w:trPr>
        <w:tc>
          <w:tcPr>
            <w:tcW w:w="3118" w:type="dxa"/>
            <w:tcBorders>
              <w:right w:val="double" w:sz="6" w:space="0" w:color="auto"/>
            </w:tcBorders>
            <w:shd w:val="clear" w:color="auto" w:fill="auto"/>
            <w:noWrap/>
            <w:vAlign w:val="center"/>
          </w:tcPr>
          <w:p w:rsidR="003879F9" w:rsidRPr="004035E1" w:rsidRDefault="003879F9" w:rsidP="003879F9">
            <w:pPr>
              <w:rPr>
                <w:color w:val="000000"/>
              </w:rPr>
            </w:pPr>
            <w:r w:rsidRPr="004035E1">
              <w:rPr>
                <w:color w:val="000000"/>
              </w:rPr>
              <w:t>Bay of Plenty</w:t>
            </w:r>
          </w:p>
        </w:tc>
        <w:tc>
          <w:tcPr>
            <w:tcW w:w="3249" w:type="dxa"/>
            <w:tcBorders>
              <w:right w:val="double" w:sz="6" w:space="0" w:color="auto"/>
            </w:tcBorders>
            <w:vAlign w:val="center"/>
          </w:tcPr>
          <w:p w:rsidR="003879F9" w:rsidRPr="004035E1" w:rsidRDefault="00D26A36" w:rsidP="00D26A36">
            <w:pPr>
              <w:tabs>
                <w:tab w:val="decimal" w:pos="978"/>
              </w:tabs>
              <w:rPr>
                <w:color w:val="000000"/>
              </w:rPr>
            </w:pPr>
            <w:r>
              <w:rPr>
                <w:color w:val="000000"/>
              </w:rPr>
              <w:t xml:space="preserve">   </w:t>
            </w:r>
            <w:r w:rsidR="00A878AA">
              <w:rPr>
                <w:color w:val="000000"/>
              </w:rPr>
              <w:t>–</w:t>
            </w:r>
            <w:r w:rsidR="005D125A">
              <w:rPr>
                <w:color w:val="000000"/>
              </w:rPr>
              <w:t>0</w:t>
            </w:r>
            <w:r w:rsidR="003879F9">
              <w:rPr>
                <w:color w:val="000000"/>
              </w:rPr>
              <w:t>.6</w:t>
            </w:r>
            <w:r>
              <w:rPr>
                <w:color w:val="000000"/>
              </w:rPr>
              <w:t xml:space="preserve">       (</w:t>
            </w:r>
            <w:r w:rsidR="003D3477">
              <w:rPr>
                <w:color w:val="000000"/>
              </w:rPr>
              <w:t>–</w:t>
            </w:r>
            <w:r>
              <w:rPr>
                <w:color w:val="000000"/>
              </w:rPr>
              <w:t xml:space="preserve">2.6;+1.4) </w:t>
            </w:r>
          </w:p>
        </w:tc>
        <w:tc>
          <w:tcPr>
            <w:tcW w:w="3150" w:type="dxa"/>
            <w:tcBorders>
              <w:right w:val="double" w:sz="6" w:space="0" w:color="auto"/>
            </w:tcBorders>
            <w:vAlign w:val="center"/>
          </w:tcPr>
          <w:p w:rsidR="003879F9" w:rsidRPr="004035E1" w:rsidRDefault="00D26A36" w:rsidP="00D26A36">
            <w:pPr>
              <w:tabs>
                <w:tab w:val="decimal" w:pos="966"/>
              </w:tabs>
              <w:rPr>
                <w:color w:val="000000"/>
              </w:rPr>
            </w:pPr>
            <w:r>
              <w:rPr>
                <w:color w:val="000000"/>
              </w:rPr>
              <w:t xml:space="preserve">   </w:t>
            </w:r>
            <w:r w:rsidR="00A878AA">
              <w:rPr>
                <w:color w:val="000000"/>
              </w:rPr>
              <w:t>–</w:t>
            </w:r>
            <w:r w:rsidR="003879F9">
              <w:rPr>
                <w:color w:val="000000"/>
              </w:rPr>
              <w:t>3.5</w:t>
            </w:r>
            <w:r>
              <w:rPr>
                <w:color w:val="000000"/>
              </w:rPr>
              <w:t xml:space="preserve">      </w:t>
            </w:r>
            <w:r w:rsidR="003A5A44">
              <w:rPr>
                <w:color w:val="000000"/>
              </w:rPr>
              <w:t xml:space="preserve"> </w:t>
            </w:r>
            <w:r>
              <w:rPr>
                <w:color w:val="000000"/>
              </w:rPr>
              <w:t>(</w:t>
            </w:r>
            <w:r w:rsidR="003D3477">
              <w:rPr>
                <w:color w:val="000000"/>
              </w:rPr>
              <w:t>–</w:t>
            </w:r>
            <w:r>
              <w:rPr>
                <w:color w:val="000000"/>
              </w:rPr>
              <w:t>1.3;+5.7)</w:t>
            </w:r>
          </w:p>
        </w:tc>
      </w:tr>
      <w:tr w:rsidR="003879F9" w:rsidRPr="004035E1" w:rsidTr="00D26A36">
        <w:trPr>
          <w:cantSplit/>
          <w:trHeight w:val="360"/>
        </w:trPr>
        <w:tc>
          <w:tcPr>
            <w:tcW w:w="3118" w:type="dxa"/>
            <w:tcBorders>
              <w:right w:val="double" w:sz="6" w:space="0" w:color="auto"/>
            </w:tcBorders>
            <w:shd w:val="clear" w:color="auto" w:fill="auto"/>
            <w:noWrap/>
            <w:vAlign w:val="center"/>
          </w:tcPr>
          <w:p w:rsidR="003879F9" w:rsidRPr="004035E1" w:rsidRDefault="003879F9" w:rsidP="003879F9">
            <w:pPr>
              <w:rPr>
                <w:color w:val="000000"/>
              </w:rPr>
            </w:pPr>
            <w:r w:rsidRPr="004035E1">
              <w:rPr>
                <w:color w:val="000000"/>
              </w:rPr>
              <w:t>Gisborne</w:t>
            </w:r>
          </w:p>
        </w:tc>
        <w:tc>
          <w:tcPr>
            <w:tcW w:w="3249" w:type="dxa"/>
            <w:tcBorders>
              <w:right w:val="double" w:sz="6" w:space="0" w:color="auto"/>
            </w:tcBorders>
            <w:vAlign w:val="center"/>
          </w:tcPr>
          <w:p w:rsidR="003879F9" w:rsidRPr="004035E1" w:rsidRDefault="00D26A36" w:rsidP="00D26A36">
            <w:pPr>
              <w:tabs>
                <w:tab w:val="decimal" w:pos="978"/>
              </w:tabs>
              <w:rPr>
                <w:color w:val="000000"/>
              </w:rPr>
            </w:pPr>
            <w:r>
              <w:rPr>
                <w:color w:val="000000"/>
              </w:rPr>
              <w:t xml:space="preserve">   </w:t>
            </w:r>
            <w:r w:rsidR="00A878AA">
              <w:rPr>
                <w:color w:val="000000"/>
              </w:rPr>
              <w:t>–</w:t>
            </w:r>
            <w:r w:rsidR="003879F9">
              <w:rPr>
                <w:color w:val="000000"/>
              </w:rPr>
              <w:t>2.4</w:t>
            </w:r>
            <w:r>
              <w:rPr>
                <w:color w:val="000000"/>
              </w:rPr>
              <w:t xml:space="preserve">       (</w:t>
            </w:r>
            <w:r w:rsidR="003D3477">
              <w:rPr>
                <w:color w:val="000000"/>
              </w:rPr>
              <w:t>–</w:t>
            </w:r>
            <w:r>
              <w:rPr>
                <w:color w:val="000000"/>
              </w:rPr>
              <w:t>6.1;+1.3)</w:t>
            </w:r>
          </w:p>
        </w:tc>
        <w:tc>
          <w:tcPr>
            <w:tcW w:w="3150" w:type="dxa"/>
            <w:tcBorders>
              <w:right w:val="double" w:sz="6" w:space="0" w:color="auto"/>
            </w:tcBorders>
            <w:vAlign w:val="center"/>
          </w:tcPr>
          <w:p w:rsidR="003879F9" w:rsidRPr="004035E1" w:rsidRDefault="00D26A36" w:rsidP="00D26A36">
            <w:pPr>
              <w:tabs>
                <w:tab w:val="decimal" w:pos="966"/>
              </w:tabs>
              <w:rPr>
                <w:color w:val="000000"/>
              </w:rPr>
            </w:pPr>
            <w:r>
              <w:rPr>
                <w:color w:val="000000"/>
              </w:rPr>
              <w:t xml:space="preserve">  </w:t>
            </w:r>
            <w:r w:rsidR="00A878AA">
              <w:rPr>
                <w:color w:val="000000"/>
              </w:rPr>
              <w:t>–</w:t>
            </w:r>
            <w:r w:rsidR="003879F9">
              <w:rPr>
                <w:color w:val="000000"/>
              </w:rPr>
              <w:t>4.0</w:t>
            </w:r>
            <w:r>
              <w:rPr>
                <w:color w:val="000000"/>
              </w:rPr>
              <w:t xml:space="preserve">       (</w:t>
            </w:r>
            <w:r w:rsidR="003D3477">
              <w:rPr>
                <w:color w:val="000000"/>
              </w:rPr>
              <w:t>–</w:t>
            </w:r>
            <w:r>
              <w:rPr>
                <w:color w:val="000000"/>
              </w:rPr>
              <w:t>7.5;</w:t>
            </w:r>
            <w:r w:rsidR="003D3477">
              <w:rPr>
                <w:color w:val="000000"/>
              </w:rPr>
              <w:t xml:space="preserve"> –</w:t>
            </w:r>
            <w:r>
              <w:rPr>
                <w:color w:val="000000"/>
              </w:rPr>
              <w:t>0.5)</w:t>
            </w:r>
          </w:p>
        </w:tc>
      </w:tr>
      <w:tr w:rsidR="003879F9" w:rsidRPr="004035E1" w:rsidTr="00D26A36">
        <w:trPr>
          <w:cantSplit/>
          <w:trHeight w:val="360"/>
        </w:trPr>
        <w:tc>
          <w:tcPr>
            <w:tcW w:w="3118" w:type="dxa"/>
            <w:tcBorders>
              <w:right w:val="double" w:sz="6" w:space="0" w:color="auto"/>
            </w:tcBorders>
            <w:shd w:val="clear" w:color="auto" w:fill="auto"/>
            <w:noWrap/>
            <w:vAlign w:val="center"/>
          </w:tcPr>
          <w:p w:rsidR="003879F9" w:rsidRPr="004035E1" w:rsidRDefault="003879F9" w:rsidP="003879F9">
            <w:pPr>
              <w:rPr>
                <w:color w:val="000000"/>
              </w:rPr>
            </w:pPr>
            <w:r w:rsidRPr="004035E1">
              <w:rPr>
                <w:color w:val="000000"/>
              </w:rPr>
              <w:t>Taranaki</w:t>
            </w:r>
          </w:p>
        </w:tc>
        <w:tc>
          <w:tcPr>
            <w:tcW w:w="3249" w:type="dxa"/>
            <w:tcBorders>
              <w:right w:val="double" w:sz="6" w:space="0" w:color="auto"/>
            </w:tcBorders>
            <w:vAlign w:val="center"/>
          </w:tcPr>
          <w:p w:rsidR="003879F9" w:rsidRPr="004035E1" w:rsidRDefault="00D26A36" w:rsidP="00D26A36">
            <w:pPr>
              <w:tabs>
                <w:tab w:val="decimal" w:pos="978"/>
              </w:tabs>
              <w:rPr>
                <w:color w:val="000000"/>
              </w:rPr>
            </w:pPr>
            <w:r>
              <w:rPr>
                <w:color w:val="000000"/>
              </w:rPr>
              <w:t xml:space="preserve">   </w:t>
            </w:r>
            <w:r w:rsidR="00A878AA">
              <w:rPr>
                <w:color w:val="000000"/>
              </w:rPr>
              <w:t>–</w:t>
            </w:r>
            <w:r w:rsidR="00146536">
              <w:rPr>
                <w:color w:val="000000"/>
              </w:rPr>
              <w:t>0.8</w:t>
            </w:r>
            <w:r>
              <w:rPr>
                <w:color w:val="000000"/>
              </w:rPr>
              <w:t xml:space="preserve">       (</w:t>
            </w:r>
            <w:r w:rsidR="003D3477">
              <w:rPr>
                <w:color w:val="000000"/>
              </w:rPr>
              <w:t>–</w:t>
            </w:r>
            <w:r>
              <w:rPr>
                <w:color w:val="000000"/>
              </w:rPr>
              <w:t>3.2;+1.6)</w:t>
            </w:r>
          </w:p>
        </w:tc>
        <w:tc>
          <w:tcPr>
            <w:tcW w:w="3150" w:type="dxa"/>
            <w:tcBorders>
              <w:right w:val="double" w:sz="6" w:space="0" w:color="auto"/>
            </w:tcBorders>
            <w:vAlign w:val="center"/>
          </w:tcPr>
          <w:p w:rsidR="003879F9" w:rsidRPr="004035E1" w:rsidRDefault="00D26A36" w:rsidP="00D26A36">
            <w:pPr>
              <w:tabs>
                <w:tab w:val="decimal" w:pos="966"/>
              </w:tabs>
              <w:rPr>
                <w:color w:val="000000"/>
              </w:rPr>
            </w:pPr>
            <w:r>
              <w:rPr>
                <w:color w:val="000000"/>
              </w:rPr>
              <w:t xml:space="preserve">  </w:t>
            </w:r>
            <w:r w:rsidR="00A878AA">
              <w:rPr>
                <w:color w:val="000000"/>
              </w:rPr>
              <w:t>–</w:t>
            </w:r>
            <w:r w:rsidR="003879F9">
              <w:rPr>
                <w:color w:val="000000"/>
              </w:rPr>
              <w:t>4.7</w:t>
            </w:r>
            <w:r>
              <w:rPr>
                <w:color w:val="000000"/>
              </w:rPr>
              <w:t xml:space="preserve">       (</w:t>
            </w:r>
            <w:r w:rsidR="003D3477">
              <w:rPr>
                <w:color w:val="000000"/>
              </w:rPr>
              <w:t>–</w:t>
            </w:r>
            <w:r>
              <w:rPr>
                <w:color w:val="000000"/>
              </w:rPr>
              <w:t>7.0;</w:t>
            </w:r>
            <w:r w:rsidR="003D3477">
              <w:rPr>
                <w:color w:val="000000"/>
              </w:rPr>
              <w:t xml:space="preserve"> –</w:t>
            </w:r>
            <w:r>
              <w:rPr>
                <w:color w:val="000000"/>
              </w:rPr>
              <w:t>2.4)</w:t>
            </w:r>
          </w:p>
        </w:tc>
      </w:tr>
      <w:tr w:rsidR="003879F9" w:rsidRPr="004035E1" w:rsidTr="00D26A36">
        <w:trPr>
          <w:cantSplit/>
          <w:trHeight w:val="360"/>
        </w:trPr>
        <w:tc>
          <w:tcPr>
            <w:tcW w:w="3118" w:type="dxa"/>
            <w:tcBorders>
              <w:right w:val="double" w:sz="6" w:space="0" w:color="auto"/>
            </w:tcBorders>
            <w:shd w:val="clear" w:color="auto" w:fill="auto"/>
            <w:noWrap/>
            <w:vAlign w:val="center"/>
          </w:tcPr>
          <w:p w:rsidR="003879F9" w:rsidRPr="004035E1" w:rsidRDefault="003879F9" w:rsidP="003879F9">
            <w:pPr>
              <w:rPr>
                <w:color w:val="000000"/>
              </w:rPr>
            </w:pPr>
            <w:r w:rsidRPr="004035E1">
              <w:rPr>
                <w:color w:val="000000"/>
              </w:rPr>
              <w:t>Manawatu-Wanganui</w:t>
            </w:r>
          </w:p>
        </w:tc>
        <w:tc>
          <w:tcPr>
            <w:tcW w:w="3249" w:type="dxa"/>
            <w:tcBorders>
              <w:right w:val="double" w:sz="6" w:space="0" w:color="auto"/>
            </w:tcBorders>
            <w:vAlign w:val="center"/>
          </w:tcPr>
          <w:p w:rsidR="003879F9" w:rsidRPr="004035E1" w:rsidRDefault="00D26A36" w:rsidP="00D26A36">
            <w:pPr>
              <w:tabs>
                <w:tab w:val="decimal" w:pos="978"/>
              </w:tabs>
              <w:rPr>
                <w:color w:val="000000"/>
              </w:rPr>
            </w:pPr>
            <w:r>
              <w:rPr>
                <w:color w:val="000000"/>
              </w:rPr>
              <w:t xml:space="preserve">   </w:t>
            </w:r>
            <w:r w:rsidR="00146536">
              <w:rPr>
                <w:color w:val="000000"/>
              </w:rPr>
              <w:t>+2</w:t>
            </w:r>
            <w:r w:rsidR="003879F9">
              <w:rPr>
                <w:color w:val="000000"/>
              </w:rPr>
              <w:t>.</w:t>
            </w:r>
            <w:r w:rsidR="00146536">
              <w:rPr>
                <w:color w:val="000000"/>
              </w:rPr>
              <w:t>9</w:t>
            </w:r>
            <w:r>
              <w:rPr>
                <w:color w:val="000000"/>
              </w:rPr>
              <w:t xml:space="preserve">       (</w:t>
            </w:r>
            <w:r w:rsidR="003D3477">
              <w:rPr>
                <w:color w:val="000000"/>
              </w:rPr>
              <w:t>–</w:t>
            </w:r>
            <w:r>
              <w:rPr>
                <w:color w:val="000000"/>
              </w:rPr>
              <w:t>0.7,+6.5)</w:t>
            </w:r>
          </w:p>
        </w:tc>
        <w:tc>
          <w:tcPr>
            <w:tcW w:w="3150" w:type="dxa"/>
            <w:tcBorders>
              <w:right w:val="double" w:sz="6" w:space="0" w:color="auto"/>
            </w:tcBorders>
            <w:vAlign w:val="center"/>
          </w:tcPr>
          <w:p w:rsidR="003879F9" w:rsidRPr="004035E1" w:rsidRDefault="00D26A36" w:rsidP="00D26A36">
            <w:pPr>
              <w:tabs>
                <w:tab w:val="decimal" w:pos="966"/>
              </w:tabs>
              <w:rPr>
                <w:color w:val="000000"/>
              </w:rPr>
            </w:pPr>
            <w:r>
              <w:rPr>
                <w:color w:val="000000"/>
              </w:rPr>
              <w:t xml:space="preserve">   </w:t>
            </w:r>
            <w:r w:rsidR="00A878AA">
              <w:rPr>
                <w:color w:val="000000"/>
              </w:rPr>
              <w:t>–</w:t>
            </w:r>
            <w:r w:rsidR="003879F9">
              <w:rPr>
                <w:color w:val="000000"/>
              </w:rPr>
              <w:t>3.4</w:t>
            </w:r>
            <w:r>
              <w:rPr>
                <w:color w:val="000000"/>
              </w:rPr>
              <w:t xml:space="preserve">      </w:t>
            </w:r>
            <w:r w:rsidR="003A5A44">
              <w:rPr>
                <w:color w:val="000000"/>
              </w:rPr>
              <w:t xml:space="preserve"> </w:t>
            </w:r>
            <w:r>
              <w:rPr>
                <w:color w:val="000000"/>
              </w:rPr>
              <w:t>(</w:t>
            </w:r>
            <w:r w:rsidR="003D3477">
              <w:rPr>
                <w:color w:val="000000"/>
              </w:rPr>
              <w:t>–</w:t>
            </w:r>
            <w:r>
              <w:rPr>
                <w:color w:val="000000"/>
              </w:rPr>
              <w:t>7.0;+0.2)</w:t>
            </w:r>
          </w:p>
        </w:tc>
      </w:tr>
      <w:tr w:rsidR="003879F9" w:rsidRPr="004035E1" w:rsidTr="00D26A36">
        <w:trPr>
          <w:cantSplit/>
          <w:trHeight w:val="360"/>
        </w:trPr>
        <w:tc>
          <w:tcPr>
            <w:tcW w:w="3118" w:type="dxa"/>
            <w:tcBorders>
              <w:right w:val="double" w:sz="6" w:space="0" w:color="auto"/>
            </w:tcBorders>
            <w:shd w:val="clear" w:color="auto" w:fill="auto"/>
            <w:noWrap/>
            <w:vAlign w:val="center"/>
          </w:tcPr>
          <w:p w:rsidR="003879F9" w:rsidRPr="004035E1" w:rsidRDefault="003879F9" w:rsidP="003879F9">
            <w:pPr>
              <w:rPr>
                <w:color w:val="000000"/>
              </w:rPr>
            </w:pPr>
            <w:r w:rsidRPr="004035E1">
              <w:rPr>
                <w:color w:val="000000"/>
              </w:rPr>
              <w:t>Hawke</w:t>
            </w:r>
            <w:r w:rsidR="003D3477">
              <w:rPr>
                <w:color w:val="000000"/>
              </w:rPr>
              <w:t>’</w:t>
            </w:r>
            <w:r w:rsidRPr="004035E1">
              <w:rPr>
                <w:color w:val="000000"/>
              </w:rPr>
              <w:t>s Bay</w:t>
            </w:r>
          </w:p>
        </w:tc>
        <w:tc>
          <w:tcPr>
            <w:tcW w:w="3249" w:type="dxa"/>
            <w:tcBorders>
              <w:right w:val="double" w:sz="6" w:space="0" w:color="auto"/>
            </w:tcBorders>
            <w:vAlign w:val="center"/>
          </w:tcPr>
          <w:p w:rsidR="003879F9" w:rsidRPr="004035E1" w:rsidRDefault="00D26A36" w:rsidP="00D26A36">
            <w:pPr>
              <w:tabs>
                <w:tab w:val="decimal" w:pos="978"/>
              </w:tabs>
              <w:rPr>
                <w:color w:val="000000"/>
              </w:rPr>
            </w:pPr>
            <w:r>
              <w:rPr>
                <w:color w:val="000000"/>
              </w:rPr>
              <w:t xml:space="preserve">  </w:t>
            </w:r>
            <w:r w:rsidR="005D125A">
              <w:rPr>
                <w:color w:val="000000"/>
              </w:rPr>
              <w:t>+</w:t>
            </w:r>
            <w:r w:rsidR="003879F9">
              <w:rPr>
                <w:color w:val="000000"/>
              </w:rPr>
              <w:t>1.</w:t>
            </w:r>
            <w:r w:rsidR="00146536">
              <w:rPr>
                <w:color w:val="000000"/>
              </w:rPr>
              <w:t>5</w:t>
            </w:r>
            <w:r>
              <w:rPr>
                <w:color w:val="000000"/>
              </w:rPr>
              <w:t xml:space="preserve">       (</w:t>
            </w:r>
            <w:r w:rsidR="003D3477">
              <w:rPr>
                <w:color w:val="000000"/>
              </w:rPr>
              <w:t>–</w:t>
            </w:r>
            <w:r>
              <w:rPr>
                <w:color w:val="000000"/>
              </w:rPr>
              <w:t>0.3,+3.3)</w:t>
            </w:r>
          </w:p>
        </w:tc>
        <w:tc>
          <w:tcPr>
            <w:tcW w:w="3150" w:type="dxa"/>
            <w:tcBorders>
              <w:right w:val="double" w:sz="6" w:space="0" w:color="auto"/>
            </w:tcBorders>
            <w:vAlign w:val="center"/>
          </w:tcPr>
          <w:p w:rsidR="003879F9" w:rsidRPr="004035E1" w:rsidRDefault="00D26A36" w:rsidP="00D26A36">
            <w:pPr>
              <w:tabs>
                <w:tab w:val="decimal" w:pos="966"/>
              </w:tabs>
              <w:rPr>
                <w:color w:val="000000"/>
              </w:rPr>
            </w:pPr>
            <w:r>
              <w:rPr>
                <w:color w:val="000000"/>
              </w:rPr>
              <w:t xml:space="preserve">  </w:t>
            </w:r>
            <w:r w:rsidR="00A878AA">
              <w:rPr>
                <w:color w:val="000000"/>
              </w:rPr>
              <w:t>–</w:t>
            </w:r>
            <w:r w:rsidR="003879F9">
              <w:rPr>
                <w:color w:val="000000"/>
              </w:rPr>
              <w:t>3.5</w:t>
            </w:r>
            <w:r>
              <w:rPr>
                <w:color w:val="000000"/>
              </w:rPr>
              <w:t xml:space="preserve">       (</w:t>
            </w:r>
            <w:r w:rsidR="003D3477">
              <w:rPr>
                <w:color w:val="000000"/>
              </w:rPr>
              <w:t>–</w:t>
            </w:r>
            <w:r>
              <w:rPr>
                <w:color w:val="000000"/>
              </w:rPr>
              <w:t>5.2;</w:t>
            </w:r>
            <w:r w:rsidR="003D3477">
              <w:rPr>
                <w:color w:val="000000"/>
              </w:rPr>
              <w:t xml:space="preserve"> –</w:t>
            </w:r>
            <w:r>
              <w:rPr>
                <w:color w:val="000000"/>
              </w:rPr>
              <w:t>1.8)</w:t>
            </w:r>
          </w:p>
        </w:tc>
      </w:tr>
      <w:tr w:rsidR="003879F9" w:rsidRPr="004035E1" w:rsidTr="00D26A36">
        <w:trPr>
          <w:cantSplit/>
          <w:trHeight w:val="360"/>
        </w:trPr>
        <w:tc>
          <w:tcPr>
            <w:tcW w:w="3118" w:type="dxa"/>
            <w:tcBorders>
              <w:right w:val="double" w:sz="6" w:space="0" w:color="auto"/>
            </w:tcBorders>
            <w:shd w:val="clear" w:color="auto" w:fill="auto"/>
            <w:noWrap/>
            <w:vAlign w:val="center"/>
          </w:tcPr>
          <w:p w:rsidR="003879F9" w:rsidRPr="004035E1" w:rsidRDefault="003879F9" w:rsidP="003879F9">
            <w:pPr>
              <w:rPr>
                <w:color w:val="000000"/>
              </w:rPr>
            </w:pPr>
            <w:r w:rsidRPr="004035E1">
              <w:rPr>
                <w:color w:val="000000"/>
              </w:rPr>
              <w:t>Wellington</w:t>
            </w:r>
          </w:p>
        </w:tc>
        <w:tc>
          <w:tcPr>
            <w:tcW w:w="3249" w:type="dxa"/>
            <w:tcBorders>
              <w:right w:val="double" w:sz="6" w:space="0" w:color="auto"/>
            </w:tcBorders>
            <w:vAlign w:val="center"/>
          </w:tcPr>
          <w:p w:rsidR="003879F9" w:rsidRPr="004035E1" w:rsidRDefault="003879F9" w:rsidP="00D26A36">
            <w:pPr>
              <w:tabs>
                <w:tab w:val="decimal" w:pos="978"/>
              </w:tabs>
              <w:rPr>
                <w:color w:val="000000"/>
              </w:rPr>
            </w:pPr>
            <w:r>
              <w:rPr>
                <w:color w:val="000000"/>
              </w:rPr>
              <w:t>+</w:t>
            </w:r>
            <w:r w:rsidR="005D125A">
              <w:rPr>
                <w:color w:val="000000"/>
              </w:rPr>
              <w:t>13</w:t>
            </w:r>
            <w:r>
              <w:rPr>
                <w:color w:val="000000"/>
              </w:rPr>
              <w:t>.</w:t>
            </w:r>
            <w:r w:rsidR="005D125A">
              <w:rPr>
                <w:color w:val="000000"/>
              </w:rPr>
              <w:t>7</w:t>
            </w:r>
            <w:r w:rsidR="00D26A36">
              <w:rPr>
                <w:color w:val="000000"/>
              </w:rPr>
              <w:t xml:space="preserve">    </w:t>
            </w:r>
            <w:r w:rsidR="003A5A44">
              <w:rPr>
                <w:color w:val="000000"/>
              </w:rPr>
              <w:t xml:space="preserve">   </w:t>
            </w:r>
            <w:r w:rsidR="00D26A36">
              <w:rPr>
                <w:color w:val="000000"/>
              </w:rPr>
              <w:t>(+9.2,+18.2)</w:t>
            </w:r>
          </w:p>
        </w:tc>
        <w:tc>
          <w:tcPr>
            <w:tcW w:w="3150" w:type="dxa"/>
            <w:tcBorders>
              <w:right w:val="double" w:sz="6" w:space="0" w:color="auto"/>
            </w:tcBorders>
            <w:vAlign w:val="center"/>
          </w:tcPr>
          <w:p w:rsidR="003879F9" w:rsidRPr="004035E1" w:rsidRDefault="003879F9" w:rsidP="00D26A36">
            <w:pPr>
              <w:tabs>
                <w:tab w:val="decimal" w:pos="966"/>
              </w:tabs>
              <w:rPr>
                <w:color w:val="000000"/>
              </w:rPr>
            </w:pPr>
            <w:r>
              <w:rPr>
                <w:color w:val="000000"/>
              </w:rPr>
              <w:t>+12.9</w:t>
            </w:r>
            <w:r w:rsidR="00D26A36">
              <w:rPr>
                <w:color w:val="000000"/>
              </w:rPr>
              <w:t xml:space="preserve">     </w:t>
            </w:r>
            <w:r w:rsidR="003A5A44">
              <w:rPr>
                <w:color w:val="000000"/>
              </w:rPr>
              <w:t xml:space="preserve">  </w:t>
            </w:r>
            <w:r w:rsidR="00D26A36">
              <w:rPr>
                <w:color w:val="000000"/>
              </w:rPr>
              <w:t>(</w:t>
            </w:r>
            <w:r w:rsidR="003D3477">
              <w:rPr>
                <w:color w:val="000000"/>
              </w:rPr>
              <w:t>+</w:t>
            </w:r>
            <w:r w:rsidR="00D26A36">
              <w:rPr>
                <w:color w:val="000000"/>
              </w:rPr>
              <w:t>8.0;+17.8)</w:t>
            </w:r>
          </w:p>
        </w:tc>
      </w:tr>
    </w:tbl>
    <w:p w:rsidR="003879F9" w:rsidRPr="004035E1" w:rsidRDefault="003879F9" w:rsidP="003879F9">
      <w:pPr>
        <w:autoSpaceDE w:val="0"/>
        <w:autoSpaceDN w:val="0"/>
        <w:adjustRightInd w:val="0"/>
        <w:jc w:val="both"/>
        <w:rPr>
          <w:b/>
        </w:rPr>
      </w:pPr>
    </w:p>
    <w:p w:rsidR="00026A67" w:rsidRDefault="00026A67" w:rsidP="003879F9">
      <w:pPr>
        <w:autoSpaceDE w:val="0"/>
        <w:autoSpaceDN w:val="0"/>
        <w:adjustRightInd w:val="0"/>
        <w:jc w:val="both"/>
        <w:rPr>
          <w:b/>
        </w:rPr>
      </w:pPr>
    </w:p>
    <w:p w:rsidR="007A0EED" w:rsidRDefault="00026A67" w:rsidP="00100A41">
      <w:pPr>
        <w:spacing w:after="120"/>
        <w:jc w:val="both"/>
        <w:rPr>
          <w:b/>
        </w:rPr>
      </w:pPr>
      <w:r>
        <w:rPr>
          <w:b/>
        </w:rPr>
        <w:br w:type="page"/>
      </w:r>
    </w:p>
    <w:p w:rsidR="007A0EED" w:rsidRDefault="007A0EED" w:rsidP="00100A41">
      <w:pPr>
        <w:spacing w:after="120"/>
        <w:jc w:val="both"/>
        <w:rPr>
          <w:b/>
        </w:rPr>
      </w:pPr>
    </w:p>
    <w:p w:rsidR="007A0EED" w:rsidRDefault="007A0EED" w:rsidP="00100A41">
      <w:pPr>
        <w:spacing w:after="120"/>
        <w:jc w:val="both"/>
        <w:rPr>
          <w:b/>
        </w:rPr>
      </w:pPr>
    </w:p>
    <w:p w:rsidR="007A0EED" w:rsidRDefault="007A0EED" w:rsidP="00100A41">
      <w:pPr>
        <w:spacing w:after="120"/>
        <w:jc w:val="both"/>
        <w:rPr>
          <w:b/>
        </w:rPr>
      </w:pPr>
    </w:p>
    <w:p w:rsidR="007A0EED" w:rsidRDefault="007A0EED" w:rsidP="00100A41">
      <w:pPr>
        <w:spacing w:after="120"/>
        <w:jc w:val="both"/>
        <w:rPr>
          <w:b/>
        </w:rPr>
      </w:pPr>
    </w:p>
    <w:p w:rsidR="007A0EED" w:rsidRDefault="007A0EED" w:rsidP="00100A41">
      <w:pPr>
        <w:spacing w:after="120"/>
        <w:jc w:val="both"/>
        <w:rPr>
          <w:b/>
        </w:rPr>
      </w:pPr>
    </w:p>
    <w:p w:rsidR="00783046" w:rsidRPr="004035E1" w:rsidRDefault="00783046" w:rsidP="00100A41">
      <w:pPr>
        <w:spacing w:after="120"/>
        <w:jc w:val="both"/>
        <w:rPr>
          <w:b/>
        </w:rPr>
      </w:pPr>
      <w:r w:rsidRPr="004035E1">
        <w:rPr>
          <w:b/>
        </w:rPr>
        <w:t xml:space="preserve">Table </w:t>
      </w:r>
      <w:r w:rsidR="00026A67">
        <w:rPr>
          <w:b/>
        </w:rPr>
        <w:t>6</w:t>
      </w:r>
      <w:r w:rsidRPr="004035E1">
        <w:rPr>
          <w:b/>
        </w:rPr>
        <w:t>. Likelihood Based Data Fit Measures</w:t>
      </w:r>
    </w:p>
    <w:tbl>
      <w:tblPr>
        <w:tblW w:w="9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4A0" w:firstRow="1" w:lastRow="0" w:firstColumn="1" w:lastColumn="0" w:noHBand="0" w:noVBand="1"/>
      </w:tblPr>
      <w:tblGrid>
        <w:gridCol w:w="4453"/>
        <w:gridCol w:w="2250"/>
        <w:gridCol w:w="2340"/>
      </w:tblGrid>
      <w:tr w:rsidR="00783046" w:rsidRPr="004035E1" w:rsidTr="00AA1921">
        <w:trPr>
          <w:trHeight w:val="432"/>
        </w:trPr>
        <w:tc>
          <w:tcPr>
            <w:tcW w:w="4453" w:type="dxa"/>
            <w:vMerge w:val="restart"/>
            <w:tcBorders>
              <w:top w:val="double" w:sz="4" w:space="0" w:color="auto"/>
              <w:left w:val="double" w:sz="4" w:space="0" w:color="auto"/>
              <w:right w:val="double" w:sz="4" w:space="0" w:color="auto"/>
            </w:tcBorders>
            <w:shd w:val="clear" w:color="auto" w:fill="auto"/>
            <w:vAlign w:val="center"/>
          </w:tcPr>
          <w:p w:rsidR="00783046" w:rsidRPr="004035E1" w:rsidRDefault="009D270B" w:rsidP="00AA1921">
            <w:r>
              <w:t>Statistic</w:t>
            </w:r>
          </w:p>
        </w:tc>
        <w:tc>
          <w:tcPr>
            <w:tcW w:w="4590" w:type="dxa"/>
            <w:gridSpan w:val="2"/>
            <w:tcBorders>
              <w:top w:val="double" w:sz="4" w:space="0" w:color="auto"/>
              <w:left w:val="double" w:sz="4" w:space="0" w:color="auto"/>
              <w:right w:val="double" w:sz="4" w:space="0" w:color="auto"/>
            </w:tcBorders>
            <w:shd w:val="clear" w:color="auto" w:fill="auto"/>
            <w:vAlign w:val="center"/>
          </w:tcPr>
          <w:p w:rsidR="00783046" w:rsidRPr="004035E1" w:rsidRDefault="00783046" w:rsidP="00AA1921">
            <w:pPr>
              <w:jc w:val="center"/>
              <w:rPr>
                <w:b/>
              </w:rPr>
            </w:pPr>
            <w:r w:rsidRPr="004035E1">
              <w:rPr>
                <w:b/>
              </w:rPr>
              <w:t>Estimation Sample (N = 5622)</w:t>
            </w:r>
          </w:p>
        </w:tc>
      </w:tr>
      <w:tr w:rsidR="00783046" w:rsidRPr="004035E1" w:rsidTr="00AA1921">
        <w:trPr>
          <w:trHeight w:val="432"/>
        </w:trPr>
        <w:tc>
          <w:tcPr>
            <w:tcW w:w="4453" w:type="dxa"/>
            <w:vMerge/>
            <w:tcBorders>
              <w:left w:val="double" w:sz="4" w:space="0" w:color="auto"/>
              <w:bottom w:val="double" w:sz="4" w:space="0" w:color="auto"/>
              <w:right w:val="double" w:sz="4" w:space="0" w:color="auto"/>
            </w:tcBorders>
            <w:shd w:val="clear" w:color="auto" w:fill="auto"/>
          </w:tcPr>
          <w:p w:rsidR="00783046" w:rsidRPr="004035E1" w:rsidRDefault="00783046" w:rsidP="00AA1921">
            <w:pPr>
              <w:jc w:val="both"/>
            </w:pPr>
          </w:p>
        </w:tc>
        <w:tc>
          <w:tcPr>
            <w:tcW w:w="2250" w:type="dxa"/>
            <w:tcBorders>
              <w:left w:val="double" w:sz="4" w:space="0" w:color="auto"/>
              <w:bottom w:val="double" w:sz="4" w:space="0" w:color="auto"/>
            </w:tcBorders>
            <w:shd w:val="clear" w:color="auto" w:fill="auto"/>
            <w:vAlign w:val="center"/>
          </w:tcPr>
          <w:p w:rsidR="00783046" w:rsidRPr="004035E1" w:rsidRDefault="00AA1921" w:rsidP="00AA1921">
            <w:pPr>
              <w:jc w:val="center"/>
            </w:pPr>
            <w:r>
              <w:t>L</w:t>
            </w:r>
            <w:r w:rsidR="00783046" w:rsidRPr="004035E1">
              <w:t>inked Model</w:t>
            </w:r>
          </w:p>
        </w:tc>
        <w:tc>
          <w:tcPr>
            <w:tcW w:w="2340" w:type="dxa"/>
            <w:tcBorders>
              <w:bottom w:val="double" w:sz="4" w:space="0" w:color="auto"/>
              <w:right w:val="double" w:sz="4" w:space="0" w:color="auto"/>
            </w:tcBorders>
            <w:shd w:val="clear" w:color="auto" w:fill="auto"/>
            <w:vAlign w:val="center"/>
          </w:tcPr>
          <w:p w:rsidR="00783046" w:rsidRPr="004035E1" w:rsidRDefault="00AA1921" w:rsidP="00AA1921">
            <w:pPr>
              <w:jc w:val="center"/>
            </w:pPr>
            <w:r>
              <w:t>Unl</w:t>
            </w:r>
            <w:r w:rsidR="00783046" w:rsidRPr="004035E1">
              <w:t>inked Model</w:t>
            </w:r>
          </w:p>
        </w:tc>
      </w:tr>
      <w:tr w:rsidR="00783046" w:rsidRPr="004035E1" w:rsidTr="00AA1921">
        <w:trPr>
          <w:trHeight w:val="576"/>
        </w:trPr>
        <w:tc>
          <w:tcPr>
            <w:tcW w:w="4453" w:type="dxa"/>
            <w:tcBorders>
              <w:top w:val="double" w:sz="4" w:space="0" w:color="auto"/>
              <w:left w:val="double" w:sz="4" w:space="0" w:color="auto"/>
              <w:right w:val="double" w:sz="4" w:space="0" w:color="auto"/>
            </w:tcBorders>
            <w:shd w:val="clear" w:color="auto" w:fill="auto"/>
            <w:vAlign w:val="center"/>
          </w:tcPr>
          <w:p w:rsidR="00783046" w:rsidRPr="004035E1" w:rsidRDefault="00783046" w:rsidP="00AA1921">
            <w:r w:rsidRPr="004035E1">
              <w:t>Log-likelihood at Convergence</w:t>
            </w:r>
          </w:p>
        </w:tc>
        <w:tc>
          <w:tcPr>
            <w:tcW w:w="2250" w:type="dxa"/>
            <w:tcBorders>
              <w:top w:val="double" w:sz="4" w:space="0" w:color="auto"/>
              <w:left w:val="double" w:sz="4" w:space="0" w:color="auto"/>
            </w:tcBorders>
            <w:shd w:val="clear" w:color="auto" w:fill="auto"/>
            <w:vAlign w:val="center"/>
          </w:tcPr>
          <w:p w:rsidR="00783046" w:rsidRPr="004035E1" w:rsidRDefault="00A878AA" w:rsidP="00AA1921">
            <w:pPr>
              <w:jc w:val="center"/>
            </w:pPr>
            <w:r>
              <w:t>–</w:t>
            </w:r>
            <w:r w:rsidR="00AA1921" w:rsidRPr="004035E1">
              <w:t>1</w:t>
            </w:r>
            <w:r w:rsidR="00F4327B">
              <w:t>1</w:t>
            </w:r>
            <w:r w:rsidR="00AA1921" w:rsidRPr="004035E1">
              <w:t>,</w:t>
            </w:r>
            <w:r w:rsidR="00F4327B">
              <w:t>854</w:t>
            </w:r>
            <w:r w:rsidR="00AA1921" w:rsidRPr="004035E1">
              <w:t>.</w:t>
            </w:r>
            <w:r w:rsidR="00F4327B">
              <w:t>3</w:t>
            </w:r>
            <w:r w:rsidR="00AA1921" w:rsidRPr="004035E1">
              <w:t>8</w:t>
            </w:r>
          </w:p>
        </w:tc>
        <w:tc>
          <w:tcPr>
            <w:tcW w:w="2340" w:type="dxa"/>
            <w:tcBorders>
              <w:top w:val="double" w:sz="4" w:space="0" w:color="auto"/>
              <w:right w:val="double" w:sz="4" w:space="0" w:color="auto"/>
            </w:tcBorders>
            <w:shd w:val="clear" w:color="auto" w:fill="auto"/>
            <w:vAlign w:val="center"/>
          </w:tcPr>
          <w:p w:rsidR="00783046" w:rsidRPr="004035E1" w:rsidRDefault="00A878AA" w:rsidP="00AA1921">
            <w:pPr>
              <w:jc w:val="center"/>
            </w:pPr>
            <w:r>
              <w:t>–</w:t>
            </w:r>
            <w:r w:rsidR="00AA1921" w:rsidRPr="004035E1">
              <w:t>12,322.80</w:t>
            </w:r>
          </w:p>
        </w:tc>
      </w:tr>
      <w:tr w:rsidR="00496A2E" w:rsidRPr="004035E1" w:rsidTr="00AA1921">
        <w:trPr>
          <w:trHeight w:val="576"/>
        </w:trPr>
        <w:tc>
          <w:tcPr>
            <w:tcW w:w="4453" w:type="dxa"/>
            <w:tcBorders>
              <w:left w:val="double" w:sz="4" w:space="0" w:color="auto"/>
              <w:right w:val="double" w:sz="4" w:space="0" w:color="auto"/>
            </w:tcBorders>
            <w:shd w:val="clear" w:color="auto" w:fill="auto"/>
            <w:vAlign w:val="center"/>
          </w:tcPr>
          <w:p w:rsidR="00496A2E" w:rsidRPr="004035E1" w:rsidRDefault="00496A2E" w:rsidP="00AA1921">
            <w:r w:rsidRPr="004035E1">
              <w:t>Log-likelihood of the base naïve model</w:t>
            </w:r>
          </w:p>
        </w:tc>
        <w:tc>
          <w:tcPr>
            <w:tcW w:w="4590" w:type="dxa"/>
            <w:gridSpan w:val="2"/>
            <w:tcBorders>
              <w:left w:val="double" w:sz="4" w:space="0" w:color="auto"/>
              <w:right w:val="double" w:sz="4" w:space="0" w:color="auto"/>
            </w:tcBorders>
            <w:shd w:val="clear" w:color="auto" w:fill="auto"/>
            <w:vAlign w:val="center"/>
          </w:tcPr>
          <w:p w:rsidR="00496A2E" w:rsidRPr="004035E1" w:rsidRDefault="00A878AA" w:rsidP="00AA1921">
            <w:pPr>
              <w:jc w:val="center"/>
            </w:pPr>
            <w:r>
              <w:t>–</w:t>
            </w:r>
            <w:r w:rsidR="00496A2E" w:rsidRPr="004035E1">
              <w:t>1</w:t>
            </w:r>
            <w:r w:rsidR="00AA2854">
              <w:t>5958.10</w:t>
            </w:r>
          </w:p>
        </w:tc>
      </w:tr>
      <w:tr w:rsidR="00783046" w:rsidRPr="004035E1" w:rsidTr="00AA1921">
        <w:trPr>
          <w:trHeight w:val="576"/>
        </w:trPr>
        <w:tc>
          <w:tcPr>
            <w:tcW w:w="4453" w:type="dxa"/>
            <w:tcBorders>
              <w:left w:val="double" w:sz="4" w:space="0" w:color="auto"/>
              <w:right w:val="double" w:sz="4" w:space="0" w:color="auto"/>
            </w:tcBorders>
            <w:shd w:val="clear" w:color="auto" w:fill="auto"/>
            <w:vAlign w:val="center"/>
          </w:tcPr>
          <w:p w:rsidR="00783046" w:rsidRPr="004035E1" w:rsidRDefault="00783046" w:rsidP="00AA1921">
            <w:r w:rsidRPr="004035E1">
              <w:t xml:space="preserve">Number of </w:t>
            </w:r>
            <w:r w:rsidR="00496A2E" w:rsidRPr="004035E1">
              <w:t>parameters, not including the ln(area) coefficient</w:t>
            </w:r>
            <w:r w:rsidR="00AA2854">
              <w:t xml:space="preserve"> in the baseline</w:t>
            </w:r>
            <w:r w:rsidR="00496A2E" w:rsidRPr="004035E1">
              <w:t xml:space="preserve">, the two </w:t>
            </w:r>
            <w:r w:rsidR="00496A2E" w:rsidRPr="004035E1">
              <w:rPr>
                <w:position w:val="-12"/>
              </w:rPr>
              <w:object w:dxaOrig="279" w:dyaOrig="360" w14:anchorId="2A92639A">
                <v:shape id="_x0000_i1305" type="#_x0000_t75" style="width:13.7pt;height:18pt" o:ole="">
                  <v:imagedata r:id="rId241" o:title=""/>
                </v:shape>
                <o:OLEObject Type="Embed" ProgID="Equation.DSMT4" ShapeID="_x0000_i1305" DrawAspect="Content" ObjectID="_1722174451" r:id="rId541"/>
              </w:object>
            </w:r>
            <w:r w:rsidR="00496A2E" w:rsidRPr="004035E1">
              <w:t xml:space="preserve"> terms, and the constant in the </w:t>
            </w:r>
            <w:r w:rsidR="00496A2E" w:rsidRPr="004035E1">
              <w:rPr>
                <w:position w:val="-6"/>
              </w:rPr>
              <w:object w:dxaOrig="260" w:dyaOrig="220" w14:anchorId="4D03C850">
                <v:shape id="_x0000_i1306" type="#_x0000_t75" style="width:13.3pt;height:10.7pt" o:ole="">
                  <v:imagedata r:id="rId505" o:title=""/>
                </v:shape>
                <o:OLEObject Type="Embed" ProgID="Equation.DSMT4" ShapeID="_x0000_i1306" DrawAspect="Content" ObjectID="_1722174452" r:id="rId542"/>
              </w:object>
            </w:r>
            <w:r w:rsidR="00496A2E" w:rsidRPr="004035E1">
              <w:t xml:space="preserve"> vector</w:t>
            </w:r>
          </w:p>
        </w:tc>
        <w:tc>
          <w:tcPr>
            <w:tcW w:w="2250" w:type="dxa"/>
            <w:tcBorders>
              <w:left w:val="double" w:sz="4" w:space="0" w:color="auto"/>
            </w:tcBorders>
            <w:shd w:val="clear" w:color="auto" w:fill="auto"/>
            <w:vAlign w:val="center"/>
          </w:tcPr>
          <w:p w:rsidR="00783046" w:rsidRPr="004035E1" w:rsidRDefault="00496A2E" w:rsidP="00AA1921">
            <w:pPr>
              <w:jc w:val="center"/>
            </w:pPr>
            <w:r w:rsidRPr="004035E1">
              <w:t>1</w:t>
            </w:r>
            <w:r w:rsidR="00AA2854">
              <w:t>7</w:t>
            </w:r>
          </w:p>
        </w:tc>
        <w:tc>
          <w:tcPr>
            <w:tcW w:w="2340" w:type="dxa"/>
            <w:tcBorders>
              <w:right w:val="double" w:sz="4" w:space="0" w:color="auto"/>
            </w:tcBorders>
            <w:shd w:val="clear" w:color="auto" w:fill="auto"/>
            <w:vAlign w:val="center"/>
          </w:tcPr>
          <w:p w:rsidR="00783046" w:rsidRPr="004035E1" w:rsidRDefault="00496A2E" w:rsidP="00AA1921">
            <w:pPr>
              <w:jc w:val="center"/>
            </w:pPr>
            <w:r w:rsidRPr="004035E1">
              <w:t>1</w:t>
            </w:r>
            <w:r w:rsidR="00AA2854">
              <w:t>7</w:t>
            </w:r>
          </w:p>
        </w:tc>
      </w:tr>
      <w:tr w:rsidR="00783046" w:rsidRPr="004035E1" w:rsidTr="00AA1921">
        <w:trPr>
          <w:trHeight w:val="576"/>
        </w:trPr>
        <w:tc>
          <w:tcPr>
            <w:tcW w:w="4453" w:type="dxa"/>
            <w:tcBorders>
              <w:left w:val="double" w:sz="4" w:space="0" w:color="auto"/>
              <w:right w:val="double" w:sz="4" w:space="0" w:color="auto"/>
            </w:tcBorders>
            <w:shd w:val="clear" w:color="auto" w:fill="auto"/>
            <w:vAlign w:val="center"/>
          </w:tcPr>
          <w:p w:rsidR="00783046" w:rsidRPr="004035E1" w:rsidRDefault="00783046" w:rsidP="00AA1921">
            <w:r w:rsidRPr="004035E1">
              <w:t xml:space="preserve">Nested Likelihood Ratio Test w.r.t </w:t>
            </w:r>
            <w:r w:rsidR="00023E6A">
              <w:t>the base naïve m</w:t>
            </w:r>
            <w:r w:rsidRPr="004035E1">
              <w:t>odel</w:t>
            </w:r>
          </w:p>
        </w:tc>
        <w:tc>
          <w:tcPr>
            <w:tcW w:w="2250" w:type="dxa"/>
            <w:tcBorders>
              <w:left w:val="double" w:sz="4" w:space="0" w:color="auto"/>
            </w:tcBorders>
            <w:shd w:val="clear" w:color="auto" w:fill="auto"/>
            <w:vAlign w:val="center"/>
          </w:tcPr>
          <w:p w:rsidR="00783046" w:rsidRPr="004035E1" w:rsidRDefault="00AA2854" w:rsidP="00AA1921">
            <w:pPr>
              <w:jc w:val="center"/>
            </w:pPr>
            <w:r>
              <w:t>8,207</w:t>
            </w:r>
          </w:p>
        </w:tc>
        <w:tc>
          <w:tcPr>
            <w:tcW w:w="2340" w:type="dxa"/>
            <w:tcBorders>
              <w:right w:val="double" w:sz="4" w:space="0" w:color="auto"/>
            </w:tcBorders>
            <w:shd w:val="clear" w:color="auto" w:fill="auto"/>
            <w:vAlign w:val="center"/>
          </w:tcPr>
          <w:p w:rsidR="00783046" w:rsidRPr="004035E1" w:rsidRDefault="004F1620" w:rsidP="00AA1921">
            <w:pPr>
              <w:jc w:val="center"/>
            </w:pPr>
            <w:r>
              <w:t>7,271</w:t>
            </w:r>
          </w:p>
        </w:tc>
      </w:tr>
      <w:tr w:rsidR="00783046" w:rsidRPr="004035E1" w:rsidTr="00AA1921">
        <w:trPr>
          <w:trHeight w:val="576"/>
        </w:trPr>
        <w:tc>
          <w:tcPr>
            <w:tcW w:w="4453" w:type="dxa"/>
            <w:tcBorders>
              <w:left w:val="double" w:sz="4" w:space="0" w:color="auto"/>
              <w:right w:val="double" w:sz="4" w:space="0" w:color="auto"/>
            </w:tcBorders>
            <w:shd w:val="clear" w:color="auto" w:fill="auto"/>
            <w:vAlign w:val="center"/>
          </w:tcPr>
          <w:p w:rsidR="00783046" w:rsidRPr="004035E1" w:rsidRDefault="00783046" w:rsidP="00AA1921">
            <w:r w:rsidRPr="004035E1">
              <w:t>Adjusted Likelihood Ratio Index</w:t>
            </w:r>
          </w:p>
        </w:tc>
        <w:tc>
          <w:tcPr>
            <w:tcW w:w="2250" w:type="dxa"/>
            <w:tcBorders>
              <w:left w:val="double" w:sz="4" w:space="0" w:color="auto"/>
            </w:tcBorders>
            <w:shd w:val="clear" w:color="auto" w:fill="auto"/>
            <w:vAlign w:val="center"/>
          </w:tcPr>
          <w:p w:rsidR="00783046" w:rsidRPr="004035E1" w:rsidRDefault="00AA1921" w:rsidP="00AA1921">
            <w:pPr>
              <w:jc w:val="center"/>
            </w:pPr>
            <w:r w:rsidRPr="004035E1">
              <w:t>0</w:t>
            </w:r>
            <w:r w:rsidR="004F1620">
              <w:t>.256</w:t>
            </w:r>
            <w:r>
              <w:t xml:space="preserve"> </w:t>
            </w:r>
          </w:p>
        </w:tc>
        <w:tc>
          <w:tcPr>
            <w:tcW w:w="2340" w:type="dxa"/>
            <w:tcBorders>
              <w:right w:val="double" w:sz="4" w:space="0" w:color="auto"/>
            </w:tcBorders>
            <w:shd w:val="clear" w:color="auto" w:fill="auto"/>
            <w:vAlign w:val="center"/>
          </w:tcPr>
          <w:p w:rsidR="00783046" w:rsidRPr="004035E1" w:rsidRDefault="004F1620" w:rsidP="00AA1921">
            <w:pPr>
              <w:jc w:val="center"/>
            </w:pPr>
            <w:r>
              <w:t>0.227</w:t>
            </w:r>
          </w:p>
        </w:tc>
      </w:tr>
      <w:tr w:rsidR="00783046" w:rsidRPr="004035E1" w:rsidTr="00AA1921">
        <w:trPr>
          <w:trHeight w:val="576"/>
        </w:trPr>
        <w:tc>
          <w:tcPr>
            <w:tcW w:w="4453" w:type="dxa"/>
            <w:tcBorders>
              <w:left w:val="double" w:sz="4" w:space="0" w:color="auto"/>
              <w:bottom w:val="single" w:sz="4" w:space="0" w:color="auto"/>
              <w:right w:val="double" w:sz="4" w:space="0" w:color="auto"/>
            </w:tcBorders>
            <w:shd w:val="clear" w:color="auto" w:fill="auto"/>
            <w:vAlign w:val="center"/>
          </w:tcPr>
          <w:p w:rsidR="00783046" w:rsidRPr="004035E1" w:rsidRDefault="00783046" w:rsidP="00AA1921">
            <w:r w:rsidRPr="004035E1">
              <w:t>Bayesian Information Criteria (BIC)</w:t>
            </w:r>
          </w:p>
        </w:tc>
        <w:tc>
          <w:tcPr>
            <w:tcW w:w="2250" w:type="dxa"/>
            <w:tcBorders>
              <w:left w:val="double" w:sz="4" w:space="0" w:color="auto"/>
              <w:bottom w:val="single" w:sz="4" w:space="0" w:color="auto"/>
            </w:tcBorders>
            <w:shd w:val="clear" w:color="auto" w:fill="auto"/>
            <w:vAlign w:val="center"/>
          </w:tcPr>
          <w:p w:rsidR="00783046" w:rsidRPr="004035E1" w:rsidRDefault="00AA1921" w:rsidP="00AA1921">
            <w:pPr>
              <w:jc w:val="center"/>
            </w:pPr>
            <w:r w:rsidRPr="004035E1">
              <w:t>1</w:t>
            </w:r>
            <w:r w:rsidR="004F1620">
              <w:t>1,945</w:t>
            </w:r>
          </w:p>
        </w:tc>
        <w:tc>
          <w:tcPr>
            <w:tcW w:w="2340" w:type="dxa"/>
            <w:tcBorders>
              <w:bottom w:val="single" w:sz="4" w:space="0" w:color="auto"/>
              <w:right w:val="double" w:sz="4" w:space="0" w:color="auto"/>
            </w:tcBorders>
            <w:shd w:val="clear" w:color="auto" w:fill="auto"/>
            <w:vAlign w:val="center"/>
          </w:tcPr>
          <w:p w:rsidR="00783046" w:rsidRPr="004035E1" w:rsidRDefault="004F1620" w:rsidP="00AA1921">
            <w:pPr>
              <w:jc w:val="center"/>
            </w:pPr>
            <w:r>
              <w:t>12,413</w:t>
            </w:r>
          </w:p>
        </w:tc>
      </w:tr>
      <w:tr w:rsidR="00783046" w:rsidRPr="004035E1" w:rsidTr="00AA1921">
        <w:tc>
          <w:tcPr>
            <w:tcW w:w="4453" w:type="dxa"/>
            <w:tcBorders>
              <w:left w:val="double" w:sz="4" w:space="0" w:color="auto"/>
              <w:bottom w:val="double" w:sz="4" w:space="0" w:color="auto"/>
              <w:right w:val="double" w:sz="4" w:space="0" w:color="auto"/>
            </w:tcBorders>
            <w:shd w:val="clear" w:color="auto" w:fill="auto"/>
            <w:vAlign w:val="center"/>
          </w:tcPr>
          <w:p w:rsidR="00783046" w:rsidRPr="004035E1" w:rsidRDefault="00783046" w:rsidP="00AA1921">
            <w:r w:rsidRPr="004035E1">
              <w:t>Non-Nested Likelihood Ratio Test between the Unlinked and Linked Models (informal test in hold-out sample)</w:t>
            </w:r>
          </w:p>
        </w:tc>
        <w:tc>
          <w:tcPr>
            <w:tcW w:w="4590" w:type="dxa"/>
            <w:gridSpan w:val="2"/>
            <w:tcBorders>
              <w:left w:val="double" w:sz="4" w:space="0" w:color="auto"/>
              <w:bottom w:val="double" w:sz="4" w:space="0" w:color="auto"/>
              <w:right w:val="double" w:sz="4" w:space="0" w:color="auto"/>
            </w:tcBorders>
            <w:shd w:val="clear" w:color="auto" w:fill="auto"/>
            <w:vAlign w:val="center"/>
          </w:tcPr>
          <w:p w:rsidR="00783046" w:rsidRPr="004035E1" w:rsidRDefault="00783046" w:rsidP="00AA1921">
            <w:pPr>
              <w:jc w:val="center"/>
            </w:pPr>
            <w:r w:rsidRPr="004035E1">
              <w:t>Φ(-</w:t>
            </w:r>
            <w:r w:rsidR="004F1620">
              <w:t>30.42</w:t>
            </w:r>
            <w:r w:rsidRPr="004035E1">
              <w:t>) &lt;&lt; 0.</w:t>
            </w:r>
            <w:r w:rsidR="004507B2" w:rsidRPr="004035E1">
              <w:t>0</w:t>
            </w:r>
            <w:r w:rsidRPr="004035E1">
              <w:t>001</w:t>
            </w:r>
          </w:p>
        </w:tc>
      </w:tr>
    </w:tbl>
    <w:p w:rsidR="00783046" w:rsidRPr="004035E1" w:rsidRDefault="00783046" w:rsidP="00AA1921">
      <w:pPr>
        <w:jc w:val="both"/>
      </w:pPr>
    </w:p>
    <w:p w:rsidR="00AA1921" w:rsidRDefault="00AA1921" w:rsidP="001C3CEA">
      <w:pPr>
        <w:autoSpaceDE w:val="0"/>
        <w:autoSpaceDN w:val="0"/>
        <w:adjustRightInd w:val="0"/>
        <w:spacing w:line="276" w:lineRule="auto"/>
        <w:jc w:val="both"/>
        <w:rPr>
          <w:b/>
        </w:rPr>
        <w:sectPr w:rsidR="00AA1921" w:rsidSect="006E45EC">
          <w:pgSz w:w="12240" w:h="15840" w:code="1"/>
          <w:pgMar w:top="1440" w:right="1440" w:bottom="1440" w:left="1440" w:header="720" w:footer="720" w:gutter="0"/>
          <w:cols w:space="720"/>
          <w:docGrid w:linePitch="360"/>
        </w:sectPr>
      </w:pPr>
    </w:p>
    <w:p w:rsidR="00A02405" w:rsidRPr="004035E1" w:rsidRDefault="001C3CEA" w:rsidP="00100A41">
      <w:pPr>
        <w:autoSpaceDE w:val="0"/>
        <w:autoSpaceDN w:val="0"/>
        <w:adjustRightInd w:val="0"/>
        <w:spacing w:after="60" w:line="276" w:lineRule="auto"/>
        <w:jc w:val="both"/>
        <w:rPr>
          <w:b/>
        </w:rPr>
      </w:pPr>
      <w:r w:rsidRPr="004035E1">
        <w:rPr>
          <w:b/>
        </w:rPr>
        <w:lastRenderedPageBreak/>
        <w:t xml:space="preserve">Table </w:t>
      </w:r>
      <w:r w:rsidR="00BC3B86">
        <w:rPr>
          <w:b/>
        </w:rPr>
        <w:t>7</w:t>
      </w:r>
      <w:r w:rsidRPr="004035E1">
        <w:rPr>
          <w:b/>
        </w:rPr>
        <w:t xml:space="preserve">. </w:t>
      </w:r>
      <w:r>
        <w:rPr>
          <w:b/>
        </w:rPr>
        <w:t>Total Number of Visits to Each Destination Region</w:t>
      </w:r>
    </w:p>
    <w:tbl>
      <w:tblPr>
        <w:tblW w:w="12478"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2218"/>
        <w:gridCol w:w="1800"/>
        <w:gridCol w:w="2070"/>
        <w:gridCol w:w="2070"/>
        <w:gridCol w:w="2160"/>
        <w:gridCol w:w="2160"/>
      </w:tblGrid>
      <w:tr w:rsidR="006267B8" w:rsidRPr="00AA1921" w:rsidTr="00100A41">
        <w:trPr>
          <w:trHeight w:val="315"/>
        </w:trPr>
        <w:tc>
          <w:tcPr>
            <w:tcW w:w="2218" w:type="dxa"/>
            <w:vMerge w:val="restart"/>
            <w:tcBorders>
              <w:top w:val="double" w:sz="6" w:space="0" w:color="auto"/>
              <w:right w:val="double" w:sz="6" w:space="0" w:color="auto"/>
            </w:tcBorders>
            <w:shd w:val="clear" w:color="auto" w:fill="auto"/>
            <w:noWrap/>
            <w:tcMar>
              <w:left w:w="58" w:type="dxa"/>
              <w:right w:w="58" w:type="dxa"/>
            </w:tcMar>
            <w:vAlign w:val="center"/>
          </w:tcPr>
          <w:p w:rsidR="006267B8" w:rsidRPr="00AA1921" w:rsidRDefault="006267B8" w:rsidP="00100A41">
            <w:pPr>
              <w:rPr>
                <w:color w:val="000000"/>
                <w:sz w:val="22"/>
                <w:szCs w:val="22"/>
              </w:rPr>
            </w:pPr>
            <w:r w:rsidRPr="00AA1921">
              <w:rPr>
                <w:color w:val="000000"/>
                <w:sz w:val="22"/>
                <w:szCs w:val="22"/>
              </w:rPr>
              <w:t>Destination Region</w:t>
            </w:r>
          </w:p>
        </w:tc>
        <w:tc>
          <w:tcPr>
            <w:tcW w:w="1800" w:type="dxa"/>
            <w:vMerge w:val="restart"/>
            <w:tcBorders>
              <w:top w:val="double" w:sz="6" w:space="0" w:color="auto"/>
              <w:right w:val="double" w:sz="6" w:space="0" w:color="auto"/>
            </w:tcBorders>
            <w:vAlign w:val="center"/>
          </w:tcPr>
          <w:p w:rsidR="006267B8" w:rsidRPr="00AA1921" w:rsidRDefault="006267B8" w:rsidP="00100A41">
            <w:pPr>
              <w:jc w:val="center"/>
              <w:rPr>
                <w:color w:val="000000"/>
                <w:sz w:val="22"/>
                <w:szCs w:val="22"/>
              </w:rPr>
            </w:pPr>
            <w:r w:rsidRPr="00AA1921">
              <w:rPr>
                <w:color w:val="000000"/>
                <w:sz w:val="22"/>
                <w:szCs w:val="22"/>
              </w:rPr>
              <w:t>Actual</w:t>
            </w:r>
          </w:p>
        </w:tc>
        <w:tc>
          <w:tcPr>
            <w:tcW w:w="4140" w:type="dxa"/>
            <w:gridSpan w:val="2"/>
            <w:tcBorders>
              <w:top w:val="double" w:sz="6" w:space="0" w:color="auto"/>
              <w:bottom w:val="single" w:sz="4" w:space="0" w:color="auto"/>
              <w:right w:val="double" w:sz="6" w:space="0" w:color="auto"/>
            </w:tcBorders>
            <w:vAlign w:val="center"/>
          </w:tcPr>
          <w:p w:rsidR="006267B8" w:rsidRPr="00AA1921" w:rsidRDefault="006267B8" w:rsidP="00100A41">
            <w:pPr>
              <w:jc w:val="center"/>
              <w:rPr>
                <w:color w:val="000000"/>
                <w:sz w:val="22"/>
                <w:szCs w:val="22"/>
              </w:rPr>
            </w:pPr>
            <w:r w:rsidRPr="00AA1921">
              <w:rPr>
                <w:color w:val="000000"/>
                <w:sz w:val="22"/>
                <w:szCs w:val="22"/>
              </w:rPr>
              <w:t>Linked Model Predictions and APE</w:t>
            </w:r>
            <w:r w:rsidR="00FC1130" w:rsidRPr="00AA1921">
              <w:rPr>
                <w:color w:val="000000"/>
                <w:sz w:val="22"/>
                <w:szCs w:val="22"/>
              </w:rPr>
              <w:t>*</w:t>
            </w:r>
          </w:p>
        </w:tc>
        <w:tc>
          <w:tcPr>
            <w:tcW w:w="4320" w:type="dxa"/>
            <w:gridSpan w:val="2"/>
            <w:tcBorders>
              <w:top w:val="double" w:sz="6" w:space="0" w:color="auto"/>
              <w:left w:val="double" w:sz="6" w:space="0" w:color="auto"/>
              <w:bottom w:val="single" w:sz="4" w:space="0" w:color="auto"/>
              <w:right w:val="double" w:sz="6" w:space="0" w:color="auto"/>
            </w:tcBorders>
            <w:vAlign w:val="center"/>
          </w:tcPr>
          <w:p w:rsidR="006267B8" w:rsidRPr="00AA1921" w:rsidRDefault="006267B8" w:rsidP="00100A41">
            <w:pPr>
              <w:jc w:val="center"/>
              <w:rPr>
                <w:color w:val="000000"/>
                <w:sz w:val="22"/>
                <w:szCs w:val="22"/>
              </w:rPr>
            </w:pPr>
            <w:r w:rsidRPr="00AA1921">
              <w:rPr>
                <w:color w:val="000000"/>
                <w:sz w:val="22"/>
                <w:szCs w:val="22"/>
              </w:rPr>
              <w:t>Unlinked Model Prediction and APE</w:t>
            </w:r>
          </w:p>
        </w:tc>
      </w:tr>
      <w:tr w:rsidR="006267B8" w:rsidRPr="00AA1921" w:rsidTr="00100A41">
        <w:trPr>
          <w:trHeight w:val="315"/>
        </w:trPr>
        <w:tc>
          <w:tcPr>
            <w:tcW w:w="2218" w:type="dxa"/>
            <w:vMerge/>
            <w:tcBorders>
              <w:bottom w:val="single" w:sz="4" w:space="0" w:color="auto"/>
              <w:right w:val="double" w:sz="6" w:space="0" w:color="auto"/>
            </w:tcBorders>
            <w:shd w:val="clear" w:color="auto" w:fill="auto"/>
            <w:noWrap/>
            <w:tcMar>
              <w:left w:w="58" w:type="dxa"/>
              <w:right w:w="58" w:type="dxa"/>
            </w:tcMar>
            <w:vAlign w:val="center"/>
          </w:tcPr>
          <w:p w:rsidR="006267B8" w:rsidRPr="00AA1921" w:rsidRDefault="006267B8" w:rsidP="00AA1921">
            <w:pPr>
              <w:jc w:val="both"/>
              <w:rPr>
                <w:color w:val="000000"/>
                <w:sz w:val="22"/>
                <w:szCs w:val="22"/>
              </w:rPr>
            </w:pPr>
          </w:p>
        </w:tc>
        <w:tc>
          <w:tcPr>
            <w:tcW w:w="1800" w:type="dxa"/>
            <w:vMerge/>
            <w:tcBorders>
              <w:bottom w:val="single" w:sz="4" w:space="0" w:color="auto"/>
              <w:right w:val="double" w:sz="6" w:space="0" w:color="auto"/>
            </w:tcBorders>
          </w:tcPr>
          <w:p w:rsidR="006267B8" w:rsidRPr="00AA1921" w:rsidRDefault="006267B8" w:rsidP="00AA1921">
            <w:pPr>
              <w:jc w:val="both"/>
              <w:rPr>
                <w:color w:val="000000"/>
                <w:sz w:val="22"/>
                <w:szCs w:val="22"/>
              </w:rPr>
            </w:pPr>
          </w:p>
        </w:tc>
        <w:tc>
          <w:tcPr>
            <w:tcW w:w="2070" w:type="dxa"/>
            <w:tcBorders>
              <w:top w:val="single" w:sz="4" w:space="0" w:color="auto"/>
              <w:bottom w:val="double" w:sz="6" w:space="0" w:color="auto"/>
            </w:tcBorders>
            <w:vAlign w:val="center"/>
          </w:tcPr>
          <w:p w:rsidR="006267B8" w:rsidRPr="00AA1921" w:rsidRDefault="006267B8" w:rsidP="00100A41">
            <w:pPr>
              <w:jc w:val="center"/>
              <w:rPr>
                <w:color w:val="000000"/>
                <w:sz w:val="22"/>
                <w:szCs w:val="22"/>
              </w:rPr>
            </w:pPr>
            <w:r w:rsidRPr="00AA1921">
              <w:rPr>
                <w:color w:val="000000"/>
                <w:sz w:val="22"/>
                <w:szCs w:val="22"/>
              </w:rPr>
              <w:t>Predicted Count</w:t>
            </w:r>
          </w:p>
        </w:tc>
        <w:tc>
          <w:tcPr>
            <w:tcW w:w="2070" w:type="dxa"/>
            <w:tcBorders>
              <w:top w:val="single" w:sz="4" w:space="0" w:color="auto"/>
              <w:bottom w:val="double" w:sz="6" w:space="0" w:color="auto"/>
              <w:right w:val="double" w:sz="6" w:space="0" w:color="auto"/>
            </w:tcBorders>
            <w:vAlign w:val="center"/>
          </w:tcPr>
          <w:p w:rsidR="006267B8" w:rsidRPr="00AA1921" w:rsidRDefault="006267B8" w:rsidP="00100A41">
            <w:pPr>
              <w:jc w:val="center"/>
              <w:rPr>
                <w:color w:val="000000"/>
                <w:sz w:val="22"/>
                <w:szCs w:val="22"/>
              </w:rPr>
            </w:pPr>
            <w:r w:rsidRPr="00AA1921">
              <w:rPr>
                <w:color w:val="000000"/>
                <w:sz w:val="22"/>
                <w:szCs w:val="22"/>
              </w:rPr>
              <w:t>APE</w:t>
            </w:r>
          </w:p>
        </w:tc>
        <w:tc>
          <w:tcPr>
            <w:tcW w:w="2160" w:type="dxa"/>
            <w:tcBorders>
              <w:top w:val="single" w:sz="4" w:space="0" w:color="auto"/>
              <w:left w:val="double" w:sz="6" w:space="0" w:color="auto"/>
              <w:bottom w:val="double" w:sz="6" w:space="0" w:color="auto"/>
              <w:right w:val="single" w:sz="4" w:space="0" w:color="auto"/>
            </w:tcBorders>
            <w:vAlign w:val="center"/>
          </w:tcPr>
          <w:p w:rsidR="006267B8" w:rsidRPr="00AA1921" w:rsidRDefault="006267B8" w:rsidP="00100A41">
            <w:pPr>
              <w:jc w:val="center"/>
              <w:rPr>
                <w:color w:val="000000"/>
                <w:sz w:val="22"/>
                <w:szCs w:val="22"/>
              </w:rPr>
            </w:pPr>
            <w:r w:rsidRPr="00AA1921">
              <w:rPr>
                <w:color w:val="000000"/>
                <w:sz w:val="22"/>
                <w:szCs w:val="22"/>
              </w:rPr>
              <w:t>Predicted Count</w:t>
            </w:r>
          </w:p>
        </w:tc>
        <w:tc>
          <w:tcPr>
            <w:tcW w:w="2160" w:type="dxa"/>
            <w:tcBorders>
              <w:top w:val="single" w:sz="4" w:space="0" w:color="auto"/>
              <w:left w:val="single" w:sz="4" w:space="0" w:color="auto"/>
              <w:bottom w:val="double" w:sz="6" w:space="0" w:color="auto"/>
              <w:right w:val="double" w:sz="6" w:space="0" w:color="auto"/>
            </w:tcBorders>
            <w:vAlign w:val="center"/>
          </w:tcPr>
          <w:p w:rsidR="006267B8" w:rsidRPr="00AA1921" w:rsidRDefault="006267B8" w:rsidP="00100A41">
            <w:pPr>
              <w:jc w:val="center"/>
              <w:rPr>
                <w:color w:val="000000"/>
                <w:sz w:val="22"/>
                <w:szCs w:val="22"/>
              </w:rPr>
            </w:pPr>
            <w:r w:rsidRPr="00AA1921">
              <w:rPr>
                <w:color w:val="000000"/>
                <w:sz w:val="22"/>
                <w:szCs w:val="22"/>
              </w:rPr>
              <w:t>APE</w:t>
            </w:r>
          </w:p>
        </w:tc>
      </w:tr>
      <w:tr w:rsidR="001C3CEA" w:rsidRPr="00AA1921" w:rsidTr="00100A41">
        <w:trPr>
          <w:trHeight w:val="288"/>
        </w:trPr>
        <w:tc>
          <w:tcPr>
            <w:tcW w:w="2218" w:type="dxa"/>
            <w:tcBorders>
              <w:top w:val="double" w:sz="6" w:space="0" w:color="auto"/>
              <w:right w:val="double" w:sz="6" w:space="0" w:color="auto"/>
            </w:tcBorders>
            <w:shd w:val="clear" w:color="auto" w:fill="auto"/>
            <w:noWrap/>
            <w:vAlign w:val="center"/>
          </w:tcPr>
          <w:p w:rsidR="001C3CEA" w:rsidRPr="00AA1921" w:rsidRDefault="001C3CEA" w:rsidP="00AA1921">
            <w:pPr>
              <w:jc w:val="both"/>
              <w:rPr>
                <w:color w:val="000000"/>
                <w:sz w:val="22"/>
                <w:szCs w:val="22"/>
              </w:rPr>
            </w:pPr>
            <w:r w:rsidRPr="00AA1921">
              <w:rPr>
                <w:color w:val="000000"/>
                <w:sz w:val="22"/>
                <w:szCs w:val="22"/>
              </w:rPr>
              <w:t>Northland</w:t>
            </w:r>
          </w:p>
        </w:tc>
        <w:tc>
          <w:tcPr>
            <w:tcW w:w="1800" w:type="dxa"/>
            <w:tcBorders>
              <w:top w:val="double" w:sz="6" w:space="0" w:color="auto"/>
              <w:right w:val="double" w:sz="6" w:space="0" w:color="auto"/>
            </w:tcBorders>
          </w:tcPr>
          <w:p w:rsidR="001C3CEA" w:rsidRPr="00AA1921" w:rsidRDefault="007A0EED" w:rsidP="00AA1921">
            <w:pPr>
              <w:jc w:val="center"/>
              <w:rPr>
                <w:color w:val="000000"/>
                <w:sz w:val="22"/>
                <w:szCs w:val="22"/>
              </w:rPr>
            </w:pPr>
            <w:r>
              <w:rPr>
                <w:color w:val="000000"/>
                <w:sz w:val="22"/>
                <w:szCs w:val="22"/>
              </w:rPr>
              <w:t xml:space="preserve"> </w:t>
            </w:r>
            <w:r w:rsidR="001C3CEA" w:rsidRPr="00AA1921">
              <w:rPr>
                <w:color w:val="000000"/>
                <w:sz w:val="22"/>
                <w:szCs w:val="22"/>
              </w:rPr>
              <w:t>335</w:t>
            </w:r>
          </w:p>
        </w:tc>
        <w:tc>
          <w:tcPr>
            <w:tcW w:w="2070" w:type="dxa"/>
            <w:tcBorders>
              <w:top w:val="double" w:sz="6" w:space="0" w:color="auto"/>
              <w:right w:val="single" w:sz="4" w:space="0" w:color="auto"/>
            </w:tcBorders>
          </w:tcPr>
          <w:p w:rsidR="001C3CEA" w:rsidRPr="00AA1921" w:rsidRDefault="001C3CEA" w:rsidP="00AA1921">
            <w:pPr>
              <w:jc w:val="center"/>
              <w:rPr>
                <w:color w:val="000000"/>
                <w:sz w:val="22"/>
                <w:szCs w:val="22"/>
              </w:rPr>
            </w:pPr>
            <w:r w:rsidRPr="00AA1921">
              <w:rPr>
                <w:color w:val="000000"/>
                <w:sz w:val="22"/>
                <w:szCs w:val="22"/>
              </w:rPr>
              <w:t>4</w:t>
            </w:r>
            <w:r w:rsidR="003C6603">
              <w:rPr>
                <w:color w:val="000000"/>
                <w:sz w:val="22"/>
                <w:szCs w:val="22"/>
              </w:rPr>
              <w:t>17</w:t>
            </w:r>
          </w:p>
        </w:tc>
        <w:tc>
          <w:tcPr>
            <w:tcW w:w="2070" w:type="dxa"/>
            <w:tcBorders>
              <w:top w:val="double" w:sz="6" w:space="0" w:color="auto"/>
              <w:left w:val="single" w:sz="4" w:space="0" w:color="auto"/>
              <w:bottom w:val="single" w:sz="4" w:space="0" w:color="auto"/>
              <w:right w:val="double" w:sz="6" w:space="0" w:color="auto"/>
            </w:tcBorders>
          </w:tcPr>
          <w:p w:rsidR="001C3CEA" w:rsidRPr="00AA1921" w:rsidRDefault="006267B8" w:rsidP="00AA1921">
            <w:pPr>
              <w:jc w:val="center"/>
              <w:rPr>
                <w:color w:val="000000"/>
                <w:sz w:val="22"/>
                <w:szCs w:val="22"/>
              </w:rPr>
            </w:pPr>
            <w:r w:rsidRPr="00AA1921">
              <w:rPr>
                <w:color w:val="000000"/>
                <w:sz w:val="22"/>
                <w:szCs w:val="22"/>
              </w:rPr>
              <w:t xml:space="preserve">  </w:t>
            </w:r>
            <w:r w:rsidR="004611EE" w:rsidRPr="00AA1921">
              <w:rPr>
                <w:color w:val="000000"/>
                <w:sz w:val="22"/>
                <w:szCs w:val="22"/>
              </w:rPr>
              <w:t>2</w:t>
            </w:r>
            <w:r w:rsidR="003C6603">
              <w:rPr>
                <w:color w:val="000000"/>
                <w:sz w:val="22"/>
                <w:szCs w:val="22"/>
              </w:rPr>
              <w:t>4</w:t>
            </w:r>
            <w:r w:rsidR="004611EE" w:rsidRPr="00AA1921">
              <w:rPr>
                <w:color w:val="000000"/>
                <w:sz w:val="22"/>
                <w:szCs w:val="22"/>
              </w:rPr>
              <w:t>.</w:t>
            </w:r>
            <w:r w:rsidR="003C6603">
              <w:rPr>
                <w:color w:val="000000"/>
                <w:sz w:val="22"/>
                <w:szCs w:val="22"/>
              </w:rPr>
              <w:t>5</w:t>
            </w:r>
          </w:p>
        </w:tc>
        <w:tc>
          <w:tcPr>
            <w:tcW w:w="2160" w:type="dxa"/>
            <w:tcBorders>
              <w:top w:val="double" w:sz="6" w:space="0" w:color="auto"/>
              <w:left w:val="double" w:sz="6" w:space="0" w:color="auto"/>
              <w:right w:val="single" w:sz="4" w:space="0" w:color="auto"/>
            </w:tcBorders>
          </w:tcPr>
          <w:p w:rsidR="001C3CEA" w:rsidRPr="00AA1921" w:rsidRDefault="004611EE" w:rsidP="00AA1921">
            <w:pPr>
              <w:jc w:val="center"/>
              <w:rPr>
                <w:color w:val="000000"/>
                <w:sz w:val="22"/>
                <w:szCs w:val="22"/>
              </w:rPr>
            </w:pPr>
            <w:r w:rsidRPr="00AA1921">
              <w:rPr>
                <w:color w:val="000000"/>
                <w:sz w:val="22"/>
                <w:szCs w:val="22"/>
              </w:rPr>
              <w:t>435</w:t>
            </w:r>
          </w:p>
        </w:tc>
        <w:tc>
          <w:tcPr>
            <w:tcW w:w="2160" w:type="dxa"/>
            <w:tcBorders>
              <w:top w:val="double" w:sz="6" w:space="0" w:color="auto"/>
              <w:left w:val="single" w:sz="4" w:space="0" w:color="auto"/>
              <w:right w:val="double" w:sz="6" w:space="0" w:color="auto"/>
            </w:tcBorders>
          </w:tcPr>
          <w:p w:rsidR="001C3CEA" w:rsidRPr="00AA1921" w:rsidRDefault="006267B8" w:rsidP="00AA1921">
            <w:pPr>
              <w:jc w:val="center"/>
              <w:rPr>
                <w:color w:val="000000"/>
                <w:sz w:val="22"/>
                <w:szCs w:val="22"/>
              </w:rPr>
            </w:pPr>
            <w:r w:rsidRPr="00AA1921">
              <w:rPr>
                <w:color w:val="000000"/>
                <w:sz w:val="22"/>
                <w:szCs w:val="22"/>
              </w:rPr>
              <w:t xml:space="preserve">  </w:t>
            </w:r>
            <w:r w:rsidR="004611EE" w:rsidRPr="00AA1921">
              <w:rPr>
                <w:color w:val="000000"/>
                <w:sz w:val="22"/>
                <w:szCs w:val="22"/>
              </w:rPr>
              <w:t>29.9</w:t>
            </w:r>
          </w:p>
        </w:tc>
      </w:tr>
      <w:tr w:rsidR="001C3CEA" w:rsidRPr="00AA1921" w:rsidTr="00100A41">
        <w:trPr>
          <w:trHeight w:val="288"/>
        </w:trPr>
        <w:tc>
          <w:tcPr>
            <w:tcW w:w="2218" w:type="dxa"/>
            <w:tcBorders>
              <w:right w:val="double" w:sz="6" w:space="0" w:color="auto"/>
            </w:tcBorders>
            <w:shd w:val="clear" w:color="auto" w:fill="auto"/>
            <w:noWrap/>
            <w:vAlign w:val="center"/>
          </w:tcPr>
          <w:p w:rsidR="001C3CEA" w:rsidRPr="00AA1921" w:rsidRDefault="001C3CEA" w:rsidP="00AA1921">
            <w:pPr>
              <w:jc w:val="both"/>
              <w:rPr>
                <w:color w:val="000000"/>
                <w:sz w:val="22"/>
                <w:szCs w:val="22"/>
              </w:rPr>
            </w:pPr>
            <w:r w:rsidRPr="00AA1921">
              <w:rPr>
                <w:color w:val="000000"/>
                <w:sz w:val="22"/>
                <w:szCs w:val="22"/>
              </w:rPr>
              <w:t>Auckland</w:t>
            </w:r>
          </w:p>
        </w:tc>
        <w:tc>
          <w:tcPr>
            <w:tcW w:w="1800" w:type="dxa"/>
            <w:tcBorders>
              <w:right w:val="double" w:sz="6" w:space="0" w:color="auto"/>
            </w:tcBorders>
          </w:tcPr>
          <w:p w:rsidR="001C3CEA" w:rsidRPr="00AA1921" w:rsidRDefault="007A0EED" w:rsidP="00AA1921">
            <w:pPr>
              <w:jc w:val="center"/>
              <w:rPr>
                <w:color w:val="000000"/>
                <w:sz w:val="22"/>
                <w:szCs w:val="22"/>
              </w:rPr>
            </w:pPr>
            <w:r>
              <w:rPr>
                <w:color w:val="000000"/>
                <w:sz w:val="22"/>
                <w:szCs w:val="22"/>
              </w:rPr>
              <w:t xml:space="preserve"> </w:t>
            </w:r>
            <w:r w:rsidR="004611EE" w:rsidRPr="00AA1921">
              <w:rPr>
                <w:color w:val="000000"/>
                <w:sz w:val="22"/>
                <w:szCs w:val="22"/>
              </w:rPr>
              <w:t>672</w:t>
            </w:r>
          </w:p>
        </w:tc>
        <w:tc>
          <w:tcPr>
            <w:tcW w:w="2070" w:type="dxa"/>
            <w:tcBorders>
              <w:right w:val="single" w:sz="4" w:space="0" w:color="auto"/>
            </w:tcBorders>
          </w:tcPr>
          <w:p w:rsidR="001C3CEA" w:rsidRPr="00AA1921" w:rsidRDefault="004611EE" w:rsidP="00AA1921">
            <w:pPr>
              <w:jc w:val="center"/>
              <w:rPr>
                <w:color w:val="000000"/>
                <w:sz w:val="22"/>
                <w:szCs w:val="22"/>
              </w:rPr>
            </w:pPr>
            <w:r w:rsidRPr="00AA1921">
              <w:rPr>
                <w:color w:val="000000"/>
                <w:sz w:val="22"/>
                <w:szCs w:val="22"/>
              </w:rPr>
              <w:t>7</w:t>
            </w:r>
            <w:r w:rsidR="003C6603">
              <w:rPr>
                <w:color w:val="000000"/>
                <w:sz w:val="22"/>
                <w:szCs w:val="22"/>
              </w:rPr>
              <w:t>76</w:t>
            </w:r>
          </w:p>
        </w:tc>
        <w:tc>
          <w:tcPr>
            <w:tcW w:w="2070" w:type="dxa"/>
            <w:tcBorders>
              <w:top w:val="single" w:sz="4" w:space="0" w:color="auto"/>
              <w:left w:val="single" w:sz="4" w:space="0" w:color="auto"/>
              <w:bottom w:val="single" w:sz="4" w:space="0" w:color="auto"/>
              <w:right w:val="double" w:sz="6" w:space="0" w:color="auto"/>
            </w:tcBorders>
          </w:tcPr>
          <w:p w:rsidR="001C3CEA" w:rsidRPr="00AA1921" w:rsidRDefault="006267B8" w:rsidP="00AA1921">
            <w:pPr>
              <w:jc w:val="center"/>
              <w:rPr>
                <w:color w:val="000000"/>
                <w:sz w:val="22"/>
                <w:szCs w:val="22"/>
              </w:rPr>
            </w:pPr>
            <w:r w:rsidRPr="00AA1921">
              <w:rPr>
                <w:color w:val="000000"/>
                <w:sz w:val="22"/>
                <w:szCs w:val="22"/>
              </w:rPr>
              <w:t xml:space="preserve">  </w:t>
            </w:r>
            <w:r w:rsidR="004611EE" w:rsidRPr="00AA1921">
              <w:rPr>
                <w:color w:val="000000"/>
                <w:sz w:val="22"/>
                <w:szCs w:val="22"/>
              </w:rPr>
              <w:t>1</w:t>
            </w:r>
            <w:r w:rsidR="003C6603">
              <w:rPr>
                <w:color w:val="000000"/>
                <w:sz w:val="22"/>
                <w:szCs w:val="22"/>
              </w:rPr>
              <w:t>5</w:t>
            </w:r>
            <w:r w:rsidR="004611EE" w:rsidRPr="00AA1921">
              <w:rPr>
                <w:color w:val="000000"/>
                <w:sz w:val="22"/>
                <w:szCs w:val="22"/>
              </w:rPr>
              <w:t>.</w:t>
            </w:r>
            <w:r w:rsidR="003C6603">
              <w:rPr>
                <w:color w:val="000000"/>
                <w:sz w:val="22"/>
                <w:szCs w:val="22"/>
              </w:rPr>
              <w:t>5</w:t>
            </w:r>
          </w:p>
        </w:tc>
        <w:tc>
          <w:tcPr>
            <w:tcW w:w="2160" w:type="dxa"/>
            <w:tcBorders>
              <w:left w:val="double" w:sz="6" w:space="0" w:color="auto"/>
              <w:right w:val="single" w:sz="4" w:space="0" w:color="auto"/>
            </w:tcBorders>
          </w:tcPr>
          <w:p w:rsidR="001C3CEA" w:rsidRPr="00AA1921" w:rsidRDefault="004611EE" w:rsidP="00AA1921">
            <w:pPr>
              <w:jc w:val="center"/>
              <w:rPr>
                <w:color w:val="000000"/>
                <w:sz w:val="22"/>
                <w:szCs w:val="22"/>
              </w:rPr>
            </w:pPr>
            <w:r w:rsidRPr="00AA1921">
              <w:rPr>
                <w:color w:val="000000"/>
                <w:sz w:val="22"/>
                <w:szCs w:val="22"/>
              </w:rPr>
              <w:t>839</w:t>
            </w:r>
          </w:p>
        </w:tc>
        <w:tc>
          <w:tcPr>
            <w:tcW w:w="2160" w:type="dxa"/>
            <w:tcBorders>
              <w:left w:val="single" w:sz="4" w:space="0" w:color="auto"/>
              <w:right w:val="double" w:sz="6" w:space="0" w:color="auto"/>
            </w:tcBorders>
          </w:tcPr>
          <w:p w:rsidR="001C3CEA" w:rsidRPr="00AA1921" w:rsidRDefault="006267B8" w:rsidP="00AA1921">
            <w:pPr>
              <w:jc w:val="center"/>
              <w:rPr>
                <w:color w:val="000000"/>
                <w:sz w:val="22"/>
                <w:szCs w:val="22"/>
              </w:rPr>
            </w:pPr>
            <w:r w:rsidRPr="00AA1921">
              <w:rPr>
                <w:color w:val="000000"/>
                <w:sz w:val="22"/>
                <w:szCs w:val="22"/>
              </w:rPr>
              <w:t xml:space="preserve">  </w:t>
            </w:r>
            <w:r w:rsidR="004611EE" w:rsidRPr="00AA1921">
              <w:rPr>
                <w:color w:val="000000"/>
                <w:sz w:val="22"/>
                <w:szCs w:val="22"/>
              </w:rPr>
              <w:t>24.8</w:t>
            </w:r>
          </w:p>
        </w:tc>
      </w:tr>
      <w:tr w:rsidR="001C3CEA" w:rsidRPr="00AA1921" w:rsidTr="00100A41">
        <w:trPr>
          <w:trHeight w:val="288"/>
        </w:trPr>
        <w:tc>
          <w:tcPr>
            <w:tcW w:w="2218" w:type="dxa"/>
            <w:tcBorders>
              <w:right w:val="double" w:sz="6" w:space="0" w:color="auto"/>
            </w:tcBorders>
            <w:shd w:val="clear" w:color="auto" w:fill="auto"/>
            <w:noWrap/>
            <w:vAlign w:val="center"/>
          </w:tcPr>
          <w:p w:rsidR="001C3CEA" w:rsidRPr="00AA1921" w:rsidRDefault="001C3CEA" w:rsidP="00AA1921">
            <w:pPr>
              <w:jc w:val="both"/>
              <w:rPr>
                <w:color w:val="000000"/>
                <w:sz w:val="22"/>
                <w:szCs w:val="22"/>
              </w:rPr>
            </w:pPr>
            <w:r w:rsidRPr="00AA1921">
              <w:rPr>
                <w:color w:val="000000"/>
                <w:sz w:val="22"/>
                <w:szCs w:val="22"/>
              </w:rPr>
              <w:t>Waikato</w:t>
            </w:r>
          </w:p>
        </w:tc>
        <w:tc>
          <w:tcPr>
            <w:tcW w:w="1800" w:type="dxa"/>
            <w:tcBorders>
              <w:right w:val="double" w:sz="6" w:space="0" w:color="auto"/>
            </w:tcBorders>
          </w:tcPr>
          <w:p w:rsidR="001C3CEA" w:rsidRPr="00AA1921" w:rsidRDefault="007A0EED" w:rsidP="00AA1921">
            <w:pPr>
              <w:jc w:val="center"/>
              <w:rPr>
                <w:color w:val="000000"/>
                <w:sz w:val="22"/>
                <w:szCs w:val="22"/>
              </w:rPr>
            </w:pPr>
            <w:r>
              <w:rPr>
                <w:color w:val="000000"/>
                <w:sz w:val="22"/>
                <w:szCs w:val="22"/>
              </w:rPr>
              <w:t xml:space="preserve"> </w:t>
            </w:r>
            <w:r w:rsidR="004611EE" w:rsidRPr="00AA1921">
              <w:rPr>
                <w:color w:val="000000"/>
                <w:sz w:val="22"/>
                <w:szCs w:val="22"/>
              </w:rPr>
              <w:t>936</w:t>
            </w:r>
          </w:p>
        </w:tc>
        <w:tc>
          <w:tcPr>
            <w:tcW w:w="2070" w:type="dxa"/>
            <w:tcBorders>
              <w:right w:val="single" w:sz="4" w:space="0" w:color="auto"/>
            </w:tcBorders>
          </w:tcPr>
          <w:p w:rsidR="001C3CEA" w:rsidRPr="00AA1921" w:rsidRDefault="003C6603" w:rsidP="00AA1921">
            <w:pPr>
              <w:jc w:val="center"/>
              <w:rPr>
                <w:color w:val="000000"/>
                <w:sz w:val="22"/>
                <w:szCs w:val="22"/>
              </w:rPr>
            </w:pPr>
            <w:r>
              <w:rPr>
                <w:color w:val="000000"/>
                <w:sz w:val="22"/>
                <w:szCs w:val="22"/>
              </w:rPr>
              <w:t>847</w:t>
            </w:r>
          </w:p>
        </w:tc>
        <w:tc>
          <w:tcPr>
            <w:tcW w:w="2070" w:type="dxa"/>
            <w:tcBorders>
              <w:top w:val="single" w:sz="4" w:space="0" w:color="auto"/>
              <w:left w:val="single" w:sz="4" w:space="0" w:color="auto"/>
              <w:bottom w:val="single" w:sz="4" w:space="0" w:color="auto"/>
              <w:right w:val="double" w:sz="6" w:space="0" w:color="auto"/>
            </w:tcBorders>
          </w:tcPr>
          <w:p w:rsidR="001C3CEA" w:rsidRPr="00AA1921" w:rsidRDefault="006267B8" w:rsidP="00AA1921">
            <w:pPr>
              <w:jc w:val="center"/>
              <w:rPr>
                <w:color w:val="000000"/>
                <w:sz w:val="22"/>
                <w:szCs w:val="22"/>
              </w:rPr>
            </w:pPr>
            <w:r w:rsidRPr="00AA1921">
              <w:rPr>
                <w:color w:val="000000"/>
                <w:sz w:val="22"/>
                <w:szCs w:val="22"/>
              </w:rPr>
              <w:t xml:space="preserve">    </w:t>
            </w:r>
            <w:r w:rsidR="003C6603">
              <w:rPr>
                <w:color w:val="000000"/>
                <w:sz w:val="22"/>
                <w:szCs w:val="22"/>
              </w:rPr>
              <w:t>9</w:t>
            </w:r>
            <w:r w:rsidR="004611EE" w:rsidRPr="00AA1921">
              <w:rPr>
                <w:color w:val="000000"/>
                <w:sz w:val="22"/>
                <w:szCs w:val="22"/>
              </w:rPr>
              <w:t>.</w:t>
            </w:r>
            <w:r w:rsidR="003C6603">
              <w:rPr>
                <w:color w:val="000000"/>
                <w:sz w:val="22"/>
                <w:szCs w:val="22"/>
              </w:rPr>
              <w:t>5</w:t>
            </w:r>
          </w:p>
        </w:tc>
        <w:tc>
          <w:tcPr>
            <w:tcW w:w="2160" w:type="dxa"/>
            <w:tcBorders>
              <w:left w:val="double" w:sz="6" w:space="0" w:color="auto"/>
              <w:right w:val="single" w:sz="4" w:space="0" w:color="auto"/>
            </w:tcBorders>
          </w:tcPr>
          <w:p w:rsidR="001C3CEA" w:rsidRPr="00AA1921" w:rsidRDefault="004611EE" w:rsidP="00AA1921">
            <w:pPr>
              <w:jc w:val="center"/>
              <w:rPr>
                <w:color w:val="000000"/>
                <w:sz w:val="22"/>
                <w:szCs w:val="22"/>
              </w:rPr>
            </w:pPr>
            <w:r w:rsidRPr="00AA1921">
              <w:rPr>
                <w:color w:val="000000"/>
                <w:sz w:val="22"/>
                <w:szCs w:val="22"/>
              </w:rPr>
              <w:t>801</w:t>
            </w:r>
          </w:p>
        </w:tc>
        <w:tc>
          <w:tcPr>
            <w:tcW w:w="2160" w:type="dxa"/>
            <w:tcBorders>
              <w:left w:val="single" w:sz="4" w:space="0" w:color="auto"/>
              <w:right w:val="double" w:sz="6" w:space="0" w:color="auto"/>
            </w:tcBorders>
          </w:tcPr>
          <w:p w:rsidR="001C3CEA" w:rsidRPr="00AA1921" w:rsidRDefault="006267B8" w:rsidP="00AA1921">
            <w:pPr>
              <w:jc w:val="center"/>
              <w:rPr>
                <w:color w:val="000000"/>
                <w:sz w:val="22"/>
                <w:szCs w:val="22"/>
              </w:rPr>
            </w:pPr>
            <w:r w:rsidRPr="00AA1921">
              <w:rPr>
                <w:color w:val="000000"/>
                <w:sz w:val="22"/>
                <w:szCs w:val="22"/>
              </w:rPr>
              <w:t xml:space="preserve">  </w:t>
            </w:r>
            <w:r w:rsidR="004611EE" w:rsidRPr="00AA1921">
              <w:rPr>
                <w:color w:val="000000"/>
                <w:sz w:val="22"/>
                <w:szCs w:val="22"/>
              </w:rPr>
              <w:t>14.5</w:t>
            </w:r>
          </w:p>
        </w:tc>
      </w:tr>
      <w:tr w:rsidR="001C3CEA" w:rsidRPr="00AA1921" w:rsidTr="00100A41">
        <w:trPr>
          <w:trHeight w:val="288"/>
        </w:trPr>
        <w:tc>
          <w:tcPr>
            <w:tcW w:w="2218" w:type="dxa"/>
            <w:tcBorders>
              <w:right w:val="double" w:sz="6" w:space="0" w:color="auto"/>
            </w:tcBorders>
            <w:shd w:val="clear" w:color="auto" w:fill="auto"/>
            <w:noWrap/>
            <w:vAlign w:val="center"/>
          </w:tcPr>
          <w:p w:rsidR="001C3CEA" w:rsidRPr="00AA1921" w:rsidRDefault="001C3CEA" w:rsidP="00AA1921">
            <w:pPr>
              <w:jc w:val="both"/>
              <w:rPr>
                <w:color w:val="000000"/>
                <w:sz w:val="22"/>
                <w:szCs w:val="22"/>
              </w:rPr>
            </w:pPr>
            <w:r w:rsidRPr="00AA1921">
              <w:rPr>
                <w:color w:val="000000"/>
                <w:sz w:val="22"/>
                <w:szCs w:val="22"/>
              </w:rPr>
              <w:t>Bay of Plenty</w:t>
            </w:r>
          </w:p>
        </w:tc>
        <w:tc>
          <w:tcPr>
            <w:tcW w:w="1800" w:type="dxa"/>
            <w:tcBorders>
              <w:right w:val="double" w:sz="6" w:space="0" w:color="auto"/>
            </w:tcBorders>
          </w:tcPr>
          <w:p w:rsidR="001C3CEA" w:rsidRPr="00AA1921" w:rsidRDefault="007A0EED" w:rsidP="00AA1921">
            <w:pPr>
              <w:jc w:val="center"/>
              <w:rPr>
                <w:color w:val="000000"/>
                <w:sz w:val="22"/>
                <w:szCs w:val="22"/>
              </w:rPr>
            </w:pPr>
            <w:r>
              <w:rPr>
                <w:color w:val="000000"/>
                <w:sz w:val="22"/>
                <w:szCs w:val="22"/>
              </w:rPr>
              <w:t xml:space="preserve"> </w:t>
            </w:r>
            <w:r w:rsidR="004611EE" w:rsidRPr="00AA1921">
              <w:rPr>
                <w:color w:val="000000"/>
                <w:sz w:val="22"/>
                <w:szCs w:val="22"/>
              </w:rPr>
              <w:t>543</w:t>
            </w:r>
          </w:p>
        </w:tc>
        <w:tc>
          <w:tcPr>
            <w:tcW w:w="2070" w:type="dxa"/>
            <w:tcBorders>
              <w:right w:val="single" w:sz="4" w:space="0" w:color="auto"/>
            </w:tcBorders>
          </w:tcPr>
          <w:p w:rsidR="001C3CEA" w:rsidRPr="00AA1921" w:rsidRDefault="004611EE" w:rsidP="00AA1921">
            <w:pPr>
              <w:jc w:val="center"/>
              <w:rPr>
                <w:color w:val="000000"/>
                <w:sz w:val="22"/>
                <w:szCs w:val="22"/>
              </w:rPr>
            </w:pPr>
            <w:r w:rsidRPr="00AA1921">
              <w:rPr>
                <w:color w:val="000000"/>
                <w:sz w:val="22"/>
                <w:szCs w:val="22"/>
              </w:rPr>
              <w:t>3</w:t>
            </w:r>
            <w:r w:rsidR="003C6603">
              <w:rPr>
                <w:color w:val="000000"/>
                <w:sz w:val="22"/>
                <w:szCs w:val="22"/>
              </w:rPr>
              <w:t>19</w:t>
            </w:r>
          </w:p>
        </w:tc>
        <w:tc>
          <w:tcPr>
            <w:tcW w:w="2070" w:type="dxa"/>
            <w:tcBorders>
              <w:top w:val="single" w:sz="4" w:space="0" w:color="auto"/>
              <w:left w:val="single" w:sz="4" w:space="0" w:color="auto"/>
              <w:bottom w:val="single" w:sz="4" w:space="0" w:color="auto"/>
              <w:right w:val="double" w:sz="6" w:space="0" w:color="auto"/>
            </w:tcBorders>
          </w:tcPr>
          <w:p w:rsidR="001C3CEA" w:rsidRPr="00AA1921" w:rsidRDefault="006267B8" w:rsidP="00AA1921">
            <w:pPr>
              <w:jc w:val="center"/>
              <w:rPr>
                <w:color w:val="000000"/>
                <w:sz w:val="22"/>
                <w:szCs w:val="22"/>
              </w:rPr>
            </w:pPr>
            <w:r w:rsidRPr="00AA1921">
              <w:rPr>
                <w:color w:val="000000"/>
                <w:sz w:val="22"/>
                <w:szCs w:val="22"/>
              </w:rPr>
              <w:t xml:space="preserve">  </w:t>
            </w:r>
            <w:r w:rsidR="004611EE" w:rsidRPr="00AA1921">
              <w:rPr>
                <w:color w:val="000000"/>
                <w:sz w:val="22"/>
                <w:szCs w:val="22"/>
              </w:rPr>
              <w:t>4</w:t>
            </w:r>
            <w:r w:rsidR="003C6603">
              <w:rPr>
                <w:color w:val="000000"/>
                <w:sz w:val="22"/>
                <w:szCs w:val="22"/>
              </w:rPr>
              <w:t>1</w:t>
            </w:r>
            <w:r w:rsidR="004611EE" w:rsidRPr="00AA1921">
              <w:rPr>
                <w:color w:val="000000"/>
                <w:sz w:val="22"/>
                <w:szCs w:val="22"/>
              </w:rPr>
              <w:t>.</w:t>
            </w:r>
            <w:r w:rsidR="003C6603">
              <w:rPr>
                <w:color w:val="000000"/>
                <w:sz w:val="22"/>
                <w:szCs w:val="22"/>
              </w:rPr>
              <w:t>2</w:t>
            </w:r>
          </w:p>
        </w:tc>
        <w:tc>
          <w:tcPr>
            <w:tcW w:w="2160" w:type="dxa"/>
            <w:tcBorders>
              <w:left w:val="double" w:sz="6" w:space="0" w:color="auto"/>
              <w:right w:val="single" w:sz="4" w:space="0" w:color="auto"/>
            </w:tcBorders>
          </w:tcPr>
          <w:p w:rsidR="001C3CEA" w:rsidRPr="00AA1921" w:rsidRDefault="004611EE" w:rsidP="00AA1921">
            <w:pPr>
              <w:jc w:val="center"/>
              <w:rPr>
                <w:color w:val="000000"/>
                <w:sz w:val="22"/>
                <w:szCs w:val="22"/>
              </w:rPr>
            </w:pPr>
            <w:r w:rsidRPr="00AA1921">
              <w:rPr>
                <w:color w:val="000000"/>
                <w:sz w:val="22"/>
                <w:szCs w:val="22"/>
              </w:rPr>
              <w:t>286</w:t>
            </w:r>
          </w:p>
        </w:tc>
        <w:tc>
          <w:tcPr>
            <w:tcW w:w="2160" w:type="dxa"/>
            <w:tcBorders>
              <w:left w:val="single" w:sz="4" w:space="0" w:color="auto"/>
              <w:right w:val="double" w:sz="6" w:space="0" w:color="auto"/>
            </w:tcBorders>
          </w:tcPr>
          <w:p w:rsidR="001C3CEA" w:rsidRPr="00AA1921" w:rsidRDefault="006267B8" w:rsidP="00AA1921">
            <w:pPr>
              <w:jc w:val="center"/>
              <w:rPr>
                <w:color w:val="000000"/>
                <w:sz w:val="22"/>
                <w:szCs w:val="22"/>
              </w:rPr>
            </w:pPr>
            <w:r w:rsidRPr="00AA1921">
              <w:rPr>
                <w:color w:val="000000"/>
                <w:sz w:val="22"/>
                <w:szCs w:val="22"/>
              </w:rPr>
              <w:t xml:space="preserve">  </w:t>
            </w:r>
            <w:r w:rsidR="004611EE" w:rsidRPr="00AA1921">
              <w:rPr>
                <w:color w:val="000000"/>
                <w:sz w:val="22"/>
                <w:szCs w:val="22"/>
              </w:rPr>
              <w:t>47.3</w:t>
            </w:r>
          </w:p>
        </w:tc>
      </w:tr>
      <w:tr w:rsidR="001C3CEA" w:rsidRPr="00AA1921" w:rsidTr="00100A41">
        <w:trPr>
          <w:trHeight w:val="288"/>
        </w:trPr>
        <w:tc>
          <w:tcPr>
            <w:tcW w:w="2218" w:type="dxa"/>
            <w:tcBorders>
              <w:right w:val="double" w:sz="6" w:space="0" w:color="auto"/>
            </w:tcBorders>
            <w:shd w:val="clear" w:color="auto" w:fill="auto"/>
            <w:noWrap/>
            <w:vAlign w:val="center"/>
          </w:tcPr>
          <w:p w:rsidR="001C3CEA" w:rsidRPr="00AA1921" w:rsidRDefault="001C3CEA" w:rsidP="00AA1921">
            <w:pPr>
              <w:jc w:val="both"/>
              <w:rPr>
                <w:color w:val="000000"/>
                <w:sz w:val="22"/>
                <w:szCs w:val="22"/>
              </w:rPr>
            </w:pPr>
            <w:r w:rsidRPr="00AA1921">
              <w:rPr>
                <w:color w:val="000000"/>
                <w:sz w:val="22"/>
                <w:szCs w:val="22"/>
              </w:rPr>
              <w:t>Gisborne</w:t>
            </w:r>
          </w:p>
        </w:tc>
        <w:tc>
          <w:tcPr>
            <w:tcW w:w="1800" w:type="dxa"/>
            <w:tcBorders>
              <w:right w:val="double" w:sz="6" w:space="0" w:color="auto"/>
            </w:tcBorders>
          </w:tcPr>
          <w:p w:rsidR="001C3CEA" w:rsidRPr="00AA1921" w:rsidRDefault="006267B8" w:rsidP="00AA1921">
            <w:pPr>
              <w:jc w:val="center"/>
              <w:rPr>
                <w:color w:val="000000"/>
                <w:sz w:val="22"/>
                <w:szCs w:val="22"/>
              </w:rPr>
            </w:pPr>
            <w:r w:rsidRPr="00AA1921">
              <w:rPr>
                <w:color w:val="000000"/>
                <w:sz w:val="22"/>
                <w:szCs w:val="22"/>
              </w:rPr>
              <w:t xml:space="preserve"> </w:t>
            </w:r>
            <w:r w:rsidR="007A0EED">
              <w:rPr>
                <w:color w:val="000000"/>
                <w:sz w:val="22"/>
                <w:szCs w:val="22"/>
              </w:rPr>
              <w:t xml:space="preserve">  </w:t>
            </w:r>
            <w:r w:rsidR="004611EE" w:rsidRPr="00AA1921">
              <w:rPr>
                <w:color w:val="000000"/>
                <w:sz w:val="22"/>
                <w:szCs w:val="22"/>
              </w:rPr>
              <w:t>49</w:t>
            </w:r>
          </w:p>
        </w:tc>
        <w:tc>
          <w:tcPr>
            <w:tcW w:w="2070" w:type="dxa"/>
            <w:tcBorders>
              <w:right w:val="single" w:sz="4" w:space="0" w:color="auto"/>
            </w:tcBorders>
          </w:tcPr>
          <w:p w:rsidR="001C3CEA" w:rsidRPr="00AA1921" w:rsidRDefault="004611EE" w:rsidP="00AA1921">
            <w:pPr>
              <w:jc w:val="center"/>
              <w:rPr>
                <w:color w:val="000000"/>
                <w:sz w:val="22"/>
                <w:szCs w:val="22"/>
              </w:rPr>
            </w:pPr>
            <w:r w:rsidRPr="00AA1921">
              <w:rPr>
                <w:color w:val="000000"/>
                <w:sz w:val="22"/>
                <w:szCs w:val="22"/>
              </w:rPr>
              <w:t>127</w:t>
            </w:r>
          </w:p>
        </w:tc>
        <w:tc>
          <w:tcPr>
            <w:tcW w:w="2070" w:type="dxa"/>
            <w:tcBorders>
              <w:top w:val="single" w:sz="4" w:space="0" w:color="auto"/>
              <w:left w:val="single" w:sz="4" w:space="0" w:color="auto"/>
              <w:bottom w:val="single" w:sz="4" w:space="0" w:color="auto"/>
              <w:right w:val="double" w:sz="6" w:space="0" w:color="auto"/>
            </w:tcBorders>
          </w:tcPr>
          <w:p w:rsidR="001C3CEA" w:rsidRPr="00AA1921" w:rsidRDefault="004611EE" w:rsidP="00AA1921">
            <w:pPr>
              <w:jc w:val="center"/>
              <w:rPr>
                <w:color w:val="000000"/>
                <w:sz w:val="22"/>
                <w:szCs w:val="22"/>
              </w:rPr>
            </w:pPr>
            <w:r w:rsidRPr="00AA1921">
              <w:rPr>
                <w:color w:val="000000"/>
                <w:sz w:val="22"/>
                <w:szCs w:val="22"/>
              </w:rPr>
              <w:t>158.5</w:t>
            </w:r>
          </w:p>
        </w:tc>
        <w:tc>
          <w:tcPr>
            <w:tcW w:w="2160" w:type="dxa"/>
            <w:tcBorders>
              <w:left w:val="double" w:sz="6" w:space="0" w:color="auto"/>
              <w:right w:val="single" w:sz="4" w:space="0" w:color="auto"/>
            </w:tcBorders>
          </w:tcPr>
          <w:p w:rsidR="001C3CEA" w:rsidRPr="00AA1921" w:rsidRDefault="004611EE" w:rsidP="00AA1921">
            <w:pPr>
              <w:jc w:val="center"/>
              <w:rPr>
                <w:color w:val="000000"/>
                <w:sz w:val="22"/>
                <w:szCs w:val="22"/>
              </w:rPr>
            </w:pPr>
            <w:r w:rsidRPr="00AA1921">
              <w:rPr>
                <w:color w:val="000000"/>
                <w:sz w:val="22"/>
                <w:szCs w:val="22"/>
              </w:rPr>
              <w:t>126</w:t>
            </w:r>
          </w:p>
        </w:tc>
        <w:tc>
          <w:tcPr>
            <w:tcW w:w="2160" w:type="dxa"/>
            <w:tcBorders>
              <w:left w:val="single" w:sz="4" w:space="0" w:color="auto"/>
              <w:right w:val="double" w:sz="6" w:space="0" w:color="auto"/>
            </w:tcBorders>
          </w:tcPr>
          <w:p w:rsidR="001C3CEA" w:rsidRPr="00AA1921" w:rsidRDefault="004611EE" w:rsidP="00AA1921">
            <w:pPr>
              <w:jc w:val="center"/>
              <w:rPr>
                <w:color w:val="000000"/>
                <w:sz w:val="22"/>
                <w:szCs w:val="22"/>
              </w:rPr>
            </w:pPr>
            <w:r w:rsidRPr="00AA1921">
              <w:rPr>
                <w:color w:val="000000"/>
                <w:sz w:val="22"/>
                <w:szCs w:val="22"/>
              </w:rPr>
              <w:t>156.4</w:t>
            </w:r>
          </w:p>
        </w:tc>
      </w:tr>
      <w:tr w:rsidR="001C3CEA" w:rsidRPr="00AA1921" w:rsidTr="00100A41">
        <w:trPr>
          <w:trHeight w:val="288"/>
        </w:trPr>
        <w:tc>
          <w:tcPr>
            <w:tcW w:w="2218" w:type="dxa"/>
            <w:tcBorders>
              <w:right w:val="double" w:sz="6" w:space="0" w:color="auto"/>
            </w:tcBorders>
            <w:shd w:val="clear" w:color="auto" w:fill="auto"/>
            <w:noWrap/>
            <w:vAlign w:val="center"/>
          </w:tcPr>
          <w:p w:rsidR="001C3CEA" w:rsidRPr="00AA1921" w:rsidRDefault="001C3CEA" w:rsidP="00AA1921">
            <w:pPr>
              <w:jc w:val="both"/>
              <w:rPr>
                <w:color w:val="000000"/>
                <w:sz w:val="22"/>
                <w:szCs w:val="22"/>
              </w:rPr>
            </w:pPr>
            <w:r w:rsidRPr="00AA1921">
              <w:rPr>
                <w:color w:val="000000"/>
                <w:sz w:val="22"/>
                <w:szCs w:val="22"/>
              </w:rPr>
              <w:t>Taranaki</w:t>
            </w:r>
          </w:p>
        </w:tc>
        <w:tc>
          <w:tcPr>
            <w:tcW w:w="1800" w:type="dxa"/>
            <w:tcBorders>
              <w:right w:val="double" w:sz="6" w:space="0" w:color="auto"/>
            </w:tcBorders>
          </w:tcPr>
          <w:p w:rsidR="001C3CEA" w:rsidRPr="00AA1921" w:rsidRDefault="004611EE" w:rsidP="00AA1921">
            <w:pPr>
              <w:jc w:val="center"/>
              <w:rPr>
                <w:color w:val="000000"/>
                <w:sz w:val="22"/>
                <w:szCs w:val="22"/>
              </w:rPr>
            </w:pPr>
            <w:r w:rsidRPr="00AA1921">
              <w:rPr>
                <w:color w:val="000000"/>
                <w:sz w:val="22"/>
                <w:szCs w:val="22"/>
              </w:rPr>
              <w:t>116</w:t>
            </w:r>
          </w:p>
        </w:tc>
        <w:tc>
          <w:tcPr>
            <w:tcW w:w="2070" w:type="dxa"/>
            <w:tcBorders>
              <w:right w:val="single" w:sz="4" w:space="0" w:color="auto"/>
            </w:tcBorders>
          </w:tcPr>
          <w:p w:rsidR="001C3CEA" w:rsidRPr="00AA1921" w:rsidRDefault="004611EE" w:rsidP="00AA1921">
            <w:pPr>
              <w:jc w:val="center"/>
              <w:rPr>
                <w:color w:val="000000"/>
                <w:sz w:val="22"/>
                <w:szCs w:val="22"/>
              </w:rPr>
            </w:pPr>
            <w:r w:rsidRPr="00AA1921">
              <w:rPr>
                <w:color w:val="000000"/>
                <w:sz w:val="22"/>
                <w:szCs w:val="22"/>
              </w:rPr>
              <w:t>12</w:t>
            </w:r>
            <w:r w:rsidR="003C6603">
              <w:rPr>
                <w:color w:val="000000"/>
                <w:sz w:val="22"/>
                <w:szCs w:val="22"/>
              </w:rPr>
              <w:t>7</w:t>
            </w:r>
          </w:p>
        </w:tc>
        <w:tc>
          <w:tcPr>
            <w:tcW w:w="2070" w:type="dxa"/>
            <w:tcBorders>
              <w:top w:val="single" w:sz="4" w:space="0" w:color="auto"/>
              <w:left w:val="single" w:sz="4" w:space="0" w:color="auto"/>
              <w:bottom w:val="single" w:sz="4" w:space="0" w:color="auto"/>
              <w:right w:val="double" w:sz="6" w:space="0" w:color="auto"/>
            </w:tcBorders>
          </w:tcPr>
          <w:p w:rsidR="001C3CEA" w:rsidRPr="00AA1921" w:rsidRDefault="006267B8" w:rsidP="00AA1921">
            <w:pPr>
              <w:jc w:val="center"/>
              <w:rPr>
                <w:color w:val="000000"/>
                <w:sz w:val="22"/>
                <w:szCs w:val="22"/>
              </w:rPr>
            </w:pPr>
            <w:r w:rsidRPr="00AA1921">
              <w:rPr>
                <w:color w:val="000000"/>
                <w:sz w:val="22"/>
                <w:szCs w:val="22"/>
              </w:rPr>
              <w:t xml:space="preserve">  </w:t>
            </w:r>
            <w:r w:rsidR="003C6603">
              <w:rPr>
                <w:color w:val="000000"/>
                <w:sz w:val="22"/>
                <w:szCs w:val="22"/>
              </w:rPr>
              <w:t xml:space="preserve">  9</w:t>
            </w:r>
            <w:r w:rsidR="004611EE" w:rsidRPr="00AA1921">
              <w:rPr>
                <w:color w:val="000000"/>
                <w:sz w:val="22"/>
                <w:szCs w:val="22"/>
              </w:rPr>
              <w:t>.2</w:t>
            </w:r>
          </w:p>
        </w:tc>
        <w:tc>
          <w:tcPr>
            <w:tcW w:w="2160" w:type="dxa"/>
            <w:tcBorders>
              <w:left w:val="double" w:sz="6" w:space="0" w:color="auto"/>
              <w:right w:val="single" w:sz="4" w:space="0" w:color="auto"/>
            </w:tcBorders>
          </w:tcPr>
          <w:p w:rsidR="001C3CEA" w:rsidRPr="00AA1921" w:rsidRDefault="004611EE" w:rsidP="00AA1921">
            <w:pPr>
              <w:jc w:val="center"/>
              <w:rPr>
                <w:color w:val="000000"/>
                <w:sz w:val="22"/>
                <w:szCs w:val="22"/>
              </w:rPr>
            </w:pPr>
            <w:r w:rsidRPr="00AA1921">
              <w:rPr>
                <w:color w:val="000000"/>
                <w:sz w:val="22"/>
                <w:szCs w:val="22"/>
              </w:rPr>
              <w:t>128</w:t>
            </w:r>
          </w:p>
        </w:tc>
        <w:tc>
          <w:tcPr>
            <w:tcW w:w="2160" w:type="dxa"/>
            <w:tcBorders>
              <w:left w:val="single" w:sz="4" w:space="0" w:color="auto"/>
              <w:right w:val="double" w:sz="6" w:space="0" w:color="auto"/>
            </w:tcBorders>
          </w:tcPr>
          <w:p w:rsidR="001C3CEA" w:rsidRPr="00AA1921" w:rsidRDefault="006267B8" w:rsidP="00AA1921">
            <w:pPr>
              <w:jc w:val="center"/>
              <w:rPr>
                <w:color w:val="000000"/>
                <w:sz w:val="22"/>
                <w:szCs w:val="22"/>
              </w:rPr>
            </w:pPr>
            <w:r w:rsidRPr="00AA1921">
              <w:rPr>
                <w:color w:val="000000"/>
                <w:sz w:val="22"/>
                <w:szCs w:val="22"/>
              </w:rPr>
              <w:t xml:space="preserve">  </w:t>
            </w:r>
            <w:r w:rsidR="004611EE" w:rsidRPr="00AA1921">
              <w:rPr>
                <w:color w:val="000000"/>
                <w:sz w:val="22"/>
                <w:szCs w:val="22"/>
              </w:rPr>
              <w:t>10.3</w:t>
            </w:r>
          </w:p>
        </w:tc>
      </w:tr>
      <w:tr w:rsidR="001C3CEA" w:rsidRPr="00AA1921" w:rsidTr="00100A41">
        <w:trPr>
          <w:trHeight w:val="288"/>
        </w:trPr>
        <w:tc>
          <w:tcPr>
            <w:tcW w:w="2218" w:type="dxa"/>
            <w:tcBorders>
              <w:right w:val="double" w:sz="6" w:space="0" w:color="auto"/>
            </w:tcBorders>
            <w:shd w:val="clear" w:color="auto" w:fill="auto"/>
            <w:noWrap/>
            <w:vAlign w:val="center"/>
          </w:tcPr>
          <w:p w:rsidR="001C3CEA" w:rsidRPr="00AA1921" w:rsidRDefault="001C3CEA" w:rsidP="00AA1921">
            <w:pPr>
              <w:jc w:val="both"/>
              <w:rPr>
                <w:color w:val="000000"/>
                <w:sz w:val="22"/>
                <w:szCs w:val="22"/>
              </w:rPr>
            </w:pPr>
            <w:r w:rsidRPr="00AA1921">
              <w:rPr>
                <w:color w:val="000000"/>
                <w:sz w:val="22"/>
                <w:szCs w:val="22"/>
              </w:rPr>
              <w:t>Manawatu-Wanganui</w:t>
            </w:r>
          </w:p>
        </w:tc>
        <w:tc>
          <w:tcPr>
            <w:tcW w:w="1800" w:type="dxa"/>
            <w:tcBorders>
              <w:right w:val="double" w:sz="6" w:space="0" w:color="auto"/>
            </w:tcBorders>
          </w:tcPr>
          <w:p w:rsidR="001C3CEA" w:rsidRPr="00AA1921" w:rsidRDefault="004611EE" w:rsidP="00AA1921">
            <w:pPr>
              <w:jc w:val="center"/>
              <w:rPr>
                <w:color w:val="000000"/>
                <w:sz w:val="22"/>
                <w:szCs w:val="22"/>
              </w:rPr>
            </w:pPr>
            <w:r w:rsidRPr="00AA1921">
              <w:rPr>
                <w:color w:val="000000"/>
                <w:sz w:val="22"/>
                <w:szCs w:val="22"/>
              </w:rPr>
              <w:t>325</w:t>
            </w:r>
          </w:p>
        </w:tc>
        <w:tc>
          <w:tcPr>
            <w:tcW w:w="2070" w:type="dxa"/>
            <w:tcBorders>
              <w:right w:val="single" w:sz="4" w:space="0" w:color="auto"/>
            </w:tcBorders>
          </w:tcPr>
          <w:p w:rsidR="001C3CEA" w:rsidRPr="00AA1921" w:rsidRDefault="004611EE" w:rsidP="00AA1921">
            <w:pPr>
              <w:jc w:val="center"/>
              <w:rPr>
                <w:color w:val="000000"/>
                <w:sz w:val="22"/>
                <w:szCs w:val="22"/>
              </w:rPr>
            </w:pPr>
            <w:r w:rsidRPr="00AA1921">
              <w:rPr>
                <w:color w:val="000000"/>
                <w:sz w:val="22"/>
                <w:szCs w:val="22"/>
              </w:rPr>
              <w:t>4</w:t>
            </w:r>
            <w:r w:rsidR="003C6603">
              <w:rPr>
                <w:color w:val="000000"/>
                <w:sz w:val="22"/>
                <w:szCs w:val="22"/>
              </w:rPr>
              <w:t>17</w:t>
            </w:r>
          </w:p>
        </w:tc>
        <w:tc>
          <w:tcPr>
            <w:tcW w:w="2070" w:type="dxa"/>
            <w:tcBorders>
              <w:top w:val="single" w:sz="4" w:space="0" w:color="auto"/>
              <w:left w:val="single" w:sz="4" w:space="0" w:color="auto"/>
              <w:bottom w:val="single" w:sz="4" w:space="0" w:color="auto"/>
              <w:right w:val="double" w:sz="6" w:space="0" w:color="auto"/>
            </w:tcBorders>
          </w:tcPr>
          <w:p w:rsidR="001C3CEA" w:rsidRPr="00AA1921" w:rsidRDefault="006267B8" w:rsidP="00AA1921">
            <w:pPr>
              <w:jc w:val="center"/>
              <w:rPr>
                <w:color w:val="000000"/>
                <w:sz w:val="22"/>
                <w:szCs w:val="22"/>
              </w:rPr>
            </w:pPr>
            <w:r w:rsidRPr="00AA1921">
              <w:rPr>
                <w:color w:val="000000"/>
                <w:sz w:val="22"/>
                <w:szCs w:val="22"/>
              </w:rPr>
              <w:t xml:space="preserve">  </w:t>
            </w:r>
            <w:r w:rsidR="003C6603">
              <w:rPr>
                <w:color w:val="000000"/>
                <w:sz w:val="22"/>
                <w:szCs w:val="22"/>
              </w:rPr>
              <w:t>28.4</w:t>
            </w:r>
          </w:p>
        </w:tc>
        <w:tc>
          <w:tcPr>
            <w:tcW w:w="2160" w:type="dxa"/>
            <w:tcBorders>
              <w:left w:val="double" w:sz="6" w:space="0" w:color="auto"/>
              <w:right w:val="single" w:sz="4" w:space="0" w:color="auto"/>
            </w:tcBorders>
          </w:tcPr>
          <w:p w:rsidR="001C3CEA" w:rsidRPr="00AA1921" w:rsidRDefault="004611EE" w:rsidP="00AA1921">
            <w:pPr>
              <w:jc w:val="center"/>
              <w:rPr>
                <w:color w:val="000000"/>
                <w:sz w:val="22"/>
                <w:szCs w:val="22"/>
              </w:rPr>
            </w:pPr>
            <w:r w:rsidRPr="00AA1921">
              <w:rPr>
                <w:color w:val="000000"/>
                <w:sz w:val="22"/>
                <w:szCs w:val="22"/>
              </w:rPr>
              <w:t>445</w:t>
            </w:r>
          </w:p>
        </w:tc>
        <w:tc>
          <w:tcPr>
            <w:tcW w:w="2160" w:type="dxa"/>
            <w:tcBorders>
              <w:left w:val="single" w:sz="4" w:space="0" w:color="auto"/>
              <w:right w:val="double" w:sz="6" w:space="0" w:color="auto"/>
            </w:tcBorders>
          </w:tcPr>
          <w:p w:rsidR="001C3CEA" w:rsidRPr="00AA1921" w:rsidRDefault="006267B8" w:rsidP="00AA1921">
            <w:pPr>
              <w:jc w:val="center"/>
              <w:rPr>
                <w:color w:val="000000"/>
                <w:sz w:val="22"/>
                <w:szCs w:val="22"/>
              </w:rPr>
            </w:pPr>
            <w:r w:rsidRPr="00AA1921">
              <w:rPr>
                <w:color w:val="000000"/>
                <w:sz w:val="22"/>
                <w:szCs w:val="22"/>
              </w:rPr>
              <w:t xml:space="preserve">  </w:t>
            </w:r>
            <w:r w:rsidR="004611EE" w:rsidRPr="00AA1921">
              <w:rPr>
                <w:color w:val="000000"/>
                <w:sz w:val="22"/>
                <w:szCs w:val="22"/>
              </w:rPr>
              <w:t>36.9</w:t>
            </w:r>
          </w:p>
        </w:tc>
      </w:tr>
      <w:tr w:rsidR="001C3CEA" w:rsidRPr="00AA1921" w:rsidTr="00100A41">
        <w:trPr>
          <w:trHeight w:val="288"/>
        </w:trPr>
        <w:tc>
          <w:tcPr>
            <w:tcW w:w="2218" w:type="dxa"/>
            <w:tcBorders>
              <w:bottom w:val="single" w:sz="4" w:space="0" w:color="auto"/>
              <w:right w:val="double" w:sz="6" w:space="0" w:color="auto"/>
            </w:tcBorders>
            <w:shd w:val="clear" w:color="auto" w:fill="auto"/>
            <w:noWrap/>
            <w:vAlign w:val="center"/>
          </w:tcPr>
          <w:p w:rsidR="001C3CEA" w:rsidRPr="00AA1921" w:rsidRDefault="001C3CEA" w:rsidP="00AA1921">
            <w:pPr>
              <w:jc w:val="both"/>
              <w:rPr>
                <w:color w:val="000000"/>
                <w:sz w:val="22"/>
                <w:szCs w:val="22"/>
              </w:rPr>
            </w:pPr>
            <w:r w:rsidRPr="00AA1921">
              <w:rPr>
                <w:color w:val="000000"/>
                <w:sz w:val="22"/>
                <w:szCs w:val="22"/>
              </w:rPr>
              <w:t>Hawke</w:t>
            </w:r>
            <w:r w:rsidR="003D3477">
              <w:rPr>
                <w:color w:val="000000"/>
                <w:sz w:val="22"/>
                <w:szCs w:val="22"/>
              </w:rPr>
              <w:t>’</w:t>
            </w:r>
            <w:r w:rsidRPr="00AA1921">
              <w:rPr>
                <w:color w:val="000000"/>
                <w:sz w:val="22"/>
                <w:szCs w:val="22"/>
              </w:rPr>
              <w:t>s Bay</w:t>
            </w:r>
          </w:p>
        </w:tc>
        <w:tc>
          <w:tcPr>
            <w:tcW w:w="1800" w:type="dxa"/>
            <w:tcBorders>
              <w:bottom w:val="single" w:sz="4" w:space="0" w:color="auto"/>
              <w:right w:val="double" w:sz="6" w:space="0" w:color="auto"/>
            </w:tcBorders>
          </w:tcPr>
          <w:p w:rsidR="001C3CEA" w:rsidRPr="00AA1921" w:rsidRDefault="004611EE" w:rsidP="00AA1921">
            <w:pPr>
              <w:jc w:val="center"/>
              <w:rPr>
                <w:color w:val="000000"/>
                <w:sz w:val="22"/>
                <w:szCs w:val="22"/>
              </w:rPr>
            </w:pPr>
            <w:r w:rsidRPr="00AA1921">
              <w:rPr>
                <w:color w:val="000000"/>
                <w:sz w:val="22"/>
                <w:szCs w:val="22"/>
              </w:rPr>
              <w:t>200</w:t>
            </w:r>
          </w:p>
        </w:tc>
        <w:tc>
          <w:tcPr>
            <w:tcW w:w="2070" w:type="dxa"/>
            <w:tcBorders>
              <w:bottom w:val="single" w:sz="4" w:space="0" w:color="auto"/>
              <w:right w:val="single" w:sz="4" w:space="0" w:color="auto"/>
            </w:tcBorders>
          </w:tcPr>
          <w:p w:rsidR="001C3CEA" w:rsidRPr="00AA1921" w:rsidRDefault="004611EE" w:rsidP="00AA1921">
            <w:pPr>
              <w:jc w:val="center"/>
              <w:rPr>
                <w:color w:val="000000"/>
                <w:sz w:val="22"/>
                <w:szCs w:val="22"/>
              </w:rPr>
            </w:pPr>
            <w:r w:rsidRPr="00AA1921">
              <w:rPr>
                <w:color w:val="000000"/>
                <w:sz w:val="22"/>
                <w:szCs w:val="22"/>
              </w:rPr>
              <w:t>2</w:t>
            </w:r>
            <w:r w:rsidR="003C6603">
              <w:rPr>
                <w:color w:val="000000"/>
                <w:sz w:val="22"/>
                <w:szCs w:val="22"/>
              </w:rPr>
              <w:t>52</w:t>
            </w:r>
          </w:p>
        </w:tc>
        <w:tc>
          <w:tcPr>
            <w:tcW w:w="2070" w:type="dxa"/>
            <w:tcBorders>
              <w:top w:val="single" w:sz="4" w:space="0" w:color="auto"/>
              <w:left w:val="single" w:sz="4" w:space="0" w:color="auto"/>
              <w:bottom w:val="single" w:sz="4" w:space="0" w:color="auto"/>
              <w:right w:val="double" w:sz="6" w:space="0" w:color="auto"/>
            </w:tcBorders>
          </w:tcPr>
          <w:p w:rsidR="001C3CEA" w:rsidRPr="00AA1921" w:rsidRDefault="006267B8" w:rsidP="00AA1921">
            <w:pPr>
              <w:jc w:val="center"/>
              <w:rPr>
                <w:color w:val="000000"/>
                <w:sz w:val="22"/>
                <w:szCs w:val="22"/>
              </w:rPr>
            </w:pPr>
            <w:r w:rsidRPr="00AA1921">
              <w:rPr>
                <w:color w:val="000000"/>
                <w:sz w:val="22"/>
                <w:szCs w:val="22"/>
              </w:rPr>
              <w:t xml:space="preserve">  </w:t>
            </w:r>
            <w:r w:rsidR="003C6603">
              <w:rPr>
                <w:color w:val="000000"/>
                <w:sz w:val="22"/>
                <w:szCs w:val="22"/>
              </w:rPr>
              <w:t>25.8</w:t>
            </w:r>
          </w:p>
        </w:tc>
        <w:tc>
          <w:tcPr>
            <w:tcW w:w="2160" w:type="dxa"/>
            <w:tcBorders>
              <w:left w:val="double" w:sz="6" w:space="0" w:color="auto"/>
              <w:bottom w:val="single" w:sz="4" w:space="0" w:color="auto"/>
              <w:right w:val="single" w:sz="4" w:space="0" w:color="auto"/>
            </w:tcBorders>
          </w:tcPr>
          <w:p w:rsidR="001C3CEA" w:rsidRPr="00AA1921" w:rsidRDefault="004611EE" w:rsidP="00AA1921">
            <w:pPr>
              <w:jc w:val="center"/>
              <w:rPr>
                <w:color w:val="000000"/>
                <w:sz w:val="22"/>
                <w:szCs w:val="22"/>
              </w:rPr>
            </w:pPr>
            <w:r w:rsidRPr="00AA1921">
              <w:rPr>
                <w:color w:val="000000"/>
                <w:sz w:val="22"/>
                <w:szCs w:val="22"/>
              </w:rPr>
              <w:t>258</w:t>
            </w:r>
          </w:p>
        </w:tc>
        <w:tc>
          <w:tcPr>
            <w:tcW w:w="2160" w:type="dxa"/>
            <w:tcBorders>
              <w:left w:val="single" w:sz="4" w:space="0" w:color="auto"/>
              <w:bottom w:val="single" w:sz="4" w:space="0" w:color="auto"/>
              <w:right w:val="double" w:sz="6" w:space="0" w:color="auto"/>
            </w:tcBorders>
          </w:tcPr>
          <w:p w:rsidR="001C3CEA" w:rsidRPr="00AA1921" w:rsidRDefault="006267B8" w:rsidP="00AA1921">
            <w:pPr>
              <w:jc w:val="center"/>
              <w:rPr>
                <w:color w:val="000000"/>
                <w:sz w:val="22"/>
                <w:szCs w:val="22"/>
              </w:rPr>
            </w:pPr>
            <w:r w:rsidRPr="00AA1921">
              <w:rPr>
                <w:color w:val="000000"/>
                <w:sz w:val="22"/>
                <w:szCs w:val="22"/>
              </w:rPr>
              <w:t xml:space="preserve">  </w:t>
            </w:r>
            <w:r w:rsidR="004611EE" w:rsidRPr="00AA1921">
              <w:rPr>
                <w:color w:val="000000"/>
                <w:sz w:val="22"/>
                <w:szCs w:val="22"/>
              </w:rPr>
              <w:t>29.0</w:t>
            </w:r>
          </w:p>
        </w:tc>
      </w:tr>
      <w:tr w:rsidR="001C3CEA" w:rsidRPr="00AA1921" w:rsidTr="00100A41">
        <w:trPr>
          <w:trHeight w:val="288"/>
        </w:trPr>
        <w:tc>
          <w:tcPr>
            <w:tcW w:w="2218" w:type="dxa"/>
            <w:tcBorders>
              <w:top w:val="single" w:sz="4" w:space="0" w:color="auto"/>
              <w:bottom w:val="double" w:sz="4" w:space="0" w:color="auto"/>
              <w:right w:val="double" w:sz="6" w:space="0" w:color="auto"/>
            </w:tcBorders>
            <w:shd w:val="clear" w:color="auto" w:fill="auto"/>
            <w:noWrap/>
            <w:vAlign w:val="center"/>
          </w:tcPr>
          <w:p w:rsidR="001C3CEA" w:rsidRPr="00AA1921" w:rsidRDefault="001C3CEA" w:rsidP="00AA1921">
            <w:pPr>
              <w:jc w:val="both"/>
              <w:rPr>
                <w:color w:val="000000"/>
                <w:sz w:val="22"/>
                <w:szCs w:val="22"/>
              </w:rPr>
            </w:pPr>
            <w:r w:rsidRPr="00AA1921">
              <w:rPr>
                <w:color w:val="000000"/>
                <w:sz w:val="22"/>
                <w:szCs w:val="22"/>
              </w:rPr>
              <w:t>Wellington</w:t>
            </w:r>
          </w:p>
        </w:tc>
        <w:tc>
          <w:tcPr>
            <w:tcW w:w="1800" w:type="dxa"/>
            <w:tcBorders>
              <w:top w:val="single" w:sz="4" w:space="0" w:color="auto"/>
              <w:bottom w:val="double" w:sz="4" w:space="0" w:color="auto"/>
              <w:right w:val="double" w:sz="6" w:space="0" w:color="auto"/>
            </w:tcBorders>
          </w:tcPr>
          <w:p w:rsidR="001C3CEA" w:rsidRPr="00AA1921" w:rsidRDefault="004611EE" w:rsidP="00AA1921">
            <w:pPr>
              <w:jc w:val="center"/>
              <w:rPr>
                <w:color w:val="000000"/>
                <w:sz w:val="22"/>
                <w:szCs w:val="22"/>
              </w:rPr>
            </w:pPr>
            <w:r w:rsidRPr="00AA1921">
              <w:rPr>
                <w:color w:val="000000"/>
                <w:sz w:val="22"/>
                <w:szCs w:val="22"/>
              </w:rPr>
              <w:t>383</w:t>
            </w:r>
          </w:p>
        </w:tc>
        <w:tc>
          <w:tcPr>
            <w:tcW w:w="2070" w:type="dxa"/>
            <w:tcBorders>
              <w:top w:val="single" w:sz="4" w:space="0" w:color="auto"/>
              <w:bottom w:val="double" w:sz="4" w:space="0" w:color="auto"/>
              <w:right w:val="single" w:sz="4" w:space="0" w:color="auto"/>
            </w:tcBorders>
          </w:tcPr>
          <w:p w:rsidR="001C3CEA" w:rsidRPr="00AA1921" w:rsidRDefault="004611EE" w:rsidP="00AA1921">
            <w:pPr>
              <w:jc w:val="center"/>
              <w:rPr>
                <w:color w:val="000000"/>
                <w:sz w:val="22"/>
                <w:szCs w:val="22"/>
              </w:rPr>
            </w:pPr>
            <w:r w:rsidRPr="00AA1921">
              <w:rPr>
                <w:color w:val="000000"/>
                <w:sz w:val="22"/>
                <w:szCs w:val="22"/>
              </w:rPr>
              <w:t>2</w:t>
            </w:r>
            <w:r w:rsidR="003C6603">
              <w:rPr>
                <w:color w:val="000000"/>
                <w:sz w:val="22"/>
                <w:szCs w:val="22"/>
              </w:rPr>
              <w:t>33</w:t>
            </w:r>
          </w:p>
        </w:tc>
        <w:tc>
          <w:tcPr>
            <w:tcW w:w="2070" w:type="dxa"/>
            <w:tcBorders>
              <w:top w:val="single" w:sz="4" w:space="0" w:color="auto"/>
              <w:left w:val="single" w:sz="4" w:space="0" w:color="auto"/>
              <w:bottom w:val="double" w:sz="4" w:space="0" w:color="auto"/>
              <w:right w:val="double" w:sz="6" w:space="0" w:color="auto"/>
            </w:tcBorders>
          </w:tcPr>
          <w:p w:rsidR="001C3CEA" w:rsidRPr="00AA1921" w:rsidRDefault="006267B8" w:rsidP="00AA1921">
            <w:pPr>
              <w:jc w:val="center"/>
              <w:rPr>
                <w:color w:val="000000"/>
                <w:sz w:val="22"/>
                <w:szCs w:val="22"/>
              </w:rPr>
            </w:pPr>
            <w:r w:rsidRPr="00AA1921">
              <w:rPr>
                <w:color w:val="000000"/>
                <w:sz w:val="22"/>
                <w:szCs w:val="22"/>
              </w:rPr>
              <w:t xml:space="preserve">  </w:t>
            </w:r>
            <w:r w:rsidR="004611EE" w:rsidRPr="00AA1921">
              <w:rPr>
                <w:color w:val="000000"/>
                <w:sz w:val="22"/>
                <w:szCs w:val="22"/>
              </w:rPr>
              <w:t>3</w:t>
            </w:r>
            <w:r w:rsidR="003C6603">
              <w:rPr>
                <w:color w:val="000000"/>
                <w:sz w:val="22"/>
                <w:szCs w:val="22"/>
              </w:rPr>
              <w:t>9.2</w:t>
            </w:r>
          </w:p>
        </w:tc>
        <w:tc>
          <w:tcPr>
            <w:tcW w:w="2160" w:type="dxa"/>
            <w:tcBorders>
              <w:top w:val="single" w:sz="4" w:space="0" w:color="auto"/>
              <w:left w:val="double" w:sz="6" w:space="0" w:color="auto"/>
              <w:bottom w:val="double" w:sz="4" w:space="0" w:color="auto"/>
              <w:right w:val="single" w:sz="4" w:space="0" w:color="auto"/>
            </w:tcBorders>
          </w:tcPr>
          <w:p w:rsidR="001C3CEA" w:rsidRPr="00AA1921" w:rsidRDefault="004611EE" w:rsidP="00AA1921">
            <w:pPr>
              <w:jc w:val="center"/>
              <w:rPr>
                <w:color w:val="000000"/>
                <w:sz w:val="22"/>
                <w:szCs w:val="22"/>
              </w:rPr>
            </w:pPr>
            <w:r w:rsidRPr="00AA1921">
              <w:rPr>
                <w:color w:val="000000"/>
                <w:sz w:val="22"/>
                <w:szCs w:val="22"/>
              </w:rPr>
              <w:t>241</w:t>
            </w:r>
          </w:p>
        </w:tc>
        <w:tc>
          <w:tcPr>
            <w:tcW w:w="2160" w:type="dxa"/>
            <w:tcBorders>
              <w:top w:val="single" w:sz="4" w:space="0" w:color="auto"/>
              <w:left w:val="single" w:sz="4" w:space="0" w:color="auto"/>
              <w:bottom w:val="double" w:sz="4" w:space="0" w:color="auto"/>
              <w:right w:val="double" w:sz="6" w:space="0" w:color="auto"/>
            </w:tcBorders>
          </w:tcPr>
          <w:p w:rsidR="001C3CEA" w:rsidRPr="00AA1921" w:rsidRDefault="006267B8" w:rsidP="00AA1921">
            <w:pPr>
              <w:jc w:val="center"/>
              <w:rPr>
                <w:color w:val="000000"/>
                <w:sz w:val="22"/>
                <w:szCs w:val="22"/>
              </w:rPr>
            </w:pPr>
            <w:r w:rsidRPr="00AA1921">
              <w:rPr>
                <w:color w:val="000000"/>
                <w:sz w:val="22"/>
                <w:szCs w:val="22"/>
              </w:rPr>
              <w:t xml:space="preserve">  </w:t>
            </w:r>
            <w:r w:rsidR="004611EE" w:rsidRPr="00AA1921">
              <w:rPr>
                <w:color w:val="000000"/>
                <w:sz w:val="22"/>
                <w:szCs w:val="22"/>
              </w:rPr>
              <w:t>37.0</w:t>
            </w:r>
          </w:p>
        </w:tc>
      </w:tr>
      <w:tr w:rsidR="006267B8" w:rsidRPr="00AA1921" w:rsidTr="00100A41">
        <w:trPr>
          <w:cantSplit/>
          <w:trHeight w:val="288"/>
        </w:trPr>
        <w:tc>
          <w:tcPr>
            <w:tcW w:w="4018" w:type="dxa"/>
            <w:gridSpan w:val="2"/>
            <w:tcBorders>
              <w:top w:val="double" w:sz="4" w:space="0" w:color="auto"/>
              <w:bottom w:val="double" w:sz="6" w:space="0" w:color="auto"/>
              <w:right w:val="double" w:sz="6" w:space="0" w:color="auto"/>
            </w:tcBorders>
            <w:shd w:val="clear" w:color="auto" w:fill="auto"/>
            <w:noWrap/>
            <w:vAlign w:val="center"/>
          </w:tcPr>
          <w:p w:rsidR="006267B8" w:rsidRPr="00AA1921" w:rsidRDefault="006267B8" w:rsidP="00AA1921">
            <w:pPr>
              <w:jc w:val="both"/>
              <w:rPr>
                <w:color w:val="000000"/>
                <w:sz w:val="22"/>
                <w:szCs w:val="22"/>
              </w:rPr>
            </w:pPr>
            <w:r w:rsidRPr="00AA1921">
              <w:rPr>
                <w:color w:val="000000"/>
                <w:sz w:val="22"/>
                <w:szCs w:val="22"/>
              </w:rPr>
              <w:t>Weighted MAPE</w:t>
            </w:r>
            <w:r w:rsidR="00FC1130" w:rsidRPr="00AA1921">
              <w:rPr>
                <w:color w:val="000000"/>
                <w:sz w:val="22"/>
                <w:szCs w:val="22"/>
              </w:rPr>
              <w:t>**</w:t>
            </w:r>
          </w:p>
        </w:tc>
        <w:tc>
          <w:tcPr>
            <w:tcW w:w="4140" w:type="dxa"/>
            <w:gridSpan w:val="2"/>
            <w:tcBorders>
              <w:top w:val="double" w:sz="4" w:space="0" w:color="auto"/>
              <w:bottom w:val="double" w:sz="6" w:space="0" w:color="auto"/>
              <w:right w:val="double" w:sz="4" w:space="0" w:color="auto"/>
            </w:tcBorders>
          </w:tcPr>
          <w:p w:rsidR="006267B8" w:rsidRPr="00AA1921" w:rsidRDefault="006267B8" w:rsidP="00AA1921">
            <w:pPr>
              <w:jc w:val="center"/>
              <w:rPr>
                <w:color w:val="000000"/>
                <w:sz w:val="22"/>
                <w:szCs w:val="22"/>
              </w:rPr>
            </w:pPr>
            <w:r w:rsidRPr="00AA1921">
              <w:rPr>
                <w:color w:val="000000"/>
                <w:sz w:val="22"/>
                <w:szCs w:val="22"/>
              </w:rPr>
              <w:t>24.</w:t>
            </w:r>
            <w:r w:rsidR="003C6603">
              <w:rPr>
                <w:color w:val="000000"/>
                <w:sz w:val="22"/>
                <w:szCs w:val="22"/>
              </w:rPr>
              <w:t>8</w:t>
            </w:r>
            <w:r w:rsidRPr="00AA1921">
              <w:rPr>
                <w:color w:val="000000"/>
                <w:sz w:val="22"/>
                <w:szCs w:val="22"/>
              </w:rPr>
              <w:t>%</w:t>
            </w:r>
          </w:p>
        </w:tc>
        <w:tc>
          <w:tcPr>
            <w:tcW w:w="4320" w:type="dxa"/>
            <w:gridSpan w:val="2"/>
            <w:tcBorders>
              <w:top w:val="double" w:sz="4" w:space="0" w:color="auto"/>
              <w:left w:val="double" w:sz="4" w:space="0" w:color="auto"/>
              <w:bottom w:val="double" w:sz="6" w:space="0" w:color="auto"/>
              <w:right w:val="double" w:sz="6" w:space="0" w:color="auto"/>
            </w:tcBorders>
          </w:tcPr>
          <w:p w:rsidR="006267B8" w:rsidRPr="00AA1921" w:rsidRDefault="006267B8" w:rsidP="00AA1921">
            <w:pPr>
              <w:jc w:val="center"/>
              <w:rPr>
                <w:color w:val="000000"/>
                <w:sz w:val="22"/>
                <w:szCs w:val="22"/>
              </w:rPr>
            </w:pPr>
            <w:r w:rsidRPr="00AA1921">
              <w:rPr>
                <w:color w:val="000000"/>
                <w:sz w:val="22"/>
                <w:szCs w:val="22"/>
              </w:rPr>
              <w:t>29.9%</w:t>
            </w:r>
          </w:p>
        </w:tc>
      </w:tr>
    </w:tbl>
    <w:p w:rsidR="00624DF6" w:rsidRPr="000703E6" w:rsidRDefault="00624DF6" w:rsidP="000703E6">
      <w:pPr>
        <w:autoSpaceDE w:val="0"/>
        <w:autoSpaceDN w:val="0"/>
        <w:adjustRightInd w:val="0"/>
        <w:spacing w:line="276" w:lineRule="auto"/>
        <w:jc w:val="both"/>
      </w:pPr>
    </w:p>
    <w:p w:rsidR="000703E6" w:rsidRPr="000703E6" w:rsidRDefault="000703E6" w:rsidP="000703E6">
      <w:pPr>
        <w:autoSpaceDE w:val="0"/>
        <w:autoSpaceDN w:val="0"/>
        <w:adjustRightInd w:val="0"/>
        <w:spacing w:line="276" w:lineRule="auto"/>
        <w:jc w:val="both"/>
      </w:pPr>
    </w:p>
    <w:p w:rsidR="00DB4E7C" w:rsidRPr="004035E1" w:rsidRDefault="00DB4E7C" w:rsidP="00AB2851">
      <w:pPr>
        <w:autoSpaceDE w:val="0"/>
        <w:autoSpaceDN w:val="0"/>
        <w:adjustRightInd w:val="0"/>
        <w:spacing w:after="60" w:line="276" w:lineRule="auto"/>
        <w:jc w:val="both"/>
        <w:rPr>
          <w:b/>
        </w:rPr>
      </w:pPr>
      <w:r w:rsidRPr="004035E1">
        <w:rPr>
          <w:b/>
        </w:rPr>
        <w:t xml:space="preserve">Table </w:t>
      </w:r>
      <w:r w:rsidR="000703E6">
        <w:rPr>
          <w:b/>
        </w:rPr>
        <w:t>8</w:t>
      </w:r>
      <w:r w:rsidRPr="004035E1">
        <w:rPr>
          <w:b/>
        </w:rPr>
        <w:t xml:space="preserve">. </w:t>
      </w:r>
      <w:r>
        <w:rPr>
          <w:b/>
        </w:rPr>
        <w:t>Total Number of Individuals Visiting Each Destination Region At Least Once</w:t>
      </w:r>
    </w:p>
    <w:tbl>
      <w:tblPr>
        <w:tblW w:w="12478"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2218"/>
        <w:gridCol w:w="1800"/>
        <w:gridCol w:w="2070"/>
        <w:gridCol w:w="2070"/>
        <w:gridCol w:w="2160"/>
        <w:gridCol w:w="2160"/>
      </w:tblGrid>
      <w:tr w:rsidR="006267B8" w:rsidRPr="00AA1921" w:rsidTr="00100A41">
        <w:trPr>
          <w:trHeight w:val="315"/>
        </w:trPr>
        <w:tc>
          <w:tcPr>
            <w:tcW w:w="2218" w:type="dxa"/>
            <w:vMerge w:val="restart"/>
            <w:tcBorders>
              <w:top w:val="double" w:sz="6" w:space="0" w:color="auto"/>
              <w:right w:val="double" w:sz="6" w:space="0" w:color="auto"/>
            </w:tcBorders>
            <w:shd w:val="clear" w:color="auto" w:fill="auto"/>
            <w:noWrap/>
            <w:tcMar>
              <w:left w:w="58" w:type="dxa"/>
              <w:right w:w="58" w:type="dxa"/>
            </w:tcMar>
            <w:vAlign w:val="center"/>
          </w:tcPr>
          <w:p w:rsidR="006267B8" w:rsidRPr="00AA1921" w:rsidRDefault="006267B8" w:rsidP="00AA1921">
            <w:pPr>
              <w:jc w:val="both"/>
              <w:rPr>
                <w:color w:val="000000"/>
                <w:sz w:val="22"/>
                <w:szCs w:val="22"/>
              </w:rPr>
            </w:pPr>
            <w:r w:rsidRPr="00AA1921">
              <w:rPr>
                <w:color w:val="000000"/>
                <w:sz w:val="22"/>
                <w:szCs w:val="22"/>
              </w:rPr>
              <w:t>Destination Region</w:t>
            </w:r>
          </w:p>
        </w:tc>
        <w:tc>
          <w:tcPr>
            <w:tcW w:w="1800" w:type="dxa"/>
            <w:vMerge w:val="restart"/>
            <w:tcBorders>
              <w:top w:val="double" w:sz="6" w:space="0" w:color="auto"/>
              <w:right w:val="double" w:sz="6" w:space="0" w:color="auto"/>
            </w:tcBorders>
            <w:vAlign w:val="center"/>
          </w:tcPr>
          <w:p w:rsidR="006267B8" w:rsidRPr="00AA1921" w:rsidRDefault="006267B8" w:rsidP="00AA1921">
            <w:pPr>
              <w:jc w:val="center"/>
              <w:rPr>
                <w:color w:val="000000"/>
                <w:sz w:val="22"/>
                <w:szCs w:val="22"/>
              </w:rPr>
            </w:pPr>
            <w:r w:rsidRPr="00AA1921">
              <w:rPr>
                <w:color w:val="000000"/>
                <w:sz w:val="22"/>
                <w:szCs w:val="22"/>
              </w:rPr>
              <w:t>Actual Count</w:t>
            </w:r>
          </w:p>
        </w:tc>
        <w:tc>
          <w:tcPr>
            <w:tcW w:w="4140" w:type="dxa"/>
            <w:gridSpan w:val="2"/>
            <w:tcBorders>
              <w:top w:val="double" w:sz="6" w:space="0" w:color="auto"/>
              <w:bottom w:val="single" w:sz="4" w:space="0" w:color="auto"/>
              <w:right w:val="double" w:sz="6" w:space="0" w:color="auto"/>
            </w:tcBorders>
            <w:vAlign w:val="center"/>
          </w:tcPr>
          <w:p w:rsidR="006267B8" w:rsidRPr="00AA1921" w:rsidRDefault="006267B8" w:rsidP="00100A41">
            <w:pPr>
              <w:jc w:val="center"/>
              <w:rPr>
                <w:color w:val="000000"/>
                <w:sz w:val="22"/>
                <w:szCs w:val="22"/>
              </w:rPr>
            </w:pPr>
            <w:r w:rsidRPr="00AA1921">
              <w:rPr>
                <w:color w:val="000000"/>
                <w:sz w:val="22"/>
                <w:szCs w:val="22"/>
              </w:rPr>
              <w:t>Linked Model Predictions and APE</w:t>
            </w:r>
            <w:r w:rsidR="00100A41" w:rsidRPr="00AA1921">
              <w:rPr>
                <w:color w:val="000000"/>
                <w:sz w:val="22"/>
                <w:szCs w:val="22"/>
              </w:rPr>
              <w:t>*</w:t>
            </w:r>
          </w:p>
        </w:tc>
        <w:tc>
          <w:tcPr>
            <w:tcW w:w="4320" w:type="dxa"/>
            <w:gridSpan w:val="2"/>
            <w:tcBorders>
              <w:top w:val="double" w:sz="6" w:space="0" w:color="auto"/>
              <w:left w:val="double" w:sz="6" w:space="0" w:color="auto"/>
              <w:bottom w:val="single" w:sz="4" w:space="0" w:color="auto"/>
              <w:right w:val="double" w:sz="6" w:space="0" w:color="auto"/>
            </w:tcBorders>
            <w:vAlign w:val="center"/>
          </w:tcPr>
          <w:p w:rsidR="006267B8" w:rsidRPr="00AA1921" w:rsidRDefault="006267B8" w:rsidP="00100A41">
            <w:pPr>
              <w:jc w:val="center"/>
              <w:rPr>
                <w:color w:val="000000"/>
                <w:sz w:val="22"/>
                <w:szCs w:val="22"/>
              </w:rPr>
            </w:pPr>
            <w:r w:rsidRPr="00AA1921">
              <w:rPr>
                <w:color w:val="000000"/>
                <w:sz w:val="22"/>
                <w:szCs w:val="22"/>
              </w:rPr>
              <w:t>Unlinked Model Prediction and APE</w:t>
            </w:r>
          </w:p>
        </w:tc>
      </w:tr>
      <w:tr w:rsidR="00100A41" w:rsidRPr="00AA1921" w:rsidTr="00100A41">
        <w:trPr>
          <w:trHeight w:val="315"/>
        </w:trPr>
        <w:tc>
          <w:tcPr>
            <w:tcW w:w="2218" w:type="dxa"/>
            <w:vMerge/>
            <w:tcBorders>
              <w:bottom w:val="single" w:sz="4" w:space="0" w:color="auto"/>
              <w:right w:val="double" w:sz="6" w:space="0" w:color="auto"/>
            </w:tcBorders>
            <w:shd w:val="clear" w:color="auto" w:fill="auto"/>
            <w:noWrap/>
            <w:tcMar>
              <w:left w:w="58" w:type="dxa"/>
              <w:right w:w="58" w:type="dxa"/>
            </w:tcMar>
            <w:vAlign w:val="center"/>
          </w:tcPr>
          <w:p w:rsidR="00100A41" w:rsidRPr="00AA1921" w:rsidRDefault="00100A41" w:rsidP="00100A41">
            <w:pPr>
              <w:jc w:val="both"/>
              <w:rPr>
                <w:color w:val="000000"/>
                <w:sz w:val="22"/>
                <w:szCs w:val="22"/>
              </w:rPr>
            </w:pPr>
          </w:p>
        </w:tc>
        <w:tc>
          <w:tcPr>
            <w:tcW w:w="1800" w:type="dxa"/>
            <w:vMerge/>
            <w:tcBorders>
              <w:bottom w:val="single" w:sz="4" w:space="0" w:color="auto"/>
              <w:right w:val="double" w:sz="6" w:space="0" w:color="auto"/>
            </w:tcBorders>
          </w:tcPr>
          <w:p w:rsidR="00100A41" w:rsidRPr="00AA1921" w:rsidRDefault="00100A41" w:rsidP="00100A41">
            <w:pPr>
              <w:jc w:val="center"/>
              <w:rPr>
                <w:color w:val="000000"/>
                <w:sz w:val="22"/>
                <w:szCs w:val="22"/>
              </w:rPr>
            </w:pPr>
          </w:p>
        </w:tc>
        <w:tc>
          <w:tcPr>
            <w:tcW w:w="2070" w:type="dxa"/>
            <w:tcBorders>
              <w:top w:val="single" w:sz="4" w:space="0" w:color="auto"/>
              <w:bottom w:val="double" w:sz="6" w:space="0" w:color="auto"/>
            </w:tcBorders>
            <w:vAlign w:val="center"/>
          </w:tcPr>
          <w:p w:rsidR="00100A41" w:rsidRPr="00AA1921" w:rsidRDefault="00100A41" w:rsidP="00100A41">
            <w:pPr>
              <w:jc w:val="center"/>
              <w:rPr>
                <w:color w:val="000000"/>
                <w:sz w:val="22"/>
                <w:szCs w:val="22"/>
              </w:rPr>
            </w:pPr>
            <w:r w:rsidRPr="00AA1921">
              <w:rPr>
                <w:color w:val="000000"/>
                <w:sz w:val="22"/>
                <w:szCs w:val="22"/>
              </w:rPr>
              <w:t>Predicted Count</w:t>
            </w:r>
          </w:p>
        </w:tc>
        <w:tc>
          <w:tcPr>
            <w:tcW w:w="2070" w:type="dxa"/>
            <w:tcBorders>
              <w:top w:val="single" w:sz="4" w:space="0" w:color="auto"/>
              <w:bottom w:val="double" w:sz="6" w:space="0" w:color="auto"/>
              <w:right w:val="double" w:sz="6" w:space="0" w:color="auto"/>
            </w:tcBorders>
            <w:vAlign w:val="center"/>
          </w:tcPr>
          <w:p w:rsidR="00100A41" w:rsidRPr="00AA1921" w:rsidRDefault="00100A41" w:rsidP="00100A41">
            <w:pPr>
              <w:jc w:val="center"/>
              <w:rPr>
                <w:color w:val="000000"/>
                <w:sz w:val="22"/>
                <w:szCs w:val="22"/>
              </w:rPr>
            </w:pPr>
            <w:r w:rsidRPr="00AA1921">
              <w:rPr>
                <w:color w:val="000000"/>
                <w:sz w:val="22"/>
                <w:szCs w:val="22"/>
              </w:rPr>
              <w:t>APE</w:t>
            </w:r>
          </w:p>
        </w:tc>
        <w:tc>
          <w:tcPr>
            <w:tcW w:w="2160" w:type="dxa"/>
            <w:tcBorders>
              <w:top w:val="single" w:sz="4" w:space="0" w:color="auto"/>
              <w:left w:val="double" w:sz="6" w:space="0" w:color="auto"/>
              <w:bottom w:val="double" w:sz="6" w:space="0" w:color="auto"/>
              <w:right w:val="single" w:sz="4" w:space="0" w:color="auto"/>
            </w:tcBorders>
            <w:vAlign w:val="center"/>
          </w:tcPr>
          <w:p w:rsidR="00100A41" w:rsidRPr="00AA1921" w:rsidRDefault="00100A41" w:rsidP="00100A41">
            <w:pPr>
              <w:jc w:val="center"/>
              <w:rPr>
                <w:color w:val="000000"/>
                <w:sz w:val="22"/>
                <w:szCs w:val="22"/>
              </w:rPr>
            </w:pPr>
            <w:r w:rsidRPr="00AA1921">
              <w:rPr>
                <w:color w:val="000000"/>
                <w:sz w:val="22"/>
                <w:szCs w:val="22"/>
              </w:rPr>
              <w:t>Predicted Count</w:t>
            </w:r>
          </w:p>
        </w:tc>
        <w:tc>
          <w:tcPr>
            <w:tcW w:w="2160" w:type="dxa"/>
            <w:tcBorders>
              <w:top w:val="single" w:sz="4" w:space="0" w:color="auto"/>
              <w:left w:val="single" w:sz="4" w:space="0" w:color="auto"/>
              <w:bottom w:val="double" w:sz="6" w:space="0" w:color="auto"/>
              <w:right w:val="double" w:sz="6" w:space="0" w:color="auto"/>
            </w:tcBorders>
            <w:vAlign w:val="center"/>
          </w:tcPr>
          <w:p w:rsidR="00100A41" w:rsidRPr="00AA1921" w:rsidRDefault="00100A41" w:rsidP="00100A41">
            <w:pPr>
              <w:jc w:val="center"/>
              <w:rPr>
                <w:color w:val="000000"/>
                <w:sz w:val="22"/>
                <w:szCs w:val="22"/>
              </w:rPr>
            </w:pPr>
            <w:r w:rsidRPr="00AA1921">
              <w:rPr>
                <w:color w:val="000000"/>
                <w:sz w:val="22"/>
                <w:szCs w:val="22"/>
              </w:rPr>
              <w:t>APE</w:t>
            </w:r>
          </w:p>
        </w:tc>
      </w:tr>
      <w:tr w:rsidR="004611EE" w:rsidRPr="00AA1921" w:rsidTr="00100A41">
        <w:trPr>
          <w:trHeight w:val="288"/>
        </w:trPr>
        <w:tc>
          <w:tcPr>
            <w:tcW w:w="2218" w:type="dxa"/>
            <w:tcBorders>
              <w:top w:val="double" w:sz="6" w:space="0" w:color="auto"/>
              <w:right w:val="double" w:sz="6" w:space="0" w:color="auto"/>
            </w:tcBorders>
            <w:shd w:val="clear" w:color="auto" w:fill="auto"/>
            <w:noWrap/>
            <w:vAlign w:val="center"/>
          </w:tcPr>
          <w:p w:rsidR="004611EE" w:rsidRPr="00AA1921" w:rsidRDefault="004611EE" w:rsidP="00AA1921">
            <w:pPr>
              <w:jc w:val="both"/>
              <w:rPr>
                <w:color w:val="000000"/>
                <w:sz w:val="22"/>
                <w:szCs w:val="22"/>
              </w:rPr>
            </w:pPr>
            <w:r w:rsidRPr="00AA1921">
              <w:rPr>
                <w:color w:val="000000"/>
                <w:sz w:val="22"/>
                <w:szCs w:val="22"/>
              </w:rPr>
              <w:t>Northland</w:t>
            </w:r>
          </w:p>
        </w:tc>
        <w:tc>
          <w:tcPr>
            <w:tcW w:w="1800" w:type="dxa"/>
            <w:tcBorders>
              <w:top w:val="double" w:sz="6" w:space="0" w:color="auto"/>
              <w:right w:val="double" w:sz="6" w:space="0" w:color="auto"/>
            </w:tcBorders>
          </w:tcPr>
          <w:p w:rsidR="004611EE" w:rsidRPr="00AA1921" w:rsidRDefault="004611EE" w:rsidP="00AA1921">
            <w:pPr>
              <w:jc w:val="center"/>
              <w:rPr>
                <w:color w:val="000000"/>
                <w:sz w:val="22"/>
                <w:szCs w:val="22"/>
              </w:rPr>
            </w:pPr>
            <w:r w:rsidRPr="00AA1921">
              <w:rPr>
                <w:color w:val="000000"/>
                <w:sz w:val="22"/>
                <w:szCs w:val="22"/>
              </w:rPr>
              <w:t>289</w:t>
            </w:r>
          </w:p>
        </w:tc>
        <w:tc>
          <w:tcPr>
            <w:tcW w:w="2070" w:type="dxa"/>
            <w:tcBorders>
              <w:top w:val="double" w:sz="6" w:space="0" w:color="auto"/>
              <w:right w:val="single" w:sz="4" w:space="0" w:color="auto"/>
            </w:tcBorders>
          </w:tcPr>
          <w:p w:rsidR="004611EE" w:rsidRPr="00AA1921" w:rsidRDefault="004611EE" w:rsidP="00AA1921">
            <w:pPr>
              <w:jc w:val="center"/>
              <w:rPr>
                <w:color w:val="000000"/>
                <w:sz w:val="22"/>
                <w:szCs w:val="22"/>
              </w:rPr>
            </w:pPr>
            <w:r w:rsidRPr="00AA1921">
              <w:rPr>
                <w:color w:val="000000"/>
                <w:sz w:val="22"/>
                <w:szCs w:val="22"/>
              </w:rPr>
              <w:t>30</w:t>
            </w:r>
            <w:r w:rsidR="003C6603">
              <w:rPr>
                <w:color w:val="000000"/>
                <w:sz w:val="22"/>
                <w:szCs w:val="22"/>
              </w:rPr>
              <w:t>5</w:t>
            </w:r>
          </w:p>
        </w:tc>
        <w:tc>
          <w:tcPr>
            <w:tcW w:w="2070" w:type="dxa"/>
            <w:tcBorders>
              <w:top w:val="double" w:sz="6" w:space="0" w:color="auto"/>
              <w:left w:val="single" w:sz="4" w:space="0" w:color="auto"/>
              <w:right w:val="double" w:sz="6" w:space="0" w:color="auto"/>
            </w:tcBorders>
          </w:tcPr>
          <w:p w:rsidR="004611EE" w:rsidRPr="00AA1921" w:rsidRDefault="006267B8" w:rsidP="00AA1921">
            <w:pPr>
              <w:jc w:val="center"/>
              <w:rPr>
                <w:color w:val="000000"/>
                <w:sz w:val="22"/>
                <w:szCs w:val="22"/>
              </w:rPr>
            </w:pPr>
            <w:r w:rsidRPr="00AA1921">
              <w:rPr>
                <w:color w:val="000000"/>
                <w:sz w:val="22"/>
                <w:szCs w:val="22"/>
              </w:rPr>
              <w:t xml:space="preserve">    </w:t>
            </w:r>
            <w:r w:rsidR="003C6603">
              <w:rPr>
                <w:color w:val="000000"/>
                <w:sz w:val="22"/>
                <w:szCs w:val="22"/>
              </w:rPr>
              <w:t>5.4</w:t>
            </w:r>
          </w:p>
        </w:tc>
        <w:tc>
          <w:tcPr>
            <w:tcW w:w="2160" w:type="dxa"/>
            <w:tcBorders>
              <w:top w:val="double" w:sz="6" w:space="0" w:color="auto"/>
              <w:left w:val="double" w:sz="6" w:space="0" w:color="auto"/>
              <w:right w:val="single" w:sz="4" w:space="0" w:color="auto"/>
            </w:tcBorders>
          </w:tcPr>
          <w:p w:rsidR="004611EE" w:rsidRPr="00AA1921" w:rsidRDefault="004611EE" w:rsidP="00AA1921">
            <w:pPr>
              <w:jc w:val="center"/>
              <w:rPr>
                <w:color w:val="000000"/>
                <w:sz w:val="22"/>
                <w:szCs w:val="22"/>
              </w:rPr>
            </w:pPr>
            <w:r w:rsidRPr="00AA1921">
              <w:rPr>
                <w:color w:val="000000"/>
                <w:sz w:val="22"/>
                <w:szCs w:val="22"/>
              </w:rPr>
              <w:t>318</w:t>
            </w:r>
          </w:p>
        </w:tc>
        <w:tc>
          <w:tcPr>
            <w:tcW w:w="2160" w:type="dxa"/>
            <w:tcBorders>
              <w:top w:val="double" w:sz="6" w:space="0" w:color="auto"/>
              <w:left w:val="single" w:sz="4" w:space="0" w:color="auto"/>
              <w:right w:val="double" w:sz="6" w:space="0" w:color="auto"/>
            </w:tcBorders>
          </w:tcPr>
          <w:p w:rsidR="004611EE" w:rsidRPr="00AA1921" w:rsidRDefault="006267B8" w:rsidP="00AA1921">
            <w:pPr>
              <w:jc w:val="center"/>
              <w:rPr>
                <w:color w:val="000000"/>
                <w:sz w:val="22"/>
                <w:szCs w:val="22"/>
              </w:rPr>
            </w:pPr>
            <w:r w:rsidRPr="00AA1921">
              <w:rPr>
                <w:color w:val="000000"/>
                <w:sz w:val="22"/>
                <w:szCs w:val="22"/>
              </w:rPr>
              <w:t xml:space="preserve">  </w:t>
            </w:r>
            <w:r w:rsidR="000769A2" w:rsidRPr="00AA1921">
              <w:rPr>
                <w:color w:val="000000"/>
                <w:sz w:val="22"/>
                <w:szCs w:val="22"/>
              </w:rPr>
              <w:t>10.0</w:t>
            </w:r>
          </w:p>
        </w:tc>
      </w:tr>
      <w:tr w:rsidR="004611EE" w:rsidRPr="00AA1921" w:rsidTr="00100A41">
        <w:trPr>
          <w:trHeight w:val="288"/>
        </w:trPr>
        <w:tc>
          <w:tcPr>
            <w:tcW w:w="2218" w:type="dxa"/>
            <w:tcBorders>
              <w:right w:val="double" w:sz="6" w:space="0" w:color="auto"/>
            </w:tcBorders>
            <w:shd w:val="clear" w:color="auto" w:fill="auto"/>
            <w:noWrap/>
            <w:vAlign w:val="center"/>
          </w:tcPr>
          <w:p w:rsidR="004611EE" w:rsidRPr="00AA1921" w:rsidRDefault="004611EE" w:rsidP="00AA1921">
            <w:pPr>
              <w:jc w:val="both"/>
              <w:rPr>
                <w:color w:val="000000"/>
                <w:sz w:val="22"/>
                <w:szCs w:val="22"/>
              </w:rPr>
            </w:pPr>
            <w:r w:rsidRPr="00AA1921">
              <w:rPr>
                <w:color w:val="000000"/>
                <w:sz w:val="22"/>
                <w:szCs w:val="22"/>
              </w:rPr>
              <w:t>Auckland</w:t>
            </w:r>
          </w:p>
        </w:tc>
        <w:tc>
          <w:tcPr>
            <w:tcW w:w="1800" w:type="dxa"/>
            <w:tcBorders>
              <w:right w:val="double" w:sz="6" w:space="0" w:color="auto"/>
            </w:tcBorders>
          </w:tcPr>
          <w:p w:rsidR="004611EE" w:rsidRPr="00AA1921" w:rsidRDefault="004611EE" w:rsidP="00AA1921">
            <w:pPr>
              <w:jc w:val="center"/>
              <w:rPr>
                <w:color w:val="000000"/>
                <w:sz w:val="22"/>
                <w:szCs w:val="22"/>
              </w:rPr>
            </w:pPr>
            <w:r w:rsidRPr="00AA1921">
              <w:rPr>
                <w:color w:val="000000"/>
                <w:sz w:val="22"/>
                <w:szCs w:val="22"/>
              </w:rPr>
              <w:t>574</w:t>
            </w:r>
          </w:p>
        </w:tc>
        <w:tc>
          <w:tcPr>
            <w:tcW w:w="2070" w:type="dxa"/>
            <w:tcBorders>
              <w:right w:val="single" w:sz="4" w:space="0" w:color="auto"/>
            </w:tcBorders>
          </w:tcPr>
          <w:p w:rsidR="004611EE" w:rsidRPr="00AA1921" w:rsidRDefault="004611EE" w:rsidP="00AA1921">
            <w:pPr>
              <w:jc w:val="center"/>
              <w:rPr>
                <w:color w:val="000000"/>
                <w:sz w:val="22"/>
                <w:szCs w:val="22"/>
              </w:rPr>
            </w:pPr>
            <w:r w:rsidRPr="00AA1921">
              <w:rPr>
                <w:color w:val="000000"/>
                <w:sz w:val="22"/>
                <w:szCs w:val="22"/>
              </w:rPr>
              <w:t>5</w:t>
            </w:r>
            <w:r w:rsidR="003C6603">
              <w:rPr>
                <w:color w:val="000000"/>
                <w:sz w:val="22"/>
                <w:szCs w:val="22"/>
              </w:rPr>
              <w:t>64</w:t>
            </w:r>
          </w:p>
        </w:tc>
        <w:tc>
          <w:tcPr>
            <w:tcW w:w="2070" w:type="dxa"/>
            <w:tcBorders>
              <w:left w:val="single" w:sz="4" w:space="0" w:color="auto"/>
              <w:right w:val="double" w:sz="6" w:space="0" w:color="auto"/>
            </w:tcBorders>
          </w:tcPr>
          <w:p w:rsidR="004611EE" w:rsidRPr="00AA1921" w:rsidRDefault="006267B8" w:rsidP="00AA1921">
            <w:pPr>
              <w:jc w:val="center"/>
              <w:rPr>
                <w:color w:val="000000"/>
                <w:sz w:val="22"/>
                <w:szCs w:val="22"/>
              </w:rPr>
            </w:pPr>
            <w:r w:rsidRPr="00AA1921">
              <w:rPr>
                <w:color w:val="000000"/>
                <w:sz w:val="22"/>
                <w:szCs w:val="22"/>
              </w:rPr>
              <w:t xml:space="preserve">    </w:t>
            </w:r>
            <w:r w:rsidR="003C6603">
              <w:rPr>
                <w:color w:val="000000"/>
                <w:sz w:val="22"/>
                <w:szCs w:val="22"/>
              </w:rPr>
              <w:t>1</w:t>
            </w:r>
            <w:r w:rsidR="004611EE" w:rsidRPr="00AA1921">
              <w:rPr>
                <w:color w:val="000000"/>
                <w:sz w:val="22"/>
                <w:szCs w:val="22"/>
              </w:rPr>
              <w:t>.</w:t>
            </w:r>
            <w:r w:rsidR="003C6603">
              <w:rPr>
                <w:color w:val="000000"/>
                <w:sz w:val="22"/>
                <w:szCs w:val="22"/>
              </w:rPr>
              <w:t>6</w:t>
            </w:r>
          </w:p>
        </w:tc>
        <w:tc>
          <w:tcPr>
            <w:tcW w:w="2160" w:type="dxa"/>
            <w:tcBorders>
              <w:left w:val="double" w:sz="6" w:space="0" w:color="auto"/>
              <w:right w:val="single" w:sz="4" w:space="0" w:color="auto"/>
            </w:tcBorders>
          </w:tcPr>
          <w:p w:rsidR="004611EE" w:rsidRPr="00AA1921" w:rsidRDefault="004611EE" w:rsidP="00AA1921">
            <w:pPr>
              <w:jc w:val="center"/>
              <w:rPr>
                <w:color w:val="000000"/>
                <w:sz w:val="22"/>
                <w:szCs w:val="22"/>
              </w:rPr>
            </w:pPr>
            <w:r w:rsidRPr="00AA1921">
              <w:rPr>
                <w:color w:val="000000"/>
                <w:sz w:val="22"/>
                <w:szCs w:val="22"/>
              </w:rPr>
              <w:t>617</w:t>
            </w:r>
          </w:p>
        </w:tc>
        <w:tc>
          <w:tcPr>
            <w:tcW w:w="2160" w:type="dxa"/>
            <w:tcBorders>
              <w:left w:val="single" w:sz="4" w:space="0" w:color="auto"/>
              <w:right w:val="double" w:sz="6" w:space="0" w:color="auto"/>
            </w:tcBorders>
          </w:tcPr>
          <w:p w:rsidR="004611EE" w:rsidRPr="00AA1921" w:rsidRDefault="006267B8" w:rsidP="00AA1921">
            <w:pPr>
              <w:jc w:val="center"/>
              <w:rPr>
                <w:color w:val="000000"/>
                <w:sz w:val="22"/>
                <w:szCs w:val="22"/>
              </w:rPr>
            </w:pPr>
            <w:r w:rsidRPr="00AA1921">
              <w:rPr>
                <w:color w:val="000000"/>
                <w:sz w:val="22"/>
                <w:szCs w:val="22"/>
              </w:rPr>
              <w:t xml:space="preserve">    </w:t>
            </w:r>
            <w:r w:rsidR="000769A2" w:rsidRPr="00AA1921">
              <w:rPr>
                <w:color w:val="000000"/>
                <w:sz w:val="22"/>
                <w:szCs w:val="22"/>
              </w:rPr>
              <w:t>7.5</w:t>
            </w:r>
          </w:p>
        </w:tc>
      </w:tr>
      <w:tr w:rsidR="004611EE" w:rsidRPr="00AA1921" w:rsidTr="00100A41">
        <w:trPr>
          <w:trHeight w:val="288"/>
        </w:trPr>
        <w:tc>
          <w:tcPr>
            <w:tcW w:w="2218" w:type="dxa"/>
            <w:tcBorders>
              <w:right w:val="double" w:sz="6" w:space="0" w:color="auto"/>
            </w:tcBorders>
            <w:shd w:val="clear" w:color="auto" w:fill="auto"/>
            <w:noWrap/>
            <w:vAlign w:val="center"/>
          </w:tcPr>
          <w:p w:rsidR="004611EE" w:rsidRPr="00AA1921" w:rsidRDefault="004611EE" w:rsidP="00AA1921">
            <w:pPr>
              <w:jc w:val="both"/>
              <w:rPr>
                <w:color w:val="000000"/>
                <w:sz w:val="22"/>
                <w:szCs w:val="22"/>
              </w:rPr>
            </w:pPr>
            <w:r w:rsidRPr="00AA1921">
              <w:rPr>
                <w:color w:val="000000"/>
                <w:sz w:val="22"/>
                <w:szCs w:val="22"/>
              </w:rPr>
              <w:t>Waikato</w:t>
            </w:r>
          </w:p>
        </w:tc>
        <w:tc>
          <w:tcPr>
            <w:tcW w:w="1800" w:type="dxa"/>
            <w:tcBorders>
              <w:right w:val="double" w:sz="6" w:space="0" w:color="auto"/>
            </w:tcBorders>
          </w:tcPr>
          <w:p w:rsidR="004611EE" w:rsidRPr="00AA1921" w:rsidRDefault="004611EE" w:rsidP="00AA1921">
            <w:pPr>
              <w:jc w:val="center"/>
              <w:rPr>
                <w:color w:val="000000"/>
                <w:sz w:val="22"/>
                <w:szCs w:val="22"/>
              </w:rPr>
            </w:pPr>
            <w:r w:rsidRPr="00AA1921">
              <w:rPr>
                <w:color w:val="000000"/>
                <w:sz w:val="22"/>
                <w:szCs w:val="22"/>
              </w:rPr>
              <w:t>786</w:t>
            </w:r>
          </w:p>
        </w:tc>
        <w:tc>
          <w:tcPr>
            <w:tcW w:w="2070" w:type="dxa"/>
            <w:tcBorders>
              <w:right w:val="single" w:sz="4" w:space="0" w:color="auto"/>
            </w:tcBorders>
          </w:tcPr>
          <w:p w:rsidR="004611EE" w:rsidRPr="00AA1921" w:rsidRDefault="004611EE" w:rsidP="00AA1921">
            <w:pPr>
              <w:jc w:val="center"/>
              <w:rPr>
                <w:color w:val="000000"/>
                <w:sz w:val="22"/>
                <w:szCs w:val="22"/>
              </w:rPr>
            </w:pPr>
            <w:r w:rsidRPr="00AA1921">
              <w:rPr>
                <w:color w:val="000000"/>
                <w:sz w:val="22"/>
                <w:szCs w:val="22"/>
              </w:rPr>
              <w:t>6</w:t>
            </w:r>
            <w:r w:rsidR="003C6603">
              <w:rPr>
                <w:color w:val="000000"/>
                <w:sz w:val="22"/>
                <w:szCs w:val="22"/>
              </w:rPr>
              <w:t>22</w:t>
            </w:r>
          </w:p>
        </w:tc>
        <w:tc>
          <w:tcPr>
            <w:tcW w:w="2070" w:type="dxa"/>
            <w:tcBorders>
              <w:left w:val="single" w:sz="4" w:space="0" w:color="auto"/>
              <w:right w:val="double" w:sz="6" w:space="0" w:color="auto"/>
            </w:tcBorders>
          </w:tcPr>
          <w:p w:rsidR="004611EE" w:rsidRPr="00AA1921" w:rsidRDefault="006267B8" w:rsidP="00AA1921">
            <w:pPr>
              <w:jc w:val="center"/>
              <w:rPr>
                <w:color w:val="000000"/>
                <w:sz w:val="22"/>
                <w:szCs w:val="22"/>
              </w:rPr>
            </w:pPr>
            <w:r w:rsidRPr="00AA1921">
              <w:rPr>
                <w:color w:val="000000"/>
                <w:sz w:val="22"/>
                <w:szCs w:val="22"/>
              </w:rPr>
              <w:t xml:space="preserve">  </w:t>
            </w:r>
            <w:r w:rsidR="003C6603">
              <w:rPr>
                <w:color w:val="000000"/>
                <w:sz w:val="22"/>
                <w:szCs w:val="22"/>
              </w:rPr>
              <w:t>20</w:t>
            </w:r>
            <w:r w:rsidR="004611EE" w:rsidRPr="00AA1921">
              <w:rPr>
                <w:color w:val="000000"/>
                <w:sz w:val="22"/>
                <w:szCs w:val="22"/>
              </w:rPr>
              <w:t>.</w:t>
            </w:r>
            <w:r w:rsidR="003C6603">
              <w:rPr>
                <w:color w:val="000000"/>
                <w:sz w:val="22"/>
                <w:szCs w:val="22"/>
              </w:rPr>
              <w:t>9</w:t>
            </w:r>
          </w:p>
        </w:tc>
        <w:tc>
          <w:tcPr>
            <w:tcW w:w="2160" w:type="dxa"/>
            <w:tcBorders>
              <w:left w:val="double" w:sz="6" w:space="0" w:color="auto"/>
              <w:right w:val="single" w:sz="4" w:space="0" w:color="auto"/>
            </w:tcBorders>
          </w:tcPr>
          <w:p w:rsidR="004611EE" w:rsidRPr="00AA1921" w:rsidRDefault="004611EE" w:rsidP="00AA1921">
            <w:pPr>
              <w:jc w:val="center"/>
              <w:rPr>
                <w:color w:val="000000"/>
                <w:sz w:val="22"/>
                <w:szCs w:val="22"/>
              </w:rPr>
            </w:pPr>
            <w:r w:rsidRPr="00AA1921">
              <w:rPr>
                <w:color w:val="000000"/>
                <w:sz w:val="22"/>
                <w:szCs w:val="22"/>
              </w:rPr>
              <w:t>591</w:t>
            </w:r>
          </w:p>
        </w:tc>
        <w:tc>
          <w:tcPr>
            <w:tcW w:w="2160" w:type="dxa"/>
            <w:tcBorders>
              <w:left w:val="single" w:sz="4" w:space="0" w:color="auto"/>
              <w:right w:val="double" w:sz="6" w:space="0" w:color="auto"/>
            </w:tcBorders>
          </w:tcPr>
          <w:p w:rsidR="004611EE" w:rsidRPr="00AA1921" w:rsidRDefault="006267B8" w:rsidP="00AA1921">
            <w:pPr>
              <w:jc w:val="center"/>
              <w:rPr>
                <w:color w:val="000000"/>
                <w:sz w:val="22"/>
                <w:szCs w:val="22"/>
              </w:rPr>
            </w:pPr>
            <w:r w:rsidRPr="00AA1921">
              <w:rPr>
                <w:color w:val="000000"/>
                <w:sz w:val="22"/>
                <w:szCs w:val="22"/>
              </w:rPr>
              <w:t xml:space="preserve">  </w:t>
            </w:r>
            <w:r w:rsidR="000769A2" w:rsidRPr="00AA1921">
              <w:rPr>
                <w:color w:val="000000"/>
                <w:sz w:val="22"/>
                <w:szCs w:val="22"/>
              </w:rPr>
              <w:t>24.8</w:t>
            </w:r>
          </w:p>
        </w:tc>
      </w:tr>
      <w:tr w:rsidR="004611EE" w:rsidRPr="00AA1921" w:rsidTr="00100A41">
        <w:trPr>
          <w:trHeight w:val="288"/>
        </w:trPr>
        <w:tc>
          <w:tcPr>
            <w:tcW w:w="2218" w:type="dxa"/>
            <w:tcBorders>
              <w:right w:val="double" w:sz="6" w:space="0" w:color="auto"/>
            </w:tcBorders>
            <w:shd w:val="clear" w:color="auto" w:fill="auto"/>
            <w:noWrap/>
            <w:vAlign w:val="center"/>
          </w:tcPr>
          <w:p w:rsidR="004611EE" w:rsidRPr="00AA1921" w:rsidRDefault="004611EE" w:rsidP="00AA1921">
            <w:pPr>
              <w:jc w:val="both"/>
              <w:rPr>
                <w:color w:val="000000"/>
                <w:sz w:val="22"/>
                <w:szCs w:val="22"/>
              </w:rPr>
            </w:pPr>
            <w:r w:rsidRPr="00AA1921">
              <w:rPr>
                <w:color w:val="000000"/>
                <w:sz w:val="22"/>
                <w:szCs w:val="22"/>
              </w:rPr>
              <w:t>Bay of Plenty</w:t>
            </w:r>
          </w:p>
        </w:tc>
        <w:tc>
          <w:tcPr>
            <w:tcW w:w="1800" w:type="dxa"/>
            <w:tcBorders>
              <w:right w:val="double" w:sz="6" w:space="0" w:color="auto"/>
            </w:tcBorders>
          </w:tcPr>
          <w:p w:rsidR="004611EE" w:rsidRPr="00AA1921" w:rsidRDefault="004611EE" w:rsidP="00AA1921">
            <w:pPr>
              <w:jc w:val="center"/>
              <w:rPr>
                <w:color w:val="000000"/>
                <w:sz w:val="22"/>
                <w:szCs w:val="22"/>
              </w:rPr>
            </w:pPr>
            <w:r w:rsidRPr="00AA1921">
              <w:rPr>
                <w:color w:val="000000"/>
                <w:sz w:val="22"/>
                <w:szCs w:val="22"/>
              </w:rPr>
              <w:t>454</w:t>
            </w:r>
          </w:p>
        </w:tc>
        <w:tc>
          <w:tcPr>
            <w:tcW w:w="2070" w:type="dxa"/>
            <w:tcBorders>
              <w:right w:val="single" w:sz="4" w:space="0" w:color="auto"/>
            </w:tcBorders>
          </w:tcPr>
          <w:p w:rsidR="004611EE" w:rsidRPr="00AA1921" w:rsidRDefault="004611EE" w:rsidP="00AA1921">
            <w:pPr>
              <w:jc w:val="center"/>
              <w:rPr>
                <w:color w:val="000000"/>
                <w:sz w:val="22"/>
                <w:szCs w:val="22"/>
              </w:rPr>
            </w:pPr>
            <w:r w:rsidRPr="00AA1921">
              <w:rPr>
                <w:color w:val="000000"/>
                <w:sz w:val="22"/>
                <w:szCs w:val="22"/>
              </w:rPr>
              <w:t>2</w:t>
            </w:r>
            <w:r w:rsidR="003C6603">
              <w:rPr>
                <w:color w:val="000000"/>
                <w:sz w:val="22"/>
                <w:szCs w:val="22"/>
              </w:rPr>
              <w:t>38</w:t>
            </w:r>
          </w:p>
        </w:tc>
        <w:tc>
          <w:tcPr>
            <w:tcW w:w="2070" w:type="dxa"/>
            <w:tcBorders>
              <w:left w:val="single" w:sz="4" w:space="0" w:color="auto"/>
              <w:right w:val="double" w:sz="6" w:space="0" w:color="auto"/>
            </w:tcBorders>
          </w:tcPr>
          <w:p w:rsidR="004611EE" w:rsidRPr="00AA1921" w:rsidRDefault="006267B8" w:rsidP="00AA1921">
            <w:pPr>
              <w:jc w:val="center"/>
              <w:rPr>
                <w:color w:val="000000"/>
                <w:sz w:val="22"/>
                <w:szCs w:val="22"/>
              </w:rPr>
            </w:pPr>
            <w:r w:rsidRPr="00AA1921">
              <w:rPr>
                <w:color w:val="000000"/>
                <w:sz w:val="22"/>
                <w:szCs w:val="22"/>
              </w:rPr>
              <w:t xml:space="preserve">  </w:t>
            </w:r>
            <w:r w:rsidR="004611EE" w:rsidRPr="00AA1921">
              <w:rPr>
                <w:color w:val="000000"/>
                <w:sz w:val="22"/>
                <w:szCs w:val="22"/>
              </w:rPr>
              <w:t>4</w:t>
            </w:r>
            <w:r w:rsidR="003C6603">
              <w:rPr>
                <w:color w:val="000000"/>
                <w:sz w:val="22"/>
                <w:szCs w:val="22"/>
              </w:rPr>
              <w:t>7</w:t>
            </w:r>
            <w:r w:rsidR="004611EE" w:rsidRPr="00AA1921">
              <w:rPr>
                <w:color w:val="000000"/>
                <w:sz w:val="22"/>
                <w:szCs w:val="22"/>
              </w:rPr>
              <w:t>.</w:t>
            </w:r>
            <w:r w:rsidR="003C6603">
              <w:rPr>
                <w:color w:val="000000"/>
                <w:sz w:val="22"/>
                <w:szCs w:val="22"/>
              </w:rPr>
              <w:t>6</w:t>
            </w:r>
          </w:p>
        </w:tc>
        <w:tc>
          <w:tcPr>
            <w:tcW w:w="2160" w:type="dxa"/>
            <w:tcBorders>
              <w:left w:val="double" w:sz="6" w:space="0" w:color="auto"/>
              <w:right w:val="single" w:sz="4" w:space="0" w:color="auto"/>
            </w:tcBorders>
          </w:tcPr>
          <w:p w:rsidR="004611EE" w:rsidRPr="00AA1921" w:rsidRDefault="004611EE" w:rsidP="00AA1921">
            <w:pPr>
              <w:jc w:val="center"/>
              <w:rPr>
                <w:color w:val="000000"/>
                <w:sz w:val="22"/>
                <w:szCs w:val="22"/>
              </w:rPr>
            </w:pPr>
            <w:r w:rsidRPr="00AA1921">
              <w:rPr>
                <w:color w:val="000000"/>
                <w:sz w:val="22"/>
                <w:szCs w:val="22"/>
              </w:rPr>
              <w:t>214</w:t>
            </w:r>
          </w:p>
        </w:tc>
        <w:tc>
          <w:tcPr>
            <w:tcW w:w="2160" w:type="dxa"/>
            <w:tcBorders>
              <w:left w:val="single" w:sz="4" w:space="0" w:color="auto"/>
              <w:right w:val="double" w:sz="6" w:space="0" w:color="auto"/>
            </w:tcBorders>
          </w:tcPr>
          <w:p w:rsidR="004611EE" w:rsidRPr="00AA1921" w:rsidRDefault="006267B8" w:rsidP="00AA1921">
            <w:pPr>
              <w:jc w:val="center"/>
              <w:rPr>
                <w:color w:val="000000"/>
                <w:sz w:val="22"/>
                <w:szCs w:val="22"/>
              </w:rPr>
            </w:pPr>
            <w:r w:rsidRPr="00AA1921">
              <w:rPr>
                <w:color w:val="000000"/>
                <w:sz w:val="22"/>
                <w:szCs w:val="22"/>
              </w:rPr>
              <w:t xml:space="preserve">  </w:t>
            </w:r>
            <w:r w:rsidR="000769A2" w:rsidRPr="00AA1921">
              <w:rPr>
                <w:color w:val="000000"/>
                <w:sz w:val="22"/>
                <w:szCs w:val="22"/>
              </w:rPr>
              <w:t>52.8</w:t>
            </w:r>
          </w:p>
        </w:tc>
      </w:tr>
      <w:tr w:rsidR="004611EE" w:rsidRPr="00AA1921" w:rsidTr="00100A41">
        <w:trPr>
          <w:trHeight w:val="288"/>
        </w:trPr>
        <w:tc>
          <w:tcPr>
            <w:tcW w:w="2218" w:type="dxa"/>
            <w:tcBorders>
              <w:right w:val="double" w:sz="6" w:space="0" w:color="auto"/>
            </w:tcBorders>
            <w:shd w:val="clear" w:color="auto" w:fill="auto"/>
            <w:noWrap/>
            <w:vAlign w:val="center"/>
          </w:tcPr>
          <w:p w:rsidR="004611EE" w:rsidRPr="00AA1921" w:rsidRDefault="004611EE" w:rsidP="00AA1921">
            <w:pPr>
              <w:jc w:val="both"/>
              <w:rPr>
                <w:color w:val="000000"/>
                <w:sz w:val="22"/>
                <w:szCs w:val="22"/>
              </w:rPr>
            </w:pPr>
            <w:r w:rsidRPr="00AA1921">
              <w:rPr>
                <w:color w:val="000000"/>
                <w:sz w:val="22"/>
                <w:szCs w:val="22"/>
              </w:rPr>
              <w:t>Gisborne</w:t>
            </w:r>
          </w:p>
        </w:tc>
        <w:tc>
          <w:tcPr>
            <w:tcW w:w="1800" w:type="dxa"/>
            <w:tcBorders>
              <w:right w:val="double" w:sz="6" w:space="0" w:color="auto"/>
            </w:tcBorders>
          </w:tcPr>
          <w:p w:rsidR="004611EE" w:rsidRPr="00AA1921" w:rsidRDefault="006267B8" w:rsidP="00AA1921">
            <w:pPr>
              <w:jc w:val="center"/>
              <w:rPr>
                <w:color w:val="000000"/>
                <w:sz w:val="22"/>
                <w:szCs w:val="22"/>
              </w:rPr>
            </w:pPr>
            <w:r w:rsidRPr="00AA1921">
              <w:rPr>
                <w:color w:val="000000"/>
                <w:sz w:val="22"/>
                <w:szCs w:val="22"/>
              </w:rPr>
              <w:t xml:space="preserve">  </w:t>
            </w:r>
            <w:r w:rsidR="004611EE" w:rsidRPr="00AA1921">
              <w:rPr>
                <w:color w:val="000000"/>
                <w:sz w:val="22"/>
                <w:szCs w:val="22"/>
              </w:rPr>
              <w:t>42</w:t>
            </w:r>
          </w:p>
        </w:tc>
        <w:tc>
          <w:tcPr>
            <w:tcW w:w="2070" w:type="dxa"/>
            <w:tcBorders>
              <w:right w:val="single" w:sz="4" w:space="0" w:color="auto"/>
            </w:tcBorders>
          </w:tcPr>
          <w:p w:rsidR="004611EE" w:rsidRPr="00AA1921" w:rsidRDefault="006267B8" w:rsidP="00AA1921">
            <w:pPr>
              <w:jc w:val="center"/>
              <w:rPr>
                <w:color w:val="000000"/>
                <w:sz w:val="22"/>
                <w:szCs w:val="22"/>
              </w:rPr>
            </w:pPr>
            <w:r w:rsidRPr="00AA1921">
              <w:rPr>
                <w:color w:val="000000"/>
                <w:sz w:val="22"/>
                <w:szCs w:val="22"/>
              </w:rPr>
              <w:t xml:space="preserve"> </w:t>
            </w:r>
            <w:r w:rsidR="003C6603">
              <w:rPr>
                <w:color w:val="000000"/>
                <w:sz w:val="22"/>
                <w:szCs w:val="22"/>
              </w:rPr>
              <w:t xml:space="preserve"> 97</w:t>
            </w:r>
          </w:p>
        </w:tc>
        <w:tc>
          <w:tcPr>
            <w:tcW w:w="2070" w:type="dxa"/>
            <w:tcBorders>
              <w:left w:val="single" w:sz="4" w:space="0" w:color="auto"/>
              <w:right w:val="double" w:sz="6" w:space="0" w:color="auto"/>
            </w:tcBorders>
          </w:tcPr>
          <w:p w:rsidR="004611EE" w:rsidRPr="00AA1921" w:rsidRDefault="004611EE" w:rsidP="00AA1921">
            <w:pPr>
              <w:jc w:val="center"/>
              <w:rPr>
                <w:color w:val="000000"/>
                <w:sz w:val="22"/>
                <w:szCs w:val="22"/>
              </w:rPr>
            </w:pPr>
            <w:r w:rsidRPr="00AA1921">
              <w:rPr>
                <w:color w:val="000000"/>
                <w:sz w:val="22"/>
                <w:szCs w:val="22"/>
              </w:rPr>
              <w:t>1</w:t>
            </w:r>
            <w:r w:rsidR="003C6603">
              <w:rPr>
                <w:color w:val="000000"/>
                <w:sz w:val="22"/>
                <w:szCs w:val="22"/>
              </w:rPr>
              <w:t>30.3</w:t>
            </w:r>
          </w:p>
        </w:tc>
        <w:tc>
          <w:tcPr>
            <w:tcW w:w="2160" w:type="dxa"/>
            <w:tcBorders>
              <w:left w:val="double" w:sz="6" w:space="0" w:color="auto"/>
              <w:right w:val="single" w:sz="4" w:space="0" w:color="auto"/>
            </w:tcBorders>
          </w:tcPr>
          <w:p w:rsidR="004611EE" w:rsidRPr="00AA1921" w:rsidRDefault="006267B8" w:rsidP="00AA1921">
            <w:pPr>
              <w:jc w:val="center"/>
              <w:rPr>
                <w:color w:val="000000"/>
                <w:sz w:val="22"/>
                <w:szCs w:val="22"/>
              </w:rPr>
            </w:pPr>
            <w:r w:rsidRPr="00AA1921">
              <w:rPr>
                <w:color w:val="000000"/>
                <w:sz w:val="22"/>
                <w:szCs w:val="22"/>
              </w:rPr>
              <w:t xml:space="preserve">  </w:t>
            </w:r>
            <w:r w:rsidR="004611EE" w:rsidRPr="00AA1921">
              <w:rPr>
                <w:color w:val="000000"/>
                <w:sz w:val="22"/>
                <w:szCs w:val="22"/>
              </w:rPr>
              <w:t>94</w:t>
            </w:r>
          </w:p>
        </w:tc>
        <w:tc>
          <w:tcPr>
            <w:tcW w:w="2160" w:type="dxa"/>
            <w:tcBorders>
              <w:left w:val="single" w:sz="4" w:space="0" w:color="auto"/>
              <w:right w:val="double" w:sz="6" w:space="0" w:color="auto"/>
            </w:tcBorders>
          </w:tcPr>
          <w:p w:rsidR="004611EE" w:rsidRPr="00AA1921" w:rsidRDefault="004611EE" w:rsidP="00AA1921">
            <w:pPr>
              <w:jc w:val="center"/>
              <w:rPr>
                <w:color w:val="000000"/>
                <w:sz w:val="22"/>
                <w:szCs w:val="22"/>
              </w:rPr>
            </w:pPr>
            <w:r w:rsidRPr="00AA1921">
              <w:rPr>
                <w:color w:val="000000"/>
                <w:sz w:val="22"/>
                <w:szCs w:val="22"/>
              </w:rPr>
              <w:t>1</w:t>
            </w:r>
            <w:r w:rsidR="000769A2" w:rsidRPr="00AA1921">
              <w:rPr>
                <w:color w:val="000000"/>
                <w:sz w:val="22"/>
                <w:szCs w:val="22"/>
              </w:rPr>
              <w:t>24.6</w:t>
            </w:r>
          </w:p>
        </w:tc>
      </w:tr>
      <w:tr w:rsidR="004611EE" w:rsidRPr="00AA1921" w:rsidTr="00100A41">
        <w:trPr>
          <w:trHeight w:val="288"/>
        </w:trPr>
        <w:tc>
          <w:tcPr>
            <w:tcW w:w="2218" w:type="dxa"/>
            <w:tcBorders>
              <w:right w:val="double" w:sz="6" w:space="0" w:color="auto"/>
            </w:tcBorders>
            <w:shd w:val="clear" w:color="auto" w:fill="auto"/>
            <w:noWrap/>
            <w:vAlign w:val="center"/>
          </w:tcPr>
          <w:p w:rsidR="004611EE" w:rsidRPr="00AA1921" w:rsidRDefault="004611EE" w:rsidP="00AA1921">
            <w:pPr>
              <w:jc w:val="both"/>
              <w:rPr>
                <w:color w:val="000000"/>
                <w:sz w:val="22"/>
                <w:szCs w:val="22"/>
              </w:rPr>
            </w:pPr>
            <w:r w:rsidRPr="00AA1921">
              <w:rPr>
                <w:color w:val="000000"/>
                <w:sz w:val="22"/>
                <w:szCs w:val="22"/>
              </w:rPr>
              <w:t>Taranaki</w:t>
            </w:r>
          </w:p>
        </w:tc>
        <w:tc>
          <w:tcPr>
            <w:tcW w:w="1800" w:type="dxa"/>
            <w:tcBorders>
              <w:right w:val="double" w:sz="6" w:space="0" w:color="auto"/>
            </w:tcBorders>
          </w:tcPr>
          <w:p w:rsidR="004611EE" w:rsidRPr="00AA1921" w:rsidRDefault="004611EE" w:rsidP="00AA1921">
            <w:pPr>
              <w:jc w:val="center"/>
              <w:rPr>
                <w:color w:val="000000"/>
                <w:sz w:val="22"/>
                <w:szCs w:val="22"/>
              </w:rPr>
            </w:pPr>
            <w:r w:rsidRPr="00AA1921">
              <w:rPr>
                <w:color w:val="000000"/>
                <w:sz w:val="22"/>
                <w:szCs w:val="22"/>
              </w:rPr>
              <w:t>104</w:t>
            </w:r>
          </w:p>
        </w:tc>
        <w:tc>
          <w:tcPr>
            <w:tcW w:w="2070" w:type="dxa"/>
            <w:tcBorders>
              <w:right w:val="single" w:sz="4" w:space="0" w:color="auto"/>
            </w:tcBorders>
          </w:tcPr>
          <w:p w:rsidR="004611EE" w:rsidRPr="00AA1921" w:rsidRDefault="003C6603" w:rsidP="00AA1921">
            <w:pPr>
              <w:jc w:val="center"/>
              <w:rPr>
                <w:color w:val="000000"/>
                <w:sz w:val="22"/>
                <w:szCs w:val="22"/>
              </w:rPr>
            </w:pPr>
            <w:r>
              <w:rPr>
                <w:color w:val="000000"/>
                <w:sz w:val="22"/>
                <w:szCs w:val="22"/>
              </w:rPr>
              <w:t xml:space="preserve">  </w:t>
            </w:r>
            <w:r w:rsidR="004611EE" w:rsidRPr="00AA1921">
              <w:rPr>
                <w:color w:val="000000"/>
                <w:sz w:val="22"/>
                <w:szCs w:val="22"/>
              </w:rPr>
              <w:t>9</w:t>
            </w:r>
            <w:r>
              <w:rPr>
                <w:color w:val="000000"/>
                <w:sz w:val="22"/>
                <w:szCs w:val="22"/>
              </w:rPr>
              <w:t>7</w:t>
            </w:r>
          </w:p>
        </w:tc>
        <w:tc>
          <w:tcPr>
            <w:tcW w:w="2070" w:type="dxa"/>
            <w:tcBorders>
              <w:left w:val="single" w:sz="4" w:space="0" w:color="auto"/>
              <w:right w:val="double" w:sz="6" w:space="0" w:color="auto"/>
            </w:tcBorders>
          </w:tcPr>
          <w:p w:rsidR="004611EE" w:rsidRPr="00AA1921" w:rsidRDefault="006267B8" w:rsidP="00AA1921">
            <w:pPr>
              <w:jc w:val="center"/>
              <w:rPr>
                <w:color w:val="000000"/>
                <w:sz w:val="22"/>
                <w:szCs w:val="22"/>
              </w:rPr>
            </w:pPr>
            <w:r w:rsidRPr="00AA1921">
              <w:rPr>
                <w:color w:val="000000"/>
                <w:sz w:val="22"/>
                <w:szCs w:val="22"/>
              </w:rPr>
              <w:t xml:space="preserve">    </w:t>
            </w:r>
            <w:r w:rsidR="003C6603">
              <w:rPr>
                <w:color w:val="000000"/>
                <w:sz w:val="22"/>
                <w:szCs w:val="22"/>
              </w:rPr>
              <w:t>6</w:t>
            </w:r>
            <w:r w:rsidR="004611EE" w:rsidRPr="00AA1921">
              <w:rPr>
                <w:color w:val="000000"/>
                <w:sz w:val="22"/>
                <w:szCs w:val="22"/>
              </w:rPr>
              <w:t>.7</w:t>
            </w:r>
          </w:p>
        </w:tc>
        <w:tc>
          <w:tcPr>
            <w:tcW w:w="2160" w:type="dxa"/>
            <w:tcBorders>
              <w:left w:val="double" w:sz="6" w:space="0" w:color="auto"/>
              <w:right w:val="single" w:sz="4" w:space="0" w:color="auto"/>
            </w:tcBorders>
          </w:tcPr>
          <w:p w:rsidR="004611EE" w:rsidRPr="00AA1921" w:rsidRDefault="006267B8" w:rsidP="00AA1921">
            <w:pPr>
              <w:jc w:val="center"/>
              <w:rPr>
                <w:color w:val="000000"/>
                <w:sz w:val="22"/>
                <w:szCs w:val="22"/>
              </w:rPr>
            </w:pPr>
            <w:r w:rsidRPr="00AA1921">
              <w:rPr>
                <w:color w:val="000000"/>
                <w:sz w:val="22"/>
                <w:szCs w:val="22"/>
              </w:rPr>
              <w:t xml:space="preserve">  </w:t>
            </w:r>
            <w:r w:rsidR="004611EE" w:rsidRPr="00AA1921">
              <w:rPr>
                <w:color w:val="000000"/>
                <w:sz w:val="22"/>
                <w:szCs w:val="22"/>
              </w:rPr>
              <w:t>96</w:t>
            </w:r>
          </w:p>
        </w:tc>
        <w:tc>
          <w:tcPr>
            <w:tcW w:w="2160" w:type="dxa"/>
            <w:tcBorders>
              <w:left w:val="single" w:sz="4" w:space="0" w:color="auto"/>
              <w:right w:val="double" w:sz="6" w:space="0" w:color="auto"/>
            </w:tcBorders>
          </w:tcPr>
          <w:p w:rsidR="004611EE" w:rsidRPr="00AA1921" w:rsidRDefault="006267B8" w:rsidP="00AA1921">
            <w:pPr>
              <w:jc w:val="center"/>
              <w:rPr>
                <w:color w:val="000000"/>
                <w:sz w:val="22"/>
                <w:szCs w:val="22"/>
              </w:rPr>
            </w:pPr>
            <w:r w:rsidRPr="00AA1921">
              <w:rPr>
                <w:color w:val="000000"/>
                <w:sz w:val="22"/>
                <w:szCs w:val="22"/>
              </w:rPr>
              <w:t xml:space="preserve">    </w:t>
            </w:r>
            <w:r w:rsidR="000769A2" w:rsidRPr="00AA1921">
              <w:rPr>
                <w:color w:val="000000"/>
                <w:sz w:val="22"/>
                <w:szCs w:val="22"/>
              </w:rPr>
              <w:t>7.3</w:t>
            </w:r>
          </w:p>
        </w:tc>
      </w:tr>
      <w:tr w:rsidR="004611EE" w:rsidRPr="00AA1921" w:rsidTr="00100A41">
        <w:trPr>
          <w:trHeight w:val="288"/>
        </w:trPr>
        <w:tc>
          <w:tcPr>
            <w:tcW w:w="2218" w:type="dxa"/>
            <w:tcBorders>
              <w:right w:val="double" w:sz="6" w:space="0" w:color="auto"/>
            </w:tcBorders>
            <w:shd w:val="clear" w:color="auto" w:fill="auto"/>
            <w:noWrap/>
            <w:vAlign w:val="center"/>
          </w:tcPr>
          <w:p w:rsidR="004611EE" w:rsidRPr="00AA1921" w:rsidRDefault="004611EE" w:rsidP="00AA1921">
            <w:pPr>
              <w:jc w:val="both"/>
              <w:rPr>
                <w:color w:val="000000"/>
                <w:sz w:val="22"/>
                <w:szCs w:val="22"/>
              </w:rPr>
            </w:pPr>
            <w:r w:rsidRPr="00AA1921">
              <w:rPr>
                <w:color w:val="000000"/>
                <w:sz w:val="22"/>
                <w:szCs w:val="22"/>
              </w:rPr>
              <w:t>Manawatu-Wanganui</w:t>
            </w:r>
          </w:p>
        </w:tc>
        <w:tc>
          <w:tcPr>
            <w:tcW w:w="1800" w:type="dxa"/>
            <w:tcBorders>
              <w:right w:val="double" w:sz="6" w:space="0" w:color="auto"/>
            </w:tcBorders>
          </w:tcPr>
          <w:p w:rsidR="004611EE" w:rsidRPr="00AA1921" w:rsidRDefault="004611EE" w:rsidP="00AA1921">
            <w:pPr>
              <w:jc w:val="center"/>
              <w:rPr>
                <w:color w:val="000000"/>
                <w:sz w:val="22"/>
                <w:szCs w:val="22"/>
              </w:rPr>
            </w:pPr>
            <w:r w:rsidRPr="00AA1921">
              <w:rPr>
                <w:color w:val="000000"/>
                <w:sz w:val="22"/>
                <w:szCs w:val="22"/>
              </w:rPr>
              <w:t>288</w:t>
            </w:r>
          </w:p>
        </w:tc>
        <w:tc>
          <w:tcPr>
            <w:tcW w:w="2070" w:type="dxa"/>
            <w:tcBorders>
              <w:right w:val="single" w:sz="4" w:space="0" w:color="auto"/>
            </w:tcBorders>
          </w:tcPr>
          <w:p w:rsidR="004611EE" w:rsidRPr="00AA1921" w:rsidRDefault="004611EE" w:rsidP="00AA1921">
            <w:pPr>
              <w:jc w:val="center"/>
              <w:rPr>
                <w:color w:val="000000"/>
                <w:sz w:val="22"/>
                <w:szCs w:val="22"/>
              </w:rPr>
            </w:pPr>
            <w:r w:rsidRPr="00AA1921">
              <w:rPr>
                <w:color w:val="000000"/>
                <w:sz w:val="22"/>
                <w:szCs w:val="22"/>
              </w:rPr>
              <w:t>3</w:t>
            </w:r>
            <w:r w:rsidR="003C6603">
              <w:rPr>
                <w:color w:val="000000"/>
                <w:sz w:val="22"/>
                <w:szCs w:val="22"/>
              </w:rPr>
              <w:t>17</w:t>
            </w:r>
          </w:p>
        </w:tc>
        <w:tc>
          <w:tcPr>
            <w:tcW w:w="2070" w:type="dxa"/>
            <w:tcBorders>
              <w:left w:val="single" w:sz="4" w:space="0" w:color="auto"/>
              <w:right w:val="double" w:sz="6" w:space="0" w:color="auto"/>
            </w:tcBorders>
          </w:tcPr>
          <w:p w:rsidR="004611EE" w:rsidRPr="00AA1921" w:rsidRDefault="006267B8" w:rsidP="00AA1921">
            <w:pPr>
              <w:jc w:val="center"/>
              <w:rPr>
                <w:color w:val="000000"/>
                <w:sz w:val="22"/>
                <w:szCs w:val="22"/>
              </w:rPr>
            </w:pPr>
            <w:r w:rsidRPr="00AA1921">
              <w:rPr>
                <w:color w:val="000000"/>
                <w:sz w:val="22"/>
                <w:szCs w:val="22"/>
              </w:rPr>
              <w:t xml:space="preserve">  </w:t>
            </w:r>
            <w:r w:rsidR="004611EE" w:rsidRPr="00AA1921">
              <w:rPr>
                <w:color w:val="000000"/>
                <w:sz w:val="22"/>
                <w:szCs w:val="22"/>
              </w:rPr>
              <w:t>1</w:t>
            </w:r>
            <w:r w:rsidR="003C6603">
              <w:rPr>
                <w:color w:val="000000"/>
                <w:sz w:val="22"/>
                <w:szCs w:val="22"/>
              </w:rPr>
              <w:t>0</w:t>
            </w:r>
            <w:r w:rsidR="004611EE" w:rsidRPr="00AA1921">
              <w:rPr>
                <w:color w:val="000000"/>
                <w:sz w:val="22"/>
                <w:szCs w:val="22"/>
              </w:rPr>
              <w:t>.</w:t>
            </w:r>
            <w:r w:rsidR="003C6603">
              <w:rPr>
                <w:color w:val="000000"/>
                <w:sz w:val="22"/>
                <w:szCs w:val="22"/>
              </w:rPr>
              <w:t>0</w:t>
            </w:r>
          </w:p>
        </w:tc>
        <w:tc>
          <w:tcPr>
            <w:tcW w:w="2160" w:type="dxa"/>
            <w:tcBorders>
              <w:left w:val="double" w:sz="6" w:space="0" w:color="auto"/>
              <w:right w:val="single" w:sz="4" w:space="0" w:color="auto"/>
            </w:tcBorders>
          </w:tcPr>
          <w:p w:rsidR="004611EE" w:rsidRPr="00AA1921" w:rsidRDefault="004611EE" w:rsidP="00AA1921">
            <w:pPr>
              <w:jc w:val="center"/>
              <w:rPr>
                <w:color w:val="000000"/>
                <w:sz w:val="22"/>
                <w:szCs w:val="22"/>
              </w:rPr>
            </w:pPr>
            <w:r w:rsidRPr="00AA1921">
              <w:rPr>
                <w:color w:val="000000"/>
                <w:sz w:val="22"/>
                <w:szCs w:val="22"/>
              </w:rPr>
              <w:t>331</w:t>
            </w:r>
          </w:p>
        </w:tc>
        <w:tc>
          <w:tcPr>
            <w:tcW w:w="2160" w:type="dxa"/>
            <w:tcBorders>
              <w:left w:val="single" w:sz="4" w:space="0" w:color="auto"/>
              <w:right w:val="double" w:sz="6" w:space="0" w:color="auto"/>
            </w:tcBorders>
          </w:tcPr>
          <w:p w:rsidR="004611EE" w:rsidRPr="00AA1921" w:rsidRDefault="006267B8" w:rsidP="00AA1921">
            <w:pPr>
              <w:jc w:val="center"/>
              <w:rPr>
                <w:color w:val="000000"/>
                <w:sz w:val="22"/>
                <w:szCs w:val="22"/>
              </w:rPr>
            </w:pPr>
            <w:r w:rsidRPr="00AA1921">
              <w:rPr>
                <w:color w:val="000000"/>
                <w:sz w:val="22"/>
                <w:szCs w:val="22"/>
              </w:rPr>
              <w:t xml:space="preserve">  </w:t>
            </w:r>
            <w:r w:rsidR="000769A2" w:rsidRPr="00AA1921">
              <w:rPr>
                <w:color w:val="000000"/>
                <w:sz w:val="22"/>
                <w:szCs w:val="22"/>
              </w:rPr>
              <w:t>15.1</w:t>
            </w:r>
          </w:p>
        </w:tc>
      </w:tr>
      <w:tr w:rsidR="004611EE" w:rsidRPr="00AA1921" w:rsidTr="00100A41">
        <w:trPr>
          <w:trHeight w:val="288"/>
        </w:trPr>
        <w:tc>
          <w:tcPr>
            <w:tcW w:w="2218" w:type="dxa"/>
            <w:tcBorders>
              <w:bottom w:val="single" w:sz="4" w:space="0" w:color="auto"/>
              <w:right w:val="double" w:sz="6" w:space="0" w:color="auto"/>
            </w:tcBorders>
            <w:shd w:val="clear" w:color="auto" w:fill="auto"/>
            <w:noWrap/>
            <w:vAlign w:val="center"/>
          </w:tcPr>
          <w:p w:rsidR="004611EE" w:rsidRPr="00AA1921" w:rsidRDefault="004611EE" w:rsidP="00AA1921">
            <w:pPr>
              <w:jc w:val="both"/>
              <w:rPr>
                <w:color w:val="000000"/>
                <w:sz w:val="22"/>
                <w:szCs w:val="22"/>
              </w:rPr>
            </w:pPr>
            <w:r w:rsidRPr="00AA1921">
              <w:rPr>
                <w:color w:val="000000"/>
                <w:sz w:val="22"/>
                <w:szCs w:val="22"/>
              </w:rPr>
              <w:t>Hawke</w:t>
            </w:r>
            <w:r w:rsidR="003D3477">
              <w:rPr>
                <w:color w:val="000000"/>
                <w:sz w:val="22"/>
                <w:szCs w:val="22"/>
              </w:rPr>
              <w:t>’</w:t>
            </w:r>
            <w:r w:rsidRPr="00AA1921">
              <w:rPr>
                <w:color w:val="000000"/>
                <w:sz w:val="22"/>
                <w:szCs w:val="22"/>
              </w:rPr>
              <w:t>s Bay</w:t>
            </w:r>
          </w:p>
        </w:tc>
        <w:tc>
          <w:tcPr>
            <w:tcW w:w="1800" w:type="dxa"/>
            <w:tcBorders>
              <w:bottom w:val="single" w:sz="4" w:space="0" w:color="auto"/>
              <w:right w:val="double" w:sz="6" w:space="0" w:color="auto"/>
            </w:tcBorders>
          </w:tcPr>
          <w:p w:rsidR="004611EE" w:rsidRPr="00AA1921" w:rsidRDefault="004611EE" w:rsidP="00AA1921">
            <w:pPr>
              <w:jc w:val="center"/>
              <w:rPr>
                <w:color w:val="000000"/>
                <w:sz w:val="22"/>
                <w:szCs w:val="22"/>
              </w:rPr>
            </w:pPr>
            <w:r w:rsidRPr="00AA1921">
              <w:rPr>
                <w:color w:val="000000"/>
                <w:sz w:val="22"/>
                <w:szCs w:val="22"/>
              </w:rPr>
              <w:t>183</w:t>
            </w:r>
          </w:p>
        </w:tc>
        <w:tc>
          <w:tcPr>
            <w:tcW w:w="2070" w:type="dxa"/>
            <w:tcBorders>
              <w:bottom w:val="single" w:sz="4" w:space="0" w:color="auto"/>
              <w:right w:val="single" w:sz="4" w:space="0" w:color="auto"/>
            </w:tcBorders>
          </w:tcPr>
          <w:p w:rsidR="004611EE" w:rsidRPr="00AA1921" w:rsidRDefault="004611EE" w:rsidP="00AA1921">
            <w:pPr>
              <w:jc w:val="center"/>
              <w:rPr>
                <w:color w:val="000000"/>
                <w:sz w:val="22"/>
                <w:szCs w:val="22"/>
              </w:rPr>
            </w:pPr>
            <w:r w:rsidRPr="00AA1921">
              <w:rPr>
                <w:color w:val="000000"/>
                <w:sz w:val="22"/>
                <w:szCs w:val="22"/>
              </w:rPr>
              <w:t>19</w:t>
            </w:r>
            <w:r w:rsidR="003C6603">
              <w:rPr>
                <w:color w:val="000000"/>
                <w:sz w:val="22"/>
                <w:szCs w:val="22"/>
              </w:rPr>
              <w:t>1</w:t>
            </w:r>
          </w:p>
        </w:tc>
        <w:tc>
          <w:tcPr>
            <w:tcW w:w="2070" w:type="dxa"/>
            <w:tcBorders>
              <w:left w:val="single" w:sz="4" w:space="0" w:color="auto"/>
              <w:bottom w:val="single" w:sz="4" w:space="0" w:color="auto"/>
              <w:right w:val="double" w:sz="6" w:space="0" w:color="auto"/>
            </w:tcBorders>
          </w:tcPr>
          <w:p w:rsidR="004611EE" w:rsidRPr="00AA1921" w:rsidRDefault="006267B8" w:rsidP="00AA1921">
            <w:pPr>
              <w:jc w:val="center"/>
              <w:rPr>
                <w:color w:val="000000"/>
                <w:sz w:val="22"/>
                <w:szCs w:val="22"/>
              </w:rPr>
            </w:pPr>
            <w:r w:rsidRPr="00AA1921">
              <w:rPr>
                <w:color w:val="000000"/>
                <w:sz w:val="22"/>
                <w:szCs w:val="22"/>
              </w:rPr>
              <w:t xml:space="preserve">   </w:t>
            </w:r>
            <w:r w:rsidR="003C6603">
              <w:rPr>
                <w:color w:val="000000"/>
                <w:sz w:val="22"/>
                <w:szCs w:val="22"/>
              </w:rPr>
              <w:t>4</w:t>
            </w:r>
            <w:r w:rsidR="004611EE" w:rsidRPr="00AA1921">
              <w:rPr>
                <w:color w:val="000000"/>
                <w:sz w:val="22"/>
                <w:szCs w:val="22"/>
              </w:rPr>
              <w:t>.</w:t>
            </w:r>
            <w:r w:rsidR="003C6603">
              <w:rPr>
                <w:color w:val="000000"/>
                <w:sz w:val="22"/>
                <w:szCs w:val="22"/>
              </w:rPr>
              <w:t>5</w:t>
            </w:r>
          </w:p>
        </w:tc>
        <w:tc>
          <w:tcPr>
            <w:tcW w:w="2160" w:type="dxa"/>
            <w:tcBorders>
              <w:left w:val="double" w:sz="6" w:space="0" w:color="auto"/>
              <w:bottom w:val="single" w:sz="4" w:space="0" w:color="auto"/>
              <w:right w:val="single" w:sz="4" w:space="0" w:color="auto"/>
            </w:tcBorders>
          </w:tcPr>
          <w:p w:rsidR="004611EE" w:rsidRPr="00AA1921" w:rsidRDefault="004611EE" w:rsidP="00AA1921">
            <w:pPr>
              <w:jc w:val="center"/>
              <w:rPr>
                <w:color w:val="000000"/>
                <w:sz w:val="22"/>
                <w:szCs w:val="22"/>
              </w:rPr>
            </w:pPr>
            <w:r w:rsidRPr="00AA1921">
              <w:rPr>
                <w:color w:val="000000"/>
                <w:sz w:val="22"/>
                <w:szCs w:val="22"/>
              </w:rPr>
              <w:t>19</w:t>
            </w:r>
            <w:r w:rsidR="000769A2" w:rsidRPr="00AA1921">
              <w:rPr>
                <w:color w:val="000000"/>
                <w:sz w:val="22"/>
                <w:szCs w:val="22"/>
              </w:rPr>
              <w:t>2</w:t>
            </w:r>
            <w:r w:rsidR="006267B8" w:rsidRPr="00AA1921">
              <w:rPr>
                <w:color w:val="000000"/>
                <w:sz w:val="22"/>
                <w:szCs w:val="22"/>
              </w:rPr>
              <w:t xml:space="preserve"> </w:t>
            </w:r>
          </w:p>
        </w:tc>
        <w:tc>
          <w:tcPr>
            <w:tcW w:w="2160" w:type="dxa"/>
            <w:tcBorders>
              <w:left w:val="single" w:sz="4" w:space="0" w:color="auto"/>
              <w:bottom w:val="single" w:sz="4" w:space="0" w:color="auto"/>
              <w:right w:val="double" w:sz="6" w:space="0" w:color="auto"/>
            </w:tcBorders>
          </w:tcPr>
          <w:p w:rsidR="004611EE" w:rsidRPr="00AA1921" w:rsidRDefault="006267B8" w:rsidP="00AA1921">
            <w:pPr>
              <w:jc w:val="center"/>
              <w:rPr>
                <w:color w:val="000000"/>
                <w:sz w:val="22"/>
                <w:szCs w:val="22"/>
              </w:rPr>
            </w:pPr>
            <w:r w:rsidRPr="00AA1921">
              <w:rPr>
                <w:color w:val="000000"/>
                <w:sz w:val="22"/>
                <w:szCs w:val="22"/>
              </w:rPr>
              <w:t xml:space="preserve">    </w:t>
            </w:r>
            <w:r w:rsidR="000769A2" w:rsidRPr="00AA1921">
              <w:rPr>
                <w:color w:val="000000"/>
                <w:sz w:val="22"/>
                <w:szCs w:val="22"/>
              </w:rPr>
              <w:t>5.2</w:t>
            </w:r>
          </w:p>
        </w:tc>
      </w:tr>
      <w:tr w:rsidR="004611EE" w:rsidRPr="00AA1921" w:rsidTr="008F42E9">
        <w:trPr>
          <w:trHeight w:val="288"/>
        </w:trPr>
        <w:tc>
          <w:tcPr>
            <w:tcW w:w="2218" w:type="dxa"/>
            <w:tcBorders>
              <w:top w:val="single" w:sz="4" w:space="0" w:color="auto"/>
              <w:bottom w:val="double" w:sz="4" w:space="0" w:color="auto"/>
              <w:right w:val="double" w:sz="6" w:space="0" w:color="auto"/>
            </w:tcBorders>
            <w:shd w:val="clear" w:color="auto" w:fill="auto"/>
            <w:noWrap/>
            <w:vAlign w:val="center"/>
          </w:tcPr>
          <w:p w:rsidR="004611EE" w:rsidRPr="00AA1921" w:rsidRDefault="004611EE" w:rsidP="00AA1921">
            <w:pPr>
              <w:jc w:val="both"/>
              <w:rPr>
                <w:color w:val="000000"/>
                <w:sz w:val="22"/>
                <w:szCs w:val="22"/>
              </w:rPr>
            </w:pPr>
            <w:r w:rsidRPr="00AA1921">
              <w:rPr>
                <w:color w:val="000000"/>
                <w:sz w:val="22"/>
                <w:szCs w:val="22"/>
              </w:rPr>
              <w:t>Wellington</w:t>
            </w:r>
          </w:p>
        </w:tc>
        <w:tc>
          <w:tcPr>
            <w:tcW w:w="1800" w:type="dxa"/>
            <w:tcBorders>
              <w:top w:val="single" w:sz="4" w:space="0" w:color="auto"/>
              <w:bottom w:val="double" w:sz="4" w:space="0" w:color="auto"/>
              <w:right w:val="double" w:sz="6" w:space="0" w:color="auto"/>
            </w:tcBorders>
          </w:tcPr>
          <w:p w:rsidR="004611EE" w:rsidRPr="00AA1921" w:rsidRDefault="004611EE" w:rsidP="00AA1921">
            <w:pPr>
              <w:jc w:val="center"/>
              <w:rPr>
                <w:color w:val="000000"/>
                <w:sz w:val="22"/>
                <w:szCs w:val="22"/>
              </w:rPr>
            </w:pPr>
            <w:r w:rsidRPr="00AA1921">
              <w:rPr>
                <w:color w:val="000000"/>
                <w:sz w:val="22"/>
                <w:szCs w:val="22"/>
              </w:rPr>
              <w:t>325</w:t>
            </w:r>
          </w:p>
        </w:tc>
        <w:tc>
          <w:tcPr>
            <w:tcW w:w="2070" w:type="dxa"/>
            <w:tcBorders>
              <w:top w:val="single" w:sz="4" w:space="0" w:color="auto"/>
              <w:bottom w:val="double" w:sz="4" w:space="0" w:color="auto"/>
              <w:right w:val="single" w:sz="4" w:space="0" w:color="auto"/>
            </w:tcBorders>
          </w:tcPr>
          <w:p w:rsidR="004611EE" w:rsidRPr="00AA1921" w:rsidRDefault="004611EE" w:rsidP="00AA1921">
            <w:pPr>
              <w:jc w:val="center"/>
              <w:rPr>
                <w:color w:val="000000"/>
                <w:sz w:val="22"/>
                <w:szCs w:val="22"/>
              </w:rPr>
            </w:pPr>
            <w:r w:rsidRPr="00AA1921">
              <w:rPr>
                <w:color w:val="000000"/>
                <w:sz w:val="22"/>
                <w:szCs w:val="22"/>
              </w:rPr>
              <w:t>1</w:t>
            </w:r>
            <w:r w:rsidR="003C6603">
              <w:rPr>
                <w:color w:val="000000"/>
                <w:sz w:val="22"/>
                <w:szCs w:val="22"/>
              </w:rPr>
              <w:t>79</w:t>
            </w:r>
          </w:p>
        </w:tc>
        <w:tc>
          <w:tcPr>
            <w:tcW w:w="2070" w:type="dxa"/>
            <w:tcBorders>
              <w:top w:val="single" w:sz="4" w:space="0" w:color="auto"/>
              <w:left w:val="single" w:sz="4" w:space="0" w:color="auto"/>
              <w:bottom w:val="double" w:sz="4" w:space="0" w:color="auto"/>
              <w:right w:val="double" w:sz="6" w:space="0" w:color="auto"/>
            </w:tcBorders>
          </w:tcPr>
          <w:p w:rsidR="004611EE" w:rsidRPr="00AA1921" w:rsidRDefault="006267B8" w:rsidP="00AA1921">
            <w:pPr>
              <w:jc w:val="center"/>
              <w:rPr>
                <w:color w:val="000000"/>
                <w:sz w:val="22"/>
                <w:szCs w:val="22"/>
              </w:rPr>
            </w:pPr>
            <w:r w:rsidRPr="00AA1921">
              <w:rPr>
                <w:color w:val="000000"/>
                <w:sz w:val="22"/>
                <w:szCs w:val="22"/>
              </w:rPr>
              <w:t xml:space="preserve"> </w:t>
            </w:r>
            <w:r w:rsidR="000769A2" w:rsidRPr="00AA1921">
              <w:rPr>
                <w:color w:val="000000"/>
                <w:sz w:val="22"/>
                <w:szCs w:val="22"/>
              </w:rPr>
              <w:t>4</w:t>
            </w:r>
            <w:r w:rsidR="003C6603">
              <w:rPr>
                <w:color w:val="000000"/>
                <w:sz w:val="22"/>
                <w:szCs w:val="22"/>
              </w:rPr>
              <w:t>5</w:t>
            </w:r>
            <w:r w:rsidR="000769A2" w:rsidRPr="00AA1921">
              <w:rPr>
                <w:color w:val="000000"/>
                <w:sz w:val="22"/>
                <w:szCs w:val="22"/>
              </w:rPr>
              <w:t>.0</w:t>
            </w:r>
          </w:p>
        </w:tc>
        <w:tc>
          <w:tcPr>
            <w:tcW w:w="2160" w:type="dxa"/>
            <w:tcBorders>
              <w:top w:val="single" w:sz="4" w:space="0" w:color="auto"/>
              <w:left w:val="double" w:sz="6" w:space="0" w:color="auto"/>
              <w:bottom w:val="double" w:sz="4" w:space="0" w:color="auto"/>
              <w:right w:val="single" w:sz="4" w:space="0" w:color="auto"/>
            </w:tcBorders>
          </w:tcPr>
          <w:p w:rsidR="004611EE" w:rsidRPr="00AA1921" w:rsidRDefault="000769A2" w:rsidP="00AA1921">
            <w:pPr>
              <w:jc w:val="center"/>
              <w:rPr>
                <w:color w:val="000000"/>
                <w:sz w:val="22"/>
                <w:szCs w:val="22"/>
              </w:rPr>
            </w:pPr>
            <w:r w:rsidRPr="00AA1921">
              <w:rPr>
                <w:color w:val="000000"/>
                <w:sz w:val="22"/>
                <w:szCs w:val="22"/>
              </w:rPr>
              <w:t>181</w:t>
            </w:r>
          </w:p>
        </w:tc>
        <w:tc>
          <w:tcPr>
            <w:tcW w:w="2160" w:type="dxa"/>
            <w:tcBorders>
              <w:top w:val="single" w:sz="4" w:space="0" w:color="auto"/>
              <w:left w:val="single" w:sz="4" w:space="0" w:color="auto"/>
              <w:bottom w:val="double" w:sz="4" w:space="0" w:color="auto"/>
              <w:right w:val="double" w:sz="6" w:space="0" w:color="auto"/>
            </w:tcBorders>
          </w:tcPr>
          <w:p w:rsidR="004611EE" w:rsidRPr="00AA1921" w:rsidRDefault="006267B8" w:rsidP="00AA1921">
            <w:pPr>
              <w:jc w:val="center"/>
              <w:rPr>
                <w:color w:val="000000"/>
                <w:sz w:val="22"/>
                <w:szCs w:val="22"/>
              </w:rPr>
            </w:pPr>
            <w:r w:rsidRPr="00AA1921">
              <w:rPr>
                <w:color w:val="000000"/>
                <w:sz w:val="22"/>
                <w:szCs w:val="22"/>
              </w:rPr>
              <w:t xml:space="preserve">  </w:t>
            </w:r>
            <w:r w:rsidR="000769A2" w:rsidRPr="00AA1921">
              <w:rPr>
                <w:color w:val="000000"/>
                <w:sz w:val="22"/>
                <w:szCs w:val="22"/>
              </w:rPr>
              <w:t>44.2</w:t>
            </w:r>
          </w:p>
        </w:tc>
      </w:tr>
      <w:tr w:rsidR="006267B8" w:rsidRPr="00AA1921" w:rsidTr="008F42E9">
        <w:trPr>
          <w:cantSplit/>
          <w:trHeight w:val="288"/>
        </w:trPr>
        <w:tc>
          <w:tcPr>
            <w:tcW w:w="4018" w:type="dxa"/>
            <w:gridSpan w:val="2"/>
            <w:tcBorders>
              <w:top w:val="double" w:sz="4" w:space="0" w:color="auto"/>
              <w:bottom w:val="double" w:sz="4" w:space="0" w:color="auto"/>
              <w:right w:val="double" w:sz="6" w:space="0" w:color="auto"/>
            </w:tcBorders>
            <w:shd w:val="clear" w:color="auto" w:fill="auto"/>
            <w:noWrap/>
            <w:vAlign w:val="center"/>
          </w:tcPr>
          <w:p w:rsidR="006267B8" w:rsidRPr="00AA1921" w:rsidRDefault="006267B8" w:rsidP="00AA1921">
            <w:pPr>
              <w:jc w:val="both"/>
              <w:rPr>
                <w:color w:val="000000"/>
                <w:sz w:val="22"/>
                <w:szCs w:val="22"/>
              </w:rPr>
            </w:pPr>
            <w:r w:rsidRPr="00AA1921">
              <w:rPr>
                <w:color w:val="000000"/>
                <w:sz w:val="22"/>
                <w:szCs w:val="22"/>
              </w:rPr>
              <w:t>Weighted MAPE</w:t>
            </w:r>
            <w:r w:rsidR="00100A41" w:rsidRPr="00AA1921">
              <w:rPr>
                <w:color w:val="000000"/>
                <w:sz w:val="22"/>
                <w:szCs w:val="22"/>
              </w:rPr>
              <w:t>**</w:t>
            </w:r>
          </w:p>
        </w:tc>
        <w:tc>
          <w:tcPr>
            <w:tcW w:w="4140" w:type="dxa"/>
            <w:gridSpan w:val="2"/>
            <w:tcBorders>
              <w:top w:val="double" w:sz="4" w:space="0" w:color="auto"/>
              <w:bottom w:val="double" w:sz="4" w:space="0" w:color="auto"/>
              <w:right w:val="double" w:sz="4" w:space="0" w:color="auto"/>
            </w:tcBorders>
            <w:vAlign w:val="center"/>
          </w:tcPr>
          <w:p w:rsidR="006267B8" w:rsidRPr="00AA1921" w:rsidRDefault="006267B8" w:rsidP="00100A41">
            <w:pPr>
              <w:jc w:val="center"/>
              <w:rPr>
                <w:color w:val="000000"/>
                <w:sz w:val="22"/>
                <w:szCs w:val="22"/>
              </w:rPr>
            </w:pPr>
            <w:r w:rsidRPr="00AA1921">
              <w:rPr>
                <w:color w:val="000000"/>
                <w:sz w:val="22"/>
                <w:szCs w:val="22"/>
              </w:rPr>
              <w:t>21.</w:t>
            </w:r>
            <w:r w:rsidR="003C6603">
              <w:rPr>
                <w:color w:val="000000"/>
                <w:sz w:val="22"/>
                <w:szCs w:val="22"/>
              </w:rPr>
              <w:t>3</w:t>
            </w:r>
            <w:r w:rsidRPr="00AA1921">
              <w:rPr>
                <w:color w:val="000000"/>
                <w:sz w:val="22"/>
                <w:szCs w:val="22"/>
              </w:rPr>
              <w:t>%</w:t>
            </w:r>
          </w:p>
        </w:tc>
        <w:tc>
          <w:tcPr>
            <w:tcW w:w="4320" w:type="dxa"/>
            <w:gridSpan w:val="2"/>
            <w:tcBorders>
              <w:top w:val="double" w:sz="4" w:space="0" w:color="auto"/>
              <w:left w:val="double" w:sz="4" w:space="0" w:color="auto"/>
              <w:bottom w:val="double" w:sz="4" w:space="0" w:color="auto"/>
              <w:right w:val="double" w:sz="6" w:space="0" w:color="auto"/>
            </w:tcBorders>
            <w:vAlign w:val="center"/>
          </w:tcPr>
          <w:p w:rsidR="006267B8" w:rsidRPr="00AA1921" w:rsidRDefault="006267B8" w:rsidP="00100A41">
            <w:pPr>
              <w:jc w:val="center"/>
              <w:rPr>
                <w:color w:val="000000"/>
                <w:sz w:val="22"/>
                <w:szCs w:val="22"/>
              </w:rPr>
            </w:pPr>
            <w:r w:rsidRPr="00AA1921">
              <w:rPr>
                <w:color w:val="000000"/>
                <w:sz w:val="22"/>
                <w:szCs w:val="22"/>
              </w:rPr>
              <w:t>25.1%</w:t>
            </w:r>
          </w:p>
        </w:tc>
      </w:tr>
    </w:tbl>
    <w:p w:rsidR="00FF4284" w:rsidRPr="00AA1921" w:rsidRDefault="00FC1130" w:rsidP="00AA1921">
      <w:pPr>
        <w:autoSpaceDE w:val="0"/>
        <w:autoSpaceDN w:val="0"/>
        <w:adjustRightInd w:val="0"/>
        <w:spacing w:line="276" w:lineRule="auto"/>
        <w:ind w:left="360"/>
        <w:jc w:val="both"/>
        <w:rPr>
          <w:sz w:val="20"/>
          <w:szCs w:val="20"/>
        </w:rPr>
      </w:pPr>
      <w:r w:rsidRPr="00AA1921">
        <w:rPr>
          <w:sz w:val="20"/>
          <w:szCs w:val="20"/>
        </w:rPr>
        <w:t>*APE – Absolute Percentage Error</w:t>
      </w:r>
      <w:r w:rsidRPr="00AA1921">
        <w:rPr>
          <w:sz w:val="20"/>
          <w:szCs w:val="20"/>
        </w:rPr>
        <w:tab/>
        <w:t>** Weighted MAPE – Weighted Mean APE</w:t>
      </w:r>
    </w:p>
    <w:sectPr w:rsidR="00FF4284" w:rsidRPr="00AA1921" w:rsidSect="006E45EC">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5357" w:rsidRDefault="00DB5357">
      <w:r>
        <w:separator/>
      </w:r>
    </w:p>
  </w:endnote>
  <w:endnote w:type="continuationSeparator" w:id="0">
    <w:p w:rsidR="00DB5357" w:rsidRDefault="00DB5357">
      <w:r>
        <w:continuationSeparator/>
      </w:r>
    </w:p>
  </w:endnote>
  <w:endnote w:type="continuationNotice" w:id="1">
    <w:p w:rsidR="00DB5357" w:rsidRDefault="00DB53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w:altName w:val="Arial"/>
    <w:panose1 w:val="00000000000000000000"/>
    <w:charset w:val="00"/>
    <w:family w:val="swiss"/>
    <w:notTrueType/>
    <w:pitch w:val="default"/>
    <w:sig w:usb0="00000003" w:usb1="00000000" w:usb2="00000000" w:usb3="00000000" w:csb0="00000001" w:csb1="00000000"/>
  </w:font>
  <w:font w:name="URWPalladioL-Roma">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6341" w:rsidRDefault="003E6341" w:rsidP="000516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E6341" w:rsidRDefault="003E6341" w:rsidP="0062032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6341" w:rsidRDefault="003E6341" w:rsidP="00DE411C">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6341" w:rsidRDefault="003E6341" w:rsidP="00DE411C">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5357" w:rsidRDefault="00DB5357">
      <w:r>
        <w:separator/>
      </w:r>
    </w:p>
  </w:footnote>
  <w:footnote w:type="continuationSeparator" w:id="0">
    <w:p w:rsidR="00DB5357" w:rsidRDefault="00DB5357">
      <w:r>
        <w:continuationSeparator/>
      </w:r>
    </w:p>
  </w:footnote>
  <w:footnote w:type="continuationNotice" w:id="1">
    <w:p w:rsidR="00DB5357" w:rsidRDefault="00DB5357"/>
  </w:footnote>
  <w:footnote w:id="2">
    <w:p w:rsidR="003E6341" w:rsidRDefault="003E6341" w:rsidP="00E47F1A">
      <w:pPr>
        <w:pStyle w:val="FootnoteText"/>
        <w:jc w:val="both"/>
      </w:pPr>
      <w:r>
        <w:rPr>
          <w:rStyle w:val="FootnoteReference"/>
        </w:rPr>
        <w:footnoteRef/>
      </w:r>
      <w:r>
        <w:t xml:space="preserve"> A similar-in-spirit approach to the multivariate count models is the Potts model (an extension of the binary Ising model), originating in the statistical mechanics field (see Potts, 1952, McCoy and Wu, 1973, and Razaee and Amini, 2020). The multivariateness in counts in such a model is accommodated through a set of interaction terms within a discrete multivariate distribution. However, such models are profligate in parameters, unless </w:t>
      </w:r>
      <w:r w:rsidRPr="00E47F1A">
        <w:rPr>
          <w:i/>
        </w:rPr>
        <w:t>a priori</w:t>
      </w:r>
      <w:r>
        <w:t xml:space="preserve"> restrictions are imposed on the nature and number of interaction terms introduced to engender multivariateness. </w:t>
      </w:r>
    </w:p>
  </w:footnote>
  <w:footnote w:id="3">
    <w:p w:rsidR="003E6341" w:rsidRDefault="003E6341" w:rsidP="00F60E50">
      <w:pPr>
        <w:pStyle w:val="FootnoteText"/>
        <w:keepLines/>
        <w:jc w:val="both"/>
      </w:pPr>
      <w:r>
        <w:rPr>
          <w:rStyle w:val="FootnoteReference"/>
        </w:rPr>
        <w:footnoteRef/>
      </w:r>
      <w:r>
        <w:t xml:space="preserve"> </w:t>
      </w:r>
      <w:bookmarkStart w:id="3" w:name="_Hlk109482319"/>
      <w:r>
        <w:t xml:space="preserve">Our model is </w:t>
      </w:r>
      <w:r w:rsidRPr="009E28AE">
        <w:t xml:space="preserve">different from </w:t>
      </w:r>
      <w:r>
        <w:t xml:space="preserve">those of </w:t>
      </w:r>
      <w:r w:rsidRPr="009E28AE">
        <w:t>Lee and Allenby, 2014 and Kuriyama and Hanemann, 2006</w:t>
      </w:r>
      <w:r>
        <w:t>.</w:t>
      </w:r>
      <w:r w:rsidRPr="009E28AE">
        <w:t xml:space="preserve"> </w:t>
      </w:r>
      <w:r>
        <w:t>T</w:t>
      </w:r>
      <w:r w:rsidRPr="009E28AE">
        <w:t>hese earlier studies</w:t>
      </w:r>
      <w:r>
        <w:t xml:space="preserve"> assume away </w:t>
      </w:r>
      <w:r w:rsidRPr="009E28AE">
        <w:t>stochasticity in the baseline utility preference for the outside good, while we explicitly consider the more realistic case that there could be individual-level unobserved variations in the baseline preference for all goods, inside and</w:t>
      </w:r>
      <w:r w:rsidRPr="00ED39EF">
        <w:t xml:space="preserve"> outside</w:t>
      </w:r>
      <w:r>
        <w:t xml:space="preserve"> (see Bhat, 2008 for an extended discussion)</w:t>
      </w:r>
      <w:r w:rsidRPr="00ED39EF">
        <w:t xml:space="preserve">. </w:t>
      </w:r>
      <w:r>
        <w:t xml:space="preserve">Further, the integer programming approach of the earlier papers does not produce a closed-form solution as our model does. Also, both studies use a linear utility structure for the outside good, which does not guarantee the positivity of the outside good (see Bhat et al., 2022 and Saxena et al., 2022). Finally, both these earlier studies are based </w:t>
      </w:r>
      <w:r w:rsidRPr="00324EEB">
        <w:t>on a Hicksian composite good approach, Th</w:t>
      </w:r>
      <w:r>
        <w:t xml:space="preserve">at is, </w:t>
      </w:r>
      <w:r w:rsidRPr="00324EEB">
        <w:t>by defining the goods of interest as inside goods, changes in exogenous variables directly impact the consumptions of these inside goods (even if the true effect is an indirect impact through budget changes), co-mingling strict budget effects (that is, income effects) and strict allocation effects (that is, substitution effects)</w:t>
      </w:r>
      <w:r>
        <w:t>.</w:t>
      </w:r>
      <w:bookmarkEnd w:id="3"/>
    </w:p>
  </w:footnote>
  <w:footnote w:id="4">
    <w:p w:rsidR="003E6341" w:rsidRDefault="003E6341" w:rsidP="00FA6827">
      <w:pPr>
        <w:pStyle w:val="FootnoteText"/>
        <w:jc w:val="both"/>
      </w:pPr>
      <w:r>
        <w:rPr>
          <w:rStyle w:val="FootnoteReference"/>
        </w:rPr>
        <w:footnoteRef/>
      </w:r>
      <w:r>
        <w:t xml:space="preserve"> The </w:t>
      </w:r>
      <w:r w:rsidRPr="00257B39">
        <w:rPr>
          <w:position w:val="-12"/>
        </w:rPr>
        <w:object w:dxaOrig="260" w:dyaOrig="360" w14:anchorId="080379A3">
          <v:shape id="_x0000_i1308" type="#_x0000_t75" style="width:13.3pt;height:18pt" o:ole="">
            <v:imagedata r:id="rId1" o:title=""/>
          </v:shape>
          <o:OLEObject Type="Embed" ProgID="Equation.DSMT4" ShapeID="_x0000_i1308" DrawAspect="Content" ObjectID="_1722174453" r:id="rId2"/>
        </w:object>
      </w:r>
      <w:r>
        <w:t xml:space="preserve"> error terms (</w:t>
      </w:r>
      <w:r>
        <w:rPr>
          <w:i/>
        </w:rPr>
        <w:t>k</w:t>
      </w:r>
      <w:r>
        <w:t>=</w:t>
      </w:r>
      <w:proofErr w:type="gramStart"/>
      <w:r>
        <w:t>2,3,…</w:t>
      </w:r>
      <w:proofErr w:type="gramEnd"/>
      <w:r>
        <w:t>,</w:t>
      </w:r>
      <w:r>
        <w:rPr>
          <w:i/>
        </w:rPr>
        <w:t>K</w:t>
      </w:r>
      <w:r>
        <w:t xml:space="preserve">) are essentially multivariate logistically distributed with a correlation of 0.5, with the SDF expression as given below (see Appendix A of </w:t>
      </w:r>
      <w:r w:rsidRPr="004E08AE">
        <w:t>Bhat et al., 2022</w:t>
      </w:r>
      <w:r>
        <w:t>).</w:t>
      </w:r>
    </w:p>
  </w:footnote>
  <w:footnote w:id="5">
    <w:p w:rsidR="003E6341" w:rsidRPr="005D76C0" w:rsidRDefault="003E6341" w:rsidP="006F5641">
      <w:pPr>
        <w:spacing w:after="60"/>
        <w:jc w:val="both"/>
        <w:rPr>
          <w:sz w:val="20"/>
          <w:szCs w:val="20"/>
        </w:rPr>
      </w:pPr>
      <w:r w:rsidRPr="005D76C0">
        <w:rPr>
          <w:rStyle w:val="FootnoteReference"/>
          <w:sz w:val="20"/>
          <w:szCs w:val="20"/>
        </w:rPr>
        <w:footnoteRef/>
      </w:r>
      <w:r>
        <w:rPr>
          <w:sz w:val="20"/>
          <w:szCs w:val="20"/>
        </w:rPr>
        <w:t xml:space="preserve"> </w:t>
      </w:r>
      <w:r w:rsidRPr="00B14F13">
        <w:rPr>
          <w:sz w:val="20"/>
          <w:szCs w:val="20"/>
        </w:rPr>
        <w:t xml:space="preserve">The derivation of this expression is provided in Appendix B of Bhat (2022). As shown there, the fractional allocations among the consumed goods will sum to one. The expression also guarantees that the predictions </w:t>
      </w:r>
      <w:r w:rsidRPr="00B14F13">
        <w:rPr>
          <w:position w:val="-12"/>
          <w:sz w:val="20"/>
          <w:szCs w:val="20"/>
        </w:rPr>
        <w:object w:dxaOrig="279" w:dyaOrig="360" w14:anchorId="444E7F69">
          <v:shape id="_x0000_i1310" type="#_x0000_t75" style="width:11.15pt;height:14.55pt" o:ole="">
            <v:imagedata r:id="rId3" o:title=""/>
          </v:shape>
          <o:OLEObject Type="Embed" ProgID="Equation.DSMT4" ShapeID="_x0000_i1310" DrawAspect="Content" ObjectID="_1722174454" r:id="rId4"/>
        </w:object>
      </w:r>
      <w:r w:rsidRPr="00B14F13">
        <w:rPr>
          <w:sz w:val="20"/>
          <w:szCs w:val="20"/>
        </w:rPr>
        <w:t xml:space="preserve"> for any consumed good will be positive and less than 1. Note </w:t>
      </w:r>
      <w:r>
        <w:rPr>
          <w:sz w:val="20"/>
          <w:szCs w:val="20"/>
        </w:rPr>
        <w:t xml:space="preserve">also </w:t>
      </w:r>
      <w:r w:rsidRPr="00B14F13">
        <w:rPr>
          <w:sz w:val="20"/>
          <w:szCs w:val="20"/>
        </w:rPr>
        <w:t>that</w:t>
      </w:r>
      <w:r>
        <w:rPr>
          <w:sz w:val="20"/>
          <w:szCs w:val="20"/>
        </w:rPr>
        <w:t>,</w:t>
      </w:r>
      <w:r w:rsidRPr="00B14F13">
        <w:rPr>
          <w:sz w:val="20"/>
          <w:szCs w:val="20"/>
        </w:rPr>
        <w:t xml:space="preserve"> </w:t>
      </w:r>
      <w:r>
        <w:rPr>
          <w:sz w:val="20"/>
          <w:szCs w:val="20"/>
        </w:rPr>
        <w:t xml:space="preserve">among the consumed goods, </w:t>
      </w:r>
      <w:r w:rsidRPr="00B14F13">
        <w:rPr>
          <w:sz w:val="20"/>
          <w:szCs w:val="20"/>
        </w:rPr>
        <w:t xml:space="preserve">the fraction increases as </w:t>
      </w:r>
      <w:r w:rsidRPr="00947DEF">
        <w:rPr>
          <w:position w:val="-12"/>
          <w:sz w:val="20"/>
          <w:szCs w:val="20"/>
        </w:rPr>
        <w:object w:dxaOrig="880" w:dyaOrig="360" w14:anchorId="127AB1CB">
          <v:shape id="_x0000_i1312" type="#_x0000_t75" style="width:39pt;height:15.45pt" o:ole="">
            <v:imagedata r:id="rId5" o:title=""/>
          </v:shape>
          <o:OLEObject Type="Embed" ProgID="Equation.DSMT4" ShapeID="_x0000_i1312" DrawAspect="Content" ObjectID="_1722174455" r:id="rId6"/>
        </w:object>
      </w:r>
      <w:r w:rsidRPr="00947DEF">
        <w:rPr>
          <w:sz w:val="20"/>
          <w:szCs w:val="20"/>
        </w:rPr>
        <w:t xml:space="preserve"> increases</w:t>
      </w:r>
      <w:r>
        <w:rPr>
          <w:sz w:val="20"/>
          <w:szCs w:val="20"/>
        </w:rPr>
        <w:t xml:space="preserve"> (t</w:t>
      </w:r>
      <w:r w:rsidRPr="00947DEF">
        <w:rPr>
          <w:sz w:val="20"/>
          <w:szCs w:val="20"/>
        </w:rPr>
        <w:t xml:space="preserve">hat is, as the baseline preference of good </w:t>
      </w:r>
      <w:r>
        <w:rPr>
          <w:i/>
          <w:sz w:val="20"/>
          <w:szCs w:val="20"/>
        </w:rPr>
        <w:t>k</w:t>
      </w:r>
      <w:r w:rsidRPr="00947DEF">
        <w:rPr>
          <w:sz w:val="20"/>
          <w:szCs w:val="20"/>
        </w:rPr>
        <w:t xml:space="preserve"> increases or the satiation for good</w:t>
      </w:r>
      <w:r>
        <w:rPr>
          <w:sz w:val="20"/>
          <w:szCs w:val="20"/>
        </w:rPr>
        <w:t xml:space="preserve"> </w:t>
      </w:r>
      <w:r>
        <w:rPr>
          <w:i/>
          <w:sz w:val="20"/>
          <w:szCs w:val="20"/>
        </w:rPr>
        <w:t>k</w:t>
      </w:r>
      <w:r w:rsidRPr="00947DEF">
        <w:rPr>
          <w:sz w:val="20"/>
          <w:szCs w:val="20"/>
        </w:rPr>
        <w:t xml:space="preserve"> decreases</w:t>
      </w:r>
      <w:r>
        <w:rPr>
          <w:sz w:val="20"/>
          <w:szCs w:val="20"/>
        </w:rPr>
        <w:t>)</w:t>
      </w:r>
      <w:r w:rsidRPr="00947DEF">
        <w:rPr>
          <w:sz w:val="20"/>
          <w:szCs w:val="20"/>
        </w:rPr>
        <w:t>, though the magnitude of this increase is dependent on the values of the baseline preferences and satiation values</w:t>
      </w:r>
      <w:r>
        <w:rPr>
          <w:sz w:val="20"/>
          <w:szCs w:val="20"/>
        </w:rPr>
        <w:t xml:space="preserve"> of the other consumed goods</w:t>
      </w:r>
      <w:r w:rsidRPr="00947DEF">
        <w:rPr>
          <w:sz w:val="20"/>
          <w:szCs w:val="20"/>
        </w:rPr>
        <w:t xml:space="preserve">. </w:t>
      </w:r>
      <w:r>
        <w:rPr>
          <w:sz w:val="20"/>
          <w:szCs w:val="20"/>
        </w:rPr>
        <w:t xml:space="preserve">Also, as discussed in Bhat (2022), the second term in the numerator of this expression is critical to ensure that the KKT conditions of equal marginal utility at the point of actual fractional consumptions of the consumed goods hold. </w:t>
      </w:r>
    </w:p>
  </w:footnote>
  <w:footnote w:id="6">
    <w:p w:rsidR="003E6341" w:rsidRPr="00A802E7" w:rsidRDefault="003E6341" w:rsidP="006F5641">
      <w:pPr>
        <w:autoSpaceDE w:val="0"/>
        <w:autoSpaceDN w:val="0"/>
        <w:adjustRightInd w:val="0"/>
        <w:jc w:val="both"/>
        <w:rPr>
          <w:sz w:val="20"/>
          <w:szCs w:val="20"/>
        </w:rPr>
      </w:pPr>
      <w:r w:rsidRPr="00A802E7">
        <w:rPr>
          <w:rStyle w:val="FootnoteReference"/>
          <w:sz w:val="20"/>
          <w:szCs w:val="20"/>
        </w:rPr>
        <w:footnoteRef/>
      </w:r>
      <w:r>
        <w:rPr>
          <w:sz w:val="20"/>
          <w:szCs w:val="20"/>
        </w:rPr>
        <w:t xml:space="preserve"> </w:t>
      </w:r>
      <w:r w:rsidRPr="00A802E7">
        <w:rPr>
          <w:sz w:val="20"/>
          <w:szCs w:val="20"/>
        </w:rPr>
        <w:t xml:space="preserve">We assume standard regularity conditions for the indirect utility function, including that it is continuous, nonincreasing and quasiconvex in all prices and total expenditure, and homogeneous of degree zero in all prices and total expenditure. Separability of the indirect utility function implies essentially that we are able to partition the indirect utility function into subgroups, with the indirect utility </w:t>
      </w:r>
      <w:r>
        <w:rPr>
          <w:sz w:val="20"/>
          <w:szCs w:val="20"/>
        </w:rPr>
        <w:t xml:space="preserve">contribution </w:t>
      </w:r>
      <w:r w:rsidRPr="00A802E7">
        <w:rPr>
          <w:sz w:val="20"/>
          <w:szCs w:val="20"/>
        </w:rPr>
        <w:t>of each subgroup dependent only on the price of goods within that subgroup and total expenditures.</w:t>
      </w:r>
    </w:p>
  </w:footnote>
  <w:footnote w:id="7">
    <w:p w:rsidR="003E6341" w:rsidRDefault="003E6341" w:rsidP="00916214">
      <w:pPr>
        <w:pStyle w:val="FootnoteText"/>
        <w:jc w:val="both"/>
      </w:pPr>
      <w:r>
        <w:rPr>
          <w:rStyle w:val="FootnoteReference"/>
        </w:rPr>
        <w:footnoteRef/>
      </w:r>
      <w:r>
        <w:t xml:space="preserve"> The negative sign in </w:t>
      </w:r>
      <w:r w:rsidRPr="006C59CD">
        <w:rPr>
          <w:position w:val="-32"/>
        </w:rPr>
        <w:object w:dxaOrig="2460" w:dyaOrig="760" w14:anchorId="0D1BFC74">
          <v:shape id="_x0000_i1314" type="#_x0000_t75" style="width:105pt;height:32.55pt" o:ole="">
            <v:imagedata r:id="rId7" o:title=""/>
          </v:shape>
          <o:OLEObject Type="Embed" ProgID="Equation.DSMT4" ShapeID="_x0000_i1314" DrawAspect="Content" ObjectID="_1722174456" r:id="rId8"/>
        </w:object>
      </w:r>
      <w:r>
        <w:t xml:space="preserve"> is because, as the term in the parenthesis increases, </w:t>
      </w:r>
      <w:r w:rsidRPr="009F32F5">
        <w:rPr>
          <w:position w:val="-32"/>
        </w:rPr>
        <w:object w:dxaOrig="1520" w:dyaOrig="760" w14:anchorId="05B09A21">
          <v:shape id="_x0000_i1316" type="#_x0000_t75" style="width:63.45pt;height:32.55pt" o:ole="">
            <v:imagedata r:id="rId9" o:title=""/>
          </v:shape>
          <o:OLEObject Type="Embed" ProgID="Equation.DSMT4" ShapeID="_x0000_i1316" DrawAspect="Content" ObjectID="_1722174457" r:id="rId10"/>
        </w:object>
      </w:r>
      <w:r>
        <w:t xml:space="preserve"> decreases. So, to get the thresholds to be in ascending order, we take the negative of the survival inverse. By convention, we will designate </w:t>
      </w:r>
      <w:r w:rsidRPr="00EA49A5">
        <w:rPr>
          <w:position w:val="-32"/>
        </w:rPr>
        <w:object w:dxaOrig="1579" w:dyaOrig="760" w14:anchorId="63158900">
          <v:shape id="_x0000_i1318" type="#_x0000_t75" style="width:67.7pt;height:32.55pt" o:ole="">
            <v:imagedata r:id="rId11" o:title=""/>
          </v:shape>
          <o:OLEObject Type="Embed" ProgID="Equation.DSMT4" ShapeID="_x0000_i1318" DrawAspect="Content" ObjectID="_1722174458" r:id="rId12"/>
        </w:object>
      </w:r>
      <w:r>
        <w:t xml:space="preserve"> so that </w:t>
      </w:r>
      <w:r w:rsidRPr="00EA49A5">
        <w:rPr>
          <w:position w:val="-32"/>
        </w:rPr>
        <w:object w:dxaOrig="3840" w:dyaOrig="760" w14:anchorId="4C35BADD">
          <v:shape id="_x0000_i1320" type="#_x0000_t75" style="width:164.15pt;height:32.55pt" o:ole="">
            <v:imagedata r:id="rId13" o:title=""/>
          </v:shape>
          <o:OLEObject Type="Embed" ProgID="Equation.DSMT4" ShapeID="_x0000_i1320" DrawAspect="Content" ObjectID="_1722174459" r:id="rId14"/>
        </w:object>
      </w:r>
      <w:r>
        <w:t xml:space="preserve"> </w:t>
      </w:r>
      <w:bookmarkStart w:id="7" w:name="_Hlk109492994"/>
      <w:r>
        <w:t xml:space="preserve">Also, note that rather than use a generalized version of the Poisson model as we use here, it is possible to use a generalized version of a negative binomial model too, as considered by Bhat et al. (2016a). We leave this for further exploration in future studies. </w:t>
      </w:r>
    </w:p>
    <w:bookmarkEnd w:id="7"/>
  </w:footnote>
  <w:footnote w:id="8">
    <w:p w:rsidR="003E6341" w:rsidRDefault="003E6341" w:rsidP="00FD5BC7">
      <w:pPr>
        <w:pStyle w:val="FootnoteText"/>
        <w:jc w:val="both"/>
      </w:pPr>
      <w:bookmarkStart w:id="9" w:name="_Hlk111494064"/>
      <w:r>
        <w:rPr>
          <w:rStyle w:val="FootnoteReference"/>
        </w:rPr>
        <w:footnoteRef/>
      </w:r>
      <w:r>
        <w:t xml:space="preserve"> If the linking function is purely deterministic (that is, </w:t>
      </w:r>
      <w:r w:rsidRPr="005216BC">
        <w:rPr>
          <w:position w:val="-30"/>
        </w:rPr>
        <w:object w:dxaOrig="2560" w:dyaOrig="720" w14:anchorId="05CADF99">
          <v:shape id="_x0000_i1322" type="#_x0000_t75" style="width:115.3pt;height:32.15pt" o:ole="">
            <v:imagedata r:id="rId15" o:title=""/>
          </v:shape>
          <o:OLEObject Type="Embed" ProgID="Equation.DSMT4" ShapeID="_x0000_i1322" DrawAspect="Content" ObjectID="_1722174460" r:id="rId16"/>
        </w:object>
      </w:r>
      <w:r>
        <w:t xml:space="preserve">, or </w:t>
      </w:r>
      <w:r w:rsidRPr="00725E8A">
        <w:rPr>
          <w:position w:val="-12"/>
        </w:rPr>
        <w:object w:dxaOrig="1160" w:dyaOrig="360">
          <v:shape id="_x0000_i1324" type="#_x0000_t75" style="width:58.3pt;height:18pt" o:ole="">
            <v:imagedata r:id="rId17" o:title=""/>
          </v:shape>
          <o:OLEObject Type="Embed" ProgID="Equation.DSMT4" ShapeID="_x0000_i1324" DrawAspect="Content" ObjectID="_1722174461" r:id="rId18"/>
        </w:object>
      </w:r>
      <w:r>
        <w:t xml:space="preserve">is used, the </w:t>
      </w:r>
      <w:r w:rsidRPr="004035E1">
        <w:rPr>
          <w:position w:val="-12"/>
        </w:rPr>
        <w:object w:dxaOrig="320" w:dyaOrig="380">
          <v:shape id="_x0000_i1326" type="#_x0000_t75" style="width:14.55pt;height:16.7pt" o:ole="">
            <v:imagedata r:id="rId19" o:title=""/>
          </v:shape>
          <o:OLEObject Type="Embed" ProgID="Equation.DSMT4" ShapeID="_x0000_i1326" DrawAspect="Content" ObjectID="_1722174462" r:id="rId20"/>
        </w:object>
      </w:r>
      <w:r>
        <w:t xml:space="preserve"> distribution would be the same as without the linking (that is, the </w:t>
      </w:r>
      <w:r w:rsidRPr="004035E1">
        <w:rPr>
          <w:position w:val="-12"/>
        </w:rPr>
        <w:object w:dxaOrig="320" w:dyaOrig="380">
          <v:shape id="_x0000_i1328" type="#_x0000_t75" style="width:14.55pt;height:16.7pt" o:ole="">
            <v:imagedata r:id="rId19" o:title=""/>
          </v:shape>
          <o:OLEObject Type="Embed" ProgID="Equation.DSMT4" ShapeID="_x0000_i1328" DrawAspect="Content" ObjectID="_1722174463" r:id="rId21"/>
        </w:object>
      </w:r>
      <w:r>
        <w:t xml:space="preserve"> distribution would remain reverse-Gumbel as in the unlinked model). Thus, a pure deterministic linking function would nest the unlinked model, while our proposed stochastic linking function would not nest the unlinked model.</w:t>
      </w:r>
      <w:bookmarkEnd w:id="9"/>
    </w:p>
  </w:footnote>
  <w:footnote w:id="9">
    <w:p w:rsidR="003E6341" w:rsidRDefault="003E6341" w:rsidP="00A271A1">
      <w:pPr>
        <w:pStyle w:val="FootnoteText"/>
        <w:jc w:val="both"/>
      </w:pPr>
      <w:r>
        <w:rPr>
          <w:rStyle w:val="FootnoteReference"/>
        </w:rPr>
        <w:footnoteRef/>
      </w:r>
      <w:r>
        <w:t xml:space="preserve"> Note that, with price variation, </w:t>
      </w:r>
      <w:r w:rsidRPr="007A06AC">
        <w:rPr>
          <w:position w:val="-10"/>
        </w:rPr>
        <w:object w:dxaOrig="639" w:dyaOrig="320" w14:anchorId="119CB589">
          <v:shape id="_x0000_i1330" type="#_x0000_t75" style="width:27.45pt;height:13.7pt" o:ole="">
            <v:imagedata r:id="rId22" o:title=""/>
          </v:shape>
          <o:OLEObject Type="Embed" ProgID="Equation.DSMT4" ShapeID="_x0000_i1330" DrawAspect="Content" ObjectID="_1722174464" r:id="rId23"/>
        </w:object>
      </w:r>
      <w:r>
        <w:t xml:space="preserve"> is the ln(price) coefficient in the fractional MDCEV model which is estimable in both our model and an unlinked model. But, in the unlinked model, the term </w:t>
      </w:r>
      <w:r w:rsidRPr="00303AFC">
        <w:rPr>
          <w:position w:val="-12"/>
        </w:rPr>
        <w:object w:dxaOrig="1140" w:dyaOrig="400" w14:anchorId="43ED10DA">
          <v:shape id="_x0000_i1332" type="#_x0000_t75" style="width:48.45pt;height:16.7pt" o:ole="">
            <v:imagedata r:id="rId24" o:title=""/>
          </v:shape>
          <o:OLEObject Type="Embed" ProgID="Equation.DSMT4" ShapeID="_x0000_i1332" DrawAspect="Content" ObjectID="_1722174465" r:id="rId25"/>
        </w:object>
      </w:r>
      <w:r>
        <w:t xml:space="preserve"> does not appear in the latent propensity </w:t>
      </w:r>
      <w:r w:rsidRPr="001E3868">
        <w:rPr>
          <w:position w:val="-12"/>
        </w:rPr>
        <w:object w:dxaOrig="320" w:dyaOrig="380" w14:anchorId="78AC4AFE">
          <v:shape id="_x0000_i1334" type="#_x0000_t75" style="width:13.7pt;height:16.3pt" o:ole="">
            <v:imagedata r:id="rId26" o:title=""/>
          </v:shape>
          <o:OLEObject Type="Embed" ProgID="Equation.DSMT4" ShapeID="_x0000_i1334" DrawAspect="Content" ObjectID="_1722174466" r:id="rId27"/>
        </w:object>
      </w:r>
      <w:r>
        <w:t xml:space="preserve">, while this term appears in our linked model (see Equations (18) and (22)). As discussed earlier, in our econometric formulation, the addition of the term </w:t>
      </w:r>
      <w:r w:rsidRPr="00303AFC">
        <w:rPr>
          <w:position w:val="-12"/>
        </w:rPr>
        <w:object w:dxaOrig="1140" w:dyaOrig="400" w14:anchorId="04C5DD46">
          <v:shape id="_x0000_i1336" type="#_x0000_t75" style="width:48.45pt;height:16.7pt" o:ole="">
            <v:imagedata r:id="rId24" o:title=""/>
          </v:shape>
          <o:OLEObject Type="Embed" ProgID="Equation.DSMT4" ShapeID="_x0000_i1336" DrawAspect="Content" ObjectID="_1722174467" r:id="rId28"/>
        </w:object>
      </w:r>
      <w:r>
        <w:t xml:space="preserve"> in the linked model leads to a different distributional form for </w:t>
      </w:r>
      <w:r w:rsidRPr="001E3868">
        <w:rPr>
          <w:position w:val="-12"/>
        </w:rPr>
        <w:object w:dxaOrig="320" w:dyaOrig="380" w14:anchorId="35C68898">
          <v:shape id="_x0000_i1338" type="#_x0000_t75" style="width:13.7pt;height:16.3pt" o:ole="">
            <v:imagedata r:id="rId26" o:title=""/>
          </v:shape>
          <o:OLEObject Type="Embed" ProgID="Equation.DSMT4" ShapeID="_x0000_i1338" DrawAspect="Content" ObjectID="_1722174468" r:id="rId29"/>
        </w:object>
      </w:r>
      <w:r>
        <w:t xml:space="preserve"> than in the unlinked form, and contributes to a mean shift (that varies across individuals based on the fractional allocation parameters embedded in </w:t>
      </w:r>
      <w:r w:rsidRPr="00303AFC">
        <w:rPr>
          <w:position w:val="-12"/>
        </w:rPr>
        <w:object w:dxaOrig="620" w:dyaOrig="360" w14:anchorId="1C72F19C">
          <v:shape id="_x0000_i1340" type="#_x0000_t75" style="width:24.85pt;height:15pt" o:ole="">
            <v:imagedata r:id="rId30" o:title=""/>
          </v:shape>
          <o:OLEObject Type="Embed" ProgID="Equation.DSMT4" ShapeID="_x0000_i1340" DrawAspect="Content" ObjectID="_1722174469" r:id="rId31"/>
        </w:object>
      </w:r>
      <w:r>
        <w:t xml:space="preserve">) as well as generates heteroscedasticity across individuals in </w:t>
      </w:r>
      <w:r w:rsidRPr="001E3868">
        <w:rPr>
          <w:position w:val="-12"/>
        </w:rPr>
        <w:object w:dxaOrig="320" w:dyaOrig="380" w14:anchorId="00AB9E9B">
          <v:shape id="_x0000_i1342" type="#_x0000_t75" style="width:13.7pt;height:16.3pt" o:ole="">
            <v:imagedata r:id="rId26" o:title=""/>
          </v:shape>
          <o:OLEObject Type="Embed" ProgID="Equation.DSMT4" ShapeID="_x0000_i1342" DrawAspect="Content" ObjectID="_1722174470" r:id="rId32"/>
        </w:object>
      </w:r>
      <w:r>
        <w:t xml:space="preserve">. However, the parameter </w:t>
      </w:r>
      <w:r w:rsidRPr="00303AFC">
        <w:rPr>
          <w:position w:val="-6"/>
        </w:rPr>
        <w:object w:dxaOrig="220" w:dyaOrig="279" w14:anchorId="52F044DF">
          <v:shape id="_x0000_i1344" type="#_x0000_t75" style="width:9.85pt;height:12.45pt" o:ole="">
            <v:imagedata r:id="rId33" o:title=""/>
          </v:shape>
          <o:OLEObject Type="Embed" ProgID="Equation.DSMT4" ShapeID="_x0000_i1344" DrawAspect="Content" ObjectID="_1722174471" r:id="rId34"/>
        </w:object>
      </w:r>
      <w:r>
        <w:t xml:space="preserve"> is not estimable in our stochastically-linked formulation, and is set to one. This has the result of (innocuously) setting the linking parameter </w:t>
      </w:r>
      <w:r w:rsidRPr="00303AFC">
        <w:rPr>
          <w:position w:val="-6"/>
        </w:rPr>
        <w:object w:dxaOrig="220" w:dyaOrig="340" w14:anchorId="668F116D">
          <v:shape id="_x0000_i1346" type="#_x0000_t75" style="width:9.45pt;height:14.55pt" o:ole="">
            <v:imagedata r:id="rId35" o:title=""/>
          </v:shape>
          <o:OLEObject Type="Embed" ProgID="Equation.DSMT4" ShapeID="_x0000_i1346" DrawAspect="Content" ObjectID="_1722174472" r:id="rId36"/>
        </w:object>
      </w:r>
      <w:r>
        <w:t xml:space="preserve"> in Equation (22) to be the same as the price coefficient </w:t>
      </w:r>
      <w:r w:rsidRPr="007A06AC">
        <w:rPr>
          <w:position w:val="-10"/>
        </w:rPr>
        <w:object w:dxaOrig="639" w:dyaOrig="320" w14:anchorId="199C75EA">
          <v:shape id="_x0000_i1348" type="#_x0000_t75" style="width:27.45pt;height:13.7pt" o:ole="">
            <v:imagedata r:id="rId22" o:title=""/>
          </v:shape>
          <o:OLEObject Type="Embed" ProgID="Equation.DSMT4" ShapeID="_x0000_i1348" DrawAspect="Content" ObjectID="_1722174473" r:id="rId37"/>
        </w:object>
      </w:r>
      <w:r>
        <w:t xml:space="preserve"> in the fractional MDCEV model. Of course, if, as discussed in footnote (6), a deterministically-linked formulation is considered, then the linking parameter </w:t>
      </w:r>
      <w:r w:rsidRPr="00303AFC">
        <w:rPr>
          <w:position w:val="-6"/>
        </w:rPr>
        <w:object w:dxaOrig="220" w:dyaOrig="340" w14:anchorId="22645A64">
          <v:shape id="_x0000_i1350" type="#_x0000_t75" style="width:9.45pt;height:14.55pt" o:ole="">
            <v:imagedata r:id="rId35" o:title=""/>
          </v:shape>
          <o:OLEObject Type="Embed" ProgID="Equation.DSMT4" ShapeID="_x0000_i1350" DrawAspect="Content" ObjectID="_1722174474" r:id="rId38"/>
        </w:object>
      </w:r>
      <w:r>
        <w:t xml:space="preserve"> does not get entangled with the variance of </w:t>
      </w:r>
      <w:r w:rsidRPr="001E3868">
        <w:rPr>
          <w:position w:val="-12"/>
        </w:rPr>
        <w:object w:dxaOrig="320" w:dyaOrig="380" w14:anchorId="7EEC73A2">
          <v:shape id="_x0000_i1352" type="#_x0000_t75" style="width:13.7pt;height:16.3pt" o:ole="">
            <v:imagedata r:id="rId26" o:title=""/>
          </v:shape>
          <o:OLEObject Type="Embed" ProgID="Equation.DSMT4" ShapeID="_x0000_i1352" DrawAspect="Content" ObjectID="_1722174475" r:id="rId39"/>
        </w:object>
      </w:r>
      <w:r>
        <w:t xml:space="preserve">, and can be estimated separately from the price coefficient </w:t>
      </w:r>
      <w:r w:rsidRPr="007A06AC">
        <w:rPr>
          <w:position w:val="-10"/>
        </w:rPr>
        <w:object w:dxaOrig="639" w:dyaOrig="320" w14:anchorId="501D0EBA">
          <v:shape id="_x0000_i1354" type="#_x0000_t75" style="width:27.45pt;height:13.7pt" o:ole="">
            <v:imagedata r:id="rId22" o:title=""/>
          </v:shape>
          <o:OLEObject Type="Embed" ProgID="Equation.DSMT4" ShapeID="_x0000_i1354" DrawAspect="Content" ObjectID="_1722174476" r:id="rId40"/>
        </w:object>
      </w:r>
      <w:r>
        <w:t xml:space="preserve"> estimated in the fractional MDCEV model. This alternative deterministically-linked formulation would nest the unlinked formulation, and add an additional parameter relative to the unlinked formulation, but without contributing to possible heteroscedasticity across individuals in the total count model. Our stochastically-linked formulation, on the other hand, may be viewed as a parsimonious specification that allows linkage with both a mean and variance shift in the count model without adding any more parameters than in the unlinked model (and still maintains a closed-form probability expression). Of course, this also does not rule out the occasional possibility that the unlinked model or the deterministically-linked model will perform better than our proposed stochastically-linked model in specific empirical situations, in which case the analyst will have to decide whether to pursue a good data fit or pursue a more behaviorally plausible case of heterogeneity in the linking effect.</w:t>
      </w:r>
    </w:p>
  </w:footnote>
  <w:footnote w:id="10">
    <w:p w:rsidR="003E6341" w:rsidRPr="0091672F" w:rsidRDefault="003E6341" w:rsidP="000D0F61">
      <w:pPr>
        <w:pStyle w:val="FootnoteText"/>
        <w:spacing w:after="60"/>
        <w:jc w:val="both"/>
      </w:pPr>
      <w:r w:rsidRPr="0091672F">
        <w:rPr>
          <w:rStyle w:val="FootnoteReference"/>
        </w:rPr>
        <w:footnoteRef/>
      </w:r>
      <w:r>
        <w:t xml:space="preserve"> P</w:t>
      </w:r>
      <w:r w:rsidRPr="004035E1">
        <w:t>ersonal auto trips comprise around 90% of all leisure domestic trips within New Zealand; see Ministry of Business, Innovation and Employment, 2008</w:t>
      </w:r>
      <w:r>
        <w:t>, and this has remained stable over time as indicated in Lawson et al., 2021.</w:t>
      </w:r>
      <w:r w:rsidRPr="004035E1">
        <w:t xml:space="preserve"> </w:t>
      </w:r>
      <w:r>
        <w:t>Also, t</w:t>
      </w:r>
      <w:r w:rsidRPr="0091672F">
        <w:t xml:space="preserve">here </w:t>
      </w:r>
      <w:r>
        <w:t>i</w:t>
      </w:r>
      <w:r w:rsidRPr="0091672F">
        <w:t xml:space="preserve">s little personal auto vacation travel from the North Island to the South Island or vice versa (only 0.7% of total long personal auto distance domestic leisure trips </w:t>
      </w:r>
      <w:r>
        <w:t>a</w:t>
      </w:r>
      <w:r w:rsidRPr="0091672F">
        <w:t xml:space="preserve">re from one island to the other, which is possible using a ferry service that transports personal vehicles across the Cook Strait). Further, the North Island of New Zealand is the more populated part of the country, home to 76% of the overall New Zealand population (the North Island’s population was about 3.2 million in 2013, while that of the South Island was about 1 million in 2013). In the DTS sample, 74.6 percent reside in the North Island, close to the population representation in 2013. Commensurately, 74% of long distance domestic leisure trips are contained within the North Island. </w:t>
      </w:r>
    </w:p>
  </w:footnote>
  <w:footnote w:id="11">
    <w:p w:rsidR="003E6341" w:rsidRPr="005675E6" w:rsidRDefault="003E6341" w:rsidP="005675E6">
      <w:pPr>
        <w:pStyle w:val="FootnoteText"/>
        <w:jc w:val="both"/>
      </w:pPr>
      <w:r>
        <w:rPr>
          <w:rStyle w:val="FootnoteReference"/>
        </w:rPr>
        <w:footnoteRef/>
      </w:r>
      <w:r>
        <w:t xml:space="preserve"> </w:t>
      </w:r>
      <w:bookmarkStart w:id="11" w:name="_Hlk109494645"/>
      <w:r w:rsidRPr="005675E6">
        <w:t xml:space="preserve">We acknowledge the possible estimation bias because of using aggregate spatial destination regions (see, for example, Parsons and Needelman (1992)). </w:t>
      </w:r>
      <w:r>
        <w:t>But</w:t>
      </w:r>
      <w:r w:rsidRPr="005675E6">
        <w:t xml:space="preserve">, given we are using such spatial aggregation, we have developed many proxy measures that capture the intensity of available activity opportunities, as discussed further in this section. </w:t>
      </w:r>
    </w:p>
    <w:bookmarkEnd w:id="11"/>
  </w:footnote>
  <w:footnote w:id="12">
    <w:p w:rsidR="003E6341" w:rsidRDefault="003E6341">
      <w:pPr>
        <w:pStyle w:val="FootnoteText"/>
      </w:pPr>
      <w:r>
        <w:rPr>
          <w:rStyle w:val="FootnoteReference"/>
        </w:rPr>
        <w:footnoteRef/>
      </w:r>
      <w:r>
        <w:t xml:space="preserve"> See </w:t>
      </w:r>
      <w:hyperlink r:id="rId41" w:history="1">
        <w:r w:rsidRPr="006E180B">
          <w:rPr>
            <w:rStyle w:val="Hyperlink"/>
          </w:rPr>
          <w:t>https://figure.nz/chart/3OjxZbBpv5fOwovb</w:t>
        </w:r>
      </w:hyperlink>
      <w:r>
        <w:t xml:space="preserve"> (accessed May 5, 2022). </w:t>
      </w:r>
    </w:p>
  </w:footnote>
  <w:footnote w:id="13">
    <w:p w:rsidR="003E6341" w:rsidRDefault="003E6341" w:rsidP="00F41191">
      <w:pPr>
        <w:pStyle w:val="FootnoteText"/>
        <w:jc w:val="both"/>
      </w:pPr>
      <w:r>
        <w:rPr>
          <w:rStyle w:val="FootnoteReference"/>
        </w:rPr>
        <w:footnoteRef/>
      </w:r>
      <w:r>
        <w:rPr>
          <w:szCs w:val="24"/>
        </w:rPr>
        <w:t xml:space="preserve"> </w:t>
      </w:r>
      <w:r w:rsidRPr="005C766F">
        <w:rPr>
          <w:szCs w:val="24"/>
        </w:rPr>
        <w:t xml:space="preserve">The coefficient on this size variable may be viewed as an inclusive value characterizing the presence of common unobserved destination region attributes affecting the utility of elemental alternatives within each region. If less than one, </w:t>
      </w:r>
      <w:r>
        <w:rPr>
          <w:szCs w:val="24"/>
        </w:rPr>
        <w:t xml:space="preserve">as would be the expectation, </w:t>
      </w:r>
      <w:r w:rsidRPr="005C766F">
        <w:rPr>
          <w:szCs w:val="24"/>
        </w:rPr>
        <w:t xml:space="preserve">the implication is that there is an inelastic influence of increasing region size on the region’s baseline utility. </w:t>
      </w:r>
    </w:p>
  </w:footnote>
  <w:footnote w:id="14">
    <w:p w:rsidR="003E6341" w:rsidRDefault="003E6341" w:rsidP="00931846">
      <w:pPr>
        <w:pStyle w:val="FootnoteText"/>
        <w:keepLines/>
        <w:jc w:val="both"/>
      </w:pPr>
      <w:r>
        <w:rPr>
          <w:rStyle w:val="FootnoteReference"/>
        </w:rPr>
        <w:footnoteRef/>
      </w:r>
      <w:r>
        <w:t xml:space="preserve"> Note that the coefficient on land cover diversity index (multiplied by 10) has a value of –0.067 for a non-single, low income adult younger than 48 years of age; a value of –0.993 for a single, low income adult younger than 48 years of age adults; a value of  +0.057 for a non-single, low income adult 48 years of age or older; a value of –0.869 for a single, low income adult 48 years of age or older; a value of –0.765 for a non-single, high income adult younger than 48 years of age; a value of –1.691 for a single, high income adult younger than 48 years of age adults; a value of           –0.641 for a non-single, high income adult 48 years of age or older; a value of –1.567 for a single, low income adult 48 years of age or older).</w:t>
      </w:r>
    </w:p>
  </w:footnote>
  <w:footnote w:id="15">
    <w:p w:rsidR="003E6341" w:rsidRDefault="003E6341" w:rsidP="00E11D72">
      <w:pPr>
        <w:pStyle w:val="FootnoteText"/>
        <w:jc w:val="both"/>
      </w:pPr>
      <w:r>
        <w:rPr>
          <w:rStyle w:val="FootnoteReference"/>
        </w:rPr>
        <w:footnoteRef/>
      </w:r>
      <w:r>
        <w:t xml:space="preserve"> Note that </w:t>
      </w:r>
      <w:r w:rsidRPr="006C59CD">
        <w:rPr>
          <w:position w:val="-32"/>
        </w:rPr>
        <w:object w:dxaOrig="2460" w:dyaOrig="760" w14:anchorId="252875D6">
          <v:shape id="_x0000_i1356" type="#_x0000_t75" style="width:107.55pt;height:33pt" o:ole="">
            <v:imagedata r:id="rId42" o:title=""/>
          </v:shape>
          <o:OLEObject Type="Embed" ProgID="Equation.DSMT4" ShapeID="_x0000_i1356" DrawAspect="Content" ObjectID="_1722174477" r:id="rId43"/>
        </w:object>
      </w:r>
      <w:r>
        <w:t xml:space="preserve">, with </w:t>
      </w:r>
      <w:r w:rsidRPr="00040625">
        <w:rPr>
          <w:position w:val="-10"/>
        </w:rPr>
        <w:object w:dxaOrig="1380" w:dyaOrig="320" w14:anchorId="1C3D653E">
          <v:shape id="_x0000_i1358" type="#_x0000_t75" style="width:60pt;height:13.7pt" o:ole="">
            <v:imagedata r:id="rId44" o:title=""/>
          </v:shape>
          <o:OLEObject Type="Embed" ProgID="Equation.DSMT4" ShapeID="_x0000_i1358" DrawAspect="Content" ObjectID="_1722174478" r:id="rId45"/>
        </w:object>
      </w:r>
      <w:r>
        <w:t xml:space="preserve"> Thus, if an element of </w:t>
      </w:r>
      <w:r w:rsidRPr="00CF0C27">
        <w:rPr>
          <w:b/>
        </w:rPr>
        <w:t>μ</w:t>
      </w:r>
      <w:r>
        <w:t xml:space="preserve"> is positive, it decreases  </w:t>
      </w:r>
      <w:r w:rsidRPr="00303AFC">
        <w:rPr>
          <w:position w:val="-28"/>
        </w:rPr>
        <w:object w:dxaOrig="940" w:dyaOrig="700" w14:anchorId="106F4595">
          <v:shape id="_x0000_i1360" type="#_x0000_t75" style="width:39.85pt;height:30pt" o:ole="">
            <v:imagedata r:id="rId46" o:title=""/>
          </v:shape>
          <o:OLEObject Type="Embed" ProgID="Equation.DSMT4" ShapeID="_x0000_i1360" DrawAspect="Content" ObjectID="_1722174479" r:id="rId47"/>
        </w:object>
      </w:r>
      <w:r>
        <w:t xml:space="preserve">, increases </w:t>
      </w:r>
      <w:r w:rsidRPr="00303AFC">
        <w:rPr>
          <w:position w:val="-32"/>
        </w:rPr>
        <w:object w:dxaOrig="1520" w:dyaOrig="760" w14:anchorId="17CD0EB8">
          <v:shape id="_x0000_i1362" type="#_x0000_t75" style="width:65.55pt;height:33pt" o:ole="">
            <v:imagedata r:id="rId48" o:title=""/>
          </v:shape>
          <o:OLEObject Type="Embed" ProgID="Equation.DSMT4" ShapeID="_x0000_i1362" DrawAspect="Content" ObjectID="_1722174480" r:id="rId49"/>
        </w:object>
      </w:r>
      <w:r>
        <w:t xml:space="preserve">, and therefore decreases </w:t>
      </w:r>
      <w:r w:rsidRPr="00303AFC">
        <w:rPr>
          <w:position w:val="-12"/>
        </w:rPr>
        <w:object w:dxaOrig="639" w:dyaOrig="360" w14:anchorId="30BA550D">
          <v:shape id="_x0000_i1364" type="#_x0000_t75" style="width:28.3pt;height:15.45pt" o:ole="">
            <v:imagedata r:id="rId50" o:title=""/>
          </v:shape>
          <o:OLEObject Type="Embed" ProgID="Equation.DSMT4" ShapeID="_x0000_i1364" DrawAspect="Content" ObjectID="_1722174481" r:id="rId51"/>
        </w:object>
      </w:r>
      <w:r>
        <w:t xml:space="preserve">. </w:t>
      </w:r>
    </w:p>
  </w:footnote>
  <w:footnote w:id="16">
    <w:p w:rsidR="003E6341" w:rsidRPr="004F31CF" w:rsidRDefault="003E6341" w:rsidP="000F6C17">
      <w:pPr>
        <w:pStyle w:val="FootnoteText"/>
        <w:jc w:val="both"/>
      </w:pPr>
      <w:r w:rsidRPr="00887124">
        <w:rPr>
          <w:rStyle w:val="FootnoteReference"/>
        </w:rPr>
        <w:footnoteRef/>
      </w:r>
      <w:r w:rsidRPr="00887124">
        <w:t xml:space="preserve"> </w:t>
      </w:r>
      <w:r w:rsidRPr="004F31CF">
        <w:t>Log</w:t>
      </w:r>
      <w:r>
        <w:t xml:space="preserve"> </w:t>
      </w:r>
      <w:r w:rsidRPr="008F265E">
        <w:rPr>
          <w:i/>
        </w:rPr>
        <w:t>L</w:t>
      </w:r>
      <w:r w:rsidRPr="008F265E">
        <w:rPr>
          <w:i/>
          <w:vertAlign w:val="subscript"/>
        </w:rPr>
        <w:t>ML</w:t>
      </w:r>
      <w:r w:rsidRPr="004F31CF">
        <w:t xml:space="preserve"> refers to the log-likelihood value at convergence. </w:t>
      </w:r>
      <w:r>
        <w:t>As indicated earlier, the linked and non-linked models are non-nested, because the kernel error term distributions are different between the two models. While many</w:t>
      </w:r>
      <w:r w:rsidRPr="004F31CF">
        <w:t xml:space="preserve"> measures have been suggested in the literature to evaluate model fit</w:t>
      </w:r>
      <w:r>
        <w:t xml:space="preserve"> among non-nested models </w:t>
      </w:r>
      <w:r w:rsidRPr="004F31CF">
        <w:t xml:space="preserve">(see </w:t>
      </w:r>
      <w:r>
        <w:t>Dziak et al.</w:t>
      </w:r>
      <w:r w:rsidRPr="006567A3">
        <w:t>, 20</w:t>
      </w:r>
      <w:r>
        <w:t>2</w:t>
      </w:r>
      <w:r w:rsidRPr="006567A3">
        <w:t>0</w:t>
      </w:r>
      <w:r w:rsidRPr="004F31CF">
        <w:t>)</w:t>
      </w:r>
      <w:r>
        <w:t>,</w:t>
      </w:r>
      <w:r w:rsidRPr="004F31CF">
        <w:t xml:space="preserve"> the BIC-based measures demand a higher strength of evidence to add complexity than do the </w:t>
      </w:r>
      <w:r>
        <w:t>other</w:t>
      </w:r>
      <w:r w:rsidRPr="004F31CF">
        <w:t xml:space="preserve"> measures, and thus the BIC-based measure favor</w:t>
      </w:r>
      <w:r>
        <w:t>s</w:t>
      </w:r>
      <w:r w:rsidRPr="004F31CF">
        <w:t xml:space="preserve"> more parsimonious models</w:t>
      </w:r>
      <w:r w:rsidRPr="007367AA">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A160B"/>
    <w:multiLevelType w:val="multilevel"/>
    <w:tmpl w:val="D194C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D81017"/>
    <w:multiLevelType w:val="hybridMultilevel"/>
    <w:tmpl w:val="E2822A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31D3EA7"/>
    <w:multiLevelType w:val="hybridMultilevel"/>
    <w:tmpl w:val="D9C60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9E0E07"/>
    <w:multiLevelType w:val="multilevel"/>
    <w:tmpl w:val="AEB01A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D557E4"/>
    <w:multiLevelType w:val="hybridMultilevel"/>
    <w:tmpl w:val="1E0AB8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4E3608"/>
    <w:multiLevelType w:val="hybridMultilevel"/>
    <w:tmpl w:val="3FE0E96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3BC40163"/>
    <w:multiLevelType w:val="hybridMultilevel"/>
    <w:tmpl w:val="92320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F55E36"/>
    <w:multiLevelType w:val="hybridMultilevel"/>
    <w:tmpl w:val="0C684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FA6A09"/>
    <w:multiLevelType w:val="hybridMultilevel"/>
    <w:tmpl w:val="4322F1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8A7550"/>
    <w:multiLevelType w:val="hybridMultilevel"/>
    <w:tmpl w:val="76424170"/>
    <w:lvl w:ilvl="0" w:tplc="A42C96E6">
      <w:start w:val="1"/>
      <w:numFmt w:val="decimal"/>
      <w:lvlText w:val="%1."/>
      <w:lvlJc w:val="left"/>
      <w:pPr>
        <w:ind w:left="720" w:hanging="360"/>
      </w:pPr>
      <w:rPr>
        <w:rFonts w:eastAsia="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5C742330"/>
    <w:multiLevelType w:val="multilevel"/>
    <w:tmpl w:val="EB944068"/>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9F46851"/>
    <w:multiLevelType w:val="hybridMultilevel"/>
    <w:tmpl w:val="B0CC1ED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num>
  <w:num w:numId="4">
    <w:abstractNumId w:val="7"/>
  </w:num>
  <w:num w:numId="5">
    <w:abstractNumId w:val="1"/>
  </w:num>
  <w:num w:numId="6">
    <w:abstractNumId w:val="3"/>
  </w:num>
  <w:num w:numId="7">
    <w:abstractNumId w:val="9"/>
  </w:num>
  <w:num w:numId="8">
    <w:abstractNumId w:val="11"/>
  </w:num>
  <w:num w:numId="9">
    <w:abstractNumId w:val="6"/>
  </w:num>
  <w:num w:numId="10">
    <w:abstractNumId w:val="2"/>
  </w:num>
  <w:num w:numId="11">
    <w:abstractNumId w:val="10"/>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A32"/>
    <w:rsid w:val="000018D2"/>
    <w:rsid w:val="00003060"/>
    <w:rsid w:val="00010C60"/>
    <w:rsid w:val="000110EE"/>
    <w:rsid w:val="00011756"/>
    <w:rsid w:val="00011E8F"/>
    <w:rsid w:val="000142D2"/>
    <w:rsid w:val="00015624"/>
    <w:rsid w:val="000201D9"/>
    <w:rsid w:val="0002083A"/>
    <w:rsid w:val="00020B8F"/>
    <w:rsid w:val="00023E6A"/>
    <w:rsid w:val="00026A67"/>
    <w:rsid w:val="000301FC"/>
    <w:rsid w:val="000311C8"/>
    <w:rsid w:val="0003230C"/>
    <w:rsid w:val="000342A6"/>
    <w:rsid w:val="00034B75"/>
    <w:rsid w:val="00035397"/>
    <w:rsid w:val="00040200"/>
    <w:rsid w:val="00040625"/>
    <w:rsid w:val="00040A2D"/>
    <w:rsid w:val="00040DFF"/>
    <w:rsid w:val="00041F0D"/>
    <w:rsid w:val="000433A0"/>
    <w:rsid w:val="00044355"/>
    <w:rsid w:val="00044603"/>
    <w:rsid w:val="00045E4E"/>
    <w:rsid w:val="00050A00"/>
    <w:rsid w:val="00051610"/>
    <w:rsid w:val="0005449D"/>
    <w:rsid w:val="00056683"/>
    <w:rsid w:val="00057284"/>
    <w:rsid w:val="00061EF8"/>
    <w:rsid w:val="00065672"/>
    <w:rsid w:val="000674A2"/>
    <w:rsid w:val="00067EA4"/>
    <w:rsid w:val="000703E6"/>
    <w:rsid w:val="00073149"/>
    <w:rsid w:val="000752B2"/>
    <w:rsid w:val="000769A2"/>
    <w:rsid w:val="00080515"/>
    <w:rsid w:val="00082DF0"/>
    <w:rsid w:val="00085317"/>
    <w:rsid w:val="00086A3E"/>
    <w:rsid w:val="00086B99"/>
    <w:rsid w:val="00090782"/>
    <w:rsid w:val="00090F6E"/>
    <w:rsid w:val="0009326A"/>
    <w:rsid w:val="00094AD6"/>
    <w:rsid w:val="00095FD3"/>
    <w:rsid w:val="0009608B"/>
    <w:rsid w:val="0009609E"/>
    <w:rsid w:val="0009672B"/>
    <w:rsid w:val="00096759"/>
    <w:rsid w:val="00096BD4"/>
    <w:rsid w:val="000A0AAE"/>
    <w:rsid w:val="000A153B"/>
    <w:rsid w:val="000A1FB6"/>
    <w:rsid w:val="000A2BFF"/>
    <w:rsid w:val="000A37AE"/>
    <w:rsid w:val="000A3BD3"/>
    <w:rsid w:val="000A4271"/>
    <w:rsid w:val="000A4A6D"/>
    <w:rsid w:val="000A6BBD"/>
    <w:rsid w:val="000A6FAA"/>
    <w:rsid w:val="000B00A0"/>
    <w:rsid w:val="000B01C9"/>
    <w:rsid w:val="000B20F3"/>
    <w:rsid w:val="000B20F5"/>
    <w:rsid w:val="000B3714"/>
    <w:rsid w:val="000C2257"/>
    <w:rsid w:val="000C2F3E"/>
    <w:rsid w:val="000C3EBA"/>
    <w:rsid w:val="000C46FB"/>
    <w:rsid w:val="000C5D36"/>
    <w:rsid w:val="000C649D"/>
    <w:rsid w:val="000D0156"/>
    <w:rsid w:val="000D0F61"/>
    <w:rsid w:val="000D4482"/>
    <w:rsid w:val="000D6185"/>
    <w:rsid w:val="000E19C8"/>
    <w:rsid w:val="000E1B83"/>
    <w:rsid w:val="000E1F64"/>
    <w:rsid w:val="000E31EB"/>
    <w:rsid w:val="000E603E"/>
    <w:rsid w:val="000F0F13"/>
    <w:rsid w:val="000F2848"/>
    <w:rsid w:val="000F3D29"/>
    <w:rsid w:val="000F434D"/>
    <w:rsid w:val="000F5625"/>
    <w:rsid w:val="000F59BC"/>
    <w:rsid w:val="000F6C17"/>
    <w:rsid w:val="000F703D"/>
    <w:rsid w:val="00100764"/>
    <w:rsid w:val="00100A41"/>
    <w:rsid w:val="001010C2"/>
    <w:rsid w:val="00101614"/>
    <w:rsid w:val="00102C8E"/>
    <w:rsid w:val="00103FEA"/>
    <w:rsid w:val="00105AC4"/>
    <w:rsid w:val="00105B19"/>
    <w:rsid w:val="00106B7E"/>
    <w:rsid w:val="001075A0"/>
    <w:rsid w:val="00113E6B"/>
    <w:rsid w:val="00116730"/>
    <w:rsid w:val="00120068"/>
    <w:rsid w:val="00120767"/>
    <w:rsid w:val="001208ED"/>
    <w:rsid w:val="00120A96"/>
    <w:rsid w:val="0012161F"/>
    <w:rsid w:val="00124B03"/>
    <w:rsid w:val="00125401"/>
    <w:rsid w:val="00125B90"/>
    <w:rsid w:val="001268B2"/>
    <w:rsid w:val="00132EC9"/>
    <w:rsid w:val="00134DB1"/>
    <w:rsid w:val="00135AE6"/>
    <w:rsid w:val="00135C7B"/>
    <w:rsid w:val="00137785"/>
    <w:rsid w:val="00140A7B"/>
    <w:rsid w:val="00140C9F"/>
    <w:rsid w:val="0014183B"/>
    <w:rsid w:val="00143A99"/>
    <w:rsid w:val="00143C12"/>
    <w:rsid w:val="00143DF0"/>
    <w:rsid w:val="001443B6"/>
    <w:rsid w:val="00146536"/>
    <w:rsid w:val="00147F8A"/>
    <w:rsid w:val="00150FF7"/>
    <w:rsid w:val="0015157A"/>
    <w:rsid w:val="001523BC"/>
    <w:rsid w:val="00152A84"/>
    <w:rsid w:val="00157237"/>
    <w:rsid w:val="0015751E"/>
    <w:rsid w:val="0016032D"/>
    <w:rsid w:val="001623F7"/>
    <w:rsid w:val="001648DB"/>
    <w:rsid w:val="00165E70"/>
    <w:rsid w:val="00165F76"/>
    <w:rsid w:val="00174501"/>
    <w:rsid w:val="00174559"/>
    <w:rsid w:val="00174874"/>
    <w:rsid w:val="0017513D"/>
    <w:rsid w:val="0018160F"/>
    <w:rsid w:val="001836ED"/>
    <w:rsid w:val="0018396E"/>
    <w:rsid w:val="00184057"/>
    <w:rsid w:val="00185420"/>
    <w:rsid w:val="00186619"/>
    <w:rsid w:val="001905B8"/>
    <w:rsid w:val="00190800"/>
    <w:rsid w:val="00193A31"/>
    <w:rsid w:val="00194286"/>
    <w:rsid w:val="001949F4"/>
    <w:rsid w:val="001957BD"/>
    <w:rsid w:val="0019609F"/>
    <w:rsid w:val="00196ECA"/>
    <w:rsid w:val="00197A5B"/>
    <w:rsid w:val="00197E52"/>
    <w:rsid w:val="001A443C"/>
    <w:rsid w:val="001A47BA"/>
    <w:rsid w:val="001A6BEB"/>
    <w:rsid w:val="001A7022"/>
    <w:rsid w:val="001A77BB"/>
    <w:rsid w:val="001B1987"/>
    <w:rsid w:val="001B3F0B"/>
    <w:rsid w:val="001B46EB"/>
    <w:rsid w:val="001B58F0"/>
    <w:rsid w:val="001B5FE7"/>
    <w:rsid w:val="001C2B8B"/>
    <w:rsid w:val="001C3CEA"/>
    <w:rsid w:val="001C3F78"/>
    <w:rsid w:val="001D147B"/>
    <w:rsid w:val="001D44A1"/>
    <w:rsid w:val="001D46DA"/>
    <w:rsid w:val="001D564E"/>
    <w:rsid w:val="001D5ACB"/>
    <w:rsid w:val="001D60CC"/>
    <w:rsid w:val="001D7D48"/>
    <w:rsid w:val="001E2602"/>
    <w:rsid w:val="001E3868"/>
    <w:rsid w:val="001E440F"/>
    <w:rsid w:val="001E4A2D"/>
    <w:rsid w:val="001E539A"/>
    <w:rsid w:val="001E5854"/>
    <w:rsid w:val="001E6808"/>
    <w:rsid w:val="001F0EE4"/>
    <w:rsid w:val="001F269A"/>
    <w:rsid w:val="001F2D26"/>
    <w:rsid w:val="001F2E8C"/>
    <w:rsid w:val="001F564F"/>
    <w:rsid w:val="001F665A"/>
    <w:rsid w:val="001F6A7D"/>
    <w:rsid w:val="00200706"/>
    <w:rsid w:val="0020099C"/>
    <w:rsid w:val="002009E4"/>
    <w:rsid w:val="00201247"/>
    <w:rsid w:val="00201CB2"/>
    <w:rsid w:val="002057E7"/>
    <w:rsid w:val="002061C6"/>
    <w:rsid w:val="0020641D"/>
    <w:rsid w:val="00206B6D"/>
    <w:rsid w:val="00210E0A"/>
    <w:rsid w:val="002114CC"/>
    <w:rsid w:val="002120AD"/>
    <w:rsid w:val="002122A4"/>
    <w:rsid w:val="00212E2F"/>
    <w:rsid w:val="0021361F"/>
    <w:rsid w:val="00214840"/>
    <w:rsid w:val="00216D67"/>
    <w:rsid w:val="00217309"/>
    <w:rsid w:val="002177C1"/>
    <w:rsid w:val="00220286"/>
    <w:rsid w:val="00220D7A"/>
    <w:rsid w:val="00221B37"/>
    <w:rsid w:val="00222117"/>
    <w:rsid w:val="00222AD2"/>
    <w:rsid w:val="00230A2A"/>
    <w:rsid w:val="00230C37"/>
    <w:rsid w:val="002310EF"/>
    <w:rsid w:val="002330DC"/>
    <w:rsid w:val="0023499A"/>
    <w:rsid w:val="00235507"/>
    <w:rsid w:val="00236318"/>
    <w:rsid w:val="00237612"/>
    <w:rsid w:val="002402B7"/>
    <w:rsid w:val="002431DC"/>
    <w:rsid w:val="00243FC5"/>
    <w:rsid w:val="002455F3"/>
    <w:rsid w:val="00245804"/>
    <w:rsid w:val="00246390"/>
    <w:rsid w:val="00247B54"/>
    <w:rsid w:val="00251222"/>
    <w:rsid w:val="00253E21"/>
    <w:rsid w:val="0025629C"/>
    <w:rsid w:val="002570A6"/>
    <w:rsid w:val="00260D77"/>
    <w:rsid w:val="002619D2"/>
    <w:rsid w:val="00264913"/>
    <w:rsid w:val="00266D16"/>
    <w:rsid w:val="00272066"/>
    <w:rsid w:val="002725D9"/>
    <w:rsid w:val="00273DF6"/>
    <w:rsid w:val="00274061"/>
    <w:rsid w:val="00276DA8"/>
    <w:rsid w:val="002774BD"/>
    <w:rsid w:val="00280FB1"/>
    <w:rsid w:val="002816B5"/>
    <w:rsid w:val="00281712"/>
    <w:rsid w:val="002817FC"/>
    <w:rsid w:val="00284982"/>
    <w:rsid w:val="00286CCD"/>
    <w:rsid w:val="002905FA"/>
    <w:rsid w:val="00293184"/>
    <w:rsid w:val="00296FF3"/>
    <w:rsid w:val="00297C4A"/>
    <w:rsid w:val="002A29E6"/>
    <w:rsid w:val="002A5D66"/>
    <w:rsid w:val="002A7AB3"/>
    <w:rsid w:val="002A7F6A"/>
    <w:rsid w:val="002B3C62"/>
    <w:rsid w:val="002B5C2A"/>
    <w:rsid w:val="002B5C32"/>
    <w:rsid w:val="002C1D65"/>
    <w:rsid w:val="002C3C93"/>
    <w:rsid w:val="002C73C6"/>
    <w:rsid w:val="002C7D80"/>
    <w:rsid w:val="002C7D81"/>
    <w:rsid w:val="002D04DE"/>
    <w:rsid w:val="002D061A"/>
    <w:rsid w:val="002D0BE3"/>
    <w:rsid w:val="002D11EE"/>
    <w:rsid w:val="002D1808"/>
    <w:rsid w:val="002D2C19"/>
    <w:rsid w:val="002D2E98"/>
    <w:rsid w:val="002D4BC5"/>
    <w:rsid w:val="002D62D3"/>
    <w:rsid w:val="002D7F01"/>
    <w:rsid w:val="002E31B7"/>
    <w:rsid w:val="002E36F4"/>
    <w:rsid w:val="002E383D"/>
    <w:rsid w:val="002E4F71"/>
    <w:rsid w:val="002E5064"/>
    <w:rsid w:val="002F00F1"/>
    <w:rsid w:val="002F20D8"/>
    <w:rsid w:val="002F2B4E"/>
    <w:rsid w:val="002F353D"/>
    <w:rsid w:val="00300EA1"/>
    <w:rsid w:val="003016A4"/>
    <w:rsid w:val="00301866"/>
    <w:rsid w:val="0030290D"/>
    <w:rsid w:val="00302C72"/>
    <w:rsid w:val="00305B30"/>
    <w:rsid w:val="00305D0C"/>
    <w:rsid w:val="00306D1B"/>
    <w:rsid w:val="00307656"/>
    <w:rsid w:val="00307EB0"/>
    <w:rsid w:val="0031003E"/>
    <w:rsid w:val="00310FBF"/>
    <w:rsid w:val="003121AF"/>
    <w:rsid w:val="00314262"/>
    <w:rsid w:val="003156DB"/>
    <w:rsid w:val="00315767"/>
    <w:rsid w:val="00323386"/>
    <w:rsid w:val="0032725C"/>
    <w:rsid w:val="00333073"/>
    <w:rsid w:val="0033460C"/>
    <w:rsid w:val="003357BC"/>
    <w:rsid w:val="00336527"/>
    <w:rsid w:val="00341837"/>
    <w:rsid w:val="00341938"/>
    <w:rsid w:val="003423AA"/>
    <w:rsid w:val="00342CF1"/>
    <w:rsid w:val="003430B7"/>
    <w:rsid w:val="0034407C"/>
    <w:rsid w:val="00344255"/>
    <w:rsid w:val="00345CBC"/>
    <w:rsid w:val="00347A43"/>
    <w:rsid w:val="0035003B"/>
    <w:rsid w:val="0035159A"/>
    <w:rsid w:val="00351B34"/>
    <w:rsid w:val="00351D90"/>
    <w:rsid w:val="0035471C"/>
    <w:rsid w:val="00356486"/>
    <w:rsid w:val="00357293"/>
    <w:rsid w:val="00357D65"/>
    <w:rsid w:val="0036014C"/>
    <w:rsid w:val="00361E9E"/>
    <w:rsid w:val="00363257"/>
    <w:rsid w:val="00363728"/>
    <w:rsid w:val="003637A9"/>
    <w:rsid w:val="00363F52"/>
    <w:rsid w:val="003642B8"/>
    <w:rsid w:val="003643C2"/>
    <w:rsid w:val="00371701"/>
    <w:rsid w:val="00371ECC"/>
    <w:rsid w:val="00386CD8"/>
    <w:rsid w:val="003879F9"/>
    <w:rsid w:val="0039012D"/>
    <w:rsid w:val="003945D4"/>
    <w:rsid w:val="00397A4F"/>
    <w:rsid w:val="003A15DD"/>
    <w:rsid w:val="003A3448"/>
    <w:rsid w:val="003A3682"/>
    <w:rsid w:val="003A473F"/>
    <w:rsid w:val="003A5A44"/>
    <w:rsid w:val="003A7C70"/>
    <w:rsid w:val="003B1FFA"/>
    <w:rsid w:val="003B2289"/>
    <w:rsid w:val="003B56FD"/>
    <w:rsid w:val="003B590A"/>
    <w:rsid w:val="003B77D1"/>
    <w:rsid w:val="003C049C"/>
    <w:rsid w:val="003C0697"/>
    <w:rsid w:val="003C0759"/>
    <w:rsid w:val="003C0D4B"/>
    <w:rsid w:val="003C0E18"/>
    <w:rsid w:val="003C0E47"/>
    <w:rsid w:val="003C1A65"/>
    <w:rsid w:val="003C2AE5"/>
    <w:rsid w:val="003C33DD"/>
    <w:rsid w:val="003C36FE"/>
    <w:rsid w:val="003C37C5"/>
    <w:rsid w:val="003C3A4F"/>
    <w:rsid w:val="003C6603"/>
    <w:rsid w:val="003C6762"/>
    <w:rsid w:val="003C6B51"/>
    <w:rsid w:val="003C7503"/>
    <w:rsid w:val="003C7AD3"/>
    <w:rsid w:val="003D0C4B"/>
    <w:rsid w:val="003D31F4"/>
    <w:rsid w:val="003D3477"/>
    <w:rsid w:val="003D401E"/>
    <w:rsid w:val="003D57CE"/>
    <w:rsid w:val="003D5CD5"/>
    <w:rsid w:val="003D5E21"/>
    <w:rsid w:val="003D7B16"/>
    <w:rsid w:val="003E39C0"/>
    <w:rsid w:val="003E4D04"/>
    <w:rsid w:val="003E6341"/>
    <w:rsid w:val="003E7C65"/>
    <w:rsid w:val="003F4131"/>
    <w:rsid w:val="003F414D"/>
    <w:rsid w:val="003F5BCD"/>
    <w:rsid w:val="003F64D0"/>
    <w:rsid w:val="003F6C5F"/>
    <w:rsid w:val="003F7E10"/>
    <w:rsid w:val="004024FF"/>
    <w:rsid w:val="00402DAA"/>
    <w:rsid w:val="004035E1"/>
    <w:rsid w:val="00403DBC"/>
    <w:rsid w:val="00405582"/>
    <w:rsid w:val="004066DD"/>
    <w:rsid w:val="00410A65"/>
    <w:rsid w:val="00410AAD"/>
    <w:rsid w:val="0041145F"/>
    <w:rsid w:val="00411921"/>
    <w:rsid w:val="00412777"/>
    <w:rsid w:val="004129A7"/>
    <w:rsid w:val="0041368D"/>
    <w:rsid w:val="00421314"/>
    <w:rsid w:val="00422CC4"/>
    <w:rsid w:val="00423A36"/>
    <w:rsid w:val="00423A4D"/>
    <w:rsid w:val="00424F80"/>
    <w:rsid w:val="00426861"/>
    <w:rsid w:val="004304C5"/>
    <w:rsid w:val="004361DE"/>
    <w:rsid w:val="00436657"/>
    <w:rsid w:val="00436F11"/>
    <w:rsid w:val="00442FF4"/>
    <w:rsid w:val="004431D1"/>
    <w:rsid w:val="00444778"/>
    <w:rsid w:val="00444CC3"/>
    <w:rsid w:val="00445430"/>
    <w:rsid w:val="0044568B"/>
    <w:rsid w:val="004464AB"/>
    <w:rsid w:val="004507B2"/>
    <w:rsid w:val="00451505"/>
    <w:rsid w:val="00454685"/>
    <w:rsid w:val="00454930"/>
    <w:rsid w:val="00457117"/>
    <w:rsid w:val="00457A13"/>
    <w:rsid w:val="00460111"/>
    <w:rsid w:val="0046086E"/>
    <w:rsid w:val="00460BBF"/>
    <w:rsid w:val="004611EE"/>
    <w:rsid w:val="0046337B"/>
    <w:rsid w:val="0046451F"/>
    <w:rsid w:val="00467915"/>
    <w:rsid w:val="004679C6"/>
    <w:rsid w:val="004740D3"/>
    <w:rsid w:val="00474E2F"/>
    <w:rsid w:val="004752EB"/>
    <w:rsid w:val="00477460"/>
    <w:rsid w:val="00482C54"/>
    <w:rsid w:val="00482DC9"/>
    <w:rsid w:val="00485772"/>
    <w:rsid w:val="00492833"/>
    <w:rsid w:val="00492BF3"/>
    <w:rsid w:val="004941C4"/>
    <w:rsid w:val="00495210"/>
    <w:rsid w:val="00495DCD"/>
    <w:rsid w:val="00496A2E"/>
    <w:rsid w:val="0049758E"/>
    <w:rsid w:val="004A0583"/>
    <w:rsid w:val="004A1D15"/>
    <w:rsid w:val="004A2BE0"/>
    <w:rsid w:val="004A471C"/>
    <w:rsid w:val="004A5BF5"/>
    <w:rsid w:val="004A6996"/>
    <w:rsid w:val="004B0A0E"/>
    <w:rsid w:val="004B0DFE"/>
    <w:rsid w:val="004B27B1"/>
    <w:rsid w:val="004B55CE"/>
    <w:rsid w:val="004B647A"/>
    <w:rsid w:val="004B7448"/>
    <w:rsid w:val="004B7BEA"/>
    <w:rsid w:val="004C06A3"/>
    <w:rsid w:val="004C0B15"/>
    <w:rsid w:val="004C1352"/>
    <w:rsid w:val="004C16B4"/>
    <w:rsid w:val="004C2992"/>
    <w:rsid w:val="004C3AA7"/>
    <w:rsid w:val="004C6DF6"/>
    <w:rsid w:val="004C77E6"/>
    <w:rsid w:val="004D12C4"/>
    <w:rsid w:val="004D154C"/>
    <w:rsid w:val="004D1F3D"/>
    <w:rsid w:val="004D1F61"/>
    <w:rsid w:val="004D4027"/>
    <w:rsid w:val="004D74A2"/>
    <w:rsid w:val="004E08AE"/>
    <w:rsid w:val="004E2240"/>
    <w:rsid w:val="004F069D"/>
    <w:rsid w:val="004F07B1"/>
    <w:rsid w:val="004F11FD"/>
    <w:rsid w:val="004F1620"/>
    <w:rsid w:val="004F2636"/>
    <w:rsid w:val="004F45A9"/>
    <w:rsid w:val="004F6445"/>
    <w:rsid w:val="004F689E"/>
    <w:rsid w:val="004F6E17"/>
    <w:rsid w:val="00502499"/>
    <w:rsid w:val="005024BD"/>
    <w:rsid w:val="005043EA"/>
    <w:rsid w:val="00504D2F"/>
    <w:rsid w:val="00505653"/>
    <w:rsid w:val="005058D8"/>
    <w:rsid w:val="0050711B"/>
    <w:rsid w:val="00511BCF"/>
    <w:rsid w:val="00511CE0"/>
    <w:rsid w:val="00511FCE"/>
    <w:rsid w:val="00513440"/>
    <w:rsid w:val="00513C21"/>
    <w:rsid w:val="00514E8B"/>
    <w:rsid w:val="00515294"/>
    <w:rsid w:val="00516C13"/>
    <w:rsid w:val="00517C34"/>
    <w:rsid w:val="00520741"/>
    <w:rsid w:val="0052215E"/>
    <w:rsid w:val="00523098"/>
    <w:rsid w:val="00523656"/>
    <w:rsid w:val="00524A32"/>
    <w:rsid w:val="0052546A"/>
    <w:rsid w:val="00525710"/>
    <w:rsid w:val="0052771A"/>
    <w:rsid w:val="00527C56"/>
    <w:rsid w:val="00527E59"/>
    <w:rsid w:val="00531079"/>
    <w:rsid w:val="0053377D"/>
    <w:rsid w:val="00536400"/>
    <w:rsid w:val="0053642E"/>
    <w:rsid w:val="00536EFD"/>
    <w:rsid w:val="005373F5"/>
    <w:rsid w:val="00544746"/>
    <w:rsid w:val="005451F4"/>
    <w:rsid w:val="00545556"/>
    <w:rsid w:val="005455FE"/>
    <w:rsid w:val="00546A6B"/>
    <w:rsid w:val="00547D70"/>
    <w:rsid w:val="00547FB3"/>
    <w:rsid w:val="00550639"/>
    <w:rsid w:val="00551C2C"/>
    <w:rsid w:val="00552050"/>
    <w:rsid w:val="0055244A"/>
    <w:rsid w:val="00552937"/>
    <w:rsid w:val="00552A81"/>
    <w:rsid w:val="00553765"/>
    <w:rsid w:val="00554449"/>
    <w:rsid w:val="00555C50"/>
    <w:rsid w:val="00556885"/>
    <w:rsid w:val="005572E6"/>
    <w:rsid w:val="005616C7"/>
    <w:rsid w:val="00563D16"/>
    <w:rsid w:val="00564109"/>
    <w:rsid w:val="005648D9"/>
    <w:rsid w:val="00566596"/>
    <w:rsid w:val="005675A2"/>
    <w:rsid w:val="005675E6"/>
    <w:rsid w:val="005718D8"/>
    <w:rsid w:val="00571B90"/>
    <w:rsid w:val="00572B8D"/>
    <w:rsid w:val="005730AE"/>
    <w:rsid w:val="005743BF"/>
    <w:rsid w:val="0057453E"/>
    <w:rsid w:val="00580E59"/>
    <w:rsid w:val="005836AE"/>
    <w:rsid w:val="0058407F"/>
    <w:rsid w:val="00584164"/>
    <w:rsid w:val="00584B97"/>
    <w:rsid w:val="005869D4"/>
    <w:rsid w:val="00586B61"/>
    <w:rsid w:val="00587F2C"/>
    <w:rsid w:val="00591042"/>
    <w:rsid w:val="0059433B"/>
    <w:rsid w:val="0059474E"/>
    <w:rsid w:val="005A28F8"/>
    <w:rsid w:val="005A2C16"/>
    <w:rsid w:val="005A3A78"/>
    <w:rsid w:val="005A6919"/>
    <w:rsid w:val="005A7921"/>
    <w:rsid w:val="005B14C1"/>
    <w:rsid w:val="005B1A5D"/>
    <w:rsid w:val="005B2CE7"/>
    <w:rsid w:val="005B3779"/>
    <w:rsid w:val="005B6597"/>
    <w:rsid w:val="005C0FA8"/>
    <w:rsid w:val="005C2C3B"/>
    <w:rsid w:val="005C675D"/>
    <w:rsid w:val="005C689B"/>
    <w:rsid w:val="005C76A7"/>
    <w:rsid w:val="005D0ED6"/>
    <w:rsid w:val="005D0F51"/>
    <w:rsid w:val="005D125A"/>
    <w:rsid w:val="005D19A7"/>
    <w:rsid w:val="005D2AFF"/>
    <w:rsid w:val="005D3098"/>
    <w:rsid w:val="005D40FC"/>
    <w:rsid w:val="005D45C3"/>
    <w:rsid w:val="005D4A7D"/>
    <w:rsid w:val="005D5940"/>
    <w:rsid w:val="005D5B92"/>
    <w:rsid w:val="005E2E23"/>
    <w:rsid w:val="005E2FFE"/>
    <w:rsid w:val="005E3379"/>
    <w:rsid w:val="005E370C"/>
    <w:rsid w:val="005E4A14"/>
    <w:rsid w:val="005E5ED1"/>
    <w:rsid w:val="005E7887"/>
    <w:rsid w:val="005E7AC3"/>
    <w:rsid w:val="005F08D9"/>
    <w:rsid w:val="005F106B"/>
    <w:rsid w:val="005F2629"/>
    <w:rsid w:val="005F3862"/>
    <w:rsid w:val="005F386F"/>
    <w:rsid w:val="005F6092"/>
    <w:rsid w:val="005F6172"/>
    <w:rsid w:val="006000B5"/>
    <w:rsid w:val="00600BC9"/>
    <w:rsid w:val="00604444"/>
    <w:rsid w:val="00604B66"/>
    <w:rsid w:val="00605165"/>
    <w:rsid w:val="00605950"/>
    <w:rsid w:val="00605FC1"/>
    <w:rsid w:val="0060635D"/>
    <w:rsid w:val="0060730C"/>
    <w:rsid w:val="00607AA6"/>
    <w:rsid w:val="006114D1"/>
    <w:rsid w:val="00611B24"/>
    <w:rsid w:val="00614A4E"/>
    <w:rsid w:val="006151A4"/>
    <w:rsid w:val="006166BB"/>
    <w:rsid w:val="0062032B"/>
    <w:rsid w:val="00620D67"/>
    <w:rsid w:val="00621787"/>
    <w:rsid w:val="0062197D"/>
    <w:rsid w:val="00623D28"/>
    <w:rsid w:val="00624A78"/>
    <w:rsid w:val="00624DF6"/>
    <w:rsid w:val="00624F4A"/>
    <w:rsid w:val="00625791"/>
    <w:rsid w:val="006267B8"/>
    <w:rsid w:val="00627148"/>
    <w:rsid w:val="006309A7"/>
    <w:rsid w:val="006311CD"/>
    <w:rsid w:val="00631F63"/>
    <w:rsid w:val="00632239"/>
    <w:rsid w:val="00632545"/>
    <w:rsid w:val="006352B9"/>
    <w:rsid w:val="00636F74"/>
    <w:rsid w:val="00637B32"/>
    <w:rsid w:val="00640B6B"/>
    <w:rsid w:val="006435A6"/>
    <w:rsid w:val="00644207"/>
    <w:rsid w:val="00644AF2"/>
    <w:rsid w:val="006464B5"/>
    <w:rsid w:val="006478E4"/>
    <w:rsid w:val="00652D02"/>
    <w:rsid w:val="00652E1B"/>
    <w:rsid w:val="0065321E"/>
    <w:rsid w:val="00655B03"/>
    <w:rsid w:val="00655B78"/>
    <w:rsid w:val="00655BA3"/>
    <w:rsid w:val="00660A41"/>
    <w:rsid w:val="006617D7"/>
    <w:rsid w:val="0066403A"/>
    <w:rsid w:val="00666376"/>
    <w:rsid w:val="00671171"/>
    <w:rsid w:val="0067125B"/>
    <w:rsid w:val="00674AF4"/>
    <w:rsid w:val="0067650A"/>
    <w:rsid w:val="00676A9D"/>
    <w:rsid w:val="00685234"/>
    <w:rsid w:val="00685FBB"/>
    <w:rsid w:val="0069265C"/>
    <w:rsid w:val="00693EE4"/>
    <w:rsid w:val="00694A07"/>
    <w:rsid w:val="00694D10"/>
    <w:rsid w:val="0069759B"/>
    <w:rsid w:val="006A00F9"/>
    <w:rsid w:val="006A1644"/>
    <w:rsid w:val="006A1C3E"/>
    <w:rsid w:val="006A540D"/>
    <w:rsid w:val="006B0D48"/>
    <w:rsid w:val="006B2970"/>
    <w:rsid w:val="006B3717"/>
    <w:rsid w:val="006B3B96"/>
    <w:rsid w:val="006B4851"/>
    <w:rsid w:val="006B598A"/>
    <w:rsid w:val="006B5AC8"/>
    <w:rsid w:val="006B5C9C"/>
    <w:rsid w:val="006B6E33"/>
    <w:rsid w:val="006B6F95"/>
    <w:rsid w:val="006B72CF"/>
    <w:rsid w:val="006B7CFD"/>
    <w:rsid w:val="006C0FCB"/>
    <w:rsid w:val="006C16A3"/>
    <w:rsid w:val="006C287C"/>
    <w:rsid w:val="006C327C"/>
    <w:rsid w:val="006C45E4"/>
    <w:rsid w:val="006C49B4"/>
    <w:rsid w:val="006C4B21"/>
    <w:rsid w:val="006C59CD"/>
    <w:rsid w:val="006C71A1"/>
    <w:rsid w:val="006D01D1"/>
    <w:rsid w:val="006D0E30"/>
    <w:rsid w:val="006D2CA7"/>
    <w:rsid w:val="006D508D"/>
    <w:rsid w:val="006D51F5"/>
    <w:rsid w:val="006D5B5F"/>
    <w:rsid w:val="006D6E0B"/>
    <w:rsid w:val="006E000B"/>
    <w:rsid w:val="006E00BB"/>
    <w:rsid w:val="006E1173"/>
    <w:rsid w:val="006E2682"/>
    <w:rsid w:val="006E45EC"/>
    <w:rsid w:val="006E513A"/>
    <w:rsid w:val="006E57AB"/>
    <w:rsid w:val="006F0EE8"/>
    <w:rsid w:val="006F186A"/>
    <w:rsid w:val="006F3EF1"/>
    <w:rsid w:val="006F5641"/>
    <w:rsid w:val="006F5A31"/>
    <w:rsid w:val="006F71F4"/>
    <w:rsid w:val="0070274B"/>
    <w:rsid w:val="00702986"/>
    <w:rsid w:val="00703079"/>
    <w:rsid w:val="0070576B"/>
    <w:rsid w:val="00705CD6"/>
    <w:rsid w:val="00706BE9"/>
    <w:rsid w:val="00707610"/>
    <w:rsid w:val="0071007C"/>
    <w:rsid w:val="0071091C"/>
    <w:rsid w:val="00712EB7"/>
    <w:rsid w:val="00721112"/>
    <w:rsid w:val="00725E8A"/>
    <w:rsid w:val="00726192"/>
    <w:rsid w:val="00730DCE"/>
    <w:rsid w:val="00731EFB"/>
    <w:rsid w:val="00734372"/>
    <w:rsid w:val="007347E7"/>
    <w:rsid w:val="007355B5"/>
    <w:rsid w:val="00736353"/>
    <w:rsid w:val="007410C3"/>
    <w:rsid w:val="0074326C"/>
    <w:rsid w:val="00745184"/>
    <w:rsid w:val="00745739"/>
    <w:rsid w:val="0074582F"/>
    <w:rsid w:val="00746F51"/>
    <w:rsid w:val="0074774C"/>
    <w:rsid w:val="00753D37"/>
    <w:rsid w:val="00754A51"/>
    <w:rsid w:val="007550BB"/>
    <w:rsid w:val="0075521D"/>
    <w:rsid w:val="00755C0B"/>
    <w:rsid w:val="007608D4"/>
    <w:rsid w:val="00761700"/>
    <w:rsid w:val="00764E41"/>
    <w:rsid w:val="00767B44"/>
    <w:rsid w:val="00771CB7"/>
    <w:rsid w:val="0077302C"/>
    <w:rsid w:val="007732BF"/>
    <w:rsid w:val="00773E57"/>
    <w:rsid w:val="0077480D"/>
    <w:rsid w:val="00776664"/>
    <w:rsid w:val="00776C3B"/>
    <w:rsid w:val="007774C9"/>
    <w:rsid w:val="00777C03"/>
    <w:rsid w:val="00783046"/>
    <w:rsid w:val="00785F88"/>
    <w:rsid w:val="007869B0"/>
    <w:rsid w:val="007875B1"/>
    <w:rsid w:val="00790F89"/>
    <w:rsid w:val="0079178D"/>
    <w:rsid w:val="0079469F"/>
    <w:rsid w:val="007956B0"/>
    <w:rsid w:val="00795BBD"/>
    <w:rsid w:val="007A06AC"/>
    <w:rsid w:val="007A0EED"/>
    <w:rsid w:val="007A3C04"/>
    <w:rsid w:val="007A796D"/>
    <w:rsid w:val="007B041F"/>
    <w:rsid w:val="007B0CD0"/>
    <w:rsid w:val="007B107E"/>
    <w:rsid w:val="007B13D0"/>
    <w:rsid w:val="007B197E"/>
    <w:rsid w:val="007B217D"/>
    <w:rsid w:val="007B28E0"/>
    <w:rsid w:val="007B454B"/>
    <w:rsid w:val="007B51D9"/>
    <w:rsid w:val="007B6054"/>
    <w:rsid w:val="007B7E03"/>
    <w:rsid w:val="007C0639"/>
    <w:rsid w:val="007C06C1"/>
    <w:rsid w:val="007C3388"/>
    <w:rsid w:val="007C4052"/>
    <w:rsid w:val="007C7CEA"/>
    <w:rsid w:val="007D0955"/>
    <w:rsid w:val="007D2AEB"/>
    <w:rsid w:val="007D49A1"/>
    <w:rsid w:val="007D59AF"/>
    <w:rsid w:val="007E266B"/>
    <w:rsid w:val="007E3E41"/>
    <w:rsid w:val="007E4313"/>
    <w:rsid w:val="007E4D05"/>
    <w:rsid w:val="007E54AF"/>
    <w:rsid w:val="007E6F71"/>
    <w:rsid w:val="007E71D7"/>
    <w:rsid w:val="007E7360"/>
    <w:rsid w:val="007F0111"/>
    <w:rsid w:val="007F0EB5"/>
    <w:rsid w:val="007F1662"/>
    <w:rsid w:val="007F24CC"/>
    <w:rsid w:val="007F24CF"/>
    <w:rsid w:val="007F2810"/>
    <w:rsid w:val="007F308C"/>
    <w:rsid w:val="007F4DB4"/>
    <w:rsid w:val="007F7CA6"/>
    <w:rsid w:val="007F7CC2"/>
    <w:rsid w:val="008000AE"/>
    <w:rsid w:val="00804E6B"/>
    <w:rsid w:val="00805076"/>
    <w:rsid w:val="00806A71"/>
    <w:rsid w:val="0081016C"/>
    <w:rsid w:val="008117AD"/>
    <w:rsid w:val="00811865"/>
    <w:rsid w:val="008126DE"/>
    <w:rsid w:val="00813367"/>
    <w:rsid w:val="00814C56"/>
    <w:rsid w:val="00816B9A"/>
    <w:rsid w:val="00816BF1"/>
    <w:rsid w:val="00817CAB"/>
    <w:rsid w:val="008208B9"/>
    <w:rsid w:val="00820A0A"/>
    <w:rsid w:val="00821F07"/>
    <w:rsid w:val="00822E1E"/>
    <w:rsid w:val="00823D77"/>
    <w:rsid w:val="0082584B"/>
    <w:rsid w:val="00830962"/>
    <w:rsid w:val="0083100C"/>
    <w:rsid w:val="00831515"/>
    <w:rsid w:val="008348C0"/>
    <w:rsid w:val="00834CE0"/>
    <w:rsid w:val="00837D1B"/>
    <w:rsid w:val="00837F83"/>
    <w:rsid w:val="00843573"/>
    <w:rsid w:val="00845E38"/>
    <w:rsid w:val="00847BC2"/>
    <w:rsid w:val="00851263"/>
    <w:rsid w:val="00852B0D"/>
    <w:rsid w:val="0085300E"/>
    <w:rsid w:val="00855AC3"/>
    <w:rsid w:val="0085717A"/>
    <w:rsid w:val="00857F51"/>
    <w:rsid w:val="00860AF4"/>
    <w:rsid w:val="00861447"/>
    <w:rsid w:val="00861456"/>
    <w:rsid w:val="00861E38"/>
    <w:rsid w:val="008655B6"/>
    <w:rsid w:val="008661A9"/>
    <w:rsid w:val="00867712"/>
    <w:rsid w:val="00867C04"/>
    <w:rsid w:val="0087427C"/>
    <w:rsid w:val="00875FC3"/>
    <w:rsid w:val="008775DE"/>
    <w:rsid w:val="00877ADD"/>
    <w:rsid w:val="00880803"/>
    <w:rsid w:val="008825A8"/>
    <w:rsid w:val="00882A8C"/>
    <w:rsid w:val="008831EE"/>
    <w:rsid w:val="00883D8A"/>
    <w:rsid w:val="0088430C"/>
    <w:rsid w:val="008860DA"/>
    <w:rsid w:val="00887558"/>
    <w:rsid w:val="00887E02"/>
    <w:rsid w:val="00894A1B"/>
    <w:rsid w:val="00894C74"/>
    <w:rsid w:val="008A092C"/>
    <w:rsid w:val="008A3D04"/>
    <w:rsid w:val="008A7196"/>
    <w:rsid w:val="008A7C73"/>
    <w:rsid w:val="008B1E59"/>
    <w:rsid w:val="008B31B1"/>
    <w:rsid w:val="008B5640"/>
    <w:rsid w:val="008B5C75"/>
    <w:rsid w:val="008C095C"/>
    <w:rsid w:val="008C0AAB"/>
    <w:rsid w:val="008C107E"/>
    <w:rsid w:val="008C1240"/>
    <w:rsid w:val="008C1284"/>
    <w:rsid w:val="008C3A31"/>
    <w:rsid w:val="008C3BE8"/>
    <w:rsid w:val="008D12A9"/>
    <w:rsid w:val="008D2F31"/>
    <w:rsid w:val="008D34A8"/>
    <w:rsid w:val="008D3866"/>
    <w:rsid w:val="008D3CA1"/>
    <w:rsid w:val="008D3FC1"/>
    <w:rsid w:val="008D497F"/>
    <w:rsid w:val="008D75D1"/>
    <w:rsid w:val="008D76A2"/>
    <w:rsid w:val="008E0696"/>
    <w:rsid w:val="008E17EA"/>
    <w:rsid w:val="008E1A48"/>
    <w:rsid w:val="008E20B7"/>
    <w:rsid w:val="008E263F"/>
    <w:rsid w:val="008E4B94"/>
    <w:rsid w:val="008E6A70"/>
    <w:rsid w:val="008E6F86"/>
    <w:rsid w:val="008F0943"/>
    <w:rsid w:val="008F141B"/>
    <w:rsid w:val="008F1799"/>
    <w:rsid w:val="008F42E9"/>
    <w:rsid w:val="008F6F06"/>
    <w:rsid w:val="00902BA0"/>
    <w:rsid w:val="009031CB"/>
    <w:rsid w:val="00903FC2"/>
    <w:rsid w:val="00904ED0"/>
    <w:rsid w:val="009054C1"/>
    <w:rsid w:val="00905EA4"/>
    <w:rsid w:val="00905F19"/>
    <w:rsid w:val="009071E0"/>
    <w:rsid w:val="00907C40"/>
    <w:rsid w:val="00910E18"/>
    <w:rsid w:val="0091138C"/>
    <w:rsid w:val="009157DE"/>
    <w:rsid w:val="0091594F"/>
    <w:rsid w:val="00916214"/>
    <w:rsid w:val="0091672F"/>
    <w:rsid w:val="00920697"/>
    <w:rsid w:val="0092146A"/>
    <w:rsid w:val="00924797"/>
    <w:rsid w:val="00925047"/>
    <w:rsid w:val="009250BD"/>
    <w:rsid w:val="00927531"/>
    <w:rsid w:val="009277D0"/>
    <w:rsid w:val="009301F2"/>
    <w:rsid w:val="00931846"/>
    <w:rsid w:val="009334C5"/>
    <w:rsid w:val="00933BAB"/>
    <w:rsid w:val="00935A0B"/>
    <w:rsid w:val="00936306"/>
    <w:rsid w:val="00937BC5"/>
    <w:rsid w:val="00940F9F"/>
    <w:rsid w:val="00944A50"/>
    <w:rsid w:val="009515FC"/>
    <w:rsid w:val="00951AE1"/>
    <w:rsid w:val="00952A47"/>
    <w:rsid w:val="00954073"/>
    <w:rsid w:val="00954C8C"/>
    <w:rsid w:val="0095786E"/>
    <w:rsid w:val="0096216D"/>
    <w:rsid w:val="00962F0B"/>
    <w:rsid w:val="00964773"/>
    <w:rsid w:val="009652CB"/>
    <w:rsid w:val="0096724C"/>
    <w:rsid w:val="00971564"/>
    <w:rsid w:val="00972A6D"/>
    <w:rsid w:val="009747D2"/>
    <w:rsid w:val="009763F8"/>
    <w:rsid w:val="00977F10"/>
    <w:rsid w:val="009808AF"/>
    <w:rsid w:val="00981044"/>
    <w:rsid w:val="00982363"/>
    <w:rsid w:val="00987559"/>
    <w:rsid w:val="009879D2"/>
    <w:rsid w:val="00987C16"/>
    <w:rsid w:val="00987C9F"/>
    <w:rsid w:val="009915BE"/>
    <w:rsid w:val="00991AA0"/>
    <w:rsid w:val="00992816"/>
    <w:rsid w:val="0099457C"/>
    <w:rsid w:val="009953E6"/>
    <w:rsid w:val="00997BA2"/>
    <w:rsid w:val="00997FD3"/>
    <w:rsid w:val="009A0CC9"/>
    <w:rsid w:val="009A2B89"/>
    <w:rsid w:val="009A4767"/>
    <w:rsid w:val="009A6301"/>
    <w:rsid w:val="009A7523"/>
    <w:rsid w:val="009B2BD9"/>
    <w:rsid w:val="009B3F14"/>
    <w:rsid w:val="009B68BE"/>
    <w:rsid w:val="009B771F"/>
    <w:rsid w:val="009C0DC5"/>
    <w:rsid w:val="009C191B"/>
    <w:rsid w:val="009C2D8D"/>
    <w:rsid w:val="009C3299"/>
    <w:rsid w:val="009C3621"/>
    <w:rsid w:val="009C3B10"/>
    <w:rsid w:val="009C4C97"/>
    <w:rsid w:val="009C73BC"/>
    <w:rsid w:val="009C75A2"/>
    <w:rsid w:val="009D0DC3"/>
    <w:rsid w:val="009D1B82"/>
    <w:rsid w:val="009D270B"/>
    <w:rsid w:val="009D2F3D"/>
    <w:rsid w:val="009D2F9A"/>
    <w:rsid w:val="009D331A"/>
    <w:rsid w:val="009D43A1"/>
    <w:rsid w:val="009D5223"/>
    <w:rsid w:val="009D6B18"/>
    <w:rsid w:val="009E13E3"/>
    <w:rsid w:val="009E320A"/>
    <w:rsid w:val="009E5119"/>
    <w:rsid w:val="009F01E9"/>
    <w:rsid w:val="009F15EE"/>
    <w:rsid w:val="009F26D8"/>
    <w:rsid w:val="009F31DD"/>
    <w:rsid w:val="009F32F5"/>
    <w:rsid w:val="009F3A12"/>
    <w:rsid w:val="009F3EC7"/>
    <w:rsid w:val="009F3F74"/>
    <w:rsid w:val="009F4E26"/>
    <w:rsid w:val="009F53B4"/>
    <w:rsid w:val="009F5A40"/>
    <w:rsid w:val="009F79AF"/>
    <w:rsid w:val="00A00354"/>
    <w:rsid w:val="00A0037B"/>
    <w:rsid w:val="00A00538"/>
    <w:rsid w:val="00A00DF1"/>
    <w:rsid w:val="00A02405"/>
    <w:rsid w:val="00A041C3"/>
    <w:rsid w:val="00A06574"/>
    <w:rsid w:val="00A075A2"/>
    <w:rsid w:val="00A1292A"/>
    <w:rsid w:val="00A12FAC"/>
    <w:rsid w:val="00A14DB9"/>
    <w:rsid w:val="00A167F5"/>
    <w:rsid w:val="00A17C31"/>
    <w:rsid w:val="00A20424"/>
    <w:rsid w:val="00A20B61"/>
    <w:rsid w:val="00A23E7B"/>
    <w:rsid w:val="00A2498E"/>
    <w:rsid w:val="00A25B89"/>
    <w:rsid w:val="00A271A1"/>
    <w:rsid w:val="00A27A23"/>
    <w:rsid w:val="00A315C1"/>
    <w:rsid w:val="00A3396B"/>
    <w:rsid w:val="00A3711C"/>
    <w:rsid w:val="00A3752B"/>
    <w:rsid w:val="00A40590"/>
    <w:rsid w:val="00A40C25"/>
    <w:rsid w:val="00A4152E"/>
    <w:rsid w:val="00A423CA"/>
    <w:rsid w:val="00A43457"/>
    <w:rsid w:val="00A47A2F"/>
    <w:rsid w:val="00A5085E"/>
    <w:rsid w:val="00A53163"/>
    <w:rsid w:val="00A53BE0"/>
    <w:rsid w:val="00A54599"/>
    <w:rsid w:val="00A54A34"/>
    <w:rsid w:val="00A57701"/>
    <w:rsid w:val="00A5782C"/>
    <w:rsid w:val="00A60FE3"/>
    <w:rsid w:val="00A63819"/>
    <w:rsid w:val="00A665C2"/>
    <w:rsid w:val="00A7052D"/>
    <w:rsid w:val="00A705DE"/>
    <w:rsid w:val="00A70C1F"/>
    <w:rsid w:val="00A71736"/>
    <w:rsid w:val="00A741C9"/>
    <w:rsid w:val="00A74ED1"/>
    <w:rsid w:val="00A74F76"/>
    <w:rsid w:val="00A77F80"/>
    <w:rsid w:val="00A802E7"/>
    <w:rsid w:val="00A80B0E"/>
    <w:rsid w:val="00A81BC7"/>
    <w:rsid w:val="00A81C37"/>
    <w:rsid w:val="00A836AD"/>
    <w:rsid w:val="00A84D63"/>
    <w:rsid w:val="00A878AA"/>
    <w:rsid w:val="00A87CF1"/>
    <w:rsid w:val="00A92723"/>
    <w:rsid w:val="00A93A7E"/>
    <w:rsid w:val="00A96037"/>
    <w:rsid w:val="00A97391"/>
    <w:rsid w:val="00A9754D"/>
    <w:rsid w:val="00AA0C46"/>
    <w:rsid w:val="00AA1921"/>
    <w:rsid w:val="00AA2854"/>
    <w:rsid w:val="00AA5667"/>
    <w:rsid w:val="00AA56C9"/>
    <w:rsid w:val="00AA6A00"/>
    <w:rsid w:val="00AA6C67"/>
    <w:rsid w:val="00AA788C"/>
    <w:rsid w:val="00AB2851"/>
    <w:rsid w:val="00AB3784"/>
    <w:rsid w:val="00AB3EC6"/>
    <w:rsid w:val="00AB4478"/>
    <w:rsid w:val="00AB7774"/>
    <w:rsid w:val="00AC0795"/>
    <w:rsid w:val="00AC2372"/>
    <w:rsid w:val="00AC3779"/>
    <w:rsid w:val="00AC38CF"/>
    <w:rsid w:val="00AC3A50"/>
    <w:rsid w:val="00AC3AF2"/>
    <w:rsid w:val="00AC4528"/>
    <w:rsid w:val="00AC5086"/>
    <w:rsid w:val="00AC53C4"/>
    <w:rsid w:val="00AC6C00"/>
    <w:rsid w:val="00AC7363"/>
    <w:rsid w:val="00AD183F"/>
    <w:rsid w:val="00AD2822"/>
    <w:rsid w:val="00AD2B5F"/>
    <w:rsid w:val="00AD2CED"/>
    <w:rsid w:val="00AD319D"/>
    <w:rsid w:val="00AD4299"/>
    <w:rsid w:val="00AD48B0"/>
    <w:rsid w:val="00AD60CB"/>
    <w:rsid w:val="00AD7B77"/>
    <w:rsid w:val="00AE163A"/>
    <w:rsid w:val="00AE17AC"/>
    <w:rsid w:val="00AE38A0"/>
    <w:rsid w:val="00AE4B59"/>
    <w:rsid w:val="00AE5E56"/>
    <w:rsid w:val="00AE67CE"/>
    <w:rsid w:val="00AE708C"/>
    <w:rsid w:val="00AE7503"/>
    <w:rsid w:val="00AF3D89"/>
    <w:rsid w:val="00AF6358"/>
    <w:rsid w:val="00AF63BC"/>
    <w:rsid w:val="00B00E61"/>
    <w:rsid w:val="00B02E7D"/>
    <w:rsid w:val="00B03277"/>
    <w:rsid w:val="00B03CF7"/>
    <w:rsid w:val="00B05106"/>
    <w:rsid w:val="00B052C7"/>
    <w:rsid w:val="00B06854"/>
    <w:rsid w:val="00B068B5"/>
    <w:rsid w:val="00B07C21"/>
    <w:rsid w:val="00B11403"/>
    <w:rsid w:val="00B11887"/>
    <w:rsid w:val="00B13325"/>
    <w:rsid w:val="00B14F13"/>
    <w:rsid w:val="00B1641F"/>
    <w:rsid w:val="00B208F0"/>
    <w:rsid w:val="00B215AD"/>
    <w:rsid w:val="00B25722"/>
    <w:rsid w:val="00B271DC"/>
    <w:rsid w:val="00B31C75"/>
    <w:rsid w:val="00B32F98"/>
    <w:rsid w:val="00B338FA"/>
    <w:rsid w:val="00B33E38"/>
    <w:rsid w:val="00B34DA1"/>
    <w:rsid w:val="00B35454"/>
    <w:rsid w:val="00B3621F"/>
    <w:rsid w:val="00B36494"/>
    <w:rsid w:val="00B43703"/>
    <w:rsid w:val="00B44847"/>
    <w:rsid w:val="00B4621F"/>
    <w:rsid w:val="00B46D11"/>
    <w:rsid w:val="00B471B6"/>
    <w:rsid w:val="00B51009"/>
    <w:rsid w:val="00B5147D"/>
    <w:rsid w:val="00B52733"/>
    <w:rsid w:val="00B53E0F"/>
    <w:rsid w:val="00B54BA2"/>
    <w:rsid w:val="00B55E16"/>
    <w:rsid w:val="00B605AA"/>
    <w:rsid w:val="00B605EC"/>
    <w:rsid w:val="00B60EF9"/>
    <w:rsid w:val="00B63D0B"/>
    <w:rsid w:val="00B650AF"/>
    <w:rsid w:val="00B671E8"/>
    <w:rsid w:val="00B67BCD"/>
    <w:rsid w:val="00B70B01"/>
    <w:rsid w:val="00B7136E"/>
    <w:rsid w:val="00B71D3A"/>
    <w:rsid w:val="00B72482"/>
    <w:rsid w:val="00B74C52"/>
    <w:rsid w:val="00B74DAA"/>
    <w:rsid w:val="00B806FB"/>
    <w:rsid w:val="00B80E55"/>
    <w:rsid w:val="00B81E4C"/>
    <w:rsid w:val="00B84824"/>
    <w:rsid w:val="00B849D8"/>
    <w:rsid w:val="00B84D35"/>
    <w:rsid w:val="00B84FB4"/>
    <w:rsid w:val="00B8584C"/>
    <w:rsid w:val="00B86A51"/>
    <w:rsid w:val="00B879CA"/>
    <w:rsid w:val="00B87F5A"/>
    <w:rsid w:val="00B95432"/>
    <w:rsid w:val="00B96353"/>
    <w:rsid w:val="00B9649D"/>
    <w:rsid w:val="00BA1396"/>
    <w:rsid w:val="00BA1DA9"/>
    <w:rsid w:val="00BA5419"/>
    <w:rsid w:val="00BA56A3"/>
    <w:rsid w:val="00BA5768"/>
    <w:rsid w:val="00BA588F"/>
    <w:rsid w:val="00BB15D6"/>
    <w:rsid w:val="00BB2240"/>
    <w:rsid w:val="00BB2502"/>
    <w:rsid w:val="00BB3524"/>
    <w:rsid w:val="00BB4909"/>
    <w:rsid w:val="00BB4DB3"/>
    <w:rsid w:val="00BB51F5"/>
    <w:rsid w:val="00BB5545"/>
    <w:rsid w:val="00BB6792"/>
    <w:rsid w:val="00BB729B"/>
    <w:rsid w:val="00BB79B9"/>
    <w:rsid w:val="00BB7E98"/>
    <w:rsid w:val="00BC1B35"/>
    <w:rsid w:val="00BC1F27"/>
    <w:rsid w:val="00BC3B86"/>
    <w:rsid w:val="00BC490C"/>
    <w:rsid w:val="00BC5574"/>
    <w:rsid w:val="00BC5595"/>
    <w:rsid w:val="00BC7AC4"/>
    <w:rsid w:val="00BC7E44"/>
    <w:rsid w:val="00BD1928"/>
    <w:rsid w:val="00BD19F6"/>
    <w:rsid w:val="00BD3A9F"/>
    <w:rsid w:val="00BD4E9C"/>
    <w:rsid w:val="00BD68CA"/>
    <w:rsid w:val="00BD7B5A"/>
    <w:rsid w:val="00BE084F"/>
    <w:rsid w:val="00BE2303"/>
    <w:rsid w:val="00BE2968"/>
    <w:rsid w:val="00BE327F"/>
    <w:rsid w:val="00BE5208"/>
    <w:rsid w:val="00BE6E59"/>
    <w:rsid w:val="00BE75A2"/>
    <w:rsid w:val="00BF203B"/>
    <w:rsid w:val="00BF3E2D"/>
    <w:rsid w:val="00BF4384"/>
    <w:rsid w:val="00BF68D8"/>
    <w:rsid w:val="00C02201"/>
    <w:rsid w:val="00C028DE"/>
    <w:rsid w:val="00C03AF4"/>
    <w:rsid w:val="00C11801"/>
    <w:rsid w:val="00C11852"/>
    <w:rsid w:val="00C1387D"/>
    <w:rsid w:val="00C14E97"/>
    <w:rsid w:val="00C151B1"/>
    <w:rsid w:val="00C165BD"/>
    <w:rsid w:val="00C16602"/>
    <w:rsid w:val="00C169FB"/>
    <w:rsid w:val="00C17B69"/>
    <w:rsid w:val="00C218E4"/>
    <w:rsid w:val="00C22719"/>
    <w:rsid w:val="00C26859"/>
    <w:rsid w:val="00C27309"/>
    <w:rsid w:val="00C30D81"/>
    <w:rsid w:val="00C37478"/>
    <w:rsid w:val="00C40949"/>
    <w:rsid w:val="00C41DFA"/>
    <w:rsid w:val="00C42134"/>
    <w:rsid w:val="00C42C98"/>
    <w:rsid w:val="00C4442B"/>
    <w:rsid w:val="00C44D87"/>
    <w:rsid w:val="00C45468"/>
    <w:rsid w:val="00C465F7"/>
    <w:rsid w:val="00C47649"/>
    <w:rsid w:val="00C5107F"/>
    <w:rsid w:val="00C51470"/>
    <w:rsid w:val="00C52AF6"/>
    <w:rsid w:val="00C5305D"/>
    <w:rsid w:val="00C531FC"/>
    <w:rsid w:val="00C53364"/>
    <w:rsid w:val="00C53839"/>
    <w:rsid w:val="00C546E9"/>
    <w:rsid w:val="00C5584D"/>
    <w:rsid w:val="00C56085"/>
    <w:rsid w:val="00C56B32"/>
    <w:rsid w:val="00C605FF"/>
    <w:rsid w:val="00C62734"/>
    <w:rsid w:val="00C6313A"/>
    <w:rsid w:val="00C633F2"/>
    <w:rsid w:val="00C664CA"/>
    <w:rsid w:val="00C66776"/>
    <w:rsid w:val="00C6693D"/>
    <w:rsid w:val="00C670C6"/>
    <w:rsid w:val="00C70907"/>
    <w:rsid w:val="00C72156"/>
    <w:rsid w:val="00C727D7"/>
    <w:rsid w:val="00C735E7"/>
    <w:rsid w:val="00C75093"/>
    <w:rsid w:val="00C778B3"/>
    <w:rsid w:val="00C77920"/>
    <w:rsid w:val="00C81DE0"/>
    <w:rsid w:val="00C820BE"/>
    <w:rsid w:val="00C83A1D"/>
    <w:rsid w:val="00C84745"/>
    <w:rsid w:val="00C85227"/>
    <w:rsid w:val="00C86CBD"/>
    <w:rsid w:val="00C879FF"/>
    <w:rsid w:val="00C90611"/>
    <w:rsid w:val="00C925EF"/>
    <w:rsid w:val="00C95427"/>
    <w:rsid w:val="00C95CEC"/>
    <w:rsid w:val="00C964F0"/>
    <w:rsid w:val="00C97B3E"/>
    <w:rsid w:val="00CA02CE"/>
    <w:rsid w:val="00CA06EE"/>
    <w:rsid w:val="00CA0F17"/>
    <w:rsid w:val="00CA17CB"/>
    <w:rsid w:val="00CA2746"/>
    <w:rsid w:val="00CA49D3"/>
    <w:rsid w:val="00CA774D"/>
    <w:rsid w:val="00CB0BD1"/>
    <w:rsid w:val="00CB2F2D"/>
    <w:rsid w:val="00CB3C41"/>
    <w:rsid w:val="00CB61CE"/>
    <w:rsid w:val="00CB62D3"/>
    <w:rsid w:val="00CB6A7A"/>
    <w:rsid w:val="00CC0B26"/>
    <w:rsid w:val="00CC0E37"/>
    <w:rsid w:val="00CC26ED"/>
    <w:rsid w:val="00CC4A8A"/>
    <w:rsid w:val="00CC6635"/>
    <w:rsid w:val="00CC6FA5"/>
    <w:rsid w:val="00CD083E"/>
    <w:rsid w:val="00CD433D"/>
    <w:rsid w:val="00CD58DE"/>
    <w:rsid w:val="00CD7209"/>
    <w:rsid w:val="00CE0F41"/>
    <w:rsid w:val="00CE1BF6"/>
    <w:rsid w:val="00CE3DB9"/>
    <w:rsid w:val="00CE40B4"/>
    <w:rsid w:val="00CE4A33"/>
    <w:rsid w:val="00CE5E64"/>
    <w:rsid w:val="00CE6011"/>
    <w:rsid w:val="00CE7F2A"/>
    <w:rsid w:val="00CF0C27"/>
    <w:rsid w:val="00CF28C5"/>
    <w:rsid w:val="00CF360F"/>
    <w:rsid w:val="00CF39E1"/>
    <w:rsid w:val="00CF4732"/>
    <w:rsid w:val="00CF6D59"/>
    <w:rsid w:val="00CF7DA1"/>
    <w:rsid w:val="00D01170"/>
    <w:rsid w:val="00D03B14"/>
    <w:rsid w:val="00D076A2"/>
    <w:rsid w:val="00D13E7C"/>
    <w:rsid w:val="00D13F2A"/>
    <w:rsid w:val="00D15D50"/>
    <w:rsid w:val="00D15D90"/>
    <w:rsid w:val="00D15E86"/>
    <w:rsid w:val="00D1653D"/>
    <w:rsid w:val="00D176F6"/>
    <w:rsid w:val="00D17BBB"/>
    <w:rsid w:val="00D2013C"/>
    <w:rsid w:val="00D201E9"/>
    <w:rsid w:val="00D202D0"/>
    <w:rsid w:val="00D21860"/>
    <w:rsid w:val="00D239E0"/>
    <w:rsid w:val="00D244F7"/>
    <w:rsid w:val="00D2589B"/>
    <w:rsid w:val="00D2597F"/>
    <w:rsid w:val="00D26A36"/>
    <w:rsid w:val="00D279BA"/>
    <w:rsid w:val="00D30A41"/>
    <w:rsid w:val="00D31356"/>
    <w:rsid w:val="00D313A4"/>
    <w:rsid w:val="00D313DE"/>
    <w:rsid w:val="00D3198B"/>
    <w:rsid w:val="00D3285E"/>
    <w:rsid w:val="00D33E90"/>
    <w:rsid w:val="00D349F0"/>
    <w:rsid w:val="00D36C76"/>
    <w:rsid w:val="00D36FD7"/>
    <w:rsid w:val="00D37813"/>
    <w:rsid w:val="00D42737"/>
    <w:rsid w:val="00D42864"/>
    <w:rsid w:val="00D42DD3"/>
    <w:rsid w:val="00D44F97"/>
    <w:rsid w:val="00D45C17"/>
    <w:rsid w:val="00D45F66"/>
    <w:rsid w:val="00D4728E"/>
    <w:rsid w:val="00D50304"/>
    <w:rsid w:val="00D50570"/>
    <w:rsid w:val="00D50C95"/>
    <w:rsid w:val="00D5190E"/>
    <w:rsid w:val="00D52FB6"/>
    <w:rsid w:val="00D5401F"/>
    <w:rsid w:val="00D55807"/>
    <w:rsid w:val="00D577F7"/>
    <w:rsid w:val="00D60BA8"/>
    <w:rsid w:val="00D60E28"/>
    <w:rsid w:val="00D62667"/>
    <w:rsid w:val="00D62EC3"/>
    <w:rsid w:val="00D66C51"/>
    <w:rsid w:val="00D67006"/>
    <w:rsid w:val="00D71942"/>
    <w:rsid w:val="00D720A8"/>
    <w:rsid w:val="00D76D5F"/>
    <w:rsid w:val="00D77BC6"/>
    <w:rsid w:val="00D800BF"/>
    <w:rsid w:val="00D8152A"/>
    <w:rsid w:val="00D82DFE"/>
    <w:rsid w:val="00D834D5"/>
    <w:rsid w:val="00D83F91"/>
    <w:rsid w:val="00D84E0C"/>
    <w:rsid w:val="00D86CF6"/>
    <w:rsid w:val="00D90616"/>
    <w:rsid w:val="00D921A0"/>
    <w:rsid w:val="00D9299D"/>
    <w:rsid w:val="00D93FC9"/>
    <w:rsid w:val="00D941D4"/>
    <w:rsid w:val="00D9480F"/>
    <w:rsid w:val="00D97878"/>
    <w:rsid w:val="00DA14CB"/>
    <w:rsid w:val="00DA1E1A"/>
    <w:rsid w:val="00DA25D5"/>
    <w:rsid w:val="00DA34BF"/>
    <w:rsid w:val="00DA3F0D"/>
    <w:rsid w:val="00DB2A4D"/>
    <w:rsid w:val="00DB2C88"/>
    <w:rsid w:val="00DB3C52"/>
    <w:rsid w:val="00DB4D77"/>
    <w:rsid w:val="00DB4E7C"/>
    <w:rsid w:val="00DB5357"/>
    <w:rsid w:val="00DB5CBD"/>
    <w:rsid w:val="00DB63D2"/>
    <w:rsid w:val="00DC204C"/>
    <w:rsid w:val="00DC2E01"/>
    <w:rsid w:val="00DC725A"/>
    <w:rsid w:val="00DD0055"/>
    <w:rsid w:val="00DD095E"/>
    <w:rsid w:val="00DD0EF2"/>
    <w:rsid w:val="00DD7A0F"/>
    <w:rsid w:val="00DE03D3"/>
    <w:rsid w:val="00DE05C5"/>
    <w:rsid w:val="00DE11CC"/>
    <w:rsid w:val="00DE19F0"/>
    <w:rsid w:val="00DE2328"/>
    <w:rsid w:val="00DE27B2"/>
    <w:rsid w:val="00DE379E"/>
    <w:rsid w:val="00DE3ABE"/>
    <w:rsid w:val="00DE411C"/>
    <w:rsid w:val="00DE4A96"/>
    <w:rsid w:val="00DE7AD6"/>
    <w:rsid w:val="00DF1A14"/>
    <w:rsid w:val="00DF7AFE"/>
    <w:rsid w:val="00E00EC7"/>
    <w:rsid w:val="00E01F5E"/>
    <w:rsid w:val="00E02E49"/>
    <w:rsid w:val="00E04928"/>
    <w:rsid w:val="00E0503B"/>
    <w:rsid w:val="00E05619"/>
    <w:rsid w:val="00E056F8"/>
    <w:rsid w:val="00E06B8F"/>
    <w:rsid w:val="00E114EF"/>
    <w:rsid w:val="00E11D72"/>
    <w:rsid w:val="00E12EC4"/>
    <w:rsid w:val="00E12F21"/>
    <w:rsid w:val="00E151EB"/>
    <w:rsid w:val="00E16411"/>
    <w:rsid w:val="00E1672A"/>
    <w:rsid w:val="00E20CAA"/>
    <w:rsid w:val="00E2532D"/>
    <w:rsid w:val="00E2587C"/>
    <w:rsid w:val="00E273F7"/>
    <w:rsid w:val="00E30770"/>
    <w:rsid w:val="00E31029"/>
    <w:rsid w:val="00E31734"/>
    <w:rsid w:val="00E33AB4"/>
    <w:rsid w:val="00E3580E"/>
    <w:rsid w:val="00E359D8"/>
    <w:rsid w:val="00E35A96"/>
    <w:rsid w:val="00E3686D"/>
    <w:rsid w:val="00E36C5F"/>
    <w:rsid w:val="00E374FE"/>
    <w:rsid w:val="00E45739"/>
    <w:rsid w:val="00E46878"/>
    <w:rsid w:val="00E4735A"/>
    <w:rsid w:val="00E47F1A"/>
    <w:rsid w:val="00E5019F"/>
    <w:rsid w:val="00E533F7"/>
    <w:rsid w:val="00E5447C"/>
    <w:rsid w:val="00E55C7E"/>
    <w:rsid w:val="00E56CCB"/>
    <w:rsid w:val="00E57276"/>
    <w:rsid w:val="00E6653B"/>
    <w:rsid w:val="00E665EE"/>
    <w:rsid w:val="00E7069C"/>
    <w:rsid w:val="00E70D30"/>
    <w:rsid w:val="00E70E03"/>
    <w:rsid w:val="00E714EB"/>
    <w:rsid w:val="00E740EC"/>
    <w:rsid w:val="00E74AD4"/>
    <w:rsid w:val="00E74F06"/>
    <w:rsid w:val="00E75757"/>
    <w:rsid w:val="00E8570D"/>
    <w:rsid w:val="00E86728"/>
    <w:rsid w:val="00E92143"/>
    <w:rsid w:val="00E93FF1"/>
    <w:rsid w:val="00E951BA"/>
    <w:rsid w:val="00E95D13"/>
    <w:rsid w:val="00EA19C6"/>
    <w:rsid w:val="00EA1AC0"/>
    <w:rsid w:val="00EA3C82"/>
    <w:rsid w:val="00EA3EC7"/>
    <w:rsid w:val="00EA4476"/>
    <w:rsid w:val="00EA4ABA"/>
    <w:rsid w:val="00EA56EC"/>
    <w:rsid w:val="00EA6B2E"/>
    <w:rsid w:val="00EA77EC"/>
    <w:rsid w:val="00EB682E"/>
    <w:rsid w:val="00EB6E77"/>
    <w:rsid w:val="00EB6FCA"/>
    <w:rsid w:val="00EC19D0"/>
    <w:rsid w:val="00EC57DB"/>
    <w:rsid w:val="00EC6AE0"/>
    <w:rsid w:val="00ED0311"/>
    <w:rsid w:val="00ED1600"/>
    <w:rsid w:val="00ED16FC"/>
    <w:rsid w:val="00ED21E3"/>
    <w:rsid w:val="00ED2537"/>
    <w:rsid w:val="00ED283D"/>
    <w:rsid w:val="00ED3F7D"/>
    <w:rsid w:val="00ED4762"/>
    <w:rsid w:val="00ED633A"/>
    <w:rsid w:val="00EE2396"/>
    <w:rsid w:val="00EE2BF3"/>
    <w:rsid w:val="00EE37CF"/>
    <w:rsid w:val="00EE3D6F"/>
    <w:rsid w:val="00EE429A"/>
    <w:rsid w:val="00EE56F6"/>
    <w:rsid w:val="00EE620B"/>
    <w:rsid w:val="00EE6DBD"/>
    <w:rsid w:val="00EE6EA6"/>
    <w:rsid w:val="00EE776B"/>
    <w:rsid w:val="00EF040B"/>
    <w:rsid w:val="00EF1C30"/>
    <w:rsid w:val="00EF74C5"/>
    <w:rsid w:val="00F02F89"/>
    <w:rsid w:val="00F03E93"/>
    <w:rsid w:val="00F03F08"/>
    <w:rsid w:val="00F067D3"/>
    <w:rsid w:val="00F071B9"/>
    <w:rsid w:val="00F118F9"/>
    <w:rsid w:val="00F12507"/>
    <w:rsid w:val="00F12A03"/>
    <w:rsid w:val="00F172DD"/>
    <w:rsid w:val="00F22902"/>
    <w:rsid w:val="00F231AD"/>
    <w:rsid w:val="00F23229"/>
    <w:rsid w:val="00F237C1"/>
    <w:rsid w:val="00F267A6"/>
    <w:rsid w:val="00F33436"/>
    <w:rsid w:val="00F33CE8"/>
    <w:rsid w:val="00F379E9"/>
    <w:rsid w:val="00F41191"/>
    <w:rsid w:val="00F4327B"/>
    <w:rsid w:val="00F54ED7"/>
    <w:rsid w:val="00F550FC"/>
    <w:rsid w:val="00F578A4"/>
    <w:rsid w:val="00F609B9"/>
    <w:rsid w:val="00F60E50"/>
    <w:rsid w:val="00F61D58"/>
    <w:rsid w:val="00F64507"/>
    <w:rsid w:val="00F674F6"/>
    <w:rsid w:val="00F67CAC"/>
    <w:rsid w:val="00F70720"/>
    <w:rsid w:val="00F72B9A"/>
    <w:rsid w:val="00F745D8"/>
    <w:rsid w:val="00F74725"/>
    <w:rsid w:val="00F74E33"/>
    <w:rsid w:val="00F75103"/>
    <w:rsid w:val="00F75F63"/>
    <w:rsid w:val="00F77749"/>
    <w:rsid w:val="00F8029E"/>
    <w:rsid w:val="00F84F3E"/>
    <w:rsid w:val="00F85118"/>
    <w:rsid w:val="00F86E5A"/>
    <w:rsid w:val="00F91173"/>
    <w:rsid w:val="00F93F4A"/>
    <w:rsid w:val="00F949E1"/>
    <w:rsid w:val="00F97302"/>
    <w:rsid w:val="00FA43B0"/>
    <w:rsid w:val="00FA49C8"/>
    <w:rsid w:val="00FA4D95"/>
    <w:rsid w:val="00FA5F70"/>
    <w:rsid w:val="00FA6827"/>
    <w:rsid w:val="00FB2EE0"/>
    <w:rsid w:val="00FB4390"/>
    <w:rsid w:val="00FB5408"/>
    <w:rsid w:val="00FB75A9"/>
    <w:rsid w:val="00FC1130"/>
    <w:rsid w:val="00FC3EEA"/>
    <w:rsid w:val="00FC4686"/>
    <w:rsid w:val="00FD0E52"/>
    <w:rsid w:val="00FD22EC"/>
    <w:rsid w:val="00FD47F6"/>
    <w:rsid w:val="00FD5A82"/>
    <w:rsid w:val="00FD5BC7"/>
    <w:rsid w:val="00FE2016"/>
    <w:rsid w:val="00FE3780"/>
    <w:rsid w:val="00FE48B8"/>
    <w:rsid w:val="00FE4AC2"/>
    <w:rsid w:val="00FE5D46"/>
    <w:rsid w:val="00FE6E1A"/>
    <w:rsid w:val="00FF00B4"/>
    <w:rsid w:val="00FF13F3"/>
    <w:rsid w:val="00FF1D63"/>
    <w:rsid w:val="00FF20DA"/>
    <w:rsid w:val="00FF346B"/>
    <w:rsid w:val="00FF4284"/>
    <w:rsid w:val="00FF7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7"/>
    <o:shapelayout v:ext="edit">
      <o:idmap v:ext="edit" data="1"/>
    </o:shapelayout>
  </w:shapeDefaults>
  <w:decimalSymbol w:val="."/>
  <w:listSeparator w:val=","/>
  <w15:chartTrackingRefBased/>
  <w15:docId w15:val="{364BFB42-7A0A-47C2-96C7-67E9630B7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88430C"/>
    <w:pPr>
      <w:keepNext/>
      <w:spacing w:line="276" w:lineRule="auto"/>
      <w:jc w:val="both"/>
      <w:outlineLvl w:val="0"/>
    </w:pPr>
    <w:rPr>
      <w:b/>
      <w:bCs/>
    </w:rPr>
  </w:style>
  <w:style w:type="paragraph" w:styleId="Heading2">
    <w:name w:val="heading 2"/>
    <w:basedOn w:val="Normal"/>
    <w:next w:val="Normal"/>
    <w:qFormat/>
    <w:rsid w:val="008E1A48"/>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2032B"/>
    <w:pPr>
      <w:tabs>
        <w:tab w:val="center" w:pos="4320"/>
        <w:tab w:val="right" w:pos="8640"/>
      </w:tabs>
    </w:pPr>
  </w:style>
  <w:style w:type="character" w:styleId="PageNumber">
    <w:name w:val="page number"/>
    <w:basedOn w:val="DefaultParagraphFont"/>
    <w:rsid w:val="0062032B"/>
  </w:style>
  <w:style w:type="paragraph" w:styleId="BodyText">
    <w:name w:val="Body Text"/>
    <w:basedOn w:val="Normal"/>
    <w:rsid w:val="00AE5E56"/>
    <w:pPr>
      <w:spacing w:line="480" w:lineRule="auto"/>
      <w:jc w:val="both"/>
    </w:pPr>
  </w:style>
  <w:style w:type="paragraph" w:styleId="BodyText2">
    <w:name w:val="Body Text 2"/>
    <w:basedOn w:val="Normal"/>
    <w:rsid w:val="008D76A2"/>
    <w:pPr>
      <w:spacing w:after="120" w:line="480" w:lineRule="auto"/>
    </w:pPr>
  </w:style>
  <w:style w:type="paragraph" w:styleId="FootnoteText">
    <w:name w:val="footnote text"/>
    <w:basedOn w:val="Normal"/>
    <w:link w:val="FootnoteTextChar1"/>
    <w:rsid w:val="00474E2F"/>
    <w:rPr>
      <w:sz w:val="20"/>
      <w:szCs w:val="20"/>
    </w:rPr>
  </w:style>
  <w:style w:type="character" w:styleId="FootnoteReference">
    <w:name w:val="footnote reference"/>
    <w:uiPriority w:val="99"/>
    <w:semiHidden/>
    <w:rsid w:val="00474E2F"/>
    <w:rPr>
      <w:vertAlign w:val="superscript"/>
    </w:rPr>
  </w:style>
  <w:style w:type="table" w:styleId="TableGrid">
    <w:name w:val="Table Grid"/>
    <w:basedOn w:val="TableNormal"/>
    <w:uiPriority w:val="39"/>
    <w:rsid w:val="00A003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oohl0">
    <w:name w:val="goohl0"/>
    <w:basedOn w:val="DefaultParagraphFont"/>
    <w:rsid w:val="006A00F9"/>
  </w:style>
  <w:style w:type="character" w:customStyle="1" w:styleId="goohl1">
    <w:name w:val="goohl1"/>
    <w:basedOn w:val="DefaultParagraphFont"/>
    <w:rsid w:val="006A00F9"/>
  </w:style>
  <w:style w:type="character" w:customStyle="1" w:styleId="goohl2">
    <w:name w:val="goohl2"/>
    <w:basedOn w:val="DefaultParagraphFont"/>
    <w:rsid w:val="006A00F9"/>
  </w:style>
  <w:style w:type="character" w:styleId="Hyperlink">
    <w:name w:val="Hyperlink"/>
    <w:uiPriority w:val="99"/>
    <w:rsid w:val="009F53B4"/>
    <w:rPr>
      <w:color w:val="0000FF"/>
      <w:u w:val="single"/>
    </w:rPr>
  </w:style>
  <w:style w:type="paragraph" w:styleId="Header">
    <w:name w:val="header"/>
    <w:basedOn w:val="Normal"/>
    <w:rsid w:val="00D93FC9"/>
    <w:pPr>
      <w:tabs>
        <w:tab w:val="center" w:pos="4320"/>
        <w:tab w:val="right" w:pos="8640"/>
      </w:tabs>
    </w:pPr>
  </w:style>
  <w:style w:type="paragraph" w:styleId="BalloonText">
    <w:name w:val="Balloon Text"/>
    <w:basedOn w:val="Normal"/>
    <w:semiHidden/>
    <w:rsid w:val="00637B32"/>
    <w:rPr>
      <w:rFonts w:ascii="Tahoma" w:hAnsi="Tahoma" w:cs="Tahoma"/>
      <w:sz w:val="16"/>
      <w:szCs w:val="16"/>
    </w:rPr>
  </w:style>
  <w:style w:type="character" w:customStyle="1" w:styleId="FootnoteTextChar1">
    <w:name w:val="Footnote Text Char1"/>
    <w:link w:val="FootnoteText"/>
    <w:locked/>
    <w:rsid w:val="00BD68CA"/>
  </w:style>
  <w:style w:type="character" w:customStyle="1" w:styleId="FootnoteTextChar">
    <w:name w:val="Footnote Text Char"/>
    <w:uiPriority w:val="99"/>
    <w:rsid w:val="009A0CC9"/>
    <w:rPr>
      <w:lang w:val="en-US" w:eastAsia="en-US" w:bidi="ar-SA"/>
    </w:rPr>
  </w:style>
  <w:style w:type="paragraph" w:styleId="ListParagraph">
    <w:name w:val="List Paragraph"/>
    <w:basedOn w:val="Normal"/>
    <w:uiPriority w:val="34"/>
    <w:qFormat/>
    <w:rsid w:val="005F6092"/>
    <w:pPr>
      <w:spacing w:after="200" w:line="276" w:lineRule="auto"/>
      <w:ind w:left="720"/>
      <w:contextualSpacing/>
    </w:pPr>
    <w:rPr>
      <w:rFonts w:ascii="Calibri" w:eastAsia="Calibri" w:hAnsi="Calibri"/>
      <w:sz w:val="22"/>
      <w:szCs w:val="22"/>
    </w:rPr>
  </w:style>
  <w:style w:type="paragraph" w:customStyle="1" w:styleId="text">
    <w:name w:val="text"/>
    <w:aliases w:val="t"/>
    <w:basedOn w:val="Normal"/>
    <w:next w:val="Normal"/>
    <w:rsid w:val="00FA6827"/>
    <w:pPr>
      <w:autoSpaceDE w:val="0"/>
      <w:autoSpaceDN w:val="0"/>
      <w:adjustRightInd w:val="0"/>
    </w:pPr>
    <w:rPr>
      <w:bCs/>
      <w:lang w:val="en-IN" w:eastAsia="en-IN"/>
    </w:rPr>
  </w:style>
  <w:style w:type="character" w:customStyle="1" w:styleId="FooterChar">
    <w:name w:val="Footer Char"/>
    <w:link w:val="Footer"/>
    <w:uiPriority w:val="99"/>
    <w:rsid w:val="00FA6827"/>
    <w:rPr>
      <w:sz w:val="24"/>
      <w:szCs w:val="24"/>
    </w:rPr>
  </w:style>
  <w:style w:type="character" w:styleId="PlaceholderText">
    <w:name w:val="Placeholder Text"/>
    <w:uiPriority w:val="99"/>
    <w:semiHidden/>
    <w:rsid w:val="00FA6827"/>
    <w:rPr>
      <w:color w:val="808080"/>
    </w:rPr>
  </w:style>
  <w:style w:type="character" w:customStyle="1" w:styleId="authors">
    <w:name w:val="authors"/>
    <w:rsid w:val="00FA6827"/>
  </w:style>
  <w:style w:type="character" w:customStyle="1" w:styleId="Date1">
    <w:name w:val="Date1"/>
    <w:rsid w:val="00FA6827"/>
  </w:style>
  <w:style w:type="character" w:customStyle="1" w:styleId="arttitle">
    <w:name w:val="art_title"/>
    <w:rsid w:val="00FA6827"/>
  </w:style>
  <w:style w:type="character" w:customStyle="1" w:styleId="serialtitle">
    <w:name w:val="serial_title"/>
    <w:rsid w:val="00FA6827"/>
  </w:style>
  <w:style w:type="character" w:customStyle="1" w:styleId="volumeissue">
    <w:name w:val="volume_issue"/>
    <w:rsid w:val="00FA6827"/>
  </w:style>
  <w:style w:type="character" w:customStyle="1" w:styleId="pagerange">
    <w:name w:val="page_range"/>
    <w:rsid w:val="00FA6827"/>
  </w:style>
  <w:style w:type="character" w:styleId="Emphasis">
    <w:name w:val="Emphasis"/>
    <w:uiPriority w:val="20"/>
    <w:qFormat/>
    <w:rsid w:val="00FA6827"/>
    <w:rPr>
      <w:i/>
      <w:iCs/>
    </w:rPr>
  </w:style>
  <w:style w:type="paragraph" w:styleId="NormalWeb">
    <w:name w:val="Normal (Web)"/>
    <w:basedOn w:val="Normal"/>
    <w:uiPriority w:val="99"/>
    <w:rsid w:val="00644207"/>
    <w:pPr>
      <w:spacing w:before="100" w:beforeAutospacing="1" w:after="100" w:afterAutospacing="1"/>
      <w:jc w:val="both"/>
    </w:pPr>
    <w:rPr>
      <w:rFonts w:eastAsia="MS Mincho"/>
      <w:lang w:eastAsia="ja-JP"/>
    </w:rPr>
  </w:style>
  <w:style w:type="character" w:styleId="UnresolvedMention">
    <w:name w:val="Unresolved Mention"/>
    <w:uiPriority w:val="99"/>
    <w:semiHidden/>
    <w:unhideWhenUsed/>
    <w:rsid w:val="00D66C51"/>
    <w:rPr>
      <w:color w:val="605E5C"/>
      <w:shd w:val="clear" w:color="auto" w:fill="E1DFDD"/>
    </w:rPr>
  </w:style>
  <w:style w:type="paragraph" w:styleId="HTMLPreformatted">
    <w:name w:val="HTML Preformatted"/>
    <w:basedOn w:val="Normal"/>
    <w:link w:val="HTMLPreformattedChar"/>
    <w:uiPriority w:val="99"/>
    <w:unhideWhenUsed/>
    <w:rsid w:val="009C32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9C3299"/>
    <w:rPr>
      <w:rFonts w:ascii="Courier New" w:hAnsi="Courier New" w:cs="Courier New"/>
    </w:rPr>
  </w:style>
  <w:style w:type="paragraph" w:customStyle="1" w:styleId="nova-legacy-e-listitem">
    <w:name w:val="nova-legacy-e-list__item"/>
    <w:basedOn w:val="Normal"/>
    <w:rsid w:val="00B3621F"/>
    <w:pPr>
      <w:spacing w:before="100" w:beforeAutospacing="1" w:after="100" w:afterAutospacing="1"/>
    </w:pPr>
  </w:style>
  <w:style w:type="paragraph" w:customStyle="1" w:styleId="Default">
    <w:name w:val="Default"/>
    <w:rsid w:val="0062197D"/>
    <w:pPr>
      <w:autoSpaceDE w:val="0"/>
      <w:autoSpaceDN w:val="0"/>
      <w:adjustRightInd w:val="0"/>
    </w:pPr>
    <w:rPr>
      <w:rFonts w:ascii="Roboto" w:hAnsi="Roboto" w:cs="Robot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29201">
      <w:bodyDiv w:val="1"/>
      <w:marLeft w:val="0"/>
      <w:marRight w:val="0"/>
      <w:marTop w:val="0"/>
      <w:marBottom w:val="0"/>
      <w:divBdr>
        <w:top w:val="none" w:sz="0" w:space="0" w:color="auto"/>
        <w:left w:val="none" w:sz="0" w:space="0" w:color="auto"/>
        <w:bottom w:val="none" w:sz="0" w:space="0" w:color="auto"/>
        <w:right w:val="none" w:sz="0" w:space="0" w:color="auto"/>
      </w:divBdr>
    </w:div>
    <w:div w:id="58359411">
      <w:bodyDiv w:val="1"/>
      <w:marLeft w:val="0"/>
      <w:marRight w:val="0"/>
      <w:marTop w:val="0"/>
      <w:marBottom w:val="0"/>
      <w:divBdr>
        <w:top w:val="none" w:sz="0" w:space="0" w:color="auto"/>
        <w:left w:val="none" w:sz="0" w:space="0" w:color="auto"/>
        <w:bottom w:val="none" w:sz="0" w:space="0" w:color="auto"/>
        <w:right w:val="none" w:sz="0" w:space="0" w:color="auto"/>
      </w:divBdr>
    </w:div>
    <w:div w:id="108092606">
      <w:bodyDiv w:val="1"/>
      <w:marLeft w:val="0"/>
      <w:marRight w:val="0"/>
      <w:marTop w:val="0"/>
      <w:marBottom w:val="0"/>
      <w:divBdr>
        <w:top w:val="none" w:sz="0" w:space="0" w:color="auto"/>
        <w:left w:val="none" w:sz="0" w:space="0" w:color="auto"/>
        <w:bottom w:val="none" w:sz="0" w:space="0" w:color="auto"/>
        <w:right w:val="none" w:sz="0" w:space="0" w:color="auto"/>
      </w:divBdr>
    </w:div>
    <w:div w:id="133375120">
      <w:bodyDiv w:val="1"/>
      <w:marLeft w:val="0"/>
      <w:marRight w:val="0"/>
      <w:marTop w:val="0"/>
      <w:marBottom w:val="0"/>
      <w:divBdr>
        <w:top w:val="none" w:sz="0" w:space="0" w:color="auto"/>
        <w:left w:val="none" w:sz="0" w:space="0" w:color="auto"/>
        <w:bottom w:val="none" w:sz="0" w:space="0" w:color="auto"/>
        <w:right w:val="none" w:sz="0" w:space="0" w:color="auto"/>
      </w:divBdr>
    </w:div>
    <w:div w:id="253706686">
      <w:bodyDiv w:val="1"/>
      <w:marLeft w:val="0"/>
      <w:marRight w:val="0"/>
      <w:marTop w:val="0"/>
      <w:marBottom w:val="0"/>
      <w:divBdr>
        <w:top w:val="none" w:sz="0" w:space="0" w:color="auto"/>
        <w:left w:val="none" w:sz="0" w:space="0" w:color="auto"/>
        <w:bottom w:val="none" w:sz="0" w:space="0" w:color="auto"/>
        <w:right w:val="none" w:sz="0" w:space="0" w:color="auto"/>
      </w:divBdr>
    </w:div>
    <w:div w:id="258372799">
      <w:bodyDiv w:val="1"/>
      <w:marLeft w:val="0"/>
      <w:marRight w:val="0"/>
      <w:marTop w:val="0"/>
      <w:marBottom w:val="0"/>
      <w:divBdr>
        <w:top w:val="none" w:sz="0" w:space="0" w:color="auto"/>
        <w:left w:val="none" w:sz="0" w:space="0" w:color="auto"/>
        <w:bottom w:val="none" w:sz="0" w:space="0" w:color="auto"/>
        <w:right w:val="none" w:sz="0" w:space="0" w:color="auto"/>
      </w:divBdr>
    </w:div>
    <w:div w:id="499082117">
      <w:bodyDiv w:val="1"/>
      <w:marLeft w:val="0"/>
      <w:marRight w:val="0"/>
      <w:marTop w:val="0"/>
      <w:marBottom w:val="0"/>
      <w:divBdr>
        <w:top w:val="none" w:sz="0" w:space="0" w:color="auto"/>
        <w:left w:val="none" w:sz="0" w:space="0" w:color="auto"/>
        <w:bottom w:val="none" w:sz="0" w:space="0" w:color="auto"/>
        <w:right w:val="none" w:sz="0" w:space="0" w:color="auto"/>
      </w:divBdr>
    </w:div>
    <w:div w:id="641663285">
      <w:bodyDiv w:val="1"/>
      <w:marLeft w:val="0"/>
      <w:marRight w:val="0"/>
      <w:marTop w:val="0"/>
      <w:marBottom w:val="0"/>
      <w:divBdr>
        <w:top w:val="none" w:sz="0" w:space="0" w:color="auto"/>
        <w:left w:val="none" w:sz="0" w:space="0" w:color="auto"/>
        <w:bottom w:val="none" w:sz="0" w:space="0" w:color="auto"/>
        <w:right w:val="none" w:sz="0" w:space="0" w:color="auto"/>
      </w:divBdr>
    </w:div>
    <w:div w:id="645814723">
      <w:bodyDiv w:val="1"/>
      <w:marLeft w:val="0"/>
      <w:marRight w:val="0"/>
      <w:marTop w:val="0"/>
      <w:marBottom w:val="0"/>
      <w:divBdr>
        <w:top w:val="none" w:sz="0" w:space="0" w:color="auto"/>
        <w:left w:val="none" w:sz="0" w:space="0" w:color="auto"/>
        <w:bottom w:val="none" w:sz="0" w:space="0" w:color="auto"/>
        <w:right w:val="none" w:sz="0" w:space="0" w:color="auto"/>
      </w:divBdr>
    </w:div>
    <w:div w:id="659044079">
      <w:bodyDiv w:val="1"/>
      <w:marLeft w:val="0"/>
      <w:marRight w:val="0"/>
      <w:marTop w:val="0"/>
      <w:marBottom w:val="0"/>
      <w:divBdr>
        <w:top w:val="none" w:sz="0" w:space="0" w:color="auto"/>
        <w:left w:val="none" w:sz="0" w:space="0" w:color="auto"/>
        <w:bottom w:val="none" w:sz="0" w:space="0" w:color="auto"/>
        <w:right w:val="none" w:sz="0" w:space="0" w:color="auto"/>
      </w:divBdr>
    </w:div>
    <w:div w:id="673806013">
      <w:bodyDiv w:val="1"/>
      <w:marLeft w:val="0"/>
      <w:marRight w:val="0"/>
      <w:marTop w:val="0"/>
      <w:marBottom w:val="0"/>
      <w:divBdr>
        <w:top w:val="none" w:sz="0" w:space="0" w:color="auto"/>
        <w:left w:val="none" w:sz="0" w:space="0" w:color="auto"/>
        <w:bottom w:val="none" w:sz="0" w:space="0" w:color="auto"/>
        <w:right w:val="none" w:sz="0" w:space="0" w:color="auto"/>
      </w:divBdr>
    </w:div>
    <w:div w:id="718020232">
      <w:bodyDiv w:val="1"/>
      <w:marLeft w:val="0"/>
      <w:marRight w:val="0"/>
      <w:marTop w:val="0"/>
      <w:marBottom w:val="0"/>
      <w:divBdr>
        <w:top w:val="none" w:sz="0" w:space="0" w:color="auto"/>
        <w:left w:val="none" w:sz="0" w:space="0" w:color="auto"/>
        <w:bottom w:val="none" w:sz="0" w:space="0" w:color="auto"/>
        <w:right w:val="none" w:sz="0" w:space="0" w:color="auto"/>
      </w:divBdr>
      <w:divsChild>
        <w:div w:id="984553976">
          <w:marLeft w:val="0"/>
          <w:marRight w:val="0"/>
          <w:marTop w:val="0"/>
          <w:marBottom w:val="0"/>
          <w:divBdr>
            <w:top w:val="none" w:sz="0" w:space="0" w:color="auto"/>
            <w:left w:val="none" w:sz="0" w:space="0" w:color="auto"/>
            <w:bottom w:val="none" w:sz="0" w:space="0" w:color="auto"/>
            <w:right w:val="none" w:sz="0" w:space="0" w:color="auto"/>
          </w:divBdr>
        </w:div>
        <w:div w:id="1303539297">
          <w:marLeft w:val="0"/>
          <w:marRight w:val="0"/>
          <w:marTop w:val="0"/>
          <w:marBottom w:val="0"/>
          <w:divBdr>
            <w:top w:val="none" w:sz="0" w:space="0" w:color="auto"/>
            <w:left w:val="none" w:sz="0" w:space="0" w:color="auto"/>
            <w:bottom w:val="none" w:sz="0" w:space="0" w:color="auto"/>
            <w:right w:val="none" w:sz="0" w:space="0" w:color="auto"/>
          </w:divBdr>
        </w:div>
      </w:divsChild>
    </w:div>
    <w:div w:id="723064283">
      <w:bodyDiv w:val="1"/>
      <w:marLeft w:val="0"/>
      <w:marRight w:val="0"/>
      <w:marTop w:val="0"/>
      <w:marBottom w:val="0"/>
      <w:divBdr>
        <w:top w:val="none" w:sz="0" w:space="0" w:color="auto"/>
        <w:left w:val="none" w:sz="0" w:space="0" w:color="auto"/>
        <w:bottom w:val="none" w:sz="0" w:space="0" w:color="auto"/>
        <w:right w:val="none" w:sz="0" w:space="0" w:color="auto"/>
      </w:divBdr>
    </w:div>
    <w:div w:id="740717005">
      <w:bodyDiv w:val="1"/>
      <w:marLeft w:val="0"/>
      <w:marRight w:val="0"/>
      <w:marTop w:val="0"/>
      <w:marBottom w:val="0"/>
      <w:divBdr>
        <w:top w:val="none" w:sz="0" w:space="0" w:color="auto"/>
        <w:left w:val="none" w:sz="0" w:space="0" w:color="auto"/>
        <w:bottom w:val="none" w:sz="0" w:space="0" w:color="auto"/>
        <w:right w:val="none" w:sz="0" w:space="0" w:color="auto"/>
      </w:divBdr>
    </w:div>
    <w:div w:id="898326810">
      <w:bodyDiv w:val="1"/>
      <w:marLeft w:val="0"/>
      <w:marRight w:val="0"/>
      <w:marTop w:val="0"/>
      <w:marBottom w:val="0"/>
      <w:divBdr>
        <w:top w:val="none" w:sz="0" w:space="0" w:color="auto"/>
        <w:left w:val="none" w:sz="0" w:space="0" w:color="auto"/>
        <w:bottom w:val="none" w:sz="0" w:space="0" w:color="auto"/>
        <w:right w:val="none" w:sz="0" w:space="0" w:color="auto"/>
      </w:divBdr>
    </w:div>
    <w:div w:id="935361090">
      <w:bodyDiv w:val="1"/>
      <w:marLeft w:val="0"/>
      <w:marRight w:val="0"/>
      <w:marTop w:val="0"/>
      <w:marBottom w:val="0"/>
      <w:divBdr>
        <w:top w:val="none" w:sz="0" w:space="0" w:color="auto"/>
        <w:left w:val="none" w:sz="0" w:space="0" w:color="auto"/>
        <w:bottom w:val="none" w:sz="0" w:space="0" w:color="auto"/>
        <w:right w:val="none" w:sz="0" w:space="0" w:color="auto"/>
      </w:divBdr>
    </w:div>
    <w:div w:id="1021279317">
      <w:bodyDiv w:val="1"/>
      <w:marLeft w:val="0"/>
      <w:marRight w:val="0"/>
      <w:marTop w:val="0"/>
      <w:marBottom w:val="0"/>
      <w:divBdr>
        <w:top w:val="none" w:sz="0" w:space="0" w:color="auto"/>
        <w:left w:val="none" w:sz="0" w:space="0" w:color="auto"/>
        <w:bottom w:val="none" w:sz="0" w:space="0" w:color="auto"/>
        <w:right w:val="none" w:sz="0" w:space="0" w:color="auto"/>
      </w:divBdr>
    </w:div>
    <w:div w:id="1038429656">
      <w:bodyDiv w:val="1"/>
      <w:marLeft w:val="0"/>
      <w:marRight w:val="0"/>
      <w:marTop w:val="0"/>
      <w:marBottom w:val="0"/>
      <w:divBdr>
        <w:top w:val="none" w:sz="0" w:space="0" w:color="auto"/>
        <w:left w:val="none" w:sz="0" w:space="0" w:color="auto"/>
        <w:bottom w:val="none" w:sz="0" w:space="0" w:color="auto"/>
        <w:right w:val="none" w:sz="0" w:space="0" w:color="auto"/>
      </w:divBdr>
    </w:div>
    <w:div w:id="1046681876">
      <w:bodyDiv w:val="1"/>
      <w:marLeft w:val="0"/>
      <w:marRight w:val="0"/>
      <w:marTop w:val="0"/>
      <w:marBottom w:val="0"/>
      <w:divBdr>
        <w:top w:val="none" w:sz="0" w:space="0" w:color="auto"/>
        <w:left w:val="none" w:sz="0" w:space="0" w:color="auto"/>
        <w:bottom w:val="none" w:sz="0" w:space="0" w:color="auto"/>
        <w:right w:val="none" w:sz="0" w:space="0" w:color="auto"/>
      </w:divBdr>
    </w:div>
    <w:div w:id="1056469751">
      <w:bodyDiv w:val="1"/>
      <w:marLeft w:val="0"/>
      <w:marRight w:val="0"/>
      <w:marTop w:val="0"/>
      <w:marBottom w:val="0"/>
      <w:divBdr>
        <w:top w:val="none" w:sz="0" w:space="0" w:color="auto"/>
        <w:left w:val="none" w:sz="0" w:space="0" w:color="auto"/>
        <w:bottom w:val="none" w:sz="0" w:space="0" w:color="auto"/>
        <w:right w:val="none" w:sz="0" w:space="0" w:color="auto"/>
      </w:divBdr>
      <w:divsChild>
        <w:div w:id="279193565">
          <w:marLeft w:val="0"/>
          <w:marRight w:val="0"/>
          <w:marTop w:val="240"/>
          <w:marBottom w:val="240"/>
          <w:divBdr>
            <w:top w:val="none" w:sz="0" w:space="0" w:color="auto"/>
            <w:left w:val="none" w:sz="0" w:space="0" w:color="auto"/>
            <w:bottom w:val="none" w:sz="0" w:space="0" w:color="auto"/>
            <w:right w:val="none" w:sz="0" w:space="0" w:color="auto"/>
          </w:divBdr>
        </w:div>
        <w:div w:id="1440300755">
          <w:marLeft w:val="0"/>
          <w:marRight w:val="0"/>
          <w:marTop w:val="240"/>
          <w:marBottom w:val="240"/>
          <w:divBdr>
            <w:top w:val="none" w:sz="0" w:space="0" w:color="auto"/>
            <w:left w:val="none" w:sz="0" w:space="0" w:color="auto"/>
            <w:bottom w:val="none" w:sz="0" w:space="0" w:color="auto"/>
            <w:right w:val="none" w:sz="0" w:space="0" w:color="auto"/>
          </w:divBdr>
        </w:div>
        <w:div w:id="1582565513">
          <w:marLeft w:val="0"/>
          <w:marRight w:val="0"/>
          <w:marTop w:val="240"/>
          <w:marBottom w:val="240"/>
          <w:divBdr>
            <w:top w:val="none" w:sz="0" w:space="0" w:color="auto"/>
            <w:left w:val="none" w:sz="0" w:space="0" w:color="auto"/>
            <w:bottom w:val="none" w:sz="0" w:space="0" w:color="auto"/>
            <w:right w:val="none" w:sz="0" w:space="0" w:color="auto"/>
          </w:divBdr>
        </w:div>
        <w:div w:id="2081521151">
          <w:marLeft w:val="0"/>
          <w:marRight w:val="0"/>
          <w:marTop w:val="240"/>
          <w:marBottom w:val="240"/>
          <w:divBdr>
            <w:top w:val="none" w:sz="0" w:space="0" w:color="auto"/>
            <w:left w:val="none" w:sz="0" w:space="0" w:color="auto"/>
            <w:bottom w:val="none" w:sz="0" w:space="0" w:color="auto"/>
            <w:right w:val="none" w:sz="0" w:space="0" w:color="auto"/>
          </w:divBdr>
        </w:div>
      </w:divsChild>
    </w:div>
    <w:div w:id="1074814493">
      <w:bodyDiv w:val="1"/>
      <w:marLeft w:val="0"/>
      <w:marRight w:val="0"/>
      <w:marTop w:val="0"/>
      <w:marBottom w:val="0"/>
      <w:divBdr>
        <w:top w:val="none" w:sz="0" w:space="0" w:color="auto"/>
        <w:left w:val="none" w:sz="0" w:space="0" w:color="auto"/>
        <w:bottom w:val="none" w:sz="0" w:space="0" w:color="auto"/>
        <w:right w:val="none" w:sz="0" w:space="0" w:color="auto"/>
      </w:divBdr>
    </w:div>
    <w:div w:id="1349986856">
      <w:bodyDiv w:val="1"/>
      <w:marLeft w:val="0"/>
      <w:marRight w:val="0"/>
      <w:marTop w:val="0"/>
      <w:marBottom w:val="0"/>
      <w:divBdr>
        <w:top w:val="none" w:sz="0" w:space="0" w:color="auto"/>
        <w:left w:val="none" w:sz="0" w:space="0" w:color="auto"/>
        <w:bottom w:val="none" w:sz="0" w:space="0" w:color="auto"/>
        <w:right w:val="none" w:sz="0" w:space="0" w:color="auto"/>
      </w:divBdr>
    </w:div>
    <w:div w:id="1372878212">
      <w:bodyDiv w:val="1"/>
      <w:marLeft w:val="0"/>
      <w:marRight w:val="0"/>
      <w:marTop w:val="0"/>
      <w:marBottom w:val="0"/>
      <w:divBdr>
        <w:top w:val="none" w:sz="0" w:space="0" w:color="auto"/>
        <w:left w:val="none" w:sz="0" w:space="0" w:color="auto"/>
        <w:bottom w:val="none" w:sz="0" w:space="0" w:color="auto"/>
        <w:right w:val="none" w:sz="0" w:space="0" w:color="auto"/>
      </w:divBdr>
    </w:div>
    <w:div w:id="1522817952">
      <w:bodyDiv w:val="1"/>
      <w:marLeft w:val="0"/>
      <w:marRight w:val="0"/>
      <w:marTop w:val="0"/>
      <w:marBottom w:val="0"/>
      <w:divBdr>
        <w:top w:val="none" w:sz="0" w:space="0" w:color="auto"/>
        <w:left w:val="none" w:sz="0" w:space="0" w:color="auto"/>
        <w:bottom w:val="none" w:sz="0" w:space="0" w:color="auto"/>
        <w:right w:val="none" w:sz="0" w:space="0" w:color="auto"/>
      </w:divBdr>
    </w:div>
    <w:div w:id="1566843222">
      <w:bodyDiv w:val="1"/>
      <w:marLeft w:val="0"/>
      <w:marRight w:val="0"/>
      <w:marTop w:val="0"/>
      <w:marBottom w:val="0"/>
      <w:divBdr>
        <w:top w:val="none" w:sz="0" w:space="0" w:color="auto"/>
        <w:left w:val="none" w:sz="0" w:space="0" w:color="auto"/>
        <w:bottom w:val="none" w:sz="0" w:space="0" w:color="auto"/>
        <w:right w:val="none" w:sz="0" w:space="0" w:color="auto"/>
      </w:divBdr>
    </w:div>
    <w:div w:id="1586575674">
      <w:bodyDiv w:val="1"/>
      <w:marLeft w:val="0"/>
      <w:marRight w:val="0"/>
      <w:marTop w:val="0"/>
      <w:marBottom w:val="0"/>
      <w:divBdr>
        <w:top w:val="none" w:sz="0" w:space="0" w:color="auto"/>
        <w:left w:val="none" w:sz="0" w:space="0" w:color="auto"/>
        <w:bottom w:val="none" w:sz="0" w:space="0" w:color="auto"/>
        <w:right w:val="none" w:sz="0" w:space="0" w:color="auto"/>
      </w:divBdr>
    </w:div>
    <w:div w:id="1644000490">
      <w:bodyDiv w:val="1"/>
      <w:marLeft w:val="0"/>
      <w:marRight w:val="0"/>
      <w:marTop w:val="0"/>
      <w:marBottom w:val="0"/>
      <w:divBdr>
        <w:top w:val="none" w:sz="0" w:space="0" w:color="auto"/>
        <w:left w:val="none" w:sz="0" w:space="0" w:color="auto"/>
        <w:bottom w:val="none" w:sz="0" w:space="0" w:color="auto"/>
        <w:right w:val="none" w:sz="0" w:space="0" w:color="auto"/>
      </w:divBdr>
    </w:div>
    <w:div w:id="1706438946">
      <w:bodyDiv w:val="1"/>
      <w:marLeft w:val="0"/>
      <w:marRight w:val="0"/>
      <w:marTop w:val="0"/>
      <w:marBottom w:val="0"/>
      <w:divBdr>
        <w:top w:val="none" w:sz="0" w:space="0" w:color="auto"/>
        <w:left w:val="none" w:sz="0" w:space="0" w:color="auto"/>
        <w:bottom w:val="none" w:sz="0" w:space="0" w:color="auto"/>
        <w:right w:val="none" w:sz="0" w:space="0" w:color="auto"/>
      </w:divBdr>
    </w:div>
    <w:div w:id="1715887388">
      <w:bodyDiv w:val="1"/>
      <w:marLeft w:val="0"/>
      <w:marRight w:val="0"/>
      <w:marTop w:val="0"/>
      <w:marBottom w:val="0"/>
      <w:divBdr>
        <w:top w:val="none" w:sz="0" w:space="0" w:color="auto"/>
        <w:left w:val="none" w:sz="0" w:space="0" w:color="auto"/>
        <w:bottom w:val="none" w:sz="0" w:space="0" w:color="auto"/>
        <w:right w:val="none" w:sz="0" w:space="0" w:color="auto"/>
      </w:divBdr>
    </w:div>
    <w:div w:id="1756852957">
      <w:bodyDiv w:val="1"/>
      <w:marLeft w:val="0"/>
      <w:marRight w:val="0"/>
      <w:marTop w:val="0"/>
      <w:marBottom w:val="0"/>
      <w:divBdr>
        <w:top w:val="none" w:sz="0" w:space="0" w:color="auto"/>
        <w:left w:val="none" w:sz="0" w:space="0" w:color="auto"/>
        <w:bottom w:val="none" w:sz="0" w:space="0" w:color="auto"/>
        <w:right w:val="none" w:sz="0" w:space="0" w:color="auto"/>
      </w:divBdr>
    </w:div>
    <w:div w:id="1817724529">
      <w:bodyDiv w:val="1"/>
      <w:marLeft w:val="0"/>
      <w:marRight w:val="0"/>
      <w:marTop w:val="0"/>
      <w:marBottom w:val="0"/>
      <w:divBdr>
        <w:top w:val="none" w:sz="0" w:space="0" w:color="auto"/>
        <w:left w:val="none" w:sz="0" w:space="0" w:color="auto"/>
        <w:bottom w:val="none" w:sz="0" w:space="0" w:color="auto"/>
        <w:right w:val="none" w:sz="0" w:space="0" w:color="auto"/>
      </w:divBdr>
    </w:div>
    <w:div w:id="1865510361">
      <w:bodyDiv w:val="1"/>
      <w:marLeft w:val="0"/>
      <w:marRight w:val="0"/>
      <w:marTop w:val="0"/>
      <w:marBottom w:val="0"/>
      <w:divBdr>
        <w:top w:val="none" w:sz="0" w:space="0" w:color="auto"/>
        <w:left w:val="none" w:sz="0" w:space="0" w:color="auto"/>
        <w:bottom w:val="none" w:sz="0" w:space="0" w:color="auto"/>
        <w:right w:val="none" w:sz="0" w:space="0" w:color="auto"/>
      </w:divBdr>
    </w:div>
    <w:div w:id="1898514415">
      <w:bodyDiv w:val="1"/>
      <w:marLeft w:val="0"/>
      <w:marRight w:val="0"/>
      <w:marTop w:val="0"/>
      <w:marBottom w:val="0"/>
      <w:divBdr>
        <w:top w:val="none" w:sz="0" w:space="0" w:color="auto"/>
        <w:left w:val="none" w:sz="0" w:space="0" w:color="auto"/>
        <w:bottom w:val="none" w:sz="0" w:space="0" w:color="auto"/>
        <w:right w:val="none" w:sz="0" w:space="0" w:color="auto"/>
      </w:divBdr>
    </w:div>
    <w:div w:id="2033803223">
      <w:bodyDiv w:val="1"/>
      <w:marLeft w:val="0"/>
      <w:marRight w:val="0"/>
      <w:marTop w:val="0"/>
      <w:marBottom w:val="0"/>
      <w:divBdr>
        <w:top w:val="none" w:sz="0" w:space="0" w:color="auto"/>
        <w:left w:val="none" w:sz="0" w:space="0" w:color="auto"/>
        <w:bottom w:val="none" w:sz="0" w:space="0" w:color="auto"/>
        <w:right w:val="none" w:sz="0" w:space="0" w:color="auto"/>
      </w:divBdr>
    </w:div>
    <w:div w:id="2073234034">
      <w:bodyDiv w:val="1"/>
      <w:marLeft w:val="0"/>
      <w:marRight w:val="0"/>
      <w:marTop w:val="0"/>
      <w:marBottom w:val="0"/>
      <w:divBdr>
        <w:top w:val="none" w:sz="0" w:space="0" w:color="auto"/>
        <w:left w:val="none" w:sz="0" w:space="0" w:color="auto"/>
        <w:bottom w:val="none" w:sz="0" w:space="0" w:color="auto"/>
        <w:right w:val="none" w:sz="0" w:space="0" w:color="auto"/>
      </w:divBdr>
      <w:divsChild>
        <w:div w:id="674192640">
          <w:marLeft w:val="0"/>
          <w:marRight w:val="0"/>
          <w:marTop w:val="240"/>
          <w:marBottom w:val="240"/>
          <w:divBdr>
            <w:top w:val="none" w:sz="0" w:space="0" w:color="auto"/>
            <w:left w:val="none" w:sz="0" w:space="0" w:color="auto"/>
            <w:bottom w:val="none" w:sz="0" w:space="0" w:color="auto"/>
            <w:right w:val="none" w:sz="0" w:space="0" w:color="auto"/>
          </w:divBdr>
        </w:div>
        <w:div w:id="849292848">
          <w:marLeft w:val="0"/>
          <w:marRight w:val="0"/>
          <w:marTop w:val="240"/>
          <w:marBottom w:val="240"/>
          <w:divBdr>
            <w:top w:val="none" w:sz="0" w:space="0" w:color="auto"/>
            <w:left w:val="none" w:sz="0" w:space="0" w:color="auto"/>
            <w:bottom w:val="none" w:sz="0" w:space="0" w:color="auto"/>
            <w:right w:val="none" w:sz="0" w:space="0" w:color="auto"/>
          </w:divBdr>
        </w:div>
        <w:div w:id="1838837612">
          <w:marLeft w:val="0"/>
          <w:marRight w:val="0"/>
          <w:marTop w:val="240"/>
          <w:marBottom w:val="240"/>
          <w:divBdr>
            <w:top w:val="none" w:sz="0" w:space="0" w:color="auto"/>
            <w:left w:val="none" w:sz="0" w:space="0" w:color="auto"/>
            <w:bottom w:val="none" w:sz="0" w:space="0" w:color="auto"/>
            <w:right w:val="none" w:sz="0" w:space="0" w:color="auto"/>
          </w:divBdr>
        </w:div>
        <w:div w:id="2037999267">
          <w:marLeft w:val="0"/>
          <w:marRight w:val="0"/>
          <w:marTop w:val="240"/>
          <w:marBottom w:val="240"/>
          <w:divBdr>
            <w:top w:val="none" w:sz="0" w:space="0" w:color="auto"/>
            <w:left w:val="none" w:sz="0" w:space="0" w:color="auto"/>
            <w:bottom w:val="none" w:sz="0" w:space="0" w:color="auto"/>
            <w:right w:val="none" w:sz="0" w:space="0" w:color="auto"/>
          </w:divBdr>
        </w:div>
      </w:divsChild>
    </w:div>
    <w:div w:id="2074546140">
      <w:bodyDiv w:val="1"/>
      <w:marLeft w:val="0"/>
      <w:marRight w:val="0"/>
      <w:marTop w:val="0"/>
      <w:marBottom w:val="0"/>
      <w:divBdr>
        <w:top w:val="none" w:sz="0" w:space="0" w:color="auto"/>
        <w:left w:val="none" w:sz="0" w:space="0" w:color="auto"/>
        <w:bottom w:val="none" w:sz="0" w:space="0" w:color="auto"/>
        <w:right w:val="none" w:sz="0" w:space="0" w:color="auto"/>
      </w:divBdr>
    </w:div>
    <w:div w:id="2081563120">
      <w:bodyDiv w:val="1"/>
      <w:marLeft w:val="0"/>
      <w:marRight w:val="0"/>
      <w:marTop w:val="0"/>
      <w:marBottom w:val="0"/>
      <w:divBdr>
        <w:top w:val="none" w:sz="0" w:space="0" w:color="auto"/>
        <w:left w:val="none" w:sz="0" w:space="0" w:color="auto"/>
        <w:bottom w:val="none" w:sz="0" w:space="0" w:color="auto"/>
        <w:right w:val="none" w:sz="0" w:space="0" w:color="auto"/>
      </w:divBdr>
    </w:div>
    <w:div w:id="2138645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0.bin"/><Relationship Id="rId21" Type="http://schemas.openxmlformats.org/officeDocument/2006/relationships/image" Target="media/image6.wmf"/><Relationship Id="rId324" Type="http://schemas.openxmlformats.org/officeDocument/2006/relationships/image" Target="media/image155.wmf"/><Relationship Id="rId531" Type="http://schemas.openxmlformats.org/officeDocument/2006/relationships/image" Target="media/image256.png"/><Relationship Id="rId170" Type="http://schemas.openxmlformats.org/officeDocument/2006/relationships/oleObject" Target="embeddings/oleObject90.bin"/><Relationship Id="rId268" Type="http://schemas.openxmlformats.org/officeDocument/2006/relationships/oleObject" Target="embeddings/oleObject144.bin"/><Relationship Id="rId475" Type="http://schemas.openxmlformats.org/officeDocument/2006/relationships/oleObject" Target="embeddings/oleObject272.bin"/><Relationship Id="rId32" Type="http://schemas.openxmlformats.org/officeDocument/2006/relationships/oleObject" Target="embeddings/oleObject11.bin"/><Relationship Id="rId128" Type="http://schemas.openxmlformats.org/officeDocument/2006/relationships/image" Target="media/image59.wmf"/><Relationship Id="rId335" Type="http://schemas.openxmlformats.org/officeDocument/2006/relationships/image" Target="media/image164.wmf"/><Relationship Id="rId542" Type="http://schemas.openxmlformats.org/officeDocument/2006/relationships/oleObject" Target="embeddings/oleObject311.bin"/><Relationship Id="rId181" Type="http://schemas.openxmlformats.org/officeDocument/2006/relationships/image" Target="media/image82.wmf"/><Relationship Id="rId402" Type="http://schemas.openxmlformats.org/officeDocument/2006/relationships/image" Target="media/image196.wmf"/><Relationship Id="rId279" Type="http://schemas.openxmlformats.org/officeDocument/2006/relationships/oleObject" Target="embeddings/oleObject150.bin"/><Relationship Id="rId486" Type="http://schemas.openxmlformats.org/officeDocument/2006/relationships/oleObject" Target="embeddings/oleObject278.bin"/><Relationship Id="rId43" Type="http://schemas.openxmlformats.org/officeDocument/2006/relationships/image" Target="media/image16.wmf"/><Relationship Id="rId139" Type="http://schemas.openxmlformats.org/officeDocument/2006/relationships/oleObject" Target="embeddings/oleObject72.bin"/><Relationship Id="rId346" Type="http://schemas.openxmlformats.org/officeDocument/2006/relationships/image" Target="media/image169.wmf"/><Relationship Id="rId85" Type="http://schemas.openxmlformats.org/officeDocument/2006/relationships/image" Target="media/image36.wmf"/><Relationship Id="rId150" Type="http://schemas.openxmlformats.org/officeDocument/2006/relationships/oleObject" Target="embeddings/oleObject79.bin"/><Relationship Id="rId192" Type="http://schemas.openxmlformats.org/officeDocument/2006/relationships/oleObject" Target="embeddings/oleObject101.bin"/><Relationship Id="rId206" Type="http://schemas.openxmlformats.org/officeDocument/2006/relationships/image" Target="media/image94.wmf"/><Relationship Id="rId413" Type="http://schemas.openxmlformats.org/officeDocument/2006/relationships/oleObject" Target="embeddings/oleObject239.bin"/><Relationship Id="rId248" Type="http://schemas.openxmlformats.org/officeDocument/2006/relationships/oleObject" Target="embeddings/oleObject134.bin"/><Relationship Id="rId455" Type="http://schemas.openxmlformats.org/officeDocument/2006/relationships/oleObject" Target="embeddings/oleObject261.bin"/><Relationship Id="rId497" Type="http://schemas.openxmlformats.org/officeDocument/2006/relationships/image" Target="media/image240.wmf"/><Relationship Id="rId12" Type="http://schemas.openxmlformats.org/officeDocument/2006/relationships/oleObject" Target="embeddings/oleObject1.bin"/><Relationship Id="rId108" Type="http://schemas.openxmlformats.org/officeDocument/2006/relationships/oleObject" Target="embeddings/oleObject53.bin"/><Relationship Id="rId315" Type="http://schemas.openxmlformats.org/officeDocument/2006/relationships/oleObject" Target="embeddings/oleObject175.bin"/><Relationship Id="rId357" Type="http://schemas.openxmlformats.org/officeDocument/2006/relationships/oleObject" Target="embeddings/oleObject210.bin"/><Relationship Id="rId522" Type="http://schemas.openxmlformats.org/officeDocument/2006/relationships/oleObject" Target="embeddings/oleObject304.bin"/><Relationship Id="rId54" Type="http://schemas.openxmlformats.org/officeDocument/2006/relationships/oleObject" Target="embeddings/oleObject24.bin"/><Relationship Id="rId96" Type="http://schemas.openxmlformats.org/officeDocument/2006/relationships/oleObject" Target="embeddings/oleObject47.bin"/><Relationship Id="rId161" Type="http://schemas.openxmlformats.org/officeDocument/2006/relationships/image" Target="media/image72.wmf"/><Relationship Id="rId217" Type="http://schemas.openxmlformats.org/officeDocument/2006/relationships/oleObject" Target="embeddings/oleObject114.bin"/><Relationship Id="rId399" Type="http://schemas.openxmlformats.org/officeDocument/2006/relationships/oleObject" Target="embeddings/oleObject232.bin"/><Relationship Id="rId259" Type="http://schemas.openxmlformats.org/officeDocument/2006/relationships/image" Target="media/image124.wmf"/><Relationship Id="rId424" Type="http://schemas.openxmlformats.org/officeDocument/2006/relationships/image" Target="media/image207.wmf"/><Relationship Id="rId466" Type="http://schemas.openxmlformats.org/officeDocument/2006/relationships/image" Target="media/image227.wmf"/><Relationship Id="rId23" Type="http://schemas.openxmlformats.org/officeDocument/2006/relationships/image" Target="media/image7.wmf"/><Relationship Id="rId119" Type="http://schemas.openxmlformats.org/officeDocument/2006/relationships/oleObject" Target="embeddings/oleObject61.bin"/><Relationship Id="rId270" Type="http://schemas.openxmlformats.org/officeDocument/2006/relationships/oleObject" Target="embeddings/oleObject145.bin"/><Relationship Id="rId326" Type="http://schemas.openxmlformats.org/officeDocument/2006/relationships/image" Target="media/image156.wmf"/><Relationship Id="rId533" Type="http://schemas.openxmlformats.org/officeDocument/2006/relationships/footer" Target="footer3.xml"/><Relationship Id="rId65" Type="http://schemas.openxmlformats.org/officeDocument/2006/relationships/image" Target="media/image26.wmf"/><Relationship Id="rId130" Type="http://schemas.openxmlformats.org/officeDocument/2006/relationships/image" Target="media/image60.wmf"/><Relationship Id="rId368" Type="http://schemas.openxmlformats.org/officeDocument/2006/relationships/image" Target="media/image180.wmf"/><Relationship Id="rId172" Type="http://schemas.openxmlformats.org/officeDocument/2006/relationships/oleObject" Target="embeddings/oleObject91.bin"/><Relationship Id="rId228" Type="http://schemas.openxmlformats.org/officeDocument/2006/relationships/oleObject" Target="embeddings/oleObject124.bin"/><Relationship Id="rId435" Type="http://schemas.openxmlformats.org/officeDocument/2006/relationships/oleObject" Target="embeddings/oleObject250.bin"/><Relationship Id="rId477" Type="http://schemas.openxmlformats.org/officeDocument/2006/relationships/oleObject" Target="embeddings/oleObject273.bin"/><Relationship Id="rId281" Type="http://schemas.openxmlformats.org/officeDocument/2006/relationships/oleObject" Target="embeddings/oleObject152.bin"/><Relationship Id="rId337" Type="http://schemas.openxmlformats.org/officeDocument/2006/relationships/image" Target="media/image165.wmf"/><Relationship Id="rId502" Type="http://schemas.openxmlformats.org/officeDocument/2006/relationships/oleObject" Target="embeddings/oleObject288.bin"/><Relationship Id="rId34" Type="http://schemas.openxmlformats.org/officeDocument/2006/relationships/oleObject" Target="embeddings/oleObject12.bin"/><Relationship Id="rId76" Type="http://schemas.openxmlformats.org/officeDocument/2006/relationships/oleObject" Target="embeddings/oleObject37.bin"/><Relationship Id="rId141" Type="http://schemas.openxmlformats.org/officeDocument/2006/relationships/oleObject" Target="embeddings/oleObject73.bin"/><Relationship Id="rId379" Type="http://schemas.openxmlformats.org/officeDocument/2006/relationships/oleObject" Target="embeddings/oleObject221.bin"/><Relationship Id="rId544" Type="http://schemas.openxmlformats.org/officeDocument/2006/relationships/theme" Target="theme/theme1.xml"/><Relationship Id="rId7" Type="http://schemas.openxmlformats.org/officeDocument/2006/relationships/endnotes" Target="endnotes.xml"/><Relationship Id="rId183" Type="http://schemas.openxmlformats.org/officeDocument/2006/relationships/image" Target="media/image83.wmf"/><Relationship Id="rId239" Type="http://schemas.openxmlformats.org/officeDocument/2006/relationships/image" Target="media/image114.wmf"/><Relationship Id="rId390" Type="http://schemas.openxmlformats.org/officeDocument/2006/relationships/image" Target="media/image190.wmf"/><Relationship Id="rId404" Type="http://schemas.openxmlformats.org/officeDocument/2006/relationships/image" Target="media/image197.wmf"/><Relationship Id="rId446" Type="http://schemas.openxmlformats.org/officeDocument/2006/relationships/image" Target="media/image218.wmf"/><Relationship Id="rId250" Type="http://schemas.openxmlformats.org/officeDocument/2006/relationships/oleObject" Target="embeddings/oleObject135.bin"/><Relationship Id="rId292" Type="http://schemas.openxmlformats.org/officeDocument/2006/relationships/image" Target="media/image139.wmf"/><Relationship Id="rId306" Type="http://schemas.openxmlformats.org/officeDocument/2006/relationships/oleObject" Target="embeddings/oleObject165.bin"/><Relationship Id="rId488" Type="http://schemas.openxmlformats.org/officeDocument/2006/relationships/oleObject" Target="embeddings/oleObject279.bin"/><Relationship Id="rId45" Type="http://schemas.openxmlformats.org/officeDocument/2006/relationships/image" Target="media/image17.wmf"/><Relationship Id="rId87" Type="http://schemas.openxmlformats.org/officeDocument/2006/relationships/image" Target="media/image37.wmf"/><Relationship Id="rId110" Type="http://schemas.openxmlformats.org/officeDocument/2006/relationships/oleObject" Target="embeddings/oleObject54.bin"/><Relationship Id="rId348" Type="http://schemas.openxmlformats.org/officeDocument/2006/relationships/image" Target="media/image170.wmf"/><Relationship Id="rId513" Type="http://schemas.openxmlformats.org/officeDocument/2006/relationships/image" Target="media/image250.wmf"/><Relationship Id="rId152" Type="http://schemas.openxmlformats.org/officeDocument/2006/relationships/image" Target="media/image68.wmf"/><Relationship Id="rId194" Type="http://schemas.openxmlformats.org/officeDocument/2006/relationships/image" Target="media/image88.wmf"/><Relationship Id="rId208" Type="http://schemas.openxmlformats.org/officeDocument/2006/relationships/image" Target="media/image95.wmf"/><Relationship Id="rId415" Type="http://schemas.openxmlformats.org/officeDocument/2006/relationships/oleObject" Target="embeddings/oleObject240.bin"/><Relationship Id="rId457" Type="http://schemas.openxmlformats.org/officeDocument/2006/relationships/oleObject" Target="embeddings/oleObject262.bin"/><Relationship Id="rId261" Type="http://schemas.openxmlformats.org/officeDocument/2006/relationships/image" Target="media/image125.wmf"/><Relationship Id="rId499" Type="http://schemas.openxmlformats.org/officeDocument/2006/relationships/image" Target="media/image241.wmf"/><Relationship Id="rId14" Type="http://schemas.openxmlformats.org/officeDocument/2006/relationships/oleObject" Target="embeddings/oleObject2.bin"/><Relationship Id="rId56" Type="http://schemas.openxmlformats.org/officeDocument/2006/relationships/image" Target="media/image21.wmf"/><Relationship Id="rId317" Type="http://schemas.openxmlformats.org/officeDocument/2006/relationships/oleObject" Target="embeddings/oleObject176.bin"/><Relationship Id="rId359" Type="http://schemas.openxmlformats.org/officeDocument/2006/relationships/oleObject" Target="embeddings/oleObject211.bin"/><Relationship Id="rId524" Type="http://schemas.openxmlformats.org/officeDocument/2006/relationships/oleObject" Target="embeddings/oleObject305.bin"/><Relationship Id="rId98" Type="http://schemas.openxmlformats.org/officeDocument/2006/relationships/oleObject" Target="embeddings/oleObject48.bin"/><Relationship Id="rId121" Type="http://schemas.openxmlformats.org/officeDocument/2006/relationships/oleObject" Target="embeddings/oleObject62.bin"/><Relationship Id="rId163" Type="http://schemas.openxmlformats.org/officeDocument/2006/relationships/image" Target="media/image73.wmf"/><Relationship Id="rId219" Type="http://schemas.openxmlformats.org/officeDocument/2006/relationships/oleObject" Target="embeddings/oleObject115.bin"/><Relationship Id="rId370" Type="http://schemas.openxmlformats.org/officeDocument/2006/relationships/image" Target="media/image181.wmf"/><Relationship Id="rId426" Type="http://schemas.openxmlformats.org/officeDocument/2006/relationships/image" Target="media/image208.wmf"/><Relationship Id="rId230" Type="http://schemas.openxmlformats.org/officeDocument/2006/relationships/oleObject" Target="embeddings/oleObject125.bin"/><Relationship Id="rId468" Type="http://schemas.openxmlformats.org/officeDocument/2006/relationships/oleObject" Target="embeddings/oleObject268.bin"/><Relationship Id="rId25" Type="http://schemas.openxmlformats.org/officeDocument/2006/relationships/image" Target="media/image8.wmf"/><Relationship Id="rId67" Type="http://schemas.openxmlformats.org/officeDocument/2006/relationships/image" Target="media/image27.wmf"/><Relationship Id="rId272" Type="http://schemas.openxmlformats.org/officeDocument/2006/relationships/oleObject" Target="embeddings/oleObject146.bin"/><Relationship Id="rId328" Type="http://schemas.openxmlformats.org/officeDocument/2006/relationships/image" Target="media/image157.wmf"/><Relationship Id="rId535" Type="http://schemas.openxmlformats.org/officeDocument/2006/relationships/oleObject" Target="embeddings/oleObject306.bin"/><Relationship Id="rId132" Type="http://schemas.openxmlformats.org/officeDocument/2006/relationships/image" Target="media/image61.wmf"/><Relationship Id="rId174" Type="http://schemas.openxmlformats.org/officeDocument/2006/relationships/oleObject" Target="embeddings/oleObject92.bin"/><Relationship Id="rId381" Type="http://schemas.openxmlformats.org/officeDocument/2006/relationships/image" Target="media/image186.wmf"/><Relationship Id="rId241" Type="http://schemas.openxmlformats.org/officeDocument/2006/relationships/image" Target="media/image115.wmf"/><Relationship Id="rId437" Type="http://schemas.openxmlformats.org/officeDocument/2006/relationships/oleObject" Target="embeddings/oleObject251.bin"/><Relationship Id="rId479" Type="http://schemas.openxmlformats.org/officeDocument/2006/relationships/oleObject" Target="embeddings/oleObject274.bin"/><Relationship Id="rId36" Type="http://schemas.openxmlformats.org/officeDocument/2006/relationships/oleObject" Target="embeddings/oleObject13.bin"/><Relationship Id="rId283" Type="http://schemas.openxmlformats.org/officeDocument/2006/relationships/oleObject" Target="embeddings/oleObject153.bin"/><Relationship Id="rId339" Type="http://schemas.openxmlformats.org/officeDocument/2006/relationships/oleObject" Target="embeddings/oleObject201.bin"/><Relationship Id="rId490" Type="http://schemas.openxmlformats.org/officeDocument/2006/relationships/oleObject" Target="embeddings/oleObject281.bin"/><Relationship Id="rId504" Type="http://schemas.openxmlformats.org/officeDocument/2006/relationships/oleObject" Target="embeddings/oleObject294.bin"/><Relationship Id="rId78" Type="http://schemas.openxmlformats.org/officeDocument/2006/relationships/oleObject" Target="embeddings/oleObject38.bin"/><Relationship Id="rId101" Type="http://schemas.openxmlformats.org/officeDocument/2006/relationships/image" Target="media/image44.wmf"/><Relationship Id="rId143" Type="http://schemas.openxmlformats.org/officeDocument/2006/relationships/oleObject" Target="embeddings/oleObject74.bin"/><Relationship Id="rId185" Type="http://schemas.openxmlformats.org/officeDocument/2006/relationships/image" Target="media/image84.wmf"/><Relationship Id="rId350" Type="http://schemas.openxmlformats.org/officeDocument/2006/relationships/image" Target="media/image171.wmf"/><Relationship Id="rId406" Type="http://schemas.openxmlformats.org/officeDocument/2006/relationships/image" Target="media/image198.wmf"/><Relationship Id="rId9" Type="http://schemas.openxmlformats.org/officeDocument/2006/relationships/footer" Target="footer1.xml"/><Relationship Id="rId210" Type="http://schemas.openxmlformats.org/officeDocument/2006/relationships/image" Target="media/image96.wmf"/><Relationship Id="rId392" Type="http://schemas.openxmlformats.org/officeDocument/2006/relationships/image" Target="media/image191.wmf"/><Relationship Id="rId448" Type="http://schemas.openxmlformats.org/officeDocument/2006/relationships/oleObject" Target="embeddings/oleObject257.bin"/><Relationship Id="rId252" Type="http://schemas.openxmlformats.org/officeDocument/2006/relationships/oleObject" Target="embeddings/oleObject136.bin"/><Relationship Id="rId294" Type="http://schemas.openxmlformats.org/officeDocument/2006/relationships/image" Target="media/image140.wmf"/><Relationship Id="rId308" Type="http://schemas.openxmlformats.org/officeDocument/2006/relationships/oleObject" Target="embeddings/oleObject167.bin"/><Relationship Id="rId515" Type="http://schemas.openxmlformats.org/officeDocument/2006/relationships/image" Target="media/image251.wmf"/><Relationship Id="rId47" Type="http://schemas.openxmlformats.org/officeDocument/2006/relationships/image" Target="media/image18.wmf"/><Relationship Id="rId89" Type="http://schemas.openxmlformats.org/officeDocument/2006/relationships/image" Target="media/image38.wmf"/><Relationship Id="rId112" Type="http://schemas.openxmlformats.org/officeDocument/2006/relationships/oleObject" Target="embeddings/oleObject57.bin"/><Relationship Id="rId154" Type="http://schemas.openxmlformats.org/officeDocument/2006/relationships/image" Target="media/image69.wmf"/><Relationship Id="rId361" Type="http://schemas.openxmlformats.org/officeDocument/2006/relationships/oleObject" Target="embeddings/oleObject212.bin"/><Relationship Id="rId196" Type="http://schemas.openxmlformats.org/officeDocument/2006/relationships/image" Target="media/image89.wmf"/><Relationship Id="rId417" Type="http://schemas.openxmlformats.org/officeDocument/2006/relationships/oleObject" Target="embeddings/oleObject241.bin"/><Relationship Id="rId459" Type="http://schemas.openxmlformats.org/officeDocument/2006/relationships/oleObject" Target="embeddings/oleObject263.bin"/><Relationship Id="rId16" Type="http://schemas.openxmlformats.org/officeDocument/2006/relationships/oleObject" Target="embeddings/oleObject3.bin"/><Relationship Id="rId221" Type="http://schemas.openxmlformats.org/officeDocument/2006/relationships/image" Target="media/image101.wmf"/><Relationship Id="rId263" Type="http://schemas.openxmlformats.org/officeDocument/2006/relationships/image" Target="media/image126.wmf"/><Relationship Id="rId319" Type="http://schemas.openxmlformats.org/officeDocument/2006/relationships/oleObject" Target="embeddings/oleObject177.bin"/><Relationship Id="rId470" Type="http://schemas.openxmlformats.org/officeDocument/2006/relationships/oleObject" Target="embeddings/oleObject269.bin"/><Relationship Id="rId526" Type="http://schemas.openxmlformats.org/officeDocument/2006/relationships/hyperlink" Target="https://doi.org/10.1287/mksc.2013.0829" TargetMode="External"/><Relationship Id="rId58" Type="http://schemas.openxmlformats.org/officeDocument/2006/relationships/oleObject" Target="embeddings/oleObject27.bin"/><Relationship Id="rId123" Type="http://schemas.openxmlformats.org/officeDocument/2006/relationships/oleObject" Target="embeddings/oleObject63.bin"/><Relationship Id="rId330" Type="http://schemas.openxmlformats.org/officeDocument/2006/relationships/image" Target="media/image162.wmf"/><Relationship Id="rId165" Type="http://schemas.openxmlformats.org/officeDocument/2006/relationships/image" Target="media/image74.wmf"/><Relationship Id="rId372" Type="http://schemas.openxmlformats.org/officeDocument/2006/relationships/image" Target="media/image182.wmf"/><Relationship Id="rId428" Type="http://schemas.openxmlformats.org/officeDocument/2006/relationships/image" Target="media/image209.wmf"/><Relationship Id="rId232" Type="http://schemas.openxmlformats.org/officeDocument/2006/relationships/oleObject" Target="embeddings/oleObject126.bin"/><Relationship Id="rId274" Type="http://schemas.openxmlformats.org/officeDocument/2006/relationships/oleObject" Target="embeddings/oleObject147.bin"/><Relationship Id="rId481" Type="http://schemas.openxmlformats.org/officeDocument/2006/relationships/oleObject" Target="embeddings/oleObject275.bin"/><Relationship Id="rId27" Type="http://schemas.openxmlformats.org/officeDocument/2006/relationships/image" Target="media/image9.wmf"/><Relationship Id="rId69" Type="http://schemas.openxmlformats.org/officeDocument/2006/relationships/image" Target="media/image28.wmf"/><Relationship Id="rId134" Type="http://schemas.openxmlformats.org/officeDocument/2006/relationships/image" Target="media/image62.wmf"/><Relationship Id="rId537" Type="http://schemas.openxmlformats.org/officeDocument/2006/relationships/image" Target="media/image258.wmf"/><Relationship Id="rId80" Type="http://schemas.openxmlformats.org/officeDocument/2006/relationships/oleObject" Target="embeddings/oleObject39.bin"/><Relationship Id="rId176" Type="http://schemas.openxmlformats.org/officeDocument/2006/relationships/oleObject" Target="embeddings/oleObject93.bin"/><Relationship Id="rId341" Type="http://schemas.openxmlformats.org/officeDocument/2006/relationships/oleObject" Target="embeddings/oleObject202.bin"/><Relationship Id="rId383" Type="http://schemas.openxmlformats.org/officeDocument/2006/relationships/image" Target="media/image187.wmf"/><Relationship Id="rId439" Type="http://schemas.openxmlformats.org/officeDocument/2006/relationships/oleObject" Target="embeddings/oleObject252.bin"/><Relationship Id="rId201" Type="http://schemas.openxmlformats.org/officeDocument/2006/relationships/oleObject" Target="embeddings/oleObject106.bin"/><Relationship Id="rId243" Type="http://schemas.openxmlformats.org/officeDocument/2006/relationships/image" Target="media/image116.wmf"/><Relationship Id="rId285" Type="http://schemas.openxmlformats.org/officeDocument/2006/relationships/oleObject" Target="embeddings/oleObject154.bin"/><Relationship Id="rId450" Type="http://schemas.openxmlformats.org/officeDocument/2006/relationships/image" Target="media/image219.wmf"/><Relationship Id="rId506" Type="http://schemas.openxmlformats.org/officeDocument/2006/relationships/oleObject" Target="embeddings/oleObject295.bin"/><Relationship Id="rId38" Type="http://schemas.openxmlformats.org/officeDocument/2006/relationships/oleObject" Target="embeddings/oleObject15.bin"/><Relationship Id="rId103" Type="http://schemas.openxmlformats.org/officeDocument/2006/relationships/image" Target="media/image45.wmf"/><Relationship Id="rId310" Type="http://schemas.openxmlformats.org/officeDocument/2006/relationships/oleObject" Target="embeddings/oleObject168.bin"/><Relationship Id="rId492" Type="http://schemas.openxmlformats.org/officeDocument/2006/relationships/oleObject" Target="embeddings/oleObject282.bin"/><Relationship Id="rId91" Type="http://schemas.openxmlformats.org/officeDocument/2006/relationships/image" Target="media/image39.wmf"/><Relationship Id="rId145" Type="http://schemas.openxmlformats.org/officeDocument/2006/relationships/oleObject" Target="embeddings/oleObject76.bin"/><Relationship Id="rId187" Type="http://schemas.openxmlformats.org/officeDocument/2006/relationships/image" Target="media/image85.wmf"/><Relationship Id="rId352" Type="http://schemas.openxmlformats.org/officeDocument/2006/relationships/image" Target="media/image172.wmf"/><Relationship Id="rId394" Type="http://schemas.openxmlformats.org/officeDocument/2006/relationships/image" Target="media/image192.wmf"/><Relationship Id="rId408" Type="http://schemas.openxmlformats.org/officeDocument/2006/relationships/image" Target="media/image199.wmf"/><Relationship Id="rId212" Type="http://schemas.openxmlformats.org/officeDocument/2006/relationships/image" Target="media/image97.wmf"/><Relationship Id="rId254" Type="http://schemas.openxmlformats.org/officeDocument/2006/relationships/oleObject" Target="embeddings/oleObject137.bin"/><Relationship Id="rId49" Type="http://schemas.openxmlformats.org/officeDocument/2006/relationships/oleObject" Target="embeddings/oleObject21.bin"/><Relationship Id="rId114" Type="http://schemas.openxmlformats.org/officeDocument/2006/relationships/oleObject" Target="embeddings/oleObject58.bin"/><Relationship Id="rId296" Type="http://schemas.openxmlformats.org/officeDocument/2006/relationships/image" Target="media/image141.wmf"/><Relationship Id="rId461" Type="http://schemas.openxmlformats.org/officeDocument/2006/relationships/oleObject" Target="embeddings/oleObject264.bin"/><Relationship Id="rId517" Type="http://schemas.openxmlformats.org/officeDocument/2006/relationships/image" Target="media/image252.wmf"/><Relationship Id="rId60" Type="http://schemas.openxmlformats.org/officeDocument/2006/relationships/oleObject" Target="embeddings/oleObject28.bin"/><Relationship Id="rId156" Type="http://schemas.openxmlformats.org/officeDocument/2006/relationships/image" Target="media/image70.wmf"/><Relationship Id="rId198" Type="http://schemas.openxmlformats.org/officeDocument/2006/relationships/image" Target="media/image90.wmf"/><Relationship Id="rId321" Type="http://schemas.openxmlformats.org/officeDocument/2006/relationships/oleObject" Target="embeddings/oleObject178.bin"/><Relationship Id="rId363" Type="http://schemas.openxmlformats.org/officeDocument/2006/relationships/oleObject" Target="embeddings/oleObject213.bin"/><Relationship Id="rId419" Type="http://schemas.openxmlformats.org/officeDocument/2006/relationships/oleObject" Target="embeddings/oleObject242.bin"/><Relationship Id="rId223" Type="http://schemas.openxmlformats.org/officeDocument/2006/relationships/image" Target="media/image102.wmf"/><Relationship Id="rId430" Type="http://schemas.openxmlformats.org/officeDocument/2006/relationships/image" Target="media/image210.wmf"/><Relationship Id="rId18" Type="http://schemas.openxmlformats.org/officeDocument/2006/relationships/oleObject" Target="embeddings/oleObject4.bin"/><Relationship Id="rId265" Type="http://schemas.openxmlformats.org/officeDocument/2006/relationships/image" Target="media/image127.wmf"/><Relationship Id="rId472" Type="http://schemas.openxmlformats.org/officeDocument/2006/relationships/image" Target="media/image229.wmf"/><Relationship Id="rId528" Type="http://schemas.openxmlformats.org/officeDocument/2006/relationships/hyperlink" Target="http://www.mbie.govt.nz/about-us/publications/soi/Ministry-of-Business-Innovation-and-Employment-SOI-2013.pdf" TargetMode="External"/><Relationship Id="rId125" Type="http://schemas.openxmlformats.org/officeDocument/2006/relationships/oleObject" Target="embeddings/oleObject64.bin"/><Relationship Id="rId167" Type="http://schemas.openxmlformats.org/officeDocument/2006/relationships/image" Target="media/image75.wmf"/><Relationship Id="rId332" Type="http://schemas.openxmlformats.org/officeDocument/2006/relationships/image" Target="media/image163.wmf"/><Relationship Id="rId374" Type="http://schemas.openxmlformats.org/officeDocument/2006/relationships/image" Target="media/image183.wmf"/><Relationship Id="rId71" Type="http://schemas.openxmlformats.org/officeDocument/2006/relationships/image" Target="media/image29.wmf"/><Relationship Id="rId234" Type="http://schemas.openxmlformats.org/officeDocument/2006/relationships/oleObject" Target="embeddings/oleObject127.bin"/><Relationship Id="rId2" Type="http://schemas.openxmlformats.org/officeDocument/2006/relationships/numbering" Target="numbering.xml"/><Relationship Id="rId29" Type="http://schemas.openxmlformats.org/officeDocument/2006/relationships/image" Target="media/image10.wmf"/><Relationship Id="rId276" Type="http://schemas.openxmlformats.org/officeDocument/2006/relationships/oleObject" Target="embeddings/oleObject148.bin"/><Relationship Id="rId441" Type="http://schemas.openxmlformats.org/officeDocument/2006/relationships/oleObject" Target="embeddings/oleObject253.bin"/><Relationship Id="rId483" Type="http://schemas.openxmlformats.org/officeDocument/2006/relationships/oleObject" Target="embeddings/oleObject276.bin"/><Relationship Id="rId539" Type="http://schemas.openxmlformats.org/officeDocument/2006/relationships/image" Target="media/image259.wmf"/><Relationship Id="rId40" Type="http://schemas.openxmlformats.org/officeDocument/2006/relationships/oleObject" Target="embeddings/oleObject16.bin"/><Relationship Id="rId136" Type="http://schemas.openxmlformats.org/officeDocument/2006/relationships/oleObject" Target="embeddings/oleObject70.bin"/><Relationship Id="rId178" Type="http://schemas.openxmlformats.org/officeDocument/2006/relationships/oleObject" Target="embeddings/oleObject94.bin"/><Relationship Id="rId301" Type="http://schemas.openxmlformats.org/officeDocument/2006/relationships/oleObject" Target="embeddings/oleObject162.bin"/><Relationship Id="rId343" Type="http://schemas.openxmlformats.org/officeDocument/2006/relationships/oleObject" Target="embeddings/oleObject203.bin"/><Relationship Id="rId82" Type="http://schemas.openxmlformats.org/officeDocument/2006/relationships/oleObject" Target="embeddings/oleObject40.bin"/><Relationship Id="rId203" Type="http://schemas.openxmlformats.org/officeDocument/2006/relationships/oleObject" Target="embeddings/oleObject107.bin"/><Relationship Id="rId385" Type="http://schemas.openxmlformats.org/officeDocument/2006/relationships/oleObject" Target="embeddings/oleObject225.bin"/><Relationship Id="rId245" Type="http://schemas.openxmlformats.org/officeDocument/2006/relationships/image" Target="media/image117.wmf"/><Relationship Id="rId287" Type="http://schemas.openxmlformats.org/officeDocument/2006/relationships/oleObject" Target="embeddings/oleObject155.bin"/><Relationship Id="rId410" Type="http://schemas.openxmlformats.org/officeDocument/2006/relationships/image" Target="media/image200.wmf"/><Relationship Id="rId452" Type="http://schemas.openxmlformats.org/officeDocument/2006/relationships/image" Target="media/image220.wmf"/><Relationship Id="rId494" Type="http://schemas.openxmlformats.org/officeDocument/2006/relationships/oleObject" Target="embeddings/oleObject283.bin"/><Relationship Id="rId508" Type="http://schemas.openxmlformats.org/officeDocument/2006/relationships/oleObject" Target="embeddings/oleObject296.bin"/><Relationship Id="rId105" Type="http://schemas.openxmlformats.org/officeDocument/2006/relationships/image" Target="media/image46.wmf"/><Relationship Id="rId147" Type="http://schemas.openxmlformats.org/officeDocument/2006/relationships/oleObject" Target="embeddings/oleObject77.bin"/><Relationship Id="rId312" Type="http://schemas.openxmlformats.org/officeDocument/2006/relationships/image" Target="media/image150.wmf"/><Relationship Id="rId354" Type="http://schemas.openxmlformats.org/officeDocument/2006/relationships/image" Target="media/image173.wmf"/><Relationship Id="rId51" Type="http://schemas.openxmlformats.org/officeDocument/2006/relationships/oleObject" Target="embeddings/oleObject22.bin"/><Relationship Id="rId93" Type="http://schemas.openxmlformats.org/officeDocument/2006/relationships/image" Target="media/image40.wmf"/><Relationship Id="rId189" Type="http://schemas.openxmlformats.org/officeDocument/2006/relationships/image" Target="media/image86.wmf"/><Relationship Id="rId396" Type="http://schemas.openxmlformats.org/officeDocument/2006/relationships/image" Target="media/image193.wmf"/><Relationship Id="rId214" Type="http://schemas.openxmlformats.org/officeDocument/2006/relationships/image" Target="media/image98.wmf"/><Relationship Id="rId256" Type="http://schemas.openxmlformats.org/officeDocument/2006/relationships/oleObject" Target="embeddings/oleObject138.bin"/><Relationship Id="rId298" Type="http://schemas.openxmlformats.org/officeDocument/2006/relationships/image" Target="media/image142.wmf"/><Relationship Id="rId421" Type="http://schemas.openxmlformats.org/officeDocument/2006/relationships/oleObject" Target="embeddings/oleObject243.bin"/><Relationship Id="rId463" Type="http://schemas.openxmlformats.org/officeDocument/2006/relationships/oleObject" Target="embeddings/oleObject265.bin"/><Relationship Id="rId519" Type="http://schemas.openxmlformats.org/officeDocument/2006/relationships/image" Target="media/image253.wmf"/><Relationship Id="rId116" Type="http://schemas.openxmlformats.org/officeDocument/2006/relationships/oleObject" Target="embeddings/oleObject59.bin"/><Relationship Id="rId158" Type="http://schemas.openxmlformats.org/officeDocument/2006/relationships/image" Target="media/image71.wmf"/><Relationship Id="rId323" Type="http://schemas.openxmlformats.org/officeDocument/2006/relationships/oleObject" Target="embeddings/oleObject179.bin"/><Relationship Id="rId530" Type="http://schemas.openxmlformats.org/officeDocument/2006/relationships/hyperlink" Target="https://www.cnn.com/travel/article/single-parent-family-travel/index.html" TargetMode="External"/><Relationship Id="rId20" Type="http://schemas.openxmlformats.org/officeDocument/2006/relationships/oleObject" Target="embeddings/oleObject5.bin"/><Relationship Id="rId62" Type="http://schemas.openxmlformats.org/officeDocument/2006/relationships/oleObject" Target="embeddings/oleObject29.bin"/><Relationship Id="rId365" Type="http://schemas.openxmlformats.org/officeDocument/2006/relationships/oleObject" Target="embeddings/oleObject214.bin"/><Relationship Id="rId225" Type="http://schemas.openxmlformats.org/officeDocument/2006/relationships/image" Target="media/image103.wmf"/><Relationship Id="rId267" Type="http://schemas.openxmlformats.org/officeDocument/2006/relationships/image" Target="media/image128.wmf"/><Relationship Id="rId432" Type="http://schemas.openxmlformats.org/officeDocument/2006/relationships/image" Target="media/image211.wmf"/><Relationship Id="rId474" Type="http://schemas.openxmlformats.org/officeDocument/2006/relationships/image" Target="media/image230.wmf"/><Relationship Id="rId127" Type="http://schemas.openxmlformats.org/officeDocument/2006/relationships/oleObject" Target="embeddings/oleObject65.bin"/><Relationship Id="rId31" Type="http://schemas.openxmlformats.org/officeDocument/2006/relationships/image" Target="media/image11.wmf"/><Relationship Id="rId73" Type="http://schemas.openxmlformats.org/officeDocument/2006/relationships/image" Target="media/image30.wmf"/><Relationship Id="rId169" Type="http://schemas.openxmlformats.org/officeDocument/2006/relationships/image" Target="media/image76.wmf"/><Relationship Id="rId334" Type="http://schemas.openxmlformats.org/officeDocument/2006/relationships/oleObject" Target="embeddings/oleObject198.bin"/><Relationship Id="rId376" Type="http://schemas.openxmlformats.org/officeDocument/2006/relationships/image" Target="media/image184.wmf"/><Relationship Id="rId541" Type="http://schemas.openxmlformats.org/officeDocument/2006/relationships/oleObject" Target="embeddings/oleObject310.bin"/><Relationship Id="rId4" Type="http://schemas.openxmlformats.org/officeDocument/2006/relationships/settings" Target="settings.xml"/><Relationship Id="rId180" Type="http://schemas.openxmlformats.org/officeDocument/2006/relationships/oleObject" Target="embeddings/oleObject95.bin"/><Relationship Id="rId236" Type="http://schemas.openxmlformats.org/officeDocument/2006/relationships/oleObject" Target="embeddings/oleObject128.bin"/><Relationship Id="rId278" Type="http://schemas.openxmlformats.org/officeDocument/2006/relationships/oleObject" Target="embeddings/oleObject149.bin"/><Relationship Id="rId401" Type="http://schemas.openxmlformats.org/officeDocument/2006/relationships/oleObject" Target="embeddings/oleObject233.bin"/><Relationship Id="rId443" Type="http://schemas.openxmlformats.org/officeDocument/2006/relationships/oleObject" Target="embeddings/oleObject254.bin"/><Relationship Id="rId303" Type="http://schemas.openxmlformats.org/officeDocument/2006/relationships/image" Target="media/image144.wmf"/><Relationship Id="rId485" Type="http://schemas.openxmlformats.org/officeDocument/2006/relationships/oleObject" Target="embeddings/oleObject277.bin"/><Relationship Id="rId42" Type="http://schemas.openxmlformats.org/officeDocument/2006/relationships/oleObject" Target="embeddings/oleObject17.bin"/><Relationship Id="rId84" Type="http://schemas.openxmlformats.org/officeDocument/2006/relationships/oleObject" Target="embeddings/oleObject41.bin"/><Relationship Id="rId138" Type="http://schemas.openxmlformats.org/officeDocument/2006/relationships/oleObject" Target="embeddings/oleObject71.bin"/><Relationship Id="rId345" Type="http://schemas.openxmlformats.org/officeDocument/2006/relationships/oleObject" Target="embeddings/oleObject204.bin"/><Relationship Id="rId387" Type="http://schemas.openxmlformats.org/officeDocument/2006/relationships/oleObject" Target="embeddings/oleObject226.bin"/><Relationship Id="rId510" Type="http://schemas.openxmlformats.org/officeDocument/2006/relationships/oleObject" Target="embeddings/oleObject298.bin"/><Relationship Id="rId191" Type="http://schemas.openxmlformats.org/officeDocument/2006/relationships/image" Target="media/image87.wmf"/><Relationship Id="rId205" Type="http://schemas.openxmlformats.org/officeDocument/2006/relationships/oleObject" Target="embeddings/oleObject108.bin"/><Relationship Id="rId247" Type="http://schemas.openxmlformats.org/officeDocument/2006/relationships/image" Target="media/image118.wmf"/><Relationship Id="rId412" Type="http://schemas.openxmlformats.org/officeDocument/2006/relationships/image" Target="media/image201.wmf"/><Relationship Id="rId107" Type="http://schemas.openxmlformats.org/officeDocument/2006/relationships/image" Target="media/image47.wmf"/><Relationship Id="rId289" Type="http://schemas.openxmlformats.org/officeDocument/2006/relationships/oleObject" Target="embeddings/oleObject156.bin"/><Relationship Id="rId454" Type="http://schemas.openxmlformats.org/officeDocument/2006/relationships/image" Target="media/image221.wmf"/><Relationship Id="rId496" Type="http://schemas.openxmlformats.org/officeDocument/2006/relationships/oleObject" Target="embeddings/oleObject284.bin"/><Relationship Id="rId11" Type="http://schemas.openxmlformats.org/officeDocument/2006/relationships/image" Target="media/image1.wmf"/><Relationship Id="rId53" Type="http://schemas.openxmlformats.org/officeDocument/2006/relationships/oleObject" Target="embeddings/oleObject23.bin"/><Relationship Id="rId149" Type="http://schemas.openxmlformats.org/officeDocument/2006/relationships/oleObject" Target="embeddings/oleObject78.bin"/><Relationship Id="rId314" Type="http://schemas.openxmlformats.org/officeDocument/2006/relationships/image" Target="media/image151.wmf"/><Relationship Id="rId356" Type="http://schemas.openxmlformats.org/officeDocument/2006/relationships/image" Target="media/image174.wmf"/><Relationship Id="rId398" Type="http://schemas.openxmlformats.org/officeDocument/2006/relationships/image" Target="media/image194.wmf"/><Relationship Id="rId521" Type="http://schemas.openxmlformats.org/officeDocument/2006/relationships/image" Target="media/image254.wmf"/><Relationship Id="rId95" Type="http://schemas.openxmlformats.org/officeDocument/2006/relationships/image" Target="media/image41.wmf"/><Relationship Id="rId160" Type="http://schemas.openxmlformats.org/officeDocument/2006/relationships/oleObject" Target="embeddings/oleObject85.bin"/><Relationship Id="rId216" Type="http://schemas.openxmlformats.org/officeDocument/2006/relationships/image" Target="media/image99.wmf"/><Relationship Id="rId423" Type="http://schemas.openxmlformats.org/officeDocument/2006/relationships/oleObject" Target="embeddings/oleObject244.bin"/><Relationship Id="rId258" Type="http://schemas.openxmlformats.org/officeDocument/2006/relationships/oleObject" Target="embeddings/oleObject139.bin"/><Relationship Id="rId465" Type="http://schemas.openxmlformats.org/officeDocument/2006/relationships/oleObject" Target="embeddings/oleObject266.bin"/><Relationship Id="rId22" Type="http://schemas.openxmlformats.org/officeDocument/2006/relationships/oleObject" Target="embeddings/oleObject6.bin"/><Relationship Id="rId64" Type="http://schemas.openxmlformats.org/officeDocument/2006/relationships/oleObject" Target="embeddings/oleObject31.bin"/><Relationship Id="rId118" Type="http://schemas.openxmlformats.org/officeDocument/2006/relationships/image" Target="media/image54.wmf"/><Relationship Id="rId325" Type="http://schemas.openxmlformats.org/officeDocument/2006/relationships/oleObject" Target="embeddings/oleObject180.bin"/><Relationship Id="rId367" Type="http://schemas.openxmlformats.org/officeDocument/2006/relationships/oleObject" Target="embeddings/oleObject215.bin"/><Relationship Id="rId532" Type="http://schemas.openxmlformats.org/officeDocument/2006/relationships/hyperlink" Target="http://www.stats.govt.nz" TargetMode="External"/><Relationship Id="rId171" Type="http://schemas.openxmlformats.org/officeDocument/2006/relationships/image" Target="media/image77.wmf"/><Relationship Id="rId227" Type="http://schemas.openxmlformats.org/officeDocument/2006/relationships/image" Target="media/image108.wmf"/><Relationship Id="rId269" Type="http://schemas.openxmlformats.org/officeDocument/2006/relationships/image" Target="media/image129.wmf"/><Relationship Id="rId434" Type="http://schemas.openxmlformats.org/officeDocument/2006/relationships/image" Target="media/image212.wmf"/><Relationship Id="rId476" Type="http://schemas.openxmlformats.org/officeDocument/2006/relationships/image" Target="media/image231.wmf"/><Relationship Id="rId33" Type="http://schemas.openxmlformats.org/officeDocument/2006/relationships/image" Target="media/image12.wmf"/><Relationship Id="rId129" Type="http://schemas.openxmlformats.org/officeDocument/2006/relationships/oleObject" Target="embeddings/oleObject66.bin"/><Relationship Id="rId280" Type="http://schemas.openxmlformats.org/officeDocument/2006/relationships/oleObject" Target="embeddings/oleObject151.bin"/><Relationship Id="rId336" Type="http://schemas.openxmlformats.org/officeDocument/2006/relationships/oleObject" Target="embeddings/oleObject199.bin"/><Relationship Id="rId501" Type="http://schemas.openxmlformats.org/officeDocument/2006/relationships/oleObject" Target="embeddings/oleObject287.bin"/><Relationship Id="rId543" Type="http://schemas.openxmlformats.org/officeDocument/2006/relationships/fontTable" Target="fontTable.xml"/><Relationship Id="rId75" Type="http://schemas.openxmlformats.org/officeDocument/2006/relationships/image" Target="media/image31.wmf"/><Relationship Id="rId140" Type="http://schemas.openxmlformats.org/officeDocument/2006/relationships/image" Target="media/image64.wmf"/><Relationship Id="rId182" Type="http://schemas.openxmlformats.org/officeDocument/2006/relationships/oleObject" Target="embeddings/oleObject96.bin"/><Relationship Id="rId378" Type="http://schemas.openxmlformats.org/officeDocument/2006/relationships/image" Target="media/image185.wmf"/><Relationship Id="rId403" Type="http://schemas.openxmlformats.org/officeDocument/2006/relationships/oleObject" Target="embeddings/oleObject234.bin"/><Relationship Id="rId6" Type="http://schemas.openxmlformats.org/officeDocument/2006/relationships/footnotes" Target="footnotes.xml"/><Relationship Id="rId238" Type="http://schemas.openxmlformats.org/officeDocument/2006/relationships/oleObject" Target="embeddings/oleObject129.bin"/><Relationship Id="rId445" Type="http://schemas.openxmlformats.org/officeDocument/2006/relationships/oleObject" Target="embeddings/oleObject255.bin"/><Relationship Id="rId487" Type="http://schemas.openxmlformats.org/officeDocument/2006/relationships/image" Target="media/image236.wmf"/><Relationship Id="rId291" Type="http://schemas.openxmlformats.org/officeDocument/2006/relationships/oleObject" Target="embeddings/oleObject157.bin"/><Relationship Id="rId305" Type="http://schemas.openxmlformats.org/officeDocument/2006/relationships/image" Target="media/image145.wmf"/><Relationship Id="rId347" Type="http://schemas.openxmlformats.org/officeDocument/2006/relationships/oleObject" Target="embeddings/oleObject205.bin"/><Relationship Id="rId512" Type="http://schemas.openxmlformats.org/officeDocument/2006/relationships/oleObject" Target="embeddings/oleObject299.bin"/><Relationship Id="rId44" Type="http://schemas.openxmlformats.org/officeDocument/2006/relationships/oleObject" Target="embeddings/oleObject18.bin"/><Relationship Id="rId86" Type="http://schemas.openxmlformats.org/officeDocument/2006/relationships/oleObject" Target="embeddings/oleObject42.bin"/><Relationship Id="rId151" Type="http://schemas.openxmlformats.org/officeDocument/2006/relationships/oleObject" Target="embeddings/oleObject80.bin"/><Relationship Id="rId389" Type="http://schemas.openxmlformats.org/officeDocument/2006/relationships/oleObject" Target="embeddings/oleObject227.bin"/><Relationship Id="rId193" Type="http://schemas.openxmlformats.org/officeDocument/2006/relationships/oleObject" Target="embeddings/oleObject102.bin"/><Relationship Id="rId207" Type="http://schemas.openxmlformats.org/officeDocument/2006/relationships/oleObject" Target="embeddings/oleObject109.bin"/><Relationship Id="rId249" Type="http://schemas.openxmlformats.org/officeDocument/2006/relationships/image" Target="media/image119.wmf"/><Relationship Id="rId414" Type="http://schemas.openxmlformats.org/officeDocument/2006/relationships/image" Target="media/image202.wmf"/><Relationship Id="rId456" Type="http://schemas.openxmlformats.org/officeDocument/2006/relationships/image" Target="media/image222.wmf"/><Relationship Id="rId498" Type="http://schemas.openxmlformats.org/officeDocument/2006/relationships/oleObject" Target="embeddings/oleObject285.bin"/><Relationship Id="rId13" Type="http://schemas.openxmlformats.org/officeDocument/2006/relationships/image" Target="media/image2.wmf"/><Relationship Id="rId109" Type="http://schemas.openxmlformats.org/officeDocument/2006/relationships/image" Target="media/image48.wmf"/><Relationship Id="rId260" Type="http://schemas.openxmlformats.org/officeDocument/2006/relationships/oleObject" Target="embeddings/oleObject140.bin"/><Relationship Id="rId316" Type="http://schemas.openxmlformats.org/officeDocument/2006/relationships/image" Target="media/image152.wmf"/><Relationship Id="rId523" Type="http://schemas.openxmlformats.org/officeDocument/2006/relationships/image" Target="media/image255.wmf"/><Relationship Id="rId55" Type="http://schemas.openxmlformats.org/officeDocument/2006/relationships/oleObject" Target="embeddings/oleObject25.bin"/><Relationship Id="rId97" Type="http://schemas.openxmlformats.org/officeDocument/2006/relationships/image" Target="media/image42.wmf"/><Relationship Id="rId120" Type="http://schemas.openxmlformats.org/officeDocument/2006/relationships/image" Target="media/image55.wmf"/><Relationship Id="rId358" Type="http://schemas.openxmlformats.org/officeDocument/2006/relationships/image" Target="media/image175.wmf"/><Relationship Id="rId162" Type="http://schemas.openxmlformats.org/officeDocument/2006/relationships/oleObject" Target="embeddings/oleObject86.bin"/><Relationship Id="rId218" Type="http://schemas.openxmlformats.org/officeDocument/2006/relationships/image" Target="media/image100.wmf"/><Relationship Id="rId425" Type="http://schemas.openxmlformats.org/officeDocument/2006/relationships/oleObject" Target="embeddings/oleObject245.bin"/><Relationship Id="rId467" Type="http://schemas.openxmlformats.org/officeDocument/2006/relationships/oleObject" Target="embeddings/oleObject267.bin"/><Relationship Id="rId271" Type="http://schemas.openxmlformats.org/officeDocument/2006/relationships/image" Target="media/image130.wmf"/><Relationship Id="rId24" Type="http://schemas.openxmlformats.org/officeDocument/2006/relationships/oleObject" Target="embeddings/oleObject7.bin"/><Relationship Id="rId66" Type="http://schemas.openxmlformats.org/officeDocument/2006/relationships/oleObject" Target="embeddings/oleObject32.bin"/><Relationship Id="rId131" Type="http://schemas.openxmlformats.org/officeDocument/2006/relationships/oleObject" Target="embeddings/oleObject67.bin"/><Relationship Id="rId327" Type="http://schemas.openxmlformats.org/officeDocument/2006/relationships/oleObject" Target="embeddings/oleObject181.bin"/><Relationship Id="rId369" Type="http://schemas.openxmlformats.org/officeDocument/2006/relationships/oleObject" Target="embeddings/oleObject216.bin"/><Relationship Id="rId534" Type="http://schemas.openxmlformats.org/officeDocument/2006/relationships/image" Target="media/image257.wmf"/><Relationship Id="rId173" Type="http://schemas.openxmlformats.org/officeDocument/2006/relationships/image" Target="media/image78.wmf"/><Relationship Id="rId229" Type="http://schemas.openxmlformats.org/officeDocument/2006/relationships/image" Target="media/image109.wmf"/><Relationship Id="rId380" Type="http://schemas.openxmlformats.org/officeDocument/2006/relationships/oleObject" Target="embeddings/oleObject222.bin"/><Relationship Id="rId436" Type="http://schemas.openxmlformats.org/officeDocument/2006/relationships/image" Target="media/image213.wmf"/><Relationship Id="rId240" Type="http://schemas.openxmlformats.org/officeDocument/2006/relationships/oleObject" Target="embeddings/oleObject130.bin"/><Relationship Id="rId478" Type="http://schemas.openxmlformats.org/officeDocument/2006/relationships/image" Target="media/image232.wmf"/><Relationship Id="rId35" Type="http://schemas.openxmlformats.org/officeDocument/2006/relationships/image" Target="media/image13.wmf"/><Relationship Id="rId77" Type="http://schemas.openxmlformats.org/officeDocument/2006/relationships/image" Target="media/image32.wmf"/><Relationship Id="rId100" Type="http://schemas.openxmlformats.org/officeDocument/2006/relationships/oleObject" Target="embeddings/oleObject49.bin"/><Relationship Id="rId282" Type="http://schemas.openxmlformats.org/officeDocument/2006/relationships/image" Target="media/image134.wmf"/><Relationship Id="rId338" Type="http://schemas.openxmlformats.org/officeDocument/2006/relationships/oleObject" Target="embeddings/oleObject200.bin"/><Relationship Id="rId503" Type="http://schemas.openxmlformats.org/officeDocument/2006/relationships/image" Target="media/image246.wmf"/><Relationship Id="rId8" Type="http://schemas.openxmlformats.org/officeDocument/2006/relationships/hyperlink" Target="mailto:bhat@mail.utexas.edu" TargetMode="External"/><Relationship Id="rId142" Type="http://schemas.openxmlformats.org/officeDocument/2006/relationships/image" Target="media/image65.wmf"/><Relationship Id="rId184" Type="http://schemas.openxmlformats.org/officeDocument/2006/relationships/oleObject" Target="embeddings/oleObject97.bin"/><Relationship Id="rId391" Type="http://schemas.openxmlformats.org/officeDocument/2006/relationships/oleObject" Target="embeddings/oleObject228.bin"/><Relationship Id="rId405" Type="http://schemas.openxmlformats.org/officeDocument/2006/relationships/oleObject" Target="embeddings/oleObject235.bin"/><Relationship Id="rId447" Type="http://schemas.openxmlformats.org/officeDocument/2006/relationships/oleObject" Target="embeddings/oleObject256.bin"/><Relationship Id="rId251" Type="http://schemas.openxmlformats.org/officeDocument/2006/relationships/image" Target="media/image120.wmf"/><Relationship Id="rId489" Type="http://schemas.openxmlformats.org/officeDocument/2006/relationships/oleObject" Target="embeddings/oleObject280.bin"/><Relationship Id="rId46" Type="http://schemas.openxmlformats.org/officeDocument/2006/relationships/oleObject" Target="embeddings/oleObject19.bin"/><Relationship Id="rId293" Type="http://schemas.openxmlformats.org/officeDocument/2006/relationships/oleObject" Target="embeddings/oleObject158.bin"/><Relationship Id="rId307" Type="http://schemas.openxmlformats.org/officeDocument/2006/relationships/oleObject" Target="embeddings/oleObject166.bin"/><Relationship Id="rId349" Type="http://schemas.openxmlformats.org/officeDocument/2006/relationships/oleObject" Target="embeddings/oleObject206.bin"/><Relationship Id="rId514" Type="http://schemas.openxmlformats.org/officeDocument/2006/relationships/oleObject" Target="embeddings/oleObject300.bin"/><Relationship Id="rId88" Type="http://schemas.openxmlformats.org/officeDocument/2006/relationships/oleObject" Target="embeddings/oleObject43.bin"/><Relationship Id="rId111" Type="http://schemas.openxmlformats.org/officeDocument/2006/relationships/image" Target="media/image51.wmf"/><Relationship Id="rId153" Type="http://schemas.openxmlformats.org/officeDocument/2006/relationships/oleObject" Target="embeddings/oleObject81.bin"/><Relationship Id="rId195" Type="http://schemas.openxmlformats.org/officeDocument/2006/relationships/oleObject" Target="embeddings/oleObject103.bin"/><Relationship Id="rId209" Type="http://schemas.openxmlformats.org/officeDocument/2006/relationships/oleObject" Target="embeddings/oleObject110.bin"/><Relationship Id="rId360" Type="http://schemas.openxmlformats.org/officeDocument/2006/relationships/image" Target="media/image176.wmf"/><Relationship Id="rId416" Type="http://schemas.openxmlformats.org/officeDocument/2006/relationships/image" Target="media/image203.wmf"/><Relationship Id="rId220" Type="http://schemas.openxmlformats.org/officeDocument/2006/relationships/oleObject" Target="embeddings/oleObject116.bin"/><Relationship Id="rId458" Type="http://schemas.openxmlformats.org/officeDocument/2006/relationships/image" Target="media/image223.wmf"/><Relationship Id="rId15" Type="http://schemas.openxmlformats.org/officeDocument/2006/relationships/image" Target="media/image3.wmf"/><Relationship Id="rId57" Type="http://schemas.openxmlformats.org/officeDocument/2006/relationships/oleObject" Target="embeddings/oleObject26.bin"/><Relationship Id="rId262" Type="http://schemas.openxmlformats.org/officeDocument/2006/relationships/oleObject" Target="embeddings/oleObject141.bin"/><Relationship Id="rId318" Type="http://schemas.openxmlformats.org/officeDocument/2006/relationships/image" Target="media/image153.wmf"/><Relationship Id="rId525" Type="http://schemas.openxmlformats.org/officeDocument/2006/relationships/hyperlink" Target="https://ssrn.com/abstract=4098319" TargetMode="External"/><Relationship Id="rId99" Type="http://schemas.openxmlformats.org/officeDocument/2006/relationships/image" Target="media/image43.wmf"/><Relationship Id="rId122" Type="http://schemas.openxmlformats.org/officeDocument/2006/relationships/image" Target="media/image56.wmf"/><Relationship Id="rId164" Type="http://schemas.openxmlformats.org/officeDocument/2006/relationships/oleObject" Target="embeddings/oleObject87.bin"/><Relationship Id="rId371" Type="http://schemas.openxmlformats.org/officeDocument/2006/relationships/oleObject" Target="embeddings/oleObject217.bin"/><Relationship Id="rId427" Type="http://schemas.openxmlformats.org/officeDocument/2006/relationships/oleObject" Target="embeddings/oleObject246.bin"/><Relationship Id="rId469" Type="http://schemas.openxmlformats.org/officeDocument/2006/relationships/image" Target="media/image228.wmf"/><Relationship Id="rId26" Type="http://schemas.openxmlformats.org/officeDocument/2006/relationships/oleObject" Target="embeddings/oleObject8.bin"/><Relationship Id="rId231" Type="http://schemas.openxmlformats.org/officeDocument/2006/relationships/image" Target="media/image110.wmf"/><Relationship Id="rId273" Type="http://schemas.openxmlformats.org/officeDocument/2006/relationships/image" Target="media/image131.wmf"/><Relationship Id="rId329" Type="http://schemas.openxmlformats.org/officeDocument/2006/relationships/oleObject" Target="embeddings/oleObject182.bin"/><Relationship Id="rId480" Type="http://schemas.openxmlformats.org/officeDocument/2006/relationships/image" Target="media/image233.wmf"/><Relationship Id="rId536" Type="http://schemas.openxmlformats.org/officeDocument/2006/relationships/oleObject" Target="embeddings/oleObject307.bin"/><Relationship Id="rId68" Type="http://schemas.openxmlformats.org/officeDocument/2006/relationships/oleObject" Target="embeddings/oleObject33.bin"/><Relationship Id="rId133" Type="http://schemas.openxmlformats.org/officeDocument/2006/relationships/oleObject" Target="embeddings/oleObject68.bin"/><Relationship Id="rId175" Type="http://schemas.openxmlformats.org/officeDocument/2006/relationships/image" Target="media/image79.wmf"/><Relationship Id="rId340" Type="http://schemas.openxmlformats.org/officeDocument/2006/relationships/image" Target="media/image166.wmf"/><Relationship Id="rId200" Type="http://schemas.openxmlformats.org/officeDocument/2006/relationships/image" Target="media/image91.wmf"/><Relationship Id="rId382" Type="http://schemas.openxmlformats.org/officeDocument/2006/relationships/oleObject" Target="embeddings/oleObject223.bin"/><Relationship Id="rId438" Type="http://schemas.openxmlformats.org/officeDocument/2006/relationships/image" Target="media/image214.wmf"/><Relationship Id="rId242" Type="http://schemas.openxmlformats.org/officeDocument/2006/relationships/oleObject" Target="embeddings/oleObject131.bin"/><Relationship Id="rId284" Type="http://schemas.openxmlformats.org/officeDocument/2006/relationships/image" Target="media/image135.wmf"/><Relationship Id="rId491" Type="http://schemas.openxmlformats.org/officeDocument/2006/relationships/image" Target="media/image237.wmf"/><Relationship Id="rId505" Type="http://schemas.openxmlformats.org/officeDocument/2006/relationships/image" Target="media/image247.wmf"/><Relationship Id="rId37" Type="http://schemas.openxmlformats.org/officeDocument/2006/relationships/oleObject" Target="embeddings/oleObject14.bin"/><Relationship Id="rId79" Type="http://schemas.openxmlformats.org/officeDocument/2006/relationships/image" Target="media/image33.wmf"/><Relationship Id="rId102" Type="http://schemas.openxmlformats.org/officeDocument/2006/relationships/oleObject" Target="embeddings/oleObject50.bin"/><Relationship Id="rId144" Type="http://schemas.openxmlformats.org/officeDocument/2006/relationships/oleObject" Target="embeddings/oleObject75.bin"/><Relationship Id="rId90" Type="http://schemas.openxmlformats.org/officeDocument/2006/relationships/oleObject" Target="embeddings/oleObject44.bin"/><Relationship Id="rId186" Type="http://schemas.openxmlformats.org/officeDocument/2006/relationships/oleObject" Target="embeddings/oleObject98.bin"/><Relationship Id="rId351" Type="http://schemas.openxmlformats.org/officeDocument/2006/relationships/oleObject" Target="embeddings/oleObject207.bin"/><Relationship Id="rId393" Type="http://schemas.openxmlformats.org/officeDocument/2006/relationships/oleObject" Target="embeddings/oleObject229.bin"/><Relationship Id="rId407" Type="http://schemas.openxmlformats.org/officeDocument/2006/relationships/oleObject" Target="embeddings/oleObject236.bin"/><Relationship Id="rId449" Type="http://schemas.openxmlformats.org/officeDocument/2006/relationships/oleObject" Target="embeddings/oleObject258.bin"/><Relationship Id="rId211" Type="http://schemas.openxmlformats.org/officeDocument/2006/relationships/oleObject" Target="embeddings/oleObject111.bin"/><Relationship Id="rId253" Type="http://schemas.openxmlformats.org/officeDocument/2006/relationships/image" Target="media/image121.wmf"/><Relationship Id="rId295" Type="http://schemas.openxmlformats.org/officeDocument/2006/relationships/oleObject" Target="embeddings/oleObject159.bin"/><Relationship Id="rId309" Type="http://schemas.openxmlformats.org/officeDocument/2006/relationships/image" Target="media/image146.wmf"/><Relationship Id="rId460" Type="http://schemas.openxmlformats.org/officeDocument/2006/relationships/image" Target="media/image224.wmf"/><Relationship Id="rId516" Type="http://schemas.openxmlformats.org/officeDocument/2006/relationships/oleObject" Target="embeddings/oleObject301.bin"/><Relationship Id="rId48" Type="http://schemas.openxmlformats.org/officeDocument/2006/relationships/oleObject" Target="embeddings/oleObject20.bin"/><Relationship Id="rId113" Type="http://schemas.openxmlformats.org/officeDocument/2006/relationships/image" Target="media/image52.wmf"/><Relationship Id="rId320" Type="http://schemas.openxmlformats.org/officeDocument/2006/relationships/image" Target="media/image149.wmf"/><Relationship Id="rId155" Type="http://schemas.openxmlformats.org/officeDocument/2006/relationships/oleObject" Target="embeddings/oleObject82.bin"/><Relationship Id="rId197" Type="http://schemas.openxmlformats.org/officeDocument/2006/relationships/oleObject" Target="embeddings/oleObject104.bin"/><Relationship Id="rId362" Type="http://schemas.openxmlformats.org/officeDocument/2006/relationships/image" Target="media/image177.wmf"/><Relationship Id="rId418" Type="http://schemas.openxmlformats.org/officeDocument/2006/relationships/image" Target="media/image204.wmf"/><Relationship Id="rId222" Type="http://schemas.openxmlformats.org/officeDocument/2006/relationships/oleObject" Target="embeddings/oleObject117.bin"/><Relationship Id="rId264" Type="http://schemas.openxmlformats.org/officeDocument/2006/relationships/oleObject" Target="embeddings/oleObject142.bin"/><Relationship Id="rId471" Type="http://schemas.openxmlformats.org/officeDocument/2006/relationships/oleObject" Target="embeddings/oleObject270.bin"/><Relationship Id="rId17" Type="http://schemas.openxmlformats.org/officeDocument/2006/relationships/image" Target="media/image4.wmf"/><Relationship Id="rId59" Type="http://schemas.openxmlformats.org/officeDocument/2006/relationships/image" Target="media/image22.wmf"/><Relationship Id="rId124" Type="http://schemas.openxmlformats.org/officeDocument/2006/relationships/image" Target="media/image57.wmf"/><Relationship Id="rId527" Type="http://schemas.openxmlformats.org/officeDocument/2006/relationships/hyperlink" Target="http://www.med.govt.nz/sectors-industries/tourism/tourism-research-data/other-research-and-reports/sector-profiles" TargetMode="External"/><Relationship Id="rId70" Type="http://schemas.openxmlformats.org/officeDocument/2006/relationships/oleObject" Target="embeddings/oleObject34.bin"/><Relationship Id="rId166" Type="http://schemas.openxmlformats.org/officeDocument/2006/relationships/oleObject" Target="embeddings/oleObject88.bin"/><Relationship Id="rId331" Type="http://schemas.openxmlformats.org/officeDocument/2006/relationships/oleObject" Target="embeddings/oleObject196.bin"/><Relationship Id="rId373" Type="http://schemas.openxmlformats.org/officeDocument/2006/relationships/oleObject" Target="embeddings/oleObject218.bin"/><Relationship Id="rId429" Type="http://schemas.openxmlformats.org/officeDocument/2006/relationships/oleObject" Target="embeddings/oleObject247.bin"/><Relationship Id="rId1" Type="http://schemas.openxmlformats.org/officeDocument/2006/relationships/customXml" Target="../customXml/item1.xml"/><Relationship Id="rId233" Type="http://schemas.openxmlformats.org/officeDocument/2006/relationships/image" Target="media/image111.wmf"/><Relationship Id="rId440" Type="http://schemas.openxmlformats.org/officeDocument/2006/relationships/image" Target="media/image215.wmf"/><Relationship Id="rId28" Type="http://schemas.openxmlformats.org/officeDocument/2006/relationships/oleObject" Target="embeddings/oleObject9.bin"/><Relationship Id="rId275" Type="http://schemas.openxmlformats.org/officeDocument/2006/relationships/image" Target="media/image132.wmf"/><Relationship Id="rId300" Type="http://schemas.openxmlformats.org/officeDocument/2006/relationships/image" Target="media/image143.wmf"/><Relationship Id="rId482" Type="http://schemas.openxmlformats.org/officeDocument/2006/relationships/image" Target="media/image234.wmf"/><Relationship Id="rId538" Type="http://schemas.openxmlformats.org/officeDocument/2006/relationships/oleObject" Target="embeddings/oleObject308.bin"/><Relationship Id="rId81" Type="http://schemas.openxmlformats.org/officeDocument/2006/relationships/image" Target="media/image34.wmf"/><Relationship Id="rId135" Type="http://schemas.openxmlformats.org/officeDocument/2006/relationships/oleObject" Target="embeddings/oleObject69.bin"/><Relationship Id="rId177" Type="http://schemas.openxmlformats.org/officeDocument/2006/relationships/image" Target="media/image80.wmf"/><Relationship Id="rId342" Type="http://schemas.openxmlformats.org/officeDocument/2006/relationships/image" Target="media/image167.wmf"/><Relationship Id="rId384" Type="http://schemas.openxmlformats.org/officeDocument/2006/relationships/oleObject" Target="embeddings/oleObject224.bin"/><Relationship Id="rId202" Type="http://schemas.openxmlformats.org/officeDocument/2006/relationships/image" Target="media/image92.wmf"/><Relationship Id="rId244" Type="http://schemas.openxmlformats.org/officeDocument/2006/relationships/oleObject" Target="embeddings/oleObject132.bin"/><Relationship Id="rId39" Type="http://schemas.openxmlformats.org/officeDocument/2006/relationships/image" Target="media/image14.wmf"/><Relationship Id="rId286" Type="http://schemas.openxmlformats.org/officeDocument/2006/relationships/image" Target="media/image136.wmf"/><Relationship Id="rId451" Type="http://schemas.openxmlformats.org/officeDocument/2006/relationships/oleObject" Target="embeddings/oleObject259.bin"/><Relationship Id="rId493" Type="http://schemas.openxmlformats.org/officeDocument/2006/relationships/image" Target="media/image238.wmf"/><Relationship Id="rId507" Type="http://schemas.openxmlformats.org/officeDocument/2006/relationships/image" Target="media/image248.wmf"/><Relationship Id="rId50" Type="http://schemas.openxmlformats.org/officeDocument/2006/relationships/image" Target="media/image19.wmf"/><Relationship Id="rId104" Type="http://schemas.openxmlformats.org/officeDocument/2006/relationships/oleObject" Target="embeddings/oleObject51.bin"/><Relationship Id="rId146" Type="http://schemas.openxmlformats.org/officeDocument/2006/relationships/image" Target="media/image66.wmf"/><Relationship Id="rId188" Type="http://schemas.openxmlformats.org/officeDocument/2006/relationships/oleObject" Target="embeddings/oleObject99.bin"/><Relationship Id="rId311" Type="http://schemas.openxmlformats.org/officeDocument/2006/relationships/oleObject" Target="embeddings/oleObject169.bin"/><Relationship Id="rId353" Type="http://schemas.openxmlformats.org/officeDocument/2006/relationships/oleObject" Target="embeddings/oleObject208.bin"/><Relationship Id="rId395" Type="http://schemas.openxmlformats.org/officeDocument/2006/relationships/oleObject" Target="embeddings/oleObject230.bin"/><Relationship Id="rId409" Type="http://schemas.openxmlformats.org/officeDocument/2006/relationships/oleObject" Target="embeddings/oleObject237.bin"/><Relationship Id="rId92" Type="http://schemas.openxmlformats.org/officeDocument/2006/relationships/oleObject" Target="embeddings/oleObject45.bin"/><Relationship Id="rId213" Type="http://schemas.openxmlformats.org/officeDocument/2006/relationships/oleObject" Target="embeddings/oleObject112.bin"/><Relationship Id="rId420" Type="http://schemas.openxmlformats.org/officeDocument/2006/relationships/image" Target="media/image205.wmf"/><Relationship Id="rId255" Type="http://schemas.openxmlformats.org/officeDocument/2006/relationships/image" Target="media/image122.wmf"/><Relationship Id="rId297" Type="http://schemas.openxmlformats.org/officeDocument/2006/relationships/oleObject" Target="embeddings/oleObject160.bin"/><Relationship Id="rId462" Type="http://schemas.openxmlformats.org/officeDocument/2006/relationships/image" Target="media/image225.wmf"/><Relationship Id="rId518" Type="http://schemas.openxmlformats.org/officeDocument/2006/relationships/oleObject" Target="embeddings/oleObject302.bin"/><Relationship Id="rId115" Type="http://schemas.openxmlformats.org/officeDocument/2006/relationships/image" Target="media/image53.wmf"/><Relationship Id="rId157" Type="http://schemas.openxmlformats.org/officeDocument/2006/relationships/oleObject" Target="embeddings/oleObject83.bin"/><Relationship Id="rId322" Type="http://schemas.openxmlformats.org/officeDocument/2006/relationships/image" Target="media/image154.wmf"/><Relationship Id="rId364" Type="http://schemas.openxmlformats.org/officeDocument/2006/relationships/image" Target="media/image178.wmf"/><Relationship Id="rId61" Type="http://schemas.openxmlformats.org/officeDocument/2006/relationships/image" Target="media/image23.wmf"/><Relationship Id="rId199" Type="http://schemas.openxmlformats.org/officeDocument/2006/relationships/oleObject" Target="embeddings/oleObject105.bin"/><Relationship Id="rId19" Type="http://schemas.openxmlformats.org/officeDocument/2006/relationships/image" Target="media/image5.wmf"/><Relationship Id="rId224" Type="http://schemas.openxmlformats.org/officeDocument/2006/relationships/oleObject" Target="embeddings/oleObject118.bin"/><Relationship Id="rId266" Type="http://schemas.openxmlformats.org/officeDocument/2006/relationships/oleObject" Target="embeddings/oleObject143.bin"/><Relationship Id="rId431" Type="http://schemas.openxmlformats.org/officeDocument/2006/relationships/oleObject" Target="embeddings/oleObject248.bin"/><Relationship Id="rId473" Type="http://schemas.openxmlformats.org/officeDocument/2006/relationships/oleObject" Target="embeddings/oleObject271.bin"/><Relationship Id="rId529" Type="http://schemas.openxmlformats.org/officeDocument/2006/relationships/hyperlink" Target="https://doi.org/10.2307/1910254" TargetMode="External"/><Relationship Id="rId30" Type="http://schemas.openxmlformats.org/officeDocument/2006/relationships/oleObject" Target="embeddings/oleObject10.bin"/><Relationship Id="rId126" Type="http://schemas.openxmlformats.org/officeDocument/2006/relationships/image" Target="media/image58.wmf"/><Relationship Id="rId168" Type="http://schemas.openxmlformats.org/officeDocument/2006/relationships/oleObject" Target="embeddings/oleObject89.bin"/><Relationship Id="rId333" Type="http://schemas.openxmlformats.org/officeDocument/2006/relationships/oleObject" Target="embeddings/oleObject197.bin"/><Relationship Id="rId540" Type="http://schemas.openxmlformats.org/officeDocument/2006/relationships/oleObject" Target="embeddings/oleObject309.bin"/><Relationship Id="rId72" Type="http://schemas.openxmlformats.org/officeDocument/2006/relationships/oleObject" Target="embeddings/oleObject35.bin"/><Relationship Id="rId375" Type="http://schemas.openxmlformats.org/officeDocument/2006/relationships/oleObject" Target="embeddings/oleObject219.bin"/><Relationship Id="rId3" Type="http://schemas.openxmlformats.org/officeDocument/2006/relationships/styles" Target="styles.xml"/><Relationship Id="rId235" Type="http://schemas.openxmlformats.org/officeDocument/2006/relationships/image" Target="media/image112.wmf"/><Relationship Id="rId277" Type="http://schemas.openxmlformats.org/officeDocument/2006/relationships/image" Target="media/image133.wmf"/><Relationship Id="rId400" Type="http://schemas.openxmlformats.org/officeDocument/2006/relationships/image" Target="media/image195.wmf"/><Relationship Id="rId442" Type="http://schemas.openxmlformats.org/officeDocument/2006/relationships/image" Target="media/image216.wmf"/><Relationship Id="rId484" Type="http://schemas.openxmlformats.org/officeDocument/2006/relationships/image" Target="media/image235.wmf"/><Relationship Id="rId137" Type="http://schemas.openxmlformats.org/officeDocument/2006/relationships/image" Target="media/image63.wmf"/><Relationship Id="rId302" Type="http://schemas.openxmlformats.org/officeDocument/2006/relationships/oleObject" Target="embeddings/oleObject163.bin"/><Relationship Id="rId344" Type="http://schemas.openxmlformats.org/officeDocument/2006/relationships/image" Target="media/image168.wmf"/><Relationship Id="rId41" Type="http://schemas.openxmlformats.org/officeDocument/2006/relationships/image" Target="media/image15.wmf"/><Relationship Id="rId83" Type="http://schemas.openxmlformats.org/officeDocument/2006/relationships/image" Target="media/image35.wmf"/><Relationship Id="rId179" Type="http://schemas.openxmlformats.org/officeDocument/2006/relationships/image" Target="media/image81.wmf"/><Relationship Id="rId386" Type="http://schemas.openxmlformats.org/officeDocument/2006/relationships/image" Target="media/image188.wmf"/><Relationship Id="rId190" Type="http://schemas.openxmlformats.org/officeDocument/2006/relationships/oleObject" Target="embeddings/oleObject100.bin"/><Relationship Id="rId204" Type="http://schemas.openxmlformats.org/officeDocument/2006/relationships/image" Target="media/image93.wmf"/><Relationship Id="rId246" Type="http://schemas.openxmlformats.org/officeDocument/2006/relationships/oleObject" Target="embeddings/oleObject133.bin"/><Relationship Id="rId288" Type="http://schemas.openxmlformats.org/officeDocument/2006/relationships/image" Target="media/image137.wmf"/><Relationship Id="rId411" Type="http://schemas.openxmlformats.org/officeDocument/2006/relationships/oleObject" Target="embeddings/oleObject238.bin"/><Relationship Id="rId453" Type="http://schemas.openxmlformats.org/officeDocument/2006/relationships/oleObject" Target="embeddings/oleObject260.bin"/><Relationship Id="rId509" Type="http://schemas.openxmlformats.org/officeDocument/2006/relationships/oleObject" Target="embeddings/oleObject297.bin"/><Relationship Id="rId106" Type="http://schemas.openxmlformats.org/officeDocument/2006/relationships/oleObject" Target="embeddings/oleObject52.bin"/><Relationship Id="rId313" Type="http://schemas.openxmlformats.org/officeDocument/2006/relationships/oleObject" Target="embeddings/oleObject174.bin"/><Relationship Id="rId495" Type="http://schemas.openxmlformats.org/officeDocument/2006/relationships/image" Target="media/image239.wmf"/><Relationship Id="rId10" Type="http://schemas.openxmlformats.org/officeDocument/2006/relationships/footer" Target="footer2.xml"/><Relationship Id="rId52" Type="http://schemas.openxmlformats.org/officeDocument/2006/relationships/image" Target="media/image20.wmf"/><Relationship Id="rId94" Type="http://schemas.openxmlformats.org/officeDocument/2006/relationships/oleObject" Target="embeddings/oleObject46.bin"/><Relationship Id="rId148" Type="http://schemas.openxmlformats.org/officeDocument/2006/relationships/image" Target="media/image67.wmf"/><Relationship Id="rId355" Type="http://schemas.openxmlformats.org/officeDocument/2006/relationships/oleObject" Target="embeddings/oleObject209.bin"/><Relationship Id="rId397" Type="http://schemas.openxmlformats.org/officeDocument/2006/relationships/oleObject" Target="embeddings/oleObject231.bin"/><Relationship Id="rId520" Type="http://schemas.openxmlformats.org/officeDocument/2006/relationships/oleObject" Target="embeddings/oleObject303.bin"/><Relationship Id="rId215" Type="http://schemas.openxmlformats.org/officeDocument/2006/relationships/oleObject" Target="embeddings/oleObject113.bin"/><Relationship Id="rId257" Type="http://schemas.openxmlformats.org/officeDocument/2006/relationships/image" Target="media/image123.wmf"/><Relationship Id="rId422" Type="http://schemas.openxmlformats.org/officeDocument/2006/relationships/image" Target="media/image206.wmf"/><Relationship Id="rId464" Type="http://schemas.openxmlformats.org/officeDocument/2006/relationships/image" Target="media/image226.wmf"/><Relationship Id="rId299" Type="http://schemas.openxmlformats.org/officeDocument/2006/relationships/oleObject" Target="embeddings/oleObject161.bin"/><Relationship Id="rId63" Type="http://schemas.openxmlformats.org/officeDocument/2006/relationships/image" Target="media/image25.wmf"/><Relationship Id="rId159" Type="http://schemas.openxmlformats.org/officeDocument/2006/relationships/oleObject" Target="embeddings/oleObject84.bin"/><Relationship Id="rId366" Type="http://schemas.openxmlformats.org/officeDocument/2006/relationships/image" Target="media/image179.wmf"/><Relationship Id="rId226" Type="http://schemas.openxmlformats.org/officeDocument/2006/relationships/oleObject" Target="embeddings/oleObject119.bin"/><Relationship Id="rId433" Type="http://schemas.openxmlformats.org/officeDocument/2006/relationships/oleObject" Target="embeddings/oleObject249.bin"/><Relationship Id="rId74" Type="http://schemas.openxmlformats.org/officeDocument/2006/relationships/oleObject" Target="embeddings/oleObject36.bin"/><Relationship Id="rId377" Type="http://schemas.openxmlformats.org/officeDocument/2006/relationships/oleObject" Target="embeddings/oleObject220.bin"/><Relationship Id="rId500" Type="http://schemas.openxmlformats.org/officeDocument/2006/relationships/oleObject" Target="embeddings/oleObject286.bin"/><Relationship Id="rId5" Type="http://schemas.openxmlformats.org/officeDocument/2006/relationships/webSettings" Target="webSettings.xml"/><Relationship Id="rId237" Type="http://schemas.openxmlformats.org/officeDocument/2006/relationships/image" Target="media/image113.wmf"/><Relationship Id="rId444" Type="http://schemas.openxmlformats.org/officeDocument/2006/relationships/image" Target="media/image217.wmf"/><Relationship Id="rId290" Type="http://schemas.openxmlformats.org/officeDocument/2006/relationships/image" Target="media/image138.wmf"/><Relationship Id="rId304" Type="http://schemas.openxmlformats.org/officeDocument/2006/relationships/oleObject" Target="embeddings/oleObject164.bin"/><Relationship Id="rId388" Type="http://schemas.openxmlformats.org/officeDocument/2006/relationships/image" Target="media/image189.wmf"/><Relationship Id="rId511" Type="http://schemas.openxmlformats.org/officeDocument/2006/relationships/image" Target="media/image249.wmf"/></Relationships>
</file>

<file path=word/_rels/footnotes.xml.rels><?xml version="1.0" encoding="UTF-8" standalone="yes"?>
<Relationships xmlns="http://schemas.openxmlformats.org/package/2006/relationships"><Relationship Id="rId13" Type="http://schemas.openxmlformats.org/officeDocument/2006/relationships/image" Target="media/image107.wmf"/><Relationship Id="rId18" Type="http://schemas.openxmlformats.org/officeDocument/2006/relationships/oleObject" Target="embeddings/oleObject171.bin"/><Relationship Id="rId26" Type="http://schemas.openxmlformats.org/officeDocument/2006/relationships/image" Target="media/image134.wmf"/><Relationship Id="rId39" Type="http://schemas.openxmlformats.org/officeDocument/2006/relationships/oleObject" Target="embeddings/oleObject194.bin"/><Relationship Id="rId21" Type="http://schemas.openxmlformats.org/officeDocument/2006/relationships/oleObject" Target="embeddings/oleObject173.bin"/><Relationship Id="rId34" Type="http://schemas.openxmlformats.org/officeDocument/2006/relationships/oleObject" Target="embeddings/oleObject190.bin"/><Relationship Id="rId42" Type="http://schemas.openxmlformats.org/officeDocument/2006/relationships/image" Target="media/image127.wmf"/><Relationship Id="rId47" Type="http://schemas.openxmlformats.org/officeDocument/2006/relationships/oleObject" Target="embeddings/oleObject291.bin"/><Relationship Id="rId50" Type="http://schemas.openxmlformats.org/officeDocument/2006/relationships/image" Target="media/image245.wmf"/><Relationship Id="rId7" Type="http://schemas.openxmlformats.org/officeDocument/2006/relationships/image" Target="media/image104.wmf"/><Relationship Id="rId2" Type="http://schemas.openxmlformats.org/officeDocument/2006/relationships/oleObject" Target="embeddings/oleObject30.bin"/><Relationship Id="rId16" Type="http://schemas.openxmlformats.org/officeDocument/2006/relationships/oleObject" Target="embeddings/oleObject170.bin"/><Relationship Id="rId29" Type="http://schemas.openxmlformats.org/officeDocument/2006/relationships/oleObject" Target="embeddings/oleObject187.bin"/><Relationship Id="rId11" Type="http://schemas.openxmlformats.org/officeDocument/2006/relationships/image" Target="media/image106.wmf"/><Relationship Id="rId24" Type="http://schemas.openxmlformats.org/officeDocument/2006/relationships/image" Target="media/image159.wmf"/><Relationship Id="rId32" Type="http://schemas.openxmlformats.org/officeDocument/2006/relationships/oleObject" Target="embeddings/oleObject189.bin"/><Relationship Id="rId37" Type="http://schemas.openxmlformats.org/officeDocument/2006/relationships/oleObject" Target="embeddings/oleObject192.bin"/><Relationship Id="rId40" Type="http://schemas.openxmlformats.org/officeDocument/2006/relationships/oleObject" Target="embeddings/oleObject195.bin"/><Relationship Id="rId45" Type="http://schemas.openxmlformats.org/officeDocument/2006/relationships/oleObject" Target="embeddings/oleObject290.bin"/><Relationship Id="rId5" Type="http://schemas.openxmlformats.org/officeDocument/2006/relationships/image" Target="media/image50.wmf"/><Relationship Id="rId15" Type="http://schemas.openxmlformats.org/officeDocument/2006/relationships/image" Target="media/image147.wmf"/><Relationship Id="rId23" Type="http://schemas.openxmlformats.org/officeDocument/2006/relationships/oleObject" Target="embeddings/oleObject183.bin"/><Relationship Id="rId28" Type="http://schemas.openxmlformats.org/officeDocument/2006/relationships/oleObject" Target="embeddings/oleObject186.bin"/><Relationship Id="rId36" Type="http://schemas.openxmlformats.org/officeDocument/2006/relationships/oleObject" Target="embeddings/oleObject191.bin"/><Relationship Id="rId49" Type="http://schemas.openxmlformats.org/officeDocument/2006/relationships/oleObject" Target="embeddings/oleObject292.bin"/><Relationship Id="rId10" Type="http://schemas.openxmlformats.org/officeDocument/2006/relationships/oleObject" Target="embeddings/oleObject121.bin"/><Relationship Id="rId19" Type="http://schemas.openxmlformats.org/officeDocument/2006/relationships/image" Target="media/image149.wmf"/><Relationship Id="rId31" Type="http://schemas.openxmlformats.org/officeDocument/2006/relationships/oleObject" Target="embeddings/oleObject188.bin"/><Relationship Id="rId44" Type="http://schemas.openxmlformats.org/officeDocument/2006/relationships/image" Target="media/image242.wmf"/><Relationship Id="rId4" Type="http://schemas.openxmlformats.org/officeDocument/2006/relationships/oleObject" Target="embeddings/oleObject55.bin"/><Relationship Id="rId9" Type="http://schemas.openxmlformats.org/officeDocument/2006/relationships/image" Target="media/image105.wmf"/><Relationship Id="rId14" Type="http://schemas.openxmlformats.org/officeDocument/2006/relationships/oleObject" Target="embeddings/oleObject123.bin"/><Relationship Id="rId22" Type="http://schemas.openxmlformats.org/officeDocument/2006/relationships/image" Target="media/image158.wmf"/><Relationship Id="rId27" Type="http://schemas.openxmlformats.org/officeDocument/2006/relationships/oleObject" Target="embeddings/oleObject185.bin"/><Relationship Id="rId30" Type="http://schemas.openxmlformats.org/officeDocument/2006/relationships/image" Target="media/image160.wmf"/><Relationship Id="rId35" Type="http://schemas.openxmlformats.org/officeDocument/2006/relationships/image" Target="media/image161.wmf"/><Relationship Id="rId43" Type="http://schemas.openxmlformats.org/officeDocument/2006/relationships/oleObject" Target="embeddings/oleObject289.bin"/><Relationship Id="rId48" Type="http://schemas.openxmlformats.org/officeDocument/2006/relationships/image" Target="media/image244.wmf"/><Relationship Id="rId8" Type="http://schemas.openxmlformats.org/officeDocument/2006/relationships/oleObject" Target="embeddings/oleObject120.bin"/><Relationship Id="rId51" Type="http://schemas.openxmlformats.org/officeDocument/2006/relationships/oleObject" Target="embeddings/oleObject293.bin"/><Relationship Id="rId3" Type="http://schemas.openxmlformats.org/officeDocument/2006/relationships/image" Target="media/image49.wmf"/><Relationship Id="rId12" Type="http://schemas.openxmlformats.org/officeDocument/2006/relationships/oleObject" Target="embeddings/oleObject122.bin"/><Relationship Id="rId17" Type="http://schemas.openxmlformats.org/officeDocument/2006/relationships/image" Target="media/image148.wmf"/><Relationship Id="rId25" Type="http://schemas.openxmlformats.org/officeDocument/2006/relationships/oleObject" Target="embeddings/oleObject184.bin"/><Relationship Id="rId33" Type="http://schemas.openxmlformats.org/officeDocument/2006/relationships/image" Target="media/image138.wmf"/><Relationship Id="rId38" Type="http://schemas.openxmlformats.org/officeDocument/2006/relationships/oleObject" Target="embeddings/oleObject193.bin"/><Relationship Id="rId46" Type="http://schemas.openxmlformats.org/officeDocument/2006/relationships/image" Target="media/image243.wmf"/><Relationship Id="rId20" Type="http://schemas.openxmlformats.org/officeDocument/2006/relationships/oleObject" Target="embeddings/oleObject172.bin"/><Relationship Id="rId41" Type="http://schemas.openxmlformats.org/officeDocument/2006/relationships/hyperlink" Target="https://figure.nz/chart/3OjxZbBpv5fOwovb" TargetMode="External"/><Relationship Id="rId1" Type="http://schemas.openxmlformats.org/officeDocument/2006/relationships/image" Target="media/image24.wmf"/><Relationship Id="rId6" Type="http://schemas.openxmlformats.org/officeDocument/2006/relationships/oleObject" Target="embeddings/oleObject5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F89DC-AD5A-4548-87C1-7D74A32F3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14464</Words>
  <Characters>88384</Characters>
  <Application>Microsoft Office Word</Application>
  <DocSecurity>0</DocSecurity>
  <Lines>736</Lines>
  <Paragraphs>205</Paragraphs>
  <ScaleCrop>false</ScaleCrop>
  <HeadingPairs>
    <vt:vector size="2" baseType="variant">
      <vt:variant>
        <vt:lpstr>Title</vt:lpstr>
      </vt:variant>
      <vt:variant>
        <vt:i4>1</vt:i4>
      </vt:variant>
    </vt:vector>
  </HeadingPairs>
  <TitlesOfParts>
    <vt:vector size="1" baseType="lpstr">
      <vt:lpstr>Multiple_discrete</vt:lpstr>
    </vt:vector>
  </TitlesOfParts>
  <Company>UT Austin</Company>
  <LinksUpToDate>false</LinksUpToDate>
  <CharactersWithSpaces>102643</CharactersWithSpaces>
  <SharedDoc>false</SharedDoc>
  <HLinks>
    <vt:vector size="48" baseType="variant">
      <vt:variant>
        <vt:i4>983051</vt:i4>
      </vt:variant>
      <vt:variant>
        <vt:i4>837</vt:i4>
      </vt:variant>
      <vt:variant>
        <vt:i4>0</vt:i4>
      </vt:variant>
      <vt:variant>
        <vt:i4>5</vt:i4>
      </vt:variant>
      <vt:variant>
        <vt:lpwstr>http://www.stats.govt.nz/</vt:lpwstr>
      </vt:variant>
      <vt:variant>
        <vt:lpwstr/>
      </vt:variant>
      <vt:variant>
        <vt:i4>5046289</vt:i4>
      </vt:variant>
      <vt:variant>
        <vt:i4>834</vt:i4>
      </vt:variant>
      <vt:variant>
        <vt:i4>0</vt:i4>
      </vt:variant>
      <vt:variant>
        <vt:i4>5</vt:i4>
      </vt:variant>
      <vt:variant>
        <vt:lpwstr>https://www.cnn.com/travel/article/single-parent-family-travel/index.html</vt:lpwstr>
      </vt:variant>
      <vt:variant>
        <vt:lpwstr/>
      </vt:variant>
      <vt:variant>
        <vt:i4>2883692</vt:i4>
      </vt:variant>
      <vt:variant>
        <vt:i4>831</vt:i4>
      </vt:variant>
      <vt:variant>
        <vt:i4>0</vt:i4>
      </vt:variant>
      <vt:variant>
        <vt:i4>5</vt:i4>
      </vt:variant>
      <vt:variant>
        <vt:lpwstr>https://doi.org/10.2307/1910254</vt:lpwstr>
      </vt:variant>
      <vt:variant>
        <vt:lpwstr/>
      </vt:variant>
      <vt:variant>
        <vt:i4>1769557</vt:i4>
      </vt:variant>
      <vt:variant>
        <vt:i4>828</vt:i4>
      </vt:variant>
      <vt:variant>
        <vt:i4>0</vt:i4>
      </vt:variant>
      <vt:variant>
        <vt:i4>5</vt:i4>
      </vt:variant>
      <vt:variant>
        <vt:lpwstr>http://www.mbie.govt.nz/about-us/publications/soi/Ministry-of-Business-Innovation-and-Employment-SOI-2013.pdf</vt:lpwstr>
      </vt:variant>
      <vt:variant>
        <vt:lpwstr/>
      </vt:variant>
      <vt:variant>
        <vt:i4>7536749</vt:i4>
      </vt:variant>
      <vt:variant>
        <vt:i4>825</vt:i4>
      </vt:variant>
      <vt:variant>
        <vt:i4>0</vt:i4>
      </vt:variant>
      <vt:variant>
        <vt:i4>5</vt:i4>
      </vt:variant>
      <vt:variant>
        <vt:lpwstr>http://www.med.govt.nz/sectors-industries/tourism/tourism-research-data/other-research-and-reports/sector-profiles</vt:lpwstr>
      </vt:variant>
      <vt:variant>
        <vt:lpwstr/>
      </vt:variant>
      <vt:variant>
        <vt:i4>327698</vt:i4>
      </vt:variant>
      <vt:variant>
        <vt:i4>822</vt:i4>
      </vt:variant>
      <vt:variant>
        <vt:i4>0</vt:i4>
      </vt:variant>
      <vt:variant>
        <vt:i4>5</vt:i4>
      </vt:variant>
      <vt:variant>
        <vt:lpwstr>https://ssrn.com/abstract=4098319</vt:lpwstr>
      </vt:variant>
      <vt:variant>
        <vt:lpwstr/>
      </vt:variant>
      <vt:variant>
        <vt:i4>1507430</vt:i4>
      </vt:variant>
      <vt:variant>
        <vt:i4>0</vt:i4>
      </vt:variant>
      <vt:variant>
        <vt:i4>0</vt:i4>
      </vt:variant>
      <vt:variant>
        <vt:i4>5</vt:i4>
      </vt:variant>
      <vt:variant>
        <vt:lpwstr>mailto:bhat@mail.utexas.edu</vt:lpwstr>
      </vt:variant>
      <vt:variant>
        <vt:lpwstr/>
      </vt:variant>
      <vt:variant>
        <vt:i4>5111873</vt:i4>
      </vt:variant>
      <vt:variant>
        <vt:i4>75</vt:i4>
      </vt:variant>
      <vt:variant>
        <vt:i4>0</vt:i4>
      </vt:variant>
      <vt:variant>
        <vt:i4>5</vt:i4>
      </vt:variant>
      <vt:variant>
        <vt:lpwstr>https://figure.nz/chart/3OjxZbBpv5fOwovb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Multiple_discrete</dc:title>
  <dc:subject/>
  <dc:creator>weyant</dc:creator>
  <cp:keywords/>
  <dc:description/>
  <cp:lastModifiedBy>Macias, Lisa J</cp:lastModifiedBy>
  <cp:revision>2</cp:revision>
  <cp:lastPrinted>2022-07-24T00:29:00Z</cp:lastPrinted>
  <dcterms:created xsi:type="dcterms:W3CDTF">2022-08-16T21:51:00Z</dcterms:created>
  <dcterms:modified xsi:type="dcterms:W3CDTF">2022-08-16T21:51:00Z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