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602" w:rsidRDefault="00086602" w:rsidP="00086602">
      <w:pPr>
        <w:jc w:val="center"/>
        <w:rPr>
          <w:rFonts w:eastAsia="Times New Roman"/>
          <w:b/>
          <w:bCs/>
        </w:rPr>
      </w:pPr>
    </w:p>
    <w:p w:rsidR="00B72A05" w:rsidRDefault="00B72A05" w:rsidP="00086602">
      <w:pPr>
        <w:jc w:val="center"/>
        <w:rPr>
          <w:rFonts w:eastAsia="Times New Roman"/>
          <w:b/>
          <w:bCs/>
        </w:rPr>
      </w:pPr>
    </w:p>
    <w:p w:rsidR="00B72A05" w:rsidRDefault="00B72A05" w:rsidP="00086602">
      <w:pPr>
        <w:jc w:val="center"/>
        <w:rPr>
          <w:rFonts w:eastAsia="Times New Roman"/>
          <w:b/>
          <w:bCs/>
        </w:rPr>
      </w:pPr>
    </w:p>
    <w:p w:rsidR="00B72A05" w:rsidRDefault="00B72A05" w:rsidP="00086602">
      <w:pPr>
        <w:jc w:val="center"/>
        <w:rPr>
          <w:rFonts w:eastAsia="Times New Roman"/>
          <w:b/>
          <w:bCs/>
        </w:rPr>
      </w:pPr>
    </w:p>
    <w:p w:rsidR="00086602" w:rsidRDefault="00404DE8" w:rsidP="00086602">
      <w:pPr>
        <w:jc w:val="center"/>
        <w:rPr>
          <w:rFonts w:eastAsia="Times New Roman"/>
          <w:b/>
          <w:bCs/>
        </w:rPr>
      </w:pPr>
      <w:r>
        <w:rPr>
          <w:rFonts w:eastAsia="Times New Roman"/>
          <w:b/>
          <w:bCs/>
        </w:rPr>
        <w:t xml:space="preserve">On Allowing a </w:t>
      </w:r>
      <w:r w:rsidR="00796D0B">
        <w:rPr>
          <w:rFonts w:eastAsia="Times New Roman"/>
          <w:b/>
          <w:bCs/>
        </w:rPr>
        <w:t>General Form</w:t>
      </w:r>
      <w:r>
        <w:rPr>
          <w:rFonts w:eastAsia="Times New Roman"/>
          <w:b/>
          <w:bCs/>
        </w:rPr>
        <w:t xml:space="preserve"> for Unobserved </w:t>
      </w:r>
      <w:r w:rsidR="00086602">
        <w:rPr>
          <w:rFonts w:eastAsia="Times New Roman"/>
          <w:b/>
          <w:bCs/>
        </w:rPr>
        <w:t>Heterogeneity</w:t>
      </w:r>
      <w:r>
        <w:rPr>
          <w:rFonts w:eastAsia="Times New Roman"/>
          <w:b/>
          <w:bCs/>
        </w:rPr>
        <w:t xml:space="preserve"> </w:t>
      </w:r>
      <w:r w:rsidR="00086602">
        <w:rPr>
          <w:rFonts w:eastAsia="Times New Roman"/>
          <w:b/>
          <w:bCs/>
        </w:rPr>
        <w:t xml:space="preserve">in the Multiple </w:t>
      </w:r>
      <w:proofErr w:type="gramStart"/>
      <w:r w:rsidR="00086602">
        <w:rPr>
          <w:rFonts w:eastAsia="Times New Roman"/>
          <w:b/>
          <w:bCs/>
        </w:rPr>
        <w:t>Discrete-Continuous</w:t>
      </w:r>
      <w:proofErr w:type="gramEnd"/>
      <w:r w:rsidR="00086602">
        <w:rPr>
          <w:rFonts w:eastAsia="Times New Roman"/>
          <w:b/>
          <w:bCs/>
        </w:rPr>
        <w:t xml:space="preserve"> Probit Model</w:t>
      </w:r>
      <w:r w:rsidR="00B72A05">
        <w:rPr>
          <w:rFonts w:eastAsia="Times New Roman"/>
          <w:b/>
          <w:bCs/>
        </w:rPr>
        <w:t>:</w:t>
      </w:r>
      <w:r w:rsidR="001A3436">
        <w:rPr>
          <w:rFonts w:eastAsia="Times New Roman"/>
          <w:b/>
          <w:bCs/>
        </w:rPr>
        <w:t xml:space="preserve"> Formulation and Application to Tourism Travel</w:t>
      </w:r>
    </w:p>
    <w:p w:rsidR="00086602" w:rsidRPr="00FD53C4" w:rsidRDefault="00086602" w:rsidP="00086602">
      <w:pPr>
        <w:rPr>
          <w:b/>
          <w:szCs w:val="24"/>
        </w:rPr>
      </w:pPr>
    </w:p>
    <w:p w:rsidR="00086602" w:rsidRPr="008A1C11" w:rsidRDefault="00086602" w:rsidP="00086602">
      <w:pPr>
        <w:jc w:val="center"/>
        <w:rPr>
          <w:szCs w:val="24"/>
        </w:rPr>
      </w:pPr>
    </w:p>
    <w:p w:rsidR="00086602" w:rsidRDefault="00086602" w:rsidP="00086602">
      <w:pPr>
        <w:rPr>
          <w:szCs w:val="24"/>
        </w:rPr>
      </w:pPr>
    </w:p>
    <w:p w:rsidR="00B72A05" w:rsidRDefault="00B72A05" w:rsidP="00086602">
      <w:pPr>
        <w:rPr>
          <w:szCs w:val="24"/>
        </w:rPr>
      </w:pPr>
    </w:p>
    <w:p w:rsidR="00086602" w:rsidRDefault="00086602" w:rsidP="00086602">
      <w:pPr>
        <w:rPr>
          <w:szCs w:val="24"/>
        </w:rPr>
      </w:pPr>
    </w:p>
    <w:p w:rsidR="001A3436" w:rsidRPr="00822066" w:rsidRDefault="001A3436" w:rsidP="001A3436">
      <w:pPr>
        <w:jc w:val="center"/>
        <w:rPr>
          <w:b/>
          <w:szCs w:val="24"/>
          <w:lang w:val="fr-FR"/>
        </w:rPr>
      </w:pPr>
      <w:r w:rsidRPr="00822066">
        <w:rPr>
          <w:b/>
          <w:szCs w:val="24"/>
          <w:lang w:val="fr-FR"/>
        </w:rPr>
        <w:t>Chandra R. Bhat</w:t>
      </w:r>
      <w:r w:rsidRPr="00822066">
        <w:rPr>
          <w:bCs/>
          <w:szCs w:val="24"/>
          <w:lang w:val="fr-FR"/>
        </w:rPr>
        <w:t>*</w:t>
      </w:r>
    </w:p>
    <w:p w:rsidR="001A3436" w:rsidRPr="00D62714" w:rsidRDefault="001A3436" w:rsidP="001A3436">
      <w:pPr>
        <w:jc w:val="center"/>
        <w:rPr>
          <w:rFonts w:eastAsia="Times New Roman" w:cs="Arial"/>
          <w:bCs/>
          <w:kern w:val="32"/>
          <w:szCs w:val="32"/>
        </w:rPr>
      </w:pPr>
      <w:r w:rsidRPr="00D62714">
        <w:rPr>
          <w:rFonts w:eastAsia="Times New Roman" w:cs="Arial"/>
          <w:bCs/>
          <w:kern w:val="32"/>
          <w:szCs w:val="32"/>
        </w:rPr>
        <w:t>The University of Texas at Austin</w:t>
      </w:r>
    </w:p>
    <w:p w:rsidR="001A3436" w:rsidRPr="00D62714" w:rsidRDefault="001A3436" w:rsidP="001A3436">
      <w:pPr>
        <w:jc w:val="center"/>
        <w:rPr>
          <w:rFonts w:eastAsia="Times New Roman" w:cs="Arial"/>
          <w:bCs/>
          <w:kern w:val="32"/>
          <w:szCs w:val="32"/>
        </w:rPr>
      </w:pPr>
      <w:r>
        <w:rPr>
          <w:rFonts w:eastAsia="Times New Roman" w:cs="Arial"/>
          <w:bCs/>
          <w:kern w:val="32"/>
          <w:szCs w:val="32"/>
        </w:rPr>
        <w:t>Department</w:t>
      </w:r>
      <w:r w:rsidRPr="00D62714">
        <w:rPr>
          <w:rFonts w:eastAsia="Times New Roman" w:cs="Arial"/>
          <w:bCs/>
          <w:kern w:val="32"/>
          <w:szCs w:val="32"/>
        </w:rPr>
        <w:t xml:space="preserve"> of Civil, Architectural and Environmental Engineering</w:t>
      </w:r>
    </w:p>
    <w:p w:rsidR="001A3436" w:rsidRPr="00D62714" w:rsidRDefault="001A3436" w:rsidP="001A3436">
      <w:pPr>
        <w:jc w:val="center"/>
        <w:rPr>
          <w:rFonts w:eastAsia="Times New Roman" w:cs="Arial"/>
          <w:bCs/>
          <w:kern w:val="32"/>
          <w:szCs w:val="32"/>
        </w:rPr>
      </w:pPr>
      <w:r w:rsidRPr="00D62714">
        <w:rPr>
          <w:rFonts w:eastAsia="Times New Roman" w:cs="Arial"/>
          <w:bCs/>
          <w:kern w:val="32"/>
          <w:szCs w:val="32"/>
        </w:rPr>
        <w:t>301 E. Dean Keeton St. Stop C1761, Austin TX 78712</w:t>
      </w:r>
    </w:p>
    <w:p w:rsidR="001A3436" w:rsidRPr="00D62714" w:rsidRDefault="001A3436" w:rsidP="001A3436">
      <w:pPr>
        <w:jc w:val="center"/>
        <w:rPr>
          <w:rFonts w:eastAsia="Times New Roman" w:cs="Arial"/>
          <w:bCs/>
          <w:kern w:val="32"/>
          <w:szCs w:val="32"/>
          <w:lang w:val="fr-FR"/>
        </w:rPr>
      </w:pPr>
      <w:r w:rsidRPr="00D62714">
        <w:rPr>
          <w:rFonts w:eastAsia="Times New Roman" w:cs="Arial"/>
          <w:bCs/>
          <w:kern w:val="32"/>
          <w:szCs w:val="32"/>
        </w:rPr>
        <w:t>Phone: 512-471-4535</w:t>
      </w:r>
      <w:r>
        <w:rPr>
          <w:rFonts w:eastAsia="Times New Roman" w:cs="Arial"/>
          <w:bCs/>
          <w:kern w:val="32"/>
          <w:szCs w:val="32"/>
        </w:rPr>
        <w:t>;</w:t>
      </w:r>
      <w:r w:rsidRPr="00D62714">
        <w:rPr>
          <w:rFonts w:eastAsia="Times New Roman" w:cs="Arial"/>
          <w:bCs/>
          <w:kern w:val="32"/>
          <w:szCs w:val="32"/>
        </w:rPr>
        <w:t xml:space="preserve"> Fax: 512-475-8744</w:t>
      </w:r>
    </w:p>
    <w:p w:rsidR="001A3436" w:rsidRDefault="001A3436" w:rsidP="001A3436">
      <w:pPr>
        <w:jc w:val="center"/>
        <w:rPr>
          <w:rFonts w:eastAsia="Times New Roman" w:cs="Arial"/>
          <w:bCs/>
          <w:kern w:val="32"/>
          <w:szCs w:val="32"/>
          <w:lang w:val="fr-FR"/>
        </w:rPr>
      </w:pPr>
      <w:r>
        <w:rPr>
          <w:rFonts w:eastAsia="Times New Roman" w:cs="Arial"/>
          <w:bCs/>
          <w:kern w:val="32"/>
          <w:szCs w:val="32"/>
          <w:lang w:val="fr-FR"/>
        </w:rPr>
        <w:t>E</w:t>
      </w:r>
      <w:r w:rsidRPr="00D62714">
        <w:rPr>
          <w:rFonts w:eastAsia="Times New Roman" w:cs="Arial"/>
          <w:bCs/>
          <w:kern w:val="32"/>
          <w:szCs w:val="32"/>
          <w:lang w:val="fr-FR"/>
        </w:rPr>
        <w:t xml:space="preserve">mail: </w:t>
      </w:r>
      <w:hyperlink r:id="rId9" w:history="1">
        <w:r w:rsidRPr="004100F4">
          <w:rPr>
            <w:rStyle w:val="Hyperlink"/>
            <w:rFonts w:cs="Arial"/>
            <w:kern w:val="32"/>
            <w:szCs w:val="32"/>
            <w:lang w:val="fr-FR"/>
          </w:rPr>
          <w:t>bhat@mail.utexas.edu</w:t>
        </w:r>
      </w:hyperlink>
    </w:p>
    <w:p w:rsidR="001A3436" w:rsidRDefault="001A3436" w:rsidP="001A3436">
      <w:pPr>
        <w:jc w:val="center"/>
        <w:rPr>
          <w:rFonts w:eastAsia="Times New Roman"/>
          <w:bCs/>
          <w:kern w:val="32"/>
          <w:szCs w:val="24"/>
        </w:rPr>
      </w:pPr>
      <w:proofErr w:type="gramStart"/>
      <w:r>
        <w:rPr>
          <w:rFonts w:eastAsia="Times New Roman"/>
          <w:bCs/>
          <w:kern w:val="32"/>
          <w:szCs w:val="24"/>
        </w:rPr>
        <w:t>and</w:t>
      </w:r>
      <w:proofErr w:type="gramEnd"/>
    </w:p>
    <w:p w:rsidR="001A3436" w:rsidRPr="00677E53" w:rsidRDefault="001A3436" w:rsidP="001A3436">
      <w:pPr>
        <w:jc w:val="center"/>
        <w:rPr>
          <w:szCs w:val="24"/>
        </w:rPr>
      </w:pPr>
      <w:r w:rsidRPr="00720238">
        <w:rPr>
          <w:rFonts w:eastAsia="Times New Roman"/>
          <w:bCs/>
          <w:kern w:val="32"/>
          <w:szCs w:val="24"/>
        </w:rPr>
        <w:t xml:space="preserve">King </w:t>
      </w:r>
      <w:proofErr w:type="spellStart"/>
      <w:r w:rsidRPr="00720238">
        <w:rPr>
          <w:rFonts w:eastAsia="Times New Roman"/>
          <w:bCs/>
          <w:kern w:val="32"/>
          <w:szCs w:val="24"/>
        </w:rPr>
        <w:t>Abdulaziz</w:t>
      </w:r>
      <w:proofErr w:type="spellEnd"/>
      <w:r w:rsidRPr="00720238">
        <w:rPr>
          <w:rFonts w:eastAsia="Times New Roman"/>
          <w:bCs/>
          <w:kern w:val="32"/>
          <w:szCs w:val="24"/>
        </w:rPr>
        <w:t xml:space="preserve"> University, Jeddah 21589, Saudi Arabia</w:t>
      </w:r>
    </w:p>
    <w:p w:rsidR="001A3436" w:rsidRDefault="001A3436" w:rsidP="00413496">
      <w:pPr>
        <w:jc w:val="center"/>
        <w:rPr>
          <w:b/>
        </w:rPr>
      </w:pPr>
    </w:p>
    <w:p w:rsidR="00796D0B" w:rsidRDefault="00796D0B" w:rsidP="00413496">
      <w:pPr>
        <w:jc w:val="center"/>
        <w:rPr>
          <w:b/>
        </w:rPr>
      </w:pPr>
    </w:p>
    <w:p w:rsidR="00413496" w:rsidRPr="00F13B58" w:rsidRDefault="00413496" w:rsidP="00413496">
      <w:pPr>
        <w:jc w:val="center"/>
        <w:rPr>
          <w:b/>
        </w:rPr>
      </w:pPr>
      <w:r w:rsidRPr="00F13B58">
        <w:rPr>
          <w:b/>
        </w:rPr>
        <w:t>Sebastian Astroza</w:t>
      </w:r>
    </w:p>
    <w:p w:rsidR="00413496" w:rsidRPr="00F13B58" w:rsidRDefault="00413496" w:rsidP="00413496">
      <w:pPr>
        <w:jc w:val="center"/>
      </w:pPr>
      <w:r w:rsidRPr="00F13B58">
        <w:t>The University of Texas at Austin</w:t>
      </w:r>
    </w:p>
    <w:p w:rsidR="00413496" w:rsidRPr="00F13B58" w:rsidRDefault="00413496" w:rsidP="00413496">
      <w:pPr>
        <w:jc w:val="center"/>
      </w:pPr>
      <w:r w:rsidRPr="00F13B58">
        <w:t>Dep</w:t>
      </w:r>
      <w:r>
        <w:t>ar</w:t>
      </w:r>
      <w:r w:rsidRPr="00F13B58">
        <w:t>t</w:t>
      </w:r>
      <w:r>
        <w:t>ment</w:t>
      </w:r>
      <w:r w:rsidRPr="00F13B58">
        <w:t xml:space="preserve"> of Civil, Architectural and Environmental Engineering</w:t>
      </w:r>
    </w:p>
    <w:p w:rsidR="00413496" w:rsidRPr="00F13B58" w:rsidRDefault="00413496" w:rsidP="00413496">
      <w:pPr>
        <w:jc w:val="center"/>
      </w:pPr>
      <w:r w:rsidRPr="00F13B58">
        <w:t>301 E. Dean Keeton St. Stop C1761, Austin TX 78712</w:t>
      </w:r>
    </w:p>
    <w:p w:rsidR="00413496" w:rsidRDefault="00413496" w:rsidP="00413496">
      <w:pPr>
        <w:jc w:val="center"/>
      </w:pPr>
      <w:r w:rsidRPr="00F13B58">
        <w:t>Phone: 512-471-4535, Fax: 512-475-8744</w:t>
      </w:r>
    </w:p>
    <w:p w:rsidR="00413496" w:rsidRDefault="00413496" w:rsidP="00413496">
      <w:pPr>
        <w:jc w:val="center"/>
      </w:pPr>
      <w:r w:rsidRPr="00F13B58">
        <w:rPr>
          <w:lang w:val="fr-FR"/>
        </w:rPr>
        <w:t xml:space="preserve">Email: </w:t>
      </w:r>
      <w:hyperlink r:id="rId10" w:history="1">
        <w:r w:rsidRPr="00F13B58">
          <w:rPr>
            <w:rStyle w:val="Hyperlink"/>
            <w:lang w:val="fr-FR"/>
          </w:rPr>
          <w:t>sastroza@utexas.edu</w:t>
        </w:r>
      </w:hyperlink>
    </w:p>
    <w:p w:rsidR="00413496" w:rsidRDefault="00413496" w:rsidP="00413496">
      <w:pPr>
        <w:rPr>
          <w:szCs w:val="24"/>
        </w:rPr>
      </w:pPr>
    </w:p>
    <w:p w:rsidR="00796D0B" w:rsidRDefault="00796D0B" w:rsidP="00413496">
      <w:pPr>
        <w:rPr>
          <w:szCs w:val="24"/>
        </w:rPr>
      </w:pPr>
    </w:p>
    <w:p w:rsidR="001A3436" w:rsidRPr="000A6160" w:rsidRDefault="001A3436" w:rsidP="003C065A">
      <w:pPr>
        <w:jc w:val="center"/>
        <w:rPr>
          <w:b/>
          <w:szCs w:val="24"/>
        </w:rPr>
      </w:pPr>
      <w:proofErr w:type="spellStart"/>
      <w:r w:rsidRPr="000A6160">
        <w:rPr>
          <w:b/>
          <w:szCs w:val="24"/>
        </w:rPr>
        <w:t>Aarti</w:t>
      </w:r>
      <w:proofErr w:type="spellEnd"/>
      <w:r w:rsidRPr="000A6160">
        <w:rPr>
          <w:b/>
          <w:szCs w:val="24"/>
        </w:rPr>
        <w:t xml:space="preserve"> C. Bhat</w:t>
      </w:r>
    </w:p>
    <w:p w:rsidR="001A3436" w:rsidRDefault="001A3436" w:rsidP="003C065A">
      <w:pPr>
        <w:jc w:val="center"/>
        <w:rPr>
          <w:szCs w:val="24"/>
        </w:rPr>
      </w:pPr>
      <w:r>
        <w:rPr>
          <w:szCs w:val="24"/>
        </w:rPr>
        <w:t>The University of Texas at Austin</w:t>
      </w:r>
    </w:p>
    <w:p w:rsidR="001A3436" w:rsidRDefault="003C065A" w:rsidP="003C065A">
      <w:pPr>
        <w:jc w:val="center"/>
        <w:rPr>
          <w:szCs w:val="24"/>
        </w:rPr>
      </w:pPr>
      <w:r>
        <w:rPr>
          <w:szCs w:val="24"/>
        </w:rPr>
        <w:t xml:space="preserve">College </w:t>
      </w:r>
      <w:r w:rsidR="001A3436">
        <w:rPr>
          <w:szCs w:val="24"/>
        </w:rPr>
        <w:t>of Natural Sciences</w:t>
      </w:r>
      <w:r>
        <w:rPr>
          <w:szCs w:val="24"/>
        </w:rPr>
        <w:t xml:space="preserve"> and Liberal Arts</w:t>
      </w:r>
    </w:p>
    <w:p w:rsidR="001A3436" w:rsidRDefault="003C065A" w:rsidP="003C065A">
      <w:pPr>
        <w:jc w:val="center"/>
        <w:rPr>
          <w:szCs w:val="24"/>
        </w:rPr>
      </w:pPr>
      <w:r>
        <w:rPr>
          <w:szCs w:val="24"/>
        </w:rPr>
        <w:t xml:space="preserve">Email: </w:t>
      </w:r>
      <w:hyperlink r:id="rId11" w:history="1">
        <w:r w:rsidR="007135DA" w:rsidRPr="00953CEE">
          <w:rPr>
            <w:rStyle w:val="Hyperlink"/>
            <w:szCs w:val="24"/>
          </w:rPr>
          <w:t>aartibhat@utexas.edu</w:t>
        </w:r>
      </w:hyperlink>
      <w:r w:rsidR="007135DA">
        <w:rPr>
          <w:szCs w:val="24"/>
        </w:rPr>
        <w:t xml:space="preserve"> </w:t>
      </w:r>
    </w:p>
    <w:p w:rsidR="00413496" w:rsidRPr="008A1C11" w:rsidRDefault="00413496" w:rsidP="00413496">
      <w:pPr>
        <w:rPr>
          <w:szCs w:val="24"/>
        </w:rPr>
      </w:pPr>
    </w:p>
    <w:p w:rsidR="00413496" w:rsidRDefault="00413496" w:rsidP="00413496">
      <w:pPr>
        <w:jc w:val="center"/>
        <w:rPr>
          <w:b/>
          <w:szCs w:val="24"/>
        </w:rPr>
      </w:pPr>
    </w:p>
    <w:p w:rsidR="00413496" w:rsidRDefault="00413496" w:rsidP="00074E14">
      <w:pPr>
        <w:rPr>
          <w:b/>
          <w:szCs w:val="24"/>
        </w:rPr>
      </w:pPr>
    </w:p>
    <w:p w:rsidR="00413496" w:rsidRDefault="00413496" w:rsidP="00413496">
      <w:pPr>
        <w:jc w:val="center"/>
        <w:rPr>
          <w:b/>
          <w:szCs w:val="24"/>
        </w:rPr>
      </w:pPr>
    </w:p>
    <w:p w:rsidR="00413496" w:rsidRDefault="00413496" w:rsidP="00413496">
      <w:pPr>
        <w:jc w:val="center"/>
        <w:rPr>
          <w:b/>
          <w:szCs w:val="24"/>
        </w:rPr>
      </w:pPr>
      <w:r w:rsidRPr="00822066">
        <w:rPr>
          <w:szCs w:val="24"/>
        </w:rPr>
        <w:t>*corresponding author</w:t>
      </w:r>
    </w:p>
    <w:p w:rsidR="00413496" w:rsidRDefault="00413496" w:rsidP="008325CC">
      <w:pPr>
        <w:spacing w:line="360" w:lineRule="auto"/>
        <w:rPr>
          <w:b/>
          <w:szCs w:val="24"/>
        </w:rPr>
      </w:pPr>
    </w:p>
    <w:p w:rsidR="00074E14" w:rsidRDefault="00074E14" w:rsidP="008325CC">
      <w:pPr>
        <w:spacing w:line="360" w:lineRule="auto"/>
        <w:rPr>
          <w:b/>
          <w:szCs w:val="24"/>
        </w:rPr>
      </w:pPr>
    </w:p>
    <w:p w:rsidR="00F530F4" w:rsidRPr="00074E14" w:rsidRDefault="00074E14" w:rsidP="00074E14">
      <w:pPr>
        <w:spacing w:line="360" w:lineRule="auto"/>
        <w:jc w:val="center"/>
        <w:rPr>
          <w:szCs w:val="24"/>
        </w:rPr>
      </w:pPr>
      <w:r w:rsidRPr="00074E14">
        <w:rPr>
          <w:b/>
          <w:szCs w:val="24"/>
        </w:rPr>
        <w:t>First version:</w:t>
      </w:r>
      <w:r w:rsidRPr="00074E14">
        <w:rPr>
          <w:szCs w:val="24"/>
        </w:rPr>
        <w:t xml:space="preserve"> July 2015</w:t>
      </w:r>
    </w:p>
    <w:p w:rsidR="00074E14" w:rsidRPr="00074E14" w:rsidRDefault="00074E14" w:rsidP="00074E14">
      <w:pPr>
        <w:spacing w:line="360" w:lineRule="auto"/>
        <w:jc w:val="center"/>
        <w:rPr>
          <w:szCs w:val="24"/>
        </w:rPr>
      </w:pPr>
      <w:r w:rsidRPr="00074E14">
        <w:rPr>
          <w:b/>
          <w:szCs w:val="24"/>
        </w:rPr>
        <w:t>Revised version:</w:t>
      </w:r>
      <w:r w:rsidRPr="00074E14">
        <w:rPr>
          <w:szCs w:val="24"/>
        </w:rPr>
        <w:t xml:space="preserve"> January 2016</w:t>
      </w:r>
    </w:p>
    <w:p w:rsidR="00F530F4" w:rsidRDefault="00F530F4" w:rsidP="008325CC">
      <w:pPr>
        <w:spacing w:line="360" w:lineRule="auto"/>
        <w:rPr>
          <w:b/>
          <w:szCs w:val="24"/>
        </w:rPr>
      </w:pPr>
    </w:p>
    <w:p w:rsidR="00390481" w:rsidRDefault="00390481" w:rsidP="008325CC">
      <w:pPr>
        <w:spacing w:line="360" w:lineRule="auto"/>
        <w:rPr>
          <w:b/>
          <w:szCs w:val="24"/>
        </w:rPr>
        <w:sectPr w:rsidR="00390481" w:rsidSect="00CE1B37">
          <w:footerReference w:type="default" r:id="rId12"/>
          <w:pgSz w:w="12240" w:h="15840"/>
          <w:pgMar w:top="1440" w:right="1440" w:bottom="1440" w:left="1440" w:header="720" w:footer="720" w:gutter="0"/>
          <w:cols w:space="720"/>
          <w:docGrid w:linePitch="360"/>
        </w:sectPr>
      </w:pPr>
    </w:p>
    <w:p w:rsidR="008325CC" w:rsidRDefault="008325CC" w:rsidP="008325CC">
      <w:pPr>
        <w:spacing w:line="360" w:lineRule="auto"/>
        <w:rPr>
          <w:b/>
          <w:szCs w:val="24"/>
        </w:rPr>
      </w:pPr>
      <w:r>
        <w:rPr>
          <w:b/>
          <w:szCs w:val="24"/>
        </w:rPr>
        <w:lastRenderedPageBreak/>
        <w:t>ABSTRACT</w:t>
      </w:r>
    </w:p>
    <w:p w:rsidR="00BE623D" w:rsidRPr="00A45FDC" w:rsidRDefault="00254695" w:rsidP="009707DF">
      <w:pPr>
        <w:spacing w:line="360" w:lineRule="auto"/>
        <w:rPr>
          <w:color w:val="000000"/>
        </w:rPr>
      </w:pPr>
      <w:r>
        <w:rPr>
          <w:szCs w:val="24"/>
        </w:rPr>
        <w:t>This paper proposes a new econometric formulation and an associated estimation method for a</w:t>
      </w:r>
      <w:r w:rsidR="009707DF">
        <w:rPr>
          <w:szCs w:val="24"/>
        </w:rPr>
        <w:t xml:space="preserve"> finite discrete mixture of </w:t>
      </w:r>
      <w:proofErr w:type="spellStart"/>
      <w:r w:rsidR="00AD7E09">
        <w:rPr>
          <w:szCs w:val="24"/>
        </w:rPr>
        <w:t>normal</w:t>
      </w:r>
      <w:r w:rsidR="00205303">
        <w:rPr>
          <w:szCs w:val="24"/>
        </w:rPr>
        <w:t>s</w:t>
      </w:r>
      <w:proofErr w:type="spellEnd"/>
      <w:r w:rsidR="00AD7E09">
        <w:rPr>
          <w:szCs w:val="24"/>
        </w:rPr>
        <w:t xml:space="preserve"> (FDMN)</w:t>
      </w:r>
      <w:r w:rsidR="009707DF">
        <w:rPr>
          <w:szCs w:val="24"/>
        </w:rPr>
        <w:t xml:space="preserve"> version of the multiple discrete-continuous probit</w:t>
      </w:r>
      <w:r w:rsidR="00AD7E09">
        <w:rPr>
          <w:szCs w:val="24"/>
        </w:rPr>
        <w:t xml:space="preserve"> (MDCP)</w:t>
      </w:r>
      <w:r w:rsidR="009707DF">
        <w:rPr>
          <w:szCs w:val="24"/>
        </w:rPr>
        <w:t xml:space="preserve"> model.</w:t>
      </w:r>
      <w:r w:rsidR="00976258">
        <w:rPr>
          <w:szCs w:val="24"/>
        </w:rPr>
        <w:t xml:space="preserve"> </w:t>
      </w:r>
      <w:r w:rsidR="00BE623D" w:rsidRPr="00BE623D">
        <w:rPr>
          <w:szCs w:val="24"/>
        </w:rPr>
        <w:t xml:space="preserve">To our knowledge, this is the first such formulation and application of an MDCP model in the econometric literature. Using the </w:t>
      </w:r>
      <w:r w:rsidR="00A45FDC">
        <w:rPr>
          <w:color w:val="000000"/>
        </w:rPr>
        <w:t>New Zealand Domestic Travel Survey</w:t>
      </w:r>
      <w:r w:rsidR="00A45FDC" w:rsidRPr="00BE623D">
        <w:rPr>
          <w:szCs w:val="24"/>
        </w:rPr>
        <w:t xml:space="preserve"> </w:t>
      </w:r>
      <w:r w:rsidR="00BE623D" w:rsidRPr="00BE623D">
        <w:rPr>
          <w:szCs w:val="24"/>
        </w:rPr>
        <w:t xml:space="preserve">data set, the model is applied to analyze </w:t>
      </w:r>
      <w:r w:rsidR="00A45FDC">
        <w:rPr>
          <w:color w:val="000000"/>
        </w:rPr>
        <w:t>individual</w:t>
      </w:r>
      <w:r w:rsidR="00A45FDC" w:rsidRPr="00B61F26">
        <w:rPr>
          <w:color w:val="000000"/>
        </w:rPr>
        <w:t xml:space="preserve">-level decisions </w:t>
      </w:r>
      <w:r w:rsidR="00A45FDC">
        <w:rPr>
          <w:color w:val="000000"/>
        </w:rPr>
        <w:t>regarding</w:t>
      </w:r>
      <w:r w:rsidR="00A45FDC" w:rsidRPr="00B61F26">
        <w:rPr>
          <w:color w:val="000000"/>
        </w:rPr>
        <w:t xml:space="preserve"> </w:t>
      </w:r>
      <w:r w:rsidR="00A45FDC">
        <w:rPr>
          <w:color w:val="000000"/>
        </w:rPr>
        <w:t>recreational destination locations</w:t>
      </w:r>
      <w:r w:rsidR="00A45FDC" w:rsidRPr="00B61F26">
        <w:rPr>
          <w:color w:val="000000"/>
        </w:rPr>
        <w:t xml:space="preserve"> </w:t>
      </w:r>
      <w:r w:rsidR="00A45FDC">
        <w:rPr>
          <w:color w:val="000000"/>
        </w:rPr>
        <w:t>and the number of trips to each destination</w:t>
      </w:r>
      <w:r w:rsidR="00BE623D" w:rsidRPr="00BE623D">
        <w:rPr>
          <w:szCs w:val="24"/>
        </w:rPr>
        <w:t xml:space="preserve">. The results provide insights into the demographic and other factors that influence individuals’ preferences for different </w:t>
      </w:r>
      <w:r w:rsidR="00A45FDC">
        <w:rPr>
          <w:szCs w:val="24"/>
        </w:rPr>
        <w:t>destinations</w:t>
      </w:r>
      <w:r w:rsidR="00BE623D" w:rsidRPr="00BE623D">
        <w:rPr>
          <w:szCs w:val="24"/>
        </w:rPr>
        <w:t xml:space="preserve">, and show that the FDMN MDCP model is able to identify different segments of the sample, each one of them with different effects of the exogenous variables on </w:t>
      </w:r>
      <w:r w:rsidR="00A45FDC">
        <w:rPr>
          <w:szCs w:val="24"/>
        </w:rPr>
        <w:t>destination choice</w:t>
      </w:r>
      <w:r w:rsidR="00BE623D" w:rsidRPr="00BE623D">
        <w:rPr>
          <w:szCs w:val="24"/>
        </w:rPr>
        <w:t xml:space="preserve">. </w:t>
      </w:r>
    </w:p>
    <w:p w:rsidR="008325CC" w:rsidRDefault="008325CC" w:rsidP="008325CC">
      <w:pPr>
        <w:spacing w:line="360" w:lineRule="auto"/>
        <w:rPr>
          <w:b/>
          <w:szCs w:val="24"/>
        </w:rPr>
      </w:pPr>
    </w:p>
    <w:p w:rsidR="008325CC" w:rsidRDefault="008325CC" w:rsidP="008325CC">
      <w:pPr>
        <w:spacing w:line="360" w:lineRule="auto"/>
        <w:rPr>
          <w:szCs w:val="24"/>
        </w:rPr>
      </w:pPr>
      <w:r w:rsidRPr="008578C8">
        <w:rPr>
          <w:i/>
          <w:szCs w:val="24"/>
        </w:rPr>
        <w:t>Keywords:</w:t>
      </w:r>
      <w:r w:rsidR="004025E5">
        <w:rPr>
          <w:rFonts w:eastAsia="Times New Roman"/>
          <w:szCs w:val="24"/>
        </w:rPr>
        <w:t xml:space="preserve"> </w:t>
      </w:r>
      <w:r w:rsidRPr="00A66CDA">
        <w:rPr>
          <w:szCs w:val="24"/>
        </w:rPr>
        <w:t>multiple</w:t>
      </w:r>
      <w:r>
        <w:rPr>
          <w:szCs w:val="24"/>
        </w:rPr>
        <w:t xml:space="preserve"> discrete-continuous </w:t>
      </w:r>
      <w:r w:rsidRPr="00A66CDA">
        <w:rPr>
          <w:szCs w:val="24"/>
        </w:rPr>
        <w:t>model</w:t>
      </w:r>
      <w:r>
        <w:rPr>
          <w:szCs w:val="24"/>
        </w:rPr>
        <w:t xml:space="preserve">s, </w:t>
      </w:r>
      <w:r w:rsidR="004025E5">
        <w:rPr>
          <w:szCs w:val="24"/>
        </w:rPr>
        <w:t xml:space="preserve">finite discrete mixture of </w:t>
      </w:r>
      <w:proofErr w:type="spellStart"/>
      <w:r w:rsidR="004025E5">
        <w:rPr>
          <w:szCs w:val="24"/>
        </w:rPr>
        <w:t>normals</w:t>
      </w:r>
      <w:proofErr w:type="spellEnd"/>
      <w:r>
        <w:rPr>
          <w:szCs w:val="24"/>
        </w:rPr>
        <w:t xml:space="preserve">, </w:t>
      </w:r>
      <w:r w:rsidR="004025E5">
        <w:rPr>
          <w:szCs w:val="24"/>
        </w:rPr>
        <w:t xml:space="preserve">MACML approach, endogenous segmentation, </w:t>
      </w:r>
      <w:r w:rsidR="00A45FDC">
        <w:rPr>
          <w:szCs w:val="24"/>
        </w:rPr>
        <w:t>recreational trips, long distance trips</w:t>
      </w:r>
      <w:r w:rsidR="000A6160">
        <w:rPr>
          <w:szCs w:val="24"/>
        </w:rPr>
        <w:t>, tourism travel</w:t>
      </w:r>
      <w:r>
        <w:rPr>
          <w:szCs w:val="24"/>
        </w:rPr>
        <w:t>.</w:t>
      </w:r>
    </w:p>
    <w:p w:rsidR="008325CC" w:rsidRDefault="008325CC" w:rsidP="00326C07">
      <w:pPr>
        <w:keepNext/>
        <w:spacing w:line="360" w:lineRule="auto"/>
        <w:rPr>
          <w:b/>
          <w:caps/>
          <w:szCs w:val="24"/>
        </w:rPr>
      </w:pPr>
    </w:p>
    <w:p w:rsidR="008325CC" w:rsidRDefault="008325CC">
      <w:pPr>
        <w:jc w:val="left"/>
        <w:rPr>
          <w:b/>
          <w:caps/>
          <w:szCs w:val="24"/>
        </w:rPr>
      </w:pPr>
    </w:p>
    <w:p w:rsidR="00390481" w:rsidRDefault="00390481" w:rsidP="00326C07">
      <w:pPr>
        <w:keepNext/>
        <w:spacing w:line="360" w:lineRule="auto"/>
        <w:rPr>
          <w:b/>
          <w:caps/>
          <w:szCs w:val="24"/>
        </w:rPr>
        <w:sectPr w:rsidR="00390481" w:rsidSect="00CE1B37">
          <w:pgSz w:w="12240" w:h="15840"/>
          <w:pgMar w:top="1440" w:right="1440" w:bottom="1440" w:left="1440" w:header="720" w:footer="720" w:gutter="0"/>
          <w:cols w:space="720"/>
          <w:docGrid w:linePitch="360"/>
        </w:sectPr>
      </w:pPr>
    </w:p>
    <w:p w:rsidR="00326C07" w:rsidRPr="00FD53C4" w:rsidRDefault="00326C07" w:rsidP="00326C07">
      <w:pPr>
        <w:keepNext/>
        <w:spacing w:line="360" w:lineRule="auto"/>
        <w:rPr>
          <w:b/>
          <w:caps/>
          <w:szCs w:val="24"/>
        </w:rPr>
      </w:pPr>
      <w:r>
        <w:rPr>
          <w:b/>
          <w:caps/>
          <w:szCs w:val="24"/>
        </w:rPr>
        <w:lastRenderedPageBreak/>
        <w:t>1. Introduction</w:t>
      </w:r>
    </w:p>
    <w:p w:rsidR="00BF0BB5" w:rsidRDefault="00BF0BB5" w:rsidP="00BF0BB5">
      <w:pPr>
        <w:pStyle w:val="FootnoteText"/>
        <w:spacing w:line="360" w:lineRule="auto"/>
        <w:rPr>
          <w:rFonts w:ascii="Times New Roman" w:hAnsi="Times New Roman"/>
          <w:sz w:val="24"/>
          <w:szCs w:val="24"/>
          <w:lang w:val="en-US" w:eastAsia="en-US"/>
        </w:rPr>
      </w:pPr>
      <w:r w:rsidRPr="00BF0BB5">
        <w:rPr>
          <w:rFonts w:ascii="Times New Roman" w:hAnsi="Times New Roman"/>
          <w:sz w:val="24"/>
          <w:szCs w:val="24"/>
          <w:lang w:val="en-US" w:eastAsia="en-US"/>
        </w:rPr>
        <w:t>There are several approaches to understanding the decision process when consumers have to choose an alternative from a set and then determine the amount of the chosen alternative to consume. Classical discrete choice models assume that alternatives are mutually exclusive and only one alternative can be chosen. Alternatively, multiple discrete-continuous (MDC) models expand the decision by allowing consumers to choose multiple alternatives at the same time, along with the continuous dimension of the amount of consumption. MDC models have been applied not only in the case of consumer brand choice and purchase quantity, but also in contexts</w:t>
      </w:r>
      <w:r w:rsidR="006D014F">
        <w:rPr>
          <w:rFonts w:ascii="Times New Roman" w:hAnsi="Times New Roman"/>
          <w:sz w:val="24"/>
          <w:szCs w:val="24"/>
          <w:lang w:val="en-US" w:eastAsia="en-US"/>
        </w:rPr>
        <w:t xml:space="preserve"> such as household vehicle type</w:t>
      </w:r>
      <w:r w:rsidRPr="00BF0BB5">
        <w:rPr>
          <w:rFonts w:ascii="Times New Roman" w:hAnsi="Times New Roman"/>
          <w:sz w:val="24"/>
          <w:szCs w:val="24"/>
          <w:lang w:val="en-US" w:eastAsia="en-US"/>
        </w:rPr>
        <w:t xml:space="preserve"> and usage, recreational destination choice and number of trips, land-use type and intensity, and stock portfolio selection choice and investment amounts.</w:t>
      </w:r>
    </w:p>
    <w:p w:rsidR="003A77E2" w:rsidRDefault="003C3732" w:rsidP="00EE74D5">
      <w:pPr>
        <w:pStyle w:val="FootnoteText"/>
        <w:spacing w:line="360" w:lineRule="auto"/>
        <w:ind w:firstLine="720"/>
        <w:rPr>
          <w:rFonts w:ascii="Times New Roman" w:hAnsi="Times New Roman"/>
          <w:sz w:val="24"/>
          <w:szCs w:val="24"/>
          <w:lang w:val="en-US" w:eastAsia="en-US"/>
        </w:rPr>
      </w:pPr>
      <w:r w:rsidRPr="003A77E2">
        <w:rPr>
          <w:rFonts w:ascii="Times New Roman" w:hAnsi="Times New Roman"/>
          <w:sz w:val="24"/>
          <w:szCs w:val="24"/>
          <w:lang w:val="en-US" w:eastAsia="en-US"/>
        </w:rPr>
        <w:t xml:space="preserve">The MDC </w:t>
      </w:r>
      <w:r w:rsidR="009E5C72" w:rsidRPr="003A77E2">
        <w:rPr>
          <w:rFonts w:ascii="Times New Roman" w:hAnsi="Times New Roman"/>
          <w:sz w:val="24"/>
          <w:szCs w:val="24"/>
          <w:lang w:val="en-US" w:eastAsia="en-US"/>
        </w:rPr>
        <w:t>model</w:t>
      </w:r>
      <w:r w:rsidRPr="003A77E2">
        <w:rPr>
          <w:rFonts w:ascii="Times New Roman" w:hAnsi="Times New Roman"/>
          <w:sz w:val="24"/>
          <w:szCs w:val="24"/>
          <w:lang w:val="en-US" w:eastAsia="en-US"/>
        </w:rPr>
        <w:t xml:space="preserve"> that has dominated the recent literature is based on a utility maximization framework that assumes </w:t>
      </w:r>
      <w:r w:rsidR="002521B7">
        <w:rPr>
          <w:rFonts w:ascii="Times New Roman" w:hAnsi="Times New Roman"/>
          <w:sz w:val="24"/>
          <w:szCs w:val="24"/>
          <w:lang w:val="en-US" w:eastAsia="en-US"/>
        </w:rPr>
        <w:t xml:space="preserve">a </w:t>
      </w:r>
      <w:r w:rsidRPr="003A77E2">
        <w:rPr>
          <w:rFonts w:ascii="Times New Roman" w:hAnsi="Times New Roman"/>
          <w:sz w:val="24"/>
          <w:szCs w:val="24"/>
          <w:lang w:val="en-US" w:eastAsia="en-US"/>
        </w:rPr>
        <w:t xml:space="preserve">non-linear (but increasing and continuously differentiable) utility function to accommodate </w:t>
      </w:r>
      <w:r w:rsidR="002521B7">
        <w:rPr>
          <w:rFonts w:ascii="Times New Roman" w:hAnsi="Times New Roman"/>
          <w:sz w:val="24"/>
          <w:szCs w:val="24"/>
          <w:lang w:val="en-US" w:eastAsia="en-US"/>
        </w:rPr>
        <w:t xml:space="preserve">the relationship between the </w:t>
      </w:r>
      <w:r w:rsidR="009E5C72" w:rsidRPr="003A77E2">
        <w:rPr>
          <w:rFonts w:ascii="Times New Roman" w:hAnsi="Times New Roman"/>
          <w:sz w:val="24"/>
          <w:szCs w:val="24"/>
          <w:lang w:val="en-US" w:eastAsia="en-US"/>
        </w:rPr>
        <w:t xml:space="preserve">decreasing marginal utility </w:t>
      </w:r>
      <w:r w:rsidRPr="003A77E2">
        <w:rPr>
          <w:rFonts w:ascii="Times New Roman" w:hAnsi="Times New Roman"/>
          <w:sz w:val="24"/>
          <w:szCs w:val="24"/>
          <w:lang w:val="en-US" w:eastAsia="en-US"/>
        </w:rPr>
        <w:t>(</w:t>
      </w:r>
      <w:r w:rsidR="009E5C72" w:rsidRPr="003A77E2">
        <w:rPr>
          <w:rFonts w:ascii="Times New Roman" w:hAnsi="Times New Roman"/>
          <w:sz w:val="24"/>
          <w:szCs w:val="24"/>
          <w:lang w:val="en-US" w:eastAsia="en-US"/>
        </w:rPr>
        <w:t>satiation</w:t>
      </w:r>
      <w:r w:rsidRPr="003A77E2">
        <w:rPr>
          <w:rFonts w:ascii="Times New Roman" w:hAnsi="Times New Roman"/>
          <w:sz w:val="24"/>
          <w:szCs w:val="24"/>
          <w:lang w:val="en-US" w:eastAsia="en-US"/>
        </w:rPr>
        <w:t xml:space="preserve">) </w:t>
      </w:r>
      <w:r w:rsidR="002521B7">
        <w:rPr>
          <w:rFonts w:ascii="Times New Roman" w:hAnsi="Times New Roman"/>
          <w:sz w:val="24"/>
          <w:szCs w:val="24"/>
          <w:lang w:val="en-US" w:eastAsia="en-US"/>
        </w:rPr>
        <w:t>and the</w:t>
      </w:r>
      <w:r w:rsidR="002521B7" w:rsidRPr="003A77E2">
        <w:rPr>
          <w:rFonts w:ascii="Times New Roman" w:hAnsi="Times New Roman"/>
          <w:sz w:val="24"/>
          <w:szCs w:val="24"/>
          <w:lang w:val="en-US" w:eastAsia="en-US"/>
        </w:rPr>
        <w:t xml:space="preserve"> </w:t>
      </w:r>
      <w:r w:rsidRPr="003A77E2">
        <w:rPr>
          <w:rFonts w:ascii="Times New Roman" w:hAnsi="Times New Roman"/>
          <w:sz w:val="24"/>
          <w:szCs w:val="24"/>
          <w:lang w:val="en-US" w:eastAsia="en-US"/>
        </w:rPr>
        <w:t xml:space="preserve">increasing investment in an alternative. </w:t>
      </w:r>
      <w:r w:rsidR="003A77E2" w:rsidRPr="003A77E2">
        <w:rPr>
          <w:rFonts w:ascii="Times New Roman" w:hAnsi="Times New Roman"/>
          <w:sz w:val="24"/>
          <w:szCs w:val="24"/>
          <w:lang w:val="en-US" w:eastAsia="en-US"/>
        </w:rPr>
        <w:t xml:space="preserve">Consumers maximize this utility </w:t>
      </w:r>
      <w:r w:rsidR="002521B7">
        <w:rPr>
          <w:rFonts w:ascii="Times New Roman" w:hAnsi="Times New Roman"/>
          <w:sz w:val="24"/>
          <w:szCs w:val="24"/>
          <w:lang w:val="en-US" w:eastAsia="en-US"/>
        </w:rPr>
        <w:t>within their</w:t>
      </w:r>
      <w:r w:rsidR="003A77E2" w:rsidRPr="003A77E2">
        <w:rPr>
          <w:rFonts w:ascii="Times New Roman" w:hAnsi="Times New Roman"/>
          <w:sz w:val="24"/>
          <w:szCs w:val="24"/>
          <w:lang w:val="en-US" w:eastAsia="en-US"/>
        </w:rPr>
        <w:t xml:space="preserve"> budget constraint</w:t>
      </w:r>
      <w:r w:rsidR="002521B7">
        <w:rPr>
          <w:rFonts w:ascii="Times New Roman" w:hAnsi="Times New Roman"/>
          <w:sz w:val="24"/>
          <w:szCs w:val="24"/>
          <w:lang w:val="en-US" w:eastAsia="en-US"/>
        </w:rPr>
        <w:t>s</w:t>
      </w:r>
      <w:r w:rsidR="003A77E2" w:rsidRPr="003A77E2">
        <w:rPr>
          <w:rFonts w:ascii="Times New Roman" w:hAnsi="Times New Roman"/>
          <w:sz w:val="24"/>
          <w:szCs w:val="24"/>
          <w:lang w:val="en-US" w:eastAsia="en-US"/>
        </w:rPr>
        <w:t xml:space="preserve">. The optimal consumption quantities are obtained by writing the </w:t>
      </w:r>
      <w:proofErr w:type="spellStart"/>
      <w:r w:rsidR="003A77E2" w:rsidRPr="003A77E2">
        <w:rPr>
          <w:rFonts w:ascii="Times New Roman" w:hAnsi="Times New Roman"/>
          <w:sz w:val="24"/>
          <w:szCs w:val="24"/>
          <w:lang w:val="en-US" w:eastAsia="en-US"/>
        </w:rPr>
        <w:t>Karush</w:t>
      </w:r>
      <w:proofErr w:type="spellEnd"/>
      <w:r w:rsidR="003A77E2" w:rsidRPr="003A77E2">
        <w:rPr>
          <w:rFonts w:ascii="Times New Roman" w:hAnsi="Times New Roman"/>
          <w:sz w:val="24"/>
          <w:szCs w:val="24"/>
          <w:lang w:val="en-US" w:eastAsia="en-US"/>
        </w:rPr>
        <w:t xml:space="preserve">-Kuhn-Tucker (KKT) first-order conditions of the utility function with respect to the investment quantities. </w:t>
      </w:r>
      <w:r w:rsidR="00761B34">
        <w:rPr>
          <w:rFonts w:ascii="Times New Roman" w:hAnsi="Times New Roman"/>
          <w:sz w:val="24"/>
          <w:szCs w:val="24"/>
          <w:lang w:val="en-US" w:eastAsia="en-US"/>
        </w:rPr>
        <w:t>A very</w:t>
      </w:r>
      <w:r w:rsidR="003A77E2" w:rsidRPr="003A77E2">
        <w:rPr>
          <w:rFonts w:ascii="Times New Roman" w:hAnsi="Times New Roman"/>
          <w:sz w:val="24"/>
          <w:szCs w:val="24"/>
          <w:lang w:val="en-US" w:eastAsia="en-US"/>
        </w:rPr>
        <w:t xml:space="preserve"> general utility form</w:t>
      </w:r>
      <w:r w:rsidR="00273C76">
        <w:rPr>
          <w:rFonts w:ascii="Times New Roman" w:hAnsi="Times New Roman"/>
          <w:sz w:val="24"/>
          <w:szCs w:val="24"/>
          <w:lang w:val="en-US" w:eastAsia="en-US"/>
        </w:rPr>
        <w:t xml:space="preserve"> for this KKT approach was</w:t>
      </w:r>
      <w:r w:rsidR="003A77E2" w:rsidRPr="003A77E2">
        <w:rPr>
          <w:rFonts w:ascii="Times New Roman" w:hAnsi="Times New Roman"/>
          <w:sz w:val="24"/>
          <w:szCs w:val="24"/>
          <w:lang w:val="en-US" w:eastAsia="en-US"/>
        </w:rPr>
        <w:t xml:space="preserve"> proposed by Bhat (2008). In Bhat’s utility function form</w:t>
      </w:r>
      <w:r w:rsidR="00E10104">
        <w:rPr>
          <w:rFonts w:ascii="Times New Roman" w:hAnsi="Times New Roman"/>
          <w:sz w:val="24"/>
          <w:szCs w:val="24"/>
          <w:lang w:val="en-US" w:eastAsia="en-US"/>
        </w:rPr>
        <w:t>,</w:t>
      </w:r>
      <w:r w:rsidR="0038732B">
        <w:rPr>
          <w:rFonts w:ascii="Times New Roman" w:hAnsi="Times New Roman"/>
          <w:sz w:val="24"/>
          <w:szCs w:val="24"/>
          <w:lang w:val="en-US" w:eastAsia="en-US"/>
        </w:rPr>
        <w:t xml:space="preserve"> </w:t>
      </w:r>
      <w:r w:rsidR="003A77E2" w:rsidRPr="003A77E2">
        <w:rPr>
          <w:rFonts w:ascii="Times New Roman" w:hAnsi="Times New Roman"/>
          <w:sz w:val="24"/>
          <w:szCs w:val="24"/>
          <w:lang w:val="en-US" w:eastAsia="en-US"/>
        </w:rPr>
        <w:t xml:space="preserve">stochasticity is introduced in the baseline preference for each alternative to acknowledge the presence of unobserved factors that may impact the utility of each alternative (the baseline preference is the marginal utility of each alternative at the point of zero consumption of the alternative). </w:t>
      </w:r>
      <w:r w:rsidR="0038732B">
        <w:rPr>
          <w:rFonts w:ascii="Times New Roman" w:hAnsi="Times New Roman"/>
          <w:sz w:val="24"/>
          <w:szCs w:val="24"/>
          <w:lang w:val="en-US" w:eastAsia="en-US"/>
        </w:rPr>
        <w:t>The</w:t>
      </w:r>
      <w:r w:rsidR="003A77E2" w:rsidRPr="003A77E2">
        <w:rPr>
          <w:rFonts w:ascii="Times New Roman" w:hAnsi="Times New Roman"/>
          <w:sz w:val="24"/>
          <w:szCs w:val="24"/>
          <w:lang w:val="en-US" w:eastAsia="en-US"/>
        </w:rPr>
        <w:t xml:space="preserve"> most common distributions used for the kernel stochastic error term (across alternatives) are the generalized extreme value (GEV) distribution (see Bhat, 2008</w:t>
      </w:r>
      <w:r w:rsidR="00C35015">
        <w:rPr>
          <w:rFonts w:ascii="Times New Roman" w:hAnsi="Times New Roman"/>
          <w:sz w:val="24"/>
          <w:szCs w:val="24"/>
          <w:lang w:val="en-US" w:eastAsia="en-US"/>
        </w:rPr>
        <w:t>;</w:t>
      </w:r>
      <w:r w:rsidR="00C35015" w:rsidRPr="003A77E2">
        <w:rPr>
          <w:rFonts w:ascii="Times New Roman" w:hAnsi="Times New Roman"/>
          <w:sz w:val="24"/>
          <w:szCs w:val="24"/>
          <w:lang w:val="en-US" w:eastAsia="en-US"/>
        </w:rPr>
        <w:t xml:space="preserve"> </w:t>
      </w:r>
      <w:r w:rsidR="003A77E2" w:rsidRPr="003A77E2">
        <w:rPr>
          <w:rFonts w:ascii="Times New Roman" w:hAnsi="Times New Roman"/>
          <w:sz w:val="24"/>
          <w:szCs w:val="24"/>
          <w:lang w:val="en-US" w:eastAsia="en-US"/>
        </w:rPr>
        <w:t>Pinjari, 2011</w:t>
      </w:r>
      <w:r w:rsidR="00C35015">
        <w:rPr>
          <w:rFonts w:ascii="Times New Roman" w:hAnsi="Times New Roman"/>
          <w:sz w:val="24"/>
          <w:szCs w:val="24"/>
          <w:lang w:val="en-US" w:eastAsia="en-US"/>
        </w:rPr>
        <w:t>;</w:t>
      </w:r>
      <w:r w:rsidR="00C35015" w:rsidRPr="003A77E2">
        <w:rPr>
          <w:rFonts w:ascii="Times New Roman" w:hAnsi="Times New Roman"/>
          <w:sz w:val="24"/>
          <w:szCs w:val="24"/>
          <w:lang w:val="en-US" w:eastAsia="en-US"/>
        </w:rPr>
        <w:t xml:space="preserve"> </w:t>
      </w:r>
      <w:r w:rsidR="003A77E2" w:rsidRPr="003A77E2">
        <w:rPr>
          <w:rFonts w:ascii="Times New Roman" w:hAnsi="Times New Roman"/>
          <w:sz w:val="24"/>
          <w:szCs w:val="24"/>
          <w:lang w:val="en-US" w:eastAsia="en-US"/>
        </w:rPr>
        <w:t xml:space="preserve">Castro </w:t>
      </w:r>
      <w:r w:rsidR="00103DEF" w:rsidRPr="00184DFD">
        <w:rPr>
          <w:rFonts w:ascii="Times New Roman" w:hAnsi="Times New Roman"/>
          <w:i/>
          <w:sz w:val="24"/>
          <w:szCs w:val="24"/>
          <w:lang w:val="en-US" w:eastAsia="en-US"/>
        </w:rPr>
        <w:t>et al</w:t>
      </w:r>
      <w:r w:rsidR="00103DEF" w:rsidRPr="00103DEF">
        <w:rPr>
          <w:rFonts w:ascii="Times New Roman" w:hAnsi="Times New Roman"/>
          <w:sz w:val="24"/>
          <w:szCs w:val="24"/>
          <w:lang w:val="en-US" w:eastAsia="en-US"/>
        </w:rPr>
        <w:t>.</w:t>
      </w:r>
      <w:r w:rsidR="003A77E2" w:rsidRPr="003A77E2">
        <w:rPr>
          <w:rFonts w:ascii="Times New Roman" w:hAnsi="Times New Roman"/>
          <w:sz w:val="24"/>
          <w:szCs w:val="24"/>
          <w:lang w:val="en-US" w:eastAsia="en-US"/>
        </w:rPr>
        <w:t xml:space="preserve">, 2012) and the multivariate normal distribution (see Kim </w:t>
      </w:r>
      <w:r w:rsidR="00103DEF" w:rsidRPr="00320DF9">
        <w:rPr>
          <w:rFonts w:ascii="Times New Roman" w:hAnsi="Times New Roman"/>
          <w:i/>
          <w:sz w:val="24"/>
          <w:szCs w:val="24"/>
          <w:lang w:val="en-US" w:eastAsia="en-US"/>
        </w:rPr>
        <w:t>et al</w:t>
      </w:r>
      <w:r w:rsidR="00103DEF" w:rsidRPr="00103DEF">
        <w:rPr>
          <w:rFonts w:ascii="Times New Roman" w:hAnsi="Times New Roman"/>
          <w:sz w:val="24"/>
          <w:szCs w:val="24"/>
          <w:lang w:val="en-US" w:eastAsia="en-US"/>
        </w:rPr>
        <w:t>.</w:t>
      </w:r>
      <w:r w:rsidR="003A77E2" w:rsidRPr="003A77E2">
        <w:rPr>
          <w:rFonts w:ascii="Times New Roman" w:hAnsi="Times New Roman"/>
          <w:sz w:val="24"/>
          <w:szCs w:val="24"/>
          <w:lang w:val="en-US" w:eastAsia="en-US"/>
        </w:rPr>
        <w:t xml:space="preserve">, 2002 and Bhat </w:t>
      </w:r>
      <w:r w:rsidR="00103DEF" w:rsidRPr="00320DF9">
        <w:rPr>
          <w:rFonts w:ascii="Times New Roman" w:hAnsi="Times New Roman"/>
          <w:i/>
          <w:sz w:val="24"/>
          <w:szCs w:val="24"/>
          <w:lang w:val="en-US" w:eastAsia="en-US"/>
        </w:rPr>
        <w:t>et al</w:t>
      </w:r>
      <w:r w:rsidR="00103DEF" w:rsidRPr="00103DEF">
        <w:rPr>
          <w:rFonts w:ascii="Times New Roman" w:hAnsi="Times New Roman"/>
          <w:sz w:val="24"/>
          <w:szCs w:val="24"/>
          <w:lang w:val="en-US" w:eastAsia="en-US"/>
        </w:rPr>
        <w:t>.</w:t>
      </w:r>
      <w:r w:rsidR="003A77E2" w:rsidRPr="003A77E2">
        <w:rPr>
          <w:rFonts w:ascii="Times New Roman" w:hAnsi="Times New Roman"/>
          <w:sz w:val="24"/>
          <w:szCs w:val="24"/>
          <w:lang w:val="en-US" w:eastAsia="en-US"/>
        </w:rPr>
        <w:t xml:space="preserve">, 2013). The first distribution leads to a closed-form MDC </w:t>
      </w:r>
      <w:r w:rsidR="00E10104">
        <w:rPr>
          <w:rFonts w:ascii="Times New Roman" w:hAnsi="Times New Roman"/>
          <w:sz w:val="24"/>
          <w:szCs w:val="24"/>
          <w:lang w:val="en-US" w:eastAsia="en-US"/>
        </w:rPr>
        <w:t>GEV</w:t>
      </w:r>
      <w:r w:rsidR="003A77E2" w:rsidRPr="003A77E2">
        <w:rPr>
          <w:rFonts w:ascii="Times New Roman" w:hAnsi="Times New Roman"/>
          <w:sz w:val="24"/>
          <w:szCs w:val="24"/>
          <w:lang w:val="en-US" w:eastAsia="en-US"/>
        </w:rPr>
        <w:t xml:space="preserve"> model structure, while the second</w:t>
      </w:r>
      <w:r w:rsidR="00E10104">
        <w:rPr>
          <w:rFonts w:ascii="Times New Roman" w:hAnsi="Times New Roman"/>
          <w:sz w:val="24"/>
          <w:szCs w:val="24"/>
          <w:lang w:val="en-US" w:eastAsia="en-US"/>
        </w:rPr>
        <w:t xml:space="preserve"> leads</w:t>
      </w:r>
      <w:r w:rsidR="003A77E2" w:rsidRPr="003A77E2">
        <w:rPr>
          <w:rFonts w:ascii="Times New Roman" w:hAnsi="Times New Roman"/>
          <w:sz w:val="24"/>
          <w:szCs w:val="24"/>
          <w:lang w:val="en-US" w:eastAsia="en-US"/>
        </w:rPr>
        <w:t xml:space="preserve"> to a</w:t>
      </w:r>
      <w:r w:rsidR="00E10104">
        <w:rPr>
          <w:rFonts w:ascii="Times New Roman" w:hAnsi="Times New Roman"/>
          <w:sz w:val="24"/>
          <w:szCs w:val="24"/>
          <w:lang w:val="en-US" w:eastAsia="en-US"/>
        </w:rPr>
        <w:t>n</w:t>
      </w:r>
      <w:r w:rsidR="003A77E2" w:rsidRPr="003A77E2">
        <w:rPr>
          <w:rFonts w:ascii="Times New Roman" w:hAnsi="Times New Roman"/>
          <w:sz w:val="24"/>
          <w:szCs w:val="24"/>
          <w:lang w:val="en-US" w:eastAsia="en-US"/>
        </w:rPr>
        <w:t xml:space="preserve"> MDC probit (MDCP) model structure.</w:t>
      </w:r>
    </w:p>
    <w:p w:rsidR="00D0305D" w:rsidRDefault="00F31905" w:rsidP="00D0305D">
      <w:pPr>
        <w:spacing w:line="360" w:lineRule="auto"/>
        <w:ind w:firstLine="720"/>
        <w:rPr>
          <w:szCs w:val="24"/>
        </w:rPr>
      </w:pPr>
      <w:r>
        <w:rPr>
          <w:szCs w:val="24"/>
        </w:rPr>
        <w:t>Researchers</w:t>
      </w:r>
      <w:r w:rsidR="00683B0F" w:rsidRPr="00F13B58">
        <w:rPr>
          <w:szCs w:val="24"/>
        </w:rPr>
        <w:t xml:space="preserve"> have </w:t>
      </w:r>
      <w:r w:rsidR="00A10A70">
        <w:rPr>
          <w:szCs w:val="24"/>
        </w:rPr>
        <w:t xml:space="preserve">also </w:t>
      </w:r>
      <w:r w:rsidR="00683B0F" w:rsidRPr="00F13B58">
        <w:rPr>
          <w:szCs w:val="24"/>
        </w:rPr>
        <w:t>introduced random structures for the coefficients on the exogenous variables (</w:t>
      </w:r>
      <w:r w:rsidR="00083FAB">
        <w:rPr>
          <w:szCs w:val="24"/>
        </w:rPr>
        <w:t>or</w:t>
      </w:r>
      <w:r w:rsidR="00683B0F" w:rsidRPr="00F13B58">
        <w:rPr>
          <w:szCs w:val="24"/>
        </w:rPr>
        <w:t xml:space="preserve"> response coefficients) that allow heterogeneity (across individuals) in the sensitivity to exogenous variables</w:t>
      </w:r>
      <w:r w:rsidR="00A10A70">
        <w:rPr>
          <w:szCs w:val="24"/>
        </w:rPr>
        <w:t xml:space="preserve"> in discrete choice models</w:t>
      </w:r>
      <w:r w:rsidR="00683B0F" w:rsidRPr="00F13B58">
        <w:rPr>
          <w:szCs w:val="24"/>
        </w:rPr>
        <w:t xml:space="preserve">. </w:t>
      </w:r>
      <w:r w:rsidR="006D014F">
        <w:rPr>
          <w:szCs w:val="24"/>
        </w:rPr>
        <w:t>There are</w:t>
      </w:r>
      <w:r w:rsidR="00070583">
        <w:rPr>
          <w:szCs w:val="24"/>
        </w:rPr>
        <w:t xml:space="preserve"> three</w:t>
      </w:r>
      <w:r w:rsidR="0047271F">
        <w:rPr>
          <w:szCs w:val="24"/>
        </w:rPr>
        <w:t xml:space="preserve"> po</w:t>
      </w:r>
      <w:r w:rsidR="006D014F">
        <w:rPr>
          <w:szCs w:val="24"/>
        </w:rPr>
        <w:t>ssible</w:t>
      </w:r>
      <w:r w:rsidR="00070583">
        <w:rPr>
          <w:szCs w:val="24"/>
        </w:rPr>
        <w:t xml:space="preserve"> approaches to introduce randomnes</w:t>
      </w:r>
      <w:r>
        <w:rPr>
          <w:szCs w:val="24"/>
        </w:rPr>
        <w:t>s in the response coefficients</w:t>
      </w:r>
      <w:r w:rsidR="00753D7C">
        <w:rPr>
          <w:szCs w:val="24"/>
        </w:rPr>
        <w:t xml:space="preserve">. The first approach </w:t>
      </w:r>
      <w:r w:rsidR="006D014F">
        <w:rPr>
          <w:szCs w:val="24"/>
        </w:rPr>
        <w:t>uses</w:t>
      </w:r>
      <w:r w:rsidR="0047271F">
        <w:rPr>
          <w:szCs w:val="24"/>
        </w:rPr>
        <w:t xml:space="preserve"> </w:t>
      </w:r>
      <w:r w:rsidR="002B7685">
        <w:rPr>
          <w:szCs w:val="24"/>
        </w:rPr>
        <w:t>c</w:t>
      </w:r>
      <w:r w:rsidR="00070583" w:rsidRPr="00F13B58">
        <w:rPr>
          <w:szCs w:val="24"/>
        </w:rPr>
        <w:t>ontinuous random structures for the coefficients on the exogenous variables</w:t>
      </w:r>
      <w:r w:rsidR="00070583">
        <w:rPr>
          <w:szCs w:val="24"/>
        </w:rPr>
        <w:t>.</w:t>
      </w:r>
      <w:r w:rsidR="00070583" w:rsidRPr="00F13B58">
        <w:rPr>
          <w:szCs w:val="24"/>
        </w:rPr>
        <w:t xml:space="preserve"> </w:t>
      </w:r>
      <w:r w:rsidR="00070583">
        <w:rPr>
          <w:szCs w:val="24"/>
        </w:rPr>
        <w:t>Within this approach, t</w:t>
      </w:r>
      <w:r w:rsidR="00683B0F" w:rsidRPr="00F13B58">
        <w:rPr>
          <w:szCs w:val="24"/>
        </w:rPr>
        <w:t xml:space="preserve">he most common assumption is that the random response coefficients are realizations from a multivariate </w:t>
      </w:r>
      <w:r w:rsidR="00683B0F" w:rsidRPr="00F13B58">
        <w:rPr>
          <w:szCs w:val="24"/>
        </w:rPr>
        <w:lastRenderedPageBreak/>
        <w:t>normal distribution</w:t>
      </w:r>
      <w:r w:rsidR="00B72A05">
        <w:rPr>
          <w:szCs w:val="24"/>
        </w:rPr>
        <w:t>.</w:t>
      </w:r>
      <w:r w:rsidR="005954D6">
        <w:rPr>
          <w:rStyle w:val="FootnoteReference"/>
          <w:szCs w:val="24"/>
        </w:rPr>
        <w:footnoteReference w:id="1"/>
      </w:r>
      <w:r w:rsidR="00A10A70">
        <w:rPr>
          <w:szCs w:val="24"/>
        </w:rPr>
        <w:t xml:space="preserve"> But this can</w:t>
      </w:r>
      <w:r w:rsidR="00B12319">
        <w:rPr>
          <w:szCs w:val="24"/>
        </w:rPr>
        <w:t xml:space="preserve"> </w:t>
      </w:r>
      <w:r w:rsidR="004A6EEA">
        <w:rPr>
          <w:szCs w:val="24"/>
        </w:rPr>
        <w:t>lead to a mi</w:t>
      </w:r>
      <w:r w:rsidR="003830B4">
        <w:rPr>
          <w:szCs w:val="24"/>
        </w:rPr>
        <w:t>s</w:t>
      </w:r>
      <w:r w:rsidR="004A6EEA">
        <w:rPr>
          <w:szCs w:val="24"/>
        </w:rPr>
        <w:t xml:space="preserve">specification </w:t>
      </w:r>
      <w:r w:rsidR="00A10A70">
        <w:rPr>
          <w:szCs w:val="24"/>
        </w:rPr>
        <w:t xml:space="preserve">if </w:t>
      </w:r>
      <w:r w:rsidR="004A6EEA">
        <w:rPr>
          <w:szCs w:val="24"/>
        </w:rPr>
        <w:t>some o</w:t>
      </w:r>
      <w:r w:rsidR="008C47D4">
        <w:rPr>
          <w:szCs w:val="24"/>
        </w:rPr>
        <w:t>ther non-normal distribution</w:t>
      </w:r>
      <w:r w:rsidR="00A10A70">
        <w:rPr>
          <w:szCs w:val="24"/>
        </w:rPr>
        <w:t xml:space="preserve"> characterizes the taste heterogeneity for one or more coefficients</w:t>
      </w:r>
      <w:r w:rsidR="008C47D4">
        <w:rPr>
          <w:szCs w:val="24"/>
        </w:rPr>
        <w:t xml:space="preserve"> </w:t>
      </w:r>
      <w:r w:rsidR="004A6EEA">
        <w:t>(see</w:t>
      </w:r>
      <w:r w:rsidR="00B85FE0">
        <w:t xml:space="preserve"> Train, 1998</w:t>
      </w:r>
      <w:r w:rsidR="00CB5E2F">
        <w:t xml:space="preserve">; </w:t>
      </w:r>
      <w:r w:rsidR="004A6EEA" w:rsidRPr="00F13B58">
        <w:t xml:space="preserve">Amador </w:t>
      </w:r>
      <w:r w:rsidR="004A6EEA" w:rsidRPr="00320DF9">
        <w:rPr>
          <w:i/>
        </w:rPr>
        <w:t>et al</w:t>
      </w:r>
      <w:r w:rsidR="004A6EEA" w:rsidRPr="00CB5E2F">
        <w:t>.,</w:t>
      </w:r>
      <w:r w:rsidR="004A6EEA" w:rsidRPr="00F13B58">
        <w:t xml:space="preserve"> 2005</w:t>
      </w:r>
      <w:r w:rsidR="00CB5E2F">
        <w:t>;</w:t>
      </w:r>
      <w:r w:rsidR="00CB5E2F" w:rsidRPr="00F13B58">
        <w:t xml:space="preserve"> </w:t>
      </w:r>
      <w:r w:rsidR="004A6EEA" w:rsidRPr="00F13B58">
        <w:t xml:space="preserve">Train and </w:t>
      </w:r>
      <w:proofErr w:type="spellStart"/>
      <w:r w:rsidR="004A6EEA" w:rsidRPr="00F13B58">
        <w:t>Sonnier</w:t>
      </w:r>
      <w:proofErr w:type="spellEnd"/>
      <w:r w:rsidR="004A6EEA" w:rsidRPr="00F13B58">
        <w:t>, 2005</w:t>
      </w:r>
      <w:r w:rsidR="00CB5E2F">
        <w:t>;</w:t>
      </w:r>
      <w:r w:rsidR="00CB5E2F" w:rsidRPr="00F13B58">
        <w:t xml:space="preserve"> </w:t>
      </w:r>
      <w:proofErr w:type="spellStart"/>
      <w:r w:rsidR="004A6EEA" w:rsidRPr="00F13B58">
        <w:t>Hensher</w:t>
      </w:r>
      <w:proofErr w:type="spellEnd"/>
      <w:r w:rsidR="004A6EEA" w:rsidRPr="00F13B58">
        <w:t xml:space="preserve"> </w:t>
      </w:r>
      <w:r w:rsidR="00103DEF" w:rsidRPr="00320DF9">
        <w:rPr>
          <w:i/>
        </w:rPr>
        <w:t>et al</w:t>
      </w:r>
      <w:r w:rsidR="00103DEF" w:rsidRPr="00103DEF">
        <w:t>.</w:t>
      </w:r>
      <w:r w:rsidR="004A6EEA" w:rsidRPr="00F13B58">
        <w:t>, 2005</w:t>
      </w:r>
      <w:r w:rsidR="00CB5E2F">
        <w:t>;</w:t>
      </w:r>
      <w:r w:rsidR="00CB5E2F" w:rsidRPr="00F13B58">
        <w:t xml:space="preserve"> </w:t>
      </w:r>
      <w:proofErr w:type="spellStart"/>
      <w:r w:rsidR="004A6EEA" w:rsidRPr="00F13B58">
        <w:t>Fosgerau</w:t>
      </w:r>
      <w:proofErr w:type="spellEnd"/>
      <w:r w:rsidR="004A6EEA" w:rsidRPr="00F13B58">
        <w:t>, 2005</w:t>
      </w:r>
      <w:r w:rsidR="00CB5E2F">
        <w:t>;</w:t>
      </w:r>
      <w:r w:rsidR="00CB5E2F" w:rsidRPr="00F13B58">
        <w:t xml:space="preserve"> </w:t>
      </w:r>
      <w:r w:rsidR="004A6EEA" w:rsidRPr="00F13B58">
        <w:t xml:space="preserve">Greene </w:t>
      </w:r>
      <w:r w:rsidR="00103DEF" w:rsidRPr="00320DF9">
        <w:rPr>
          <w:i/>
        </w:rPr>
        <w:t>et al</w:t>
      </w:r>
      <w:r w:rsidR="00103DEF" w:rsidRPr="00103DEF">
        <w:t>.</w:t>
      </w:r>
      <w:r w:rsidR="004A6EEA" w:rsidRPr="00F13B58">
        <w:t>, 2006</w:t>
      </w:r>
      <w:r w:rsidR="00CB5E2F">
        <w:t>;</w:t>
      </w:r>
      <w:r w:rsidR="00CB5E2F" w:rsidRPr="00F13B58">
        <w:t xml:space="preserve"> </w:t>
      </w:r>
      <w:r w:rsidR="004A6EEA" w:rsidRPr="00F13B58">
        <w:t xml:space="preserve">Balcombe </w:t>
      </w:r>
      <w:r w:rsidR="00103DEF" w:rsidRPr="00320DF9">
        <w:rPr>
          <w:i/>
        </w:rPr>
        <w:t>et al</w:t>
      </w:r>
      <w:r w:rsidR="00103DEF" w:rsidRPr="00103DEF">
        <w:t>.</w:t>
      </w:r>
      <w:r w:rsidR="004A6EEA" w:rsidRPr="00F13B58">
        <w:t>, 2009</w:t>
      </w:r>
      <w:r w:rsidR="00CB5E2F">
        <w:t>;</w:t>
      </w:r>
      <w:r w:rsidR="00CB5E2F" w:rsidRPr="00F13B58">
        <w:t xml:space="preserve"> </w:t>
      </w:r>
      <w:r w:rsidR="004A6EEA" w:rsidRPr="00F13B58">
        <w:t xml:space="preserve">and Torres </w:t>
      </w:r>
      <w:r w:rsidR="00103DEF" w:rsidRPr="00320DF9">
        <w:rPr>
          <w:i/>
        </w:rPr>
        <w:t>et al</w:t>
      </w:r>
      <w:r w:rsidR="00103DEF" w:rsidRPr="00103DEF">
        <w:t>.</w:t>
      </w:r>
      <w:r w:rsidR="004A6EEA" w:rsidRPr="00F13B58">
        <w:t>, 2011)</w:t>
      </w:r>
      <w:r w:rsidR="004A6EEA">
        <w:rPr>
          <w:szCs w:val="24"/>
        </w:rPr>
        <w:t>.</w:t>
      </w:r>
      <w:r w:rsidR="00683B0F" w:rsidRPr="00F13B58">
        <w:rPr>
          <w:szCs w:val="24"/>
        </w:rPr>
        <w:t xml:space="preserve"> </w:t>
      </w:r>
      <w:r w:rsidR="00753D7C">
        <w:t xml:space="preserve">The second approach </w:t>
      </w:r>
      <w:r w:rsidR="002B7685">
        <w:rPr>
          <w:szCs w:val="24"/>
        </w:rPr>
        <w:t>use</w:t>
      </w:r>
      <w:r w:rsidR="002C0CA9">
        <w:rPr>
          <w:szCs w:val="24"/>
        </w:rPr>
        <w:t>s</w:t>
      </w:r>
      <w:r w:rsidR="002B7685">
        <w:rPr>
          <w:szCs w:val="24"/>
        </w:rPr>
        <w:t xml:space="preserve"> a d</w:t>
      </w:r>
      <w:r>
        <w:rPr>
          <w:szCs w:val="24"/>
        </w:rPr>
        <w:t>iscrete</w:t>
      </w:r>
      <w:r w:rsidR="00683B0F" w:rsidRPr="00F13B58">
        <w:t xml:space="preserve"> distribution</w:t>
      </w:r>
      <w:r>
        <w:t xml:space="preserve"> for the response coefficients. This approach</w:t>
      </w:r>
      <w:r w:rsidR="00683B0F" w:rsidRPr="00F13B58">
        <w:t xml:space="preserve"> leads to </w:t>
      </w:r>
      <w:r w:rsidR="00034EDB">
        <w:t>the familiar latent class model with an</w:t>
      </w:r>
      <w:r w:rsidR="00034EDB" w:rsidRPr="00370147">
        <w:t xml:space="preserve"> endogenous segmentation </w:t>
      </w:r>
      <w:r w:rsidR="00034EDB">
        <w:t>that</w:t>
      </w:r>
      <w:r w:rsidR="00034EDB" w:rsidRPr="00370147">
        <w:t xml:space="preserve"> allocates </w:t>
      </w:r>
      <w:r w:rsidR="00034EDB">
        <w:t>individuals</w:t>
      </w:r>
      <w:r w:rsidR="00034EDB" w:rsidRPr="00370147">
        <w:t xml:space="preserve"> probabilistically to </w:t>
      </w:r>
      <w:r w:rsidR="00034EDB">
        <w:rPr>
          <w:szCs w:val="24"/>
        </w:rPr>
        <w:t>segments as a function of exogenous variables</w:t>
      </w:r>
      <w:r w:rsidR="00034EDB" w:rsidRPr="00F13B58">
        <w:t xml:space="preserve"> </w:t>
      </w:r>
      <w:r w:rsidR="00683B0F" w:rsidRPr="00F13B58">
        <w:t>(see Bhat, 1997</w:t>
      </w:r>
      <w:r w:rsidR="002C0CA9">
        <w:t>;</w:t>
      </w:r>
      <w:r w:rsidR="002C0CA9" w:rsidRPr="00F13B58">
        <w:t xml:space="preserve"> </w:t>
      </w:r>
      <w:r w:rsidR="00683B0F" w:rsidRPr="00F13B58">
        <w:t xml:space="preserve">Greene and </w:t>
      </w:r>
      <w:proofErr w:type="spellStart"/>
      <w:r w:rsidR="00683B0F" w:rsidRPr="00F13B58">
        <w:t>Hensher</w:t>
      </w:r>
      <w:proofErr w:type="spellEnd"/>
      <w:r w:rsidR="00683B0F" w:rsidRPr="00F13B58">
        <w:t>, 2003</w:t>
      </w:r>
      <w:r w:rsidR="002C0CA9">
        <w:t>;</w:t>
      </w:r>
      <w:r w:rsidR="002C0CA9" w:rsidRPr="00F13B58">
        <w:t xml:space="preserve"> </w:t>
      </w:r>
      <w:r w:rsidR="00683B0F" w:rsidRPr="00F13B58">
        <w:t>Train, 2008</w:t>
      </w:r>
      <w:r w:rsidR="002C0CA9">
        <w:t>;</w:t>
      </w:r>
      <w:r w:rsidR="002C0CA9" w:rsidRPr="00F13B58">
        <w:t xml:space="preserve"> </w:t>
      </w:r>
      <w:r w:rsidR="00683B0F" w:rsidRPr="00F13B58">
        <w:t xml:space="preserve">Bastin </w:t>
      </w:r>
      <w:r w:rsidR="00103DEF" w:rsidRPr="00320DF9">
        <w:rPr>
          <w:i/>
        </w:rPr>
        <w:t>et al</w:t>
      </w:r>
      <w:r w:rsidR="00103DEF" w:rsidRPr="00103DEF">
        <w:t>.</w:t>
      </w:r>
      <w:r w:rsidR="00C7269D">
        <w:t>, 2010</w:t>
      </w:r>
      <w:r w:rsidR="002C0CA9">
        <w:t xml:space="preserve">; </w:t>
      </w:r>
      <w:r w:rsidR="00683B0F" w:rsidRPr="00F13B58">
        <w:t xml:space="preserve">Cherchi </w:t>
      </w:r>
      <w:r w:rsidR="00103DEF" w:rsidRPr="00320DF9">
        <w:rPr>
          <w:i/>
        </w:rPr>
        <w:t>et al</w:t>
      </w:r>
      <w:r w:rsidR="00103DEF" w:rsidRPr="00103DEF">
        <w:t>.</w:t>
      </w:r>
      <w:r w:rsidR="00683B0F" w:rsidRPr="00F13B58">
        <w:t>, 2009</w:t>
      </w:r>
      <w:r w:rsidR="002C0CA9">
        <w:t xml:space="preserve">; </w:t>
      </w:r>
      <w:r w:rsidR="00C7269D">
        <w:t>and</w:t>
      </w:r>
      <w:r w:rsidR="00CC4AD6">
        <w:t xml:space="preserve"> </w:t>
      </w:r>
      <w:proofErr w:type="spellStart"/>
      <w:r w:rsidR="00CC4AD6">
        <w:t>Sobhani</w:t>
      </w:r>
      <w:proofErr w:type="spellEnd"/>
      <w:r w:rsidR="00CC4AD6">
        <w:t xml:space="preserve"> </w:t>
      </w:r>
      <w:r w:rsidR="00103DEF" w:rsidRPr="00320DF9">
        <w:rPr>
          <w:i/>
        </w:rPr>
        <w:t>et al</w:t>
      </w:r>
      <w:r w:rsidR="00103DEF" w:rsidRPr="00103DEF">
        <w:t>.</w:t>
      </w:r>
      <w:r w:rsidR="00CC4AD6">
        <w:t>, 2013</w:t>
      </w:r>
      <w:r w:rsidR="00683B0F" w:rsidRPr="00F13B58">
        <w:t xml:space="preserve">). </w:t>
      </w:r>
      <w:r w:rsidR="00063F0A">
        <w:t xml:space="preserve">The problem with this approach, </w:t>
      </w:r>
      <w:r w:rsidR="00DC0A38">
        <w:t>however</w:t>
      </w:r>
      <w:r w:rsidR="00063F0A">
        <w:t>, is that</w:t>
      </w:r>
      <w:r w:rsidR="00683B0F" w:rsidRPr="00F13B58">
        <w:t xml:space="preserve"> homogeneity in response is assumed within each latent class. </w:t>
      </w:r>
      <w:r w:rsidR="00753D7C">
        <w:t xml:space="preserve">The third approach </w:t>
      </w:r>
      <w:r w:rsidR="002B7685">
        <w:t>use</w:t>
      </w:r>
      <w:r w:rsidR="00DC0A38">
        <w:t>s</w:t>
      </w:r>
      <w:r w:rsidR="002B7685">
        <w:t xml:space="preserve"> a </w:t>
      </w:r>
      <w:r w:rsidR="002B7685" w:rsidRPr="00F13B58">
        <w:rPr>
          <w:szCs w:val="24"/>
        </w:rPr>
        <w:t xml:space="preserve">hybrid semi-parametric approach that combines a continuous response surface for the coefficients with a latent class approach (see, for example, Campbell </w:t>
      </w:r>
      <w:r w:rsidR="00103DEF" w:rsidRPr="00320DF9">
        <w:rPr>
          <w:i/>
          <w:szCs w:val="24"/>
        </w:rPr>
        <w:t>et al</w:t>
      </w:r>
      <w:r w:rsidR="00103DEF" w:rsidRPr="00103DEF">
        <w:rPr>
          <w:szCs w:val="24"/>
        </w:rPr>
        <w:t>.</w:t>
      </w:r>
      <w:r w:rsidR="002B7685" w:rsidRPr="00F13B58">
        <w:rPr>
          <w:szCs w:val="24"/>
        </w:rPr>
        <w:t>, 2010</w:t>
      </w:r>
      <w:r w:rsidR="00DC0A38">
        <w:rPr>
          <w:szCs w:val="24"/>
        </w:rPr>
        <w:t>;</w:t>
      </w:r>
      <w:r w:rsidR="00DC0A38" w:rsidRPr="00F13B58">
        <w:rPr>
          <w:szCs w:val="24"/>
        </w:rPr>
        <w:t xml:space="preserve"> </w:t>
      </w:r>
      <w:proofErr w:type="spellStart"/>
      <w:r w:rsidR="002B7685" w:rsidRPr="00F13B58">
        <w:rPr>
          <w:szCs w:val="24"/>
        </w:rPr>
        <w:t>Bujosa</w:t>
      </w:r>
      <w:proofErr w:type="spellEnd"/>
      <w:r w:rsidR="002B7685" w:rsidRPr="00F13B58">
        <w:rPr>
          <w:szCs w:val="24"/>
        </w:rPr>
        <w:t xml:space="preserve"> </w:t>
      </w:r>
      <w:r w:rsidR="00103DEF" w:rsidRPr="00320DF9">
        <w:rPr>
          <w:i/>
          <w:szCs w:val="24"/>
        </w:rPr>
        <w:t>et al</w:t>
      </w:r>
      <w:r w:rsidR="00103DEF" w:rsidRPr="00103DEF">
        <w:rPr>
          <w:szCs w:val="24"/>
        </w:rPr>
        <w:t>.</w:t>
      </w:r>
      <w:r w:rsidR="002B7685" w:rsidRPr="00F13B58">
        <w:rPr>
          <w:szCs w:val="24"/>
        </w:rPr>
        <w:t>, 2010</w:t>
      </w:r>
      <w:r w:rsidR="00DC0A38">
        <w:rPr>
          <w:szCs w:val="24"/>
        </w:rPr>
        <w:t>;</w:t>
      </w:r>
      <w:r w:rsidR="00DC0A38" w:rsidRPr="00F13B58">
        <w:rPr>
          <w:szCs w:val="24"/>
        </w:rPr>
        <w:t xml:space="preserve"> </w:t>
      </w:r>
      <w:r w:rsidR="002B7685" w:rsidRPr="00F13B58">
        <w:rPr>
          <w:szCs w:val="24"/>
        </w:rPr>
        <w:t xml:space="preserve">Greene and </w:t>
      </w:r>
      <w:proofErr w:type="spellStart"/>
      <w:r w:rsidR="002B7685" w:rsidRPr="00F13B58">
        <w:rPr>
          <w:szCs w:val="24"/>
        </w:rPr>
        <w:t>Hensher</w:t>
      </w:r>
      <w:proofErr w:type="spellEnd"/>
      <w:r w:rsidR="002B7685" w:rsidRPr="00F13B58">
        <w:rPr>
          <w:szCs w:val="24"/>
        </w:rPr>
        <w:t>, 2013</w:t>
      </w:r>
      <w:r w:rsidR="00DC0A38">
        <w:rPr>
          <w:szCs w:val="24"/>
        </w:rPr>
        <w:t>;</w:t>
      </w:r>
      <w:r w:rsidR="00DC0A38" w:rsidRPr="00F13B58">
        <w:rPr>
          <w:szCs w:val="24"/>
        </w:rPr>
        <w:t xml:space="preserve"> </w:t>
      </w:r>
      <w:r w:rsidR="002B7685" w:rsidRPr="00F13B58">
        <w:rPr>
          <w:szCs w:val="24"/>
        </w:rPr>
        <w:t>and Xiong and Mannering, 2013).</w:t>
      </w:r>
      <w:r w:rsidR="002B7685">
        <w:t xml:space="preserve"> </w:t>
      </w:r>
      <w:r w:rsidR="00683B0F" w:rsidRPr="00F13B58">
        <w:rPr>
          <w:szCs w:val="24"/>
        </w:rPr>
        <w:t xml:space="preserve">In this approach, the response coefficients are </w:t>
      </w:r>
      <w:r w:rsidR="00451361">
        <w:rPr>
          <w:szCs w:val="24"/>
        </w:rPr>
        <w:t xml:space="preserve">typically </w:t>
      </w:r>
      <w:r w:rsidR="00683B0F" w:rsidRPr="00F13B58">
        <w:rPr>
          <w:szCs w:val="24"/>
        </w:rPr>
        <w:t>assumed to be realizations of a discrete mixture of multivariate normal distributions. That is, the relationship between the propensity variable and exogenous variables is assumed to belong to one of several latent (discrete) classes</w:t>
      </w:r>
      <w:r w:rsidR="00DC0A38">
        <w:rPr>
          <w:szCs w:val="24"/>
        </w:rPr>
        <w:t>.</w:t>
      </w:r>
      <w:r w:rsidR="00DC0A38" w:rsidRPr="00F13B58">
        <w:rPr>
          <w:szCs w:val="24"/>
        </w:rPr>
        <w:t xml:space="preserve"> </w:t>
      </w:r>
      <w:r w:rsidR="00DC0A38">
        <w:rPr>
          <w:szCs w:val="24"/>
        </w:rPr>
        <w:t>W</w:t>
      </w:r>
      <w:r w:rsidR="00683B0F" w:rsidRPr="00F13B58">
        <w:rPr>
          <w:szCs w:val="24"/>
        </w:rPr>
        <w:t xml:space="preserve">ithin each of </w:t>
      </w:r>
      <w:r w:rsidR="00DC0A38">
        <w:rPr>
          <w:szCs w:val="24"/>
        </w:rPr>
        <w:t xml:space="preserve">these classes, </w:t>
      </w:r>
      <w:r w:rsidR="00683B0F" w:rsidRPr="00F13B58">
        <w:rPr>
          <w:szCs w:val="24"/>
        </w:rPr>
        <w:t xml:space="preserve">the coefficients are drawn from a continuous multivariate normal distribution. The resulting </w:t>
      </w:r>
      <w:r w:rsidR="00DD6E38">
        <w:rPr>
          <w:szCs w:val="24"/>
        </w:rPr>
        <w:t>finite discrete mixture of normal (FDMN)</w:t>
      </w:r>
      <w:r w:rsidR="00683B0F" w:rsidRPr="00F13B58">
        <w:rPr>
          <w:szCs w:val="24"/>
        </w:rPr>
        <w:t xml:space="preserve"> model </w:t>
      </w:r>
      <w:r w:rsidR="002B7685">
        <w:rPr>
          <w:szCs w:val="24"/>
        </w:rPr>
        <w:t>generalize</w:t>
      </w:r>
      <w:r w:rsidR="00DC0A38">
        <w:rPr>
          <w:szCs w:val="24"/>
        </w:rPr>
        <w:t>s</w:t>
      </w:r>
      <w:r w:rsidR="00296229">
        <w:rPr>
          <w:szCs w:val="24"/>
        </w:rPr>
        <w:t xml:space="preserve"> the</w:t>
      </w:r>
      <w:r w:rsidR="002B7685">
        <w:rPr>
          <w:szCs w:val="24"/>
        </w:rPr>
        <w:t xml:space="preserve"> heterogeneity</w:t>
      </w:r>
      <w:r w:rsidR="00296229">
        <w:rPr>
          <w:szCs w:val="24"/>
        </w:rPr>
        <w:t xml:space="preserve"> form</w:t>
      </w:r>
      <w:r w:rsidR="002B7685">
        <w:rPr>
          <w:szCs w:val="24"/>
        </w:rPr>
        <w:t xml:space="preserve"> because</w:t>
      </w:r>
      <w:r w:rsidR="00683B0F" w:rsidRPr="00F13B58">
        <w:rPr>
          <w:szCs w:val="24"/>
        </w:rPr>
        <w:t xml:space="preserve"> the normally distributed random parameters approach and the latent class approach </w:t>
      </w:r>
      <w:r w:rsidR="00DD6E38">
        <w:rPr>
          <w:szCs w:val="24"/>
        </w:rPr>
        <w:t xml:space="preserve">consist </w:t>
      </w:r>
      <w:r w:rsidR="00DC0A38">
        <w:rPr>
          <w:szCs w:val="24"/>
        </w:rPr>
        <w:t xml:space="preserve">of </w:t>
      </w:r>
      <w:r w:rsidR="00DD6E38">
        <w:rPr>
          <w:szCs w:val="24"/>
        </w:rPr>
        <w:t>special cases</w:t>
      </w:r>
      <w:r w:rsidR="00DC0A38">
        <w:rPr>
          <w:szCs w:val="24"/>
        </w:rPr>
        <w:t>—</w:t>
      </w:r>
      <w:r w:rsidR="00683B0F" w:rsidRPr="00F13B58">
        <w:rPr>
          <w:szCs w:val="24"/>
        </w:rPr>
        <w:t xml:space="preserve">the first approach resulting when there is only one latent class and the </w:t>
      </w:r>
      <w:r w:rsidR="00683B0F" w:rsidRPr="00F13B58">
        <w:rPr>
          <w:szCs w:val="24"/>
        </w:rPr>
        <w:lastRenderedPageBreak/>
        <w:t xml:space="preserve">second resulting when the multivariate normal distribution becomes degenerate within each latent class. </w:t>
      </w:r>
    </w:p>
    <w:p w:rsidR="002E578F" w:rsidRDefault="00325303" w:rsidP="002E578F">
      <w:pPr>
        <w:spacing w:line="360" w:lineRule="auto"/>
        <w:ind w:firstLine="720"/>
        <w:rPr>
          <w:szCs w:val="24"/>
        </w:rPr>
      </w:pPr>
      <w:r>
        <w:rPr>
          <w:szCs w:val="24"/>
        </w:rPr>
        <w:t xml:space="preserve">Several earlier studies have included heterogeneity in the sensitivity to exogenous variables in the MDC context. </w:t>
      </w:r>
      <w:r w:rsidR="00140594">
        <w:rPr>
          <w:szCs w:val="24"/>
        </w:rPr>
        <w:t xml:space="preserve">Bhat </w:t>
      </w:r>
      <w:r w:rsidR="00103DEF" w:rsidRPr="00320DF9">
        <w:rPr>
          <w:i/>
          <w:szCs w:val="24"/>
        </w:rPr>
        <w:t>et al</w:t>
      </w:r>
      <w:r w:rsidR="00103DEF" w:rsidRPr="00103DEF">
        <w:rPr>
          <w:szCs w:val="24"/>
        </w:rPr>
        <w:t>.</w:t>
      </w:r>
      <w:r w:rsidR="00451361">
        <w:rPr>
          <w:szCs w:val="24"/>
        </w:rPr>
        <w:t xml:space="preserve"> (2013</w:t>
      </w:r>
      <w:r w:rsidR="00140594">
        <w:rPr>
          <w:szCs w:val="24"/>
        </w:rPr>
        <w:t>)</w:t>
      </w:r>
      <w:r w:rsidR="00B752C2">
        <w:rPr>
          <w:szCs w:val="24"/>
        </w:rPr>
        <w:t xml:space="preserve"> proposed a</w:t>
      </w:r>
      <w:r w:rsidR="00957A5F">
        <w:rPr>
          <w:szCs w:val="24"/>
        </w:rPr>
        <w:t>n</w:t>
      </w:r>
      <w:r w:rsidR="00B752C2">
        <w:rPr>
          <w:szCs w:val="24"/>
        </w:rPr>
        <w:t xml:space="preserve"> estimation approach for the MDCP </w:t>
      </w:r>
      <w:proofErr w:type="gramStart"/>
      <w:r w:rsidR="00B752C2">
        <w:rPr>
          <w:szCs w:val="24"/>
        </w:rPr>
        <w:t>model</w:t>
      </w:r>
      <w:proofErr w:type="gramEnd"/>
      <w:r w:rsidR="00B752C2">
        <w:rPr>
          <w:szCs w:val="24"/>
        </w:rPr>
        <w:t xml:space="preserve"> that allows taste variation through the inclusion of random parameters</w:t>
      </w:r>
      <w:r w:rsidR="00957A5F">
        <w:rPr>
          <w:szCs w:val="24"/>
        </w:rPr>
        <w:t>. They demonstrate</w:t>
      </w:r>
      <w:r w:rsidR="001E7D72">
        <w:rPr>
          <w:szCs w:val="24"/>
        </w:rPr>
        <w:t>d</w:t>
      </w:r>
      <w:r w:rsidR="00957A5F">
        <w:rPr>
          <w:szCs w:val="24"/>
        </w:rPr>
        <w:t xml:space="preserve"> the ability </w:t>
      </w:r>
      <w:r w:rsidR="00DC0A38">
        <w:rPr>
          <w:szCs w:val="24"/>
        </w:rPr>
        <w:t>to</w:t>
      </w:r>
      <w:r w:rsidR="001E7D72">
        <w:rPr>
          <w:szCs w:val="24"/>
        </w:rPr>
        <w:t xml:space="preserve"> </w:t>
      </w:r>
      <w:r w:rsidR="00957A5F">
        <w:rPr>
          <w:szCs w:val="24"/>
        </w:rPr>
        <w:t xml:space="preserve">recover the parameters based on a simulation experiment, using both cross-sectional and panel data, and applied the model to analyze recreational </w:t>
      </w:r>
      <w:r w:rsidR="001E7D72">
        <w:rPr>
          <w:szCs w:val="24"/>
        </w:rPr>
        <w:t>long-</w:t>
      </w:r>
      <w:r w:rsidR="00957A5F">
        <w:rPr>
          <w:szCs w:val="24"/>
        </w:rPr>
        <w:t>distance travel.</w:t>
      </w:r>
      <w:r w:rsidR="00A545A5">
        <w:rPr>
          <w:szCs w:val="24"/>
        </w:rPr>
        <w:t xml:space="preserve"> </w:t>
      </w:r>
      <w:r w:rsidR="001E7D72">
        <w:rPr>
          <w:szCs w:val="24"/>
        </w:rPr>
        <w:t>On the same topic</w:t>
      </w:r>
      <w:r w:rsidR="00957A5F">
        <w:rPr>
          <w:szCs w:val="24"/>
        </w:rPr>
        <w:t xml:space="preserve"> of recreational travel,</w:t>
      </w:r>
      <w:r w:rsidR="00A545A5">
        <w:rPr>
          <w:szCs w:val="24"/>
        </w:rPr>
        <w:t xml:space="preserve"> </w:t>
      </w:r>
      <w:proofErr w:type="spellStart"/>
      <w:r w:rsidR="00A545A5">
        <w:rPr>
          <w:szCs w:val="24"/>
        </w:rPr>
        <w:t>Kuriyama</w:t>
      </w:r>
      <w:proofErr w:type="spellEnd"/>
      <w:r w:rsidR="00A545A5">
        <w:rPr>
          <w:szCs w:val="24"/>
        </w:rPr>
        <w:t xml:space="preserve"> </w:t>
      </w:r>
      <w:r w:rsidR="00103DEF" w:rsidRPr="00320DF9">
        <w:rPr>
          <w:i/>
          <w:szCs w:val="24"/>
        </w:rPr>
        <w:t>et al</w:t>
      </w:r>
      <w:r w:rsidR="00103DEF" w:rsidRPr="00103DEF">
        <w:rPr>
          <w:szCs w:val="24"/>
        </w:rPr>
        <w:t>.</w:t>
      </w:r>
      <w:r w:rsidR="00A545A5">
        <w:rPr>
          <w:szCs w:val="24"/>
        </w:rPr>
        <w:t xml:space="preserve"> (2010)</w:t>
      </w:r>
      <w:r w:rsidR="00957A5F">
        <w:rPr>
          <w:szCs w:val="24"/>
        </w:rPr>
        <w:t xml:space="preserve"> proposed a latent class KKT model</w:t>
      </w:r>
      <w:r w:rsidR="00E763DF">
        <w:rPr>
          <w:szCs w:val="24"/>
        </w:rPr>
        <w:t xml:space="preserve"> based on the linear expenditure system with translated</w:t>
      </w:r>
      <w:r w:rsidR="003830B4">
        <w:rPr>
          <w:szCs w:val="24"/>
        </w:rPr>
        <w:t xml:space="preserve"> constant elasticity of substitution</w:t>
      </w:r>
      <w:r w:rsidR="00E763DF">
        <w:rPr>
          <w:szCs w:val="24"/>
        </w:rPr>
        <w:t xml:space="preserve"> utility functions proposed by </w:t>
      </w:r>
      <w:proofErr w:type="spellStart"/>
      <w:r w:rsidR="00E763DF">
        <w:rPr>
          <w:szCs w:val="24"/>
        </w:rPr>
        <w:t>Hanemman</w:t>
      </w:r>
      <w:proofErr w:type="spellEnd"/>
      <w:r w:rsidR="00E763DF">
        <w:rPr>
          <w:szCs w:val="24"/>
        </w:rPr>
        <w:t xml:space="preserve"> (1978)</w:t>
      </w:r>
      <w:r w:rsidR="00957A5F">
        <w:rPr>
          <w:szCs w:val="24"/>
        </w:rPr>
        <w:t xml:space="preserve">. </w:t>
      </w:r>
      <w:proofErr w:type="spellStart"/>
      <w:r w:rsidR="00BF0BB5" w:rsidRPr="00BF0BB5">
        <w:rPr>
          <w:szCs w:val="24"/>
        </w:rPr>
        <w:t>Sobhani</w:t>
      </w:r>
      <w:proofErr w:type="spellEnd"/>
      <w:r w:rsidR="00BF0BB5" w:rsidRPr="00BF0BB5">
        <w:rPr>
          <w:szCs w:val="24"/>
        </w:rPr>
        <w:t xml:space="preserve"> </w:t>
      </w:r>
      <w:r w:rsidR="00BF0BB5" w:rsidRPr="00320DF9">
        <w:rPr>
          <w:i/>
          <w:szCs w:val="24"/>
        </w:rPr>
        <w:t>et al</w:t>
      </w:r>
      <w:r w:rsidR="00BF0BB5" w:rsidRPr="00BF0BB5">
        <w:rPr>
          <w:szCs w:val="24"/>
        </w:rPr>
        <w:t xml:space="preserve">. (2013) and Wafa </w:t>
      </w:r>
      <w:r w:rsidR="00BF0BB5" w:rsidRPr="00320DF9">
        <w:rPr>
          <w:i/>
          <w:szCs w:val="24"/>
        </w:rPr>
        <w:t>et al</w:t>
      </w:r>
      <w:r w:rsidR="00BF0BB5" w:rsidRPr="00BF0BB5">
        <w:rPr>
          <w:szCs w:val="24"/>
        </w:rPr>
        <w:t>. (201</w:t>
      </w:r>
      <w:r w:rsidR="00160142">
        <w:rPr>
          <w:szCs w:val="24"/>
        </w:rPr>
        <w:t>5</w:t>
      </w:r>
      <w:r w:rsidR="00BF0BB5" w:rsidRPr="00BF0BB5">
        <w:rPr>
          <w:szCs w:val="24"/>
        </w:rPr>
        <w:t xml:space="preserve">) use a latent class approach with the MDCEV kernel structure. In </w:t>
      </w:r>
      <w:proofErr w:type="spellStart"/>
      <w:r w:rsidR="00BF0BB5" w:rsidRPr="00BF0BB5">
        <w:rPr>
          <w:szCs w:val="24"/>
        </w:rPr>
        <w:t>Sobhani</w:t>
      </w:r>
      <w:proofErr w:type="spellEnd"/>
      <w:r w:rsidR="00BF0BB5" w:rsidRPr="00BF0BB5">
        <w:rPr>
          <w:szCs w:val="24"/>
        </w:rPr>
        <w:t xml:space="preserve"> </w:t>
      </w:r>
      <w:r w:rsidR="00BF0BB5" w:rsidRPr="00320DF9">
        <w:rPr>
          <w:i/>
          <w:szCs w:val="24"/>
        </w:rPr>
        <w:t>et al</w:t>
      </w:r>
      <w:r w:rsidR="00BF0BB5" w:rsidRPr="00BF0BB5">
        <w:rPr>
          <w:szCs w:val="24"/>
        </w:rPr>
        <w:t xml:space="preserve">. (2013), the authors propose an estimation approach combining the full information maximum likelihood and the expectation maximization approaches. The latent class MDCEV model is applied to study non-workers’ daily decisions regarding vehicle type and usage in conjunction with activity type and accompaniment choice decisions. Wafa </w:t>
      </w:r>
      <w:r w:rsidR="00BF0BB5" w:rsidRPr="00320DF9">
        <w:rPr>
          <w:i/>
          <w:szCs w:val="24"/>
        </w:rPr>
        <w:t>et al</w:t>
      </w:r>
      <w:r w:rsidR="00BF0BB5" w:rsidRPr="00BF0BB5">
        <w:rPr>
          <w:szCs w:val="24"/>
        </w:rPr>
        <w:t>. (201</w:t>
      </w:r>
      <w:r w:rsidR="00160142">
        <w:rPr>
          <w:szCs w:val="24"/>
        </w:rPr>
        <w:t>5</w:t>
      </w:r>
      <w:r w:rsidR="00BF0BB5" w:rsidRPr="00BF0BB5">
        <w:rPr>
          <w:szCs w:val="24"/>
        </w:rPr>
        <w:t>) proposed a latent class MDCEV model to study the spatial transferability of activity-travel models.</w:t>
      </w:r>
    </w:p>
    <w:p w:rsidR="009044EF" w:rsidRDefault="00D84799" w:rsidP="002E578F">
      <w:pPr>
        <w:spacing w:line="360" w:lineRule="auto"/>
        <w:ind w:firstLine="720"/>
        <w:rPr>
          <w:szCs w:val="24"/>
        </w:rPr>
      </w:pPr>
      <w:r w:rsidRPr="00D84799">
        <w:rPr>
          <w:szCs w:val="24"/>
        </w:rPr>
        <w:t xml:space="preserve">In this paper, we propose an FDMN version of the MDCP model. To our knowledge, this is the first such formulation and application of an MDCP model in the econometric literature. We also propose the use of Bhat’s (2011) maximum approximate composite marginal likelihood (MACML) inference approach for the estimation. This approach is computationally efficient and does not involve </w:t>
      </w:r>
      <w:r w:rsidR="002801A2">
        <w:rPr>
          <w:szCs w:val="24"/>
        </w:rPr>
        <w:t xml:space="preserve">quasi-Monte Carlo </w:t>
      </w:r>
      <w:r w:rsidRPr="00D84799">
        <w:rPr>
          <w:szCs w:val="24"/>
        </w:rPr>
        <w:t>simulation</w:t>
      </w:r>
      <w:r w:rsidR="002801A2">
        <w:rPr>
          <w:szCs w:val="24"/>
        </w:rPr>
        <w:t xml:space="preserve"> techniques of the type proposed in Bhat (2000) and Bhat (2001)</w:t>
      </w:r>
      <w:r w:rsidRPr="00D84799">
        <w:rPr>
          <w:szCs w:val="24"/>
        </w:rPr>
        <w:t xml:space="preserve">. The </w:t>
      </w:r>
      <w:r w:rsidR="002801A2">
        <w:rPr>
          <w:szCs w:val="24"/>
        </w:rPr>
        <w:t xml:space="preserve">advantage of the </w:t>
      </w:r>
      <w:r w:rsidRPr="00D84799">
        <w:rPr>
          <w:szCs w:val="24"/>
        </w:rPr>
        <w:t xml:space="preserve">MACML approach </w:t>
      </w:r>
      <w:r w:rsidR="002801A2">
        <w:rPr>
          <w:szCs w:val="24"/>
        </w:rPr>
        <w:t xml:space="preserve">relative to simulation techniques is that it </w:t>
      </w:r>
      <w:r w:rsidRPr="00D84799">
        <w:rPr>
          <w:szCs w:val="24"/>
        </w:rPr>
        <w:t xml:space="preserve">involves only univariate and bivariate cumulative normal distribution function evaluations in the likelihood function, regardless of the number of alternatives or segments in the latent classification. </w:t>
      </w:r>
      <w:r w:rsidR="005B53A5" w:rsidRPr="00BE623D">
        <w:rPr>
          <w:szCs w:val="24"/>
        </w:rPr>
        <w:t xml:space="preserve">Using </w:t>
      </w:r>
      <w:r w:rsidR="009044EF">
        <w:rPr>
          <w:szCs w:val="24"/>
        </w:rPr>
        <w:t xml:space="preserve">a 2012 </w:t>
      </w:r>
      <w:r w:rsidR="005B53A5">
        <w:rPr>
          <w:color w:val="000000"/>
        </w:rPr>
        <w:t>New Zealand Domestic Travel Survey</w:t>
      </w:r>
      <w:r w:rsidR="005B53A5" w:rsidRPr="00BE623D">
        <w:rPr>
          <w:szCs w:val="24"/>
        </w:rPr>
        <w:t xml:space="preserve"> data set, the model is applied to analyze </w:t>
      </w:r>
      <w:r w:rsidR="005B53A5">
        <w:rPr>
          <w:color w:val="000000"/>
        </w:rPr>
        <w:t>individual</w:t>
      </w:r>
      <w:r w:rsidR="005B53A5" w:rsidRPr="00B61F26">
        <w:rPr>
          <w:color w:val="000000"/>
        </w:rPr>
        <w:t xml:space="preserve">-level decisions </w:t>
      </w:r>
      <w:r w:rsidR="005B53A5">
        <w:rPr>
          <w:color w:val="000000"/>
        </w:rPr>
        <w:t>regarding</w:t>
      </w:r>
      <w:r w:rsidR="005B53A5" w:rsidRPr="00B61F26">
        <w:rPr>
          <w:color w:val="000000"/>
        </w:rPr>
        <w:t xml:space="preserve"> </w:t>
      </w:r>
      <w:r w:rsidR="005B53A5">
        <w:rPr>
          <w:color w:val="000000"/>
        </w:rPr>
        <w:t>recreational destination locations</w:t>
      </w:r>
      <w:r w:rsidR="005B53A5" w:rsidRPr="00B61F26">
        <w:rPr>
          <w:color w:val="000000"/>
        </w:rPr>
        <w:t xml:space="preserve"> </w:t>
      </w:r>
      <w:r w:rsidR="005B53A5">
        <w:rPr>
          <w:color w:val="000000"/>
        </w:rPr>
        <w:t>and the number of trips to each destination</w:t>
      </w:r>
      <w:r w:rsidR="005B53A5" w:rsidRPr="00BE623D">
        <w:rPr>
          <w:szCs w:val="24"/>
        </w:rPr>
        <w:t xml:space="preserve">. The results provide insights into the demographic and other factors that influence individuals’ preferences for different </w:t>
      </w:r>
      <w:r w:rsidR="009044EF">
        <w:rPr>
          <w:szCs w:val="24"/>
        </w:rPr>
        <w:t xml:space="preserve">recreational </w:t>
      </w:r>
      <w:r w:rsidR="005B53A5">
        <w:rPr>
          <w:szCs w:val="24"/>
        </w:rPr>
        <w:t>destinations</w:t>
      </w:r>
      <w:r w:rsidR="005B53A5" w:rsidRPr="00BE623D">
        <w:rPr>
          <w:szCs w:val="24"/>
        </w:rPr>
        <w:t xml:space="preserve">, and show that the FDMN MDCP model is able to identify different </w:t>
      </w:r>
      <w:r w:rsidR="009044EF">
        <w:rPr>
          <w:szCs w:val="24"/>
        </w:rPr>
        <w:t xml:space="preserve">discrete </w:t>
      </w:r>
      <w:r w:rsidR="005B53A5" w:rsidRPr="00BE623D">
        <w:rPr>
          <w:szCs w:val="24"/>
        </w:rPr>
        <w:t xml:space="preserve">segments of the sample, each one of them with different </w:t>
      </w:r>
      <w:r w:rsidR="006D014F">
        <w:rPr>
          <w:szCs w:val="24"/>
        </w:rPr>
        <w:t xml:space="preserve">stochastic </w:t>
      </w:r>
      <w:r w:rsidR="005B53A5" w:rsidRPr="00BE623D">
        <w:rPr>
          <w:szCs w:val="24"/>
        </w:rPr>
        <w:t xml:space="preserve">effects of the exogenous variables on </w:t>
      </w:r>
      <w:r w:rsidR="005B53A5">
        <w:rPr>
          <w:szCs w:val="24"/>
        </w:rPr>
        <w:t>destination choice</w:t>
      </w:r>
      <w:r w:rsidR="009044EF">
        <w:rPr>
          <w:szCs w:val="24"/>
        </w:rPr>
        <w:t xml:space="preserve"> (and the effects varying across the discrete segments)</w:t>
      </w:r>
      <w:r w:rsidR="009044EF" w:rsidRPr="00BE623D">
        <w:rPr>
          <w:szCs w:val="24"/>
        </w:rPr>
        <w:t>.</w:t>
      </w:r>
    </w:p>
    <w:p w:rsidR="00D84799" w:rsidRPr="00326C07" w:rsidRDefault="00D84799" w:rsidP="00456E3C">
      <w:pPr>
        <w:keepNext/>
        <w:spacing w:line="360" w:lineRule="auto"/>
        <w:rPr>
          <w:szCs w:val="24"/>
        </w:rPr>
      </w:pPr>
    </w:p>
    <w:p w:rsidR="0008331C" w:rsidRPr="00FD53C4" w:rsidRDefault="0008331C" w:rsidP="00966971">
      <w:pPr>
        <w:keepNext/>
        <w:spacing w:line="360" w:lineRule="auto"/>
        <w:rPr>
          <w:b/>
          <w:caps/>
          <w:szCs w:val="24"/>
        </w:rPr>
      </w:pPr>
      <w:r>
        <w:rPr>
          <w:b/>
          <w:caps/>
          <w:szCs w:val="24"/>
        </w:rPr>
        <w:t>2. Methodology</w:t>
      </w:r>
    </w:p>
    <w:p w:rsidR="00AE7077" w:rsidRPr="00EF12FF" w:rsidRDefault="0008331C" w:rsidP="00966971">
      <w:pPr>
        <w:keepNext/>
        <w:spacing w:line="360" w:lineRule="auto"/>
        <w:rPr>
          <w:b/>
        </w:rPr>
      </w:pPr>
      <w:r w:rsidRPr="00EF12FF">
        <w:rPr>
          <w:b/>
        </w:rPr>
        <w:t>2.1 Model Formulation</w:t>
      </w:r>
    </w:p>
    <w:p w:rsidR="0008331C" w:rsidRDefault="0008331C" w:rsidP="00326C07">
      <w:pPr>
        <w:spacing w:line="360" w:lineRule="auto"/>
        <w:rPr>
          <w:szCs w:val="24"/>
        </w:rPr>
      </w:pPr>
      <w:r w:rsidRPr="00601A4B">
        <w:rPr>
          <w:szCs w:val="24"/>
        </w:rPr>
        <w:t xml:space="preserve">Following Bhat (2008), consider a choice scenario where a consumer </w:t>
      </w:r>
      <w:r w:rsidRPr="00601A4B">
        <w:rPr>
          <w:i/>
          <w:szCs w:val="24"/>
        </w:rPr>
        <w:t>q</w:t>
      </w:r>
      <w:r w:rsidRPr="00601A4B">
        <w:rPr>
          <w:szCs w:val="24"/>
        </w:rPr>
        <w:t xml:space="preserve"> </w:t>
      </w:r>
      <w:r>
        <w:rPr>
          <w:szCs w:val="24"/>
        </w:rPr>
        <w:t>(</w:t>
      </w:r>
      <w:r w:rsidRPr="00893457">
        <w:rPr>
          <w:i/>
          <w:szCs w:val="24"/>
        </w:rPr>
        <w:t>q</w:t>
      </w:r>
      <w:r w:rsidR="00296229">
        <w:rPr>
          <w:szCs w:val="24"/>
        </w:rPr>
        <w:t xml:space="preserve"> = 1, 2</w:t>
      </w:r>
      <w:proofErr w:type="gramStart"/>
      <w:r w:rsidR="00296229">
        <w:rPr>
          <w:szCs w:val="24"/>
        </w:rPr>
        <w:t>,</w:t>
      </w:r>
      <w:r>
        <w:rPr>
          <w:szCs w:val="24"/>
        </w:rPr>
        <w:t>…,</w:t>
      </w:r>
      <w:proofErr w:type="gramEnd"/>
      <w:r>
        <w:rPr>
          <w:szCs w:val="24"/>
        </w:rPr>
        <w:t xml:space="preserve"> </w:t>
      </w:r>
      <w:r w:rsidRPr="00893457">
        <w:rPr>
          <w:i/>
          <w:szCs w:val="24"/>
        </w:rPr>
        <w:t>Q</w:t>
      </w:r>
      <w:r>
        <w:rPr>
          <w:szCs w:val="24"/>
        </w:rPr>
        <w:t>) belonging to a segment</w:t>
      </w:r>
      <w:r w:rsidR="006B21DB">
        <w:rPr>
          <w:szCs w:val="24"/>
        </w:rPr>
        <w:t xml:space="preserve"> </w:t>
      </w:r>
      <w:r>
        <w:rPr>
          <w:i/>
          <w:szCs w:val="24"/>
        </w:rPr>
        <w:t>g</w:t>
      </w:r>
      <w:r w:rsidRPr="00601A4B">
        <w:rPr>
          <w:szCs w:val="24"/>
        </w:rPr>
        <w:t xml:space="preserve"> </w:t>
      </w:r>
      <w:r>
        <w:rPr>
          <w:szCs w:val="24"/>
        </w:rPr>
        <w:t>(</w:t>
      </w:r>
      <w:r>
        <w:rPr>
          <w:i/>
          <w:szCs w:val="24"/>
        </w:rPr>
        <w:t>g</w:t>
      </w:r>
      <w:r w:rsidR="00AE0E7D">
        <w:rPr>
          <w:szCs w:val="24"/>
        </w:rPr>
        <w:t xml:space="preserve"> = 1, 2,</w:t>
      </w:r>
      <w:r>
        <w:rPr>
          <w:szCs w:val="24"/>
        </w:rPr>
        <w:t xml:space="preserve">…, </w:t>
      </w:r>
      <w:r>
        <w:rPr>
          <w:i/>
          <w:szCs w:val="24"/>
        </w:rPr>
        <w:t>G</w:t>
      </w:r>
      <w:r>
        <w:rPr>
          <w:szCs w:val="24"/>
        </w:rPr>
        <w:t>)</w:t>
      </w:r>
      <w:r w:rsidR="006B21DB">
        <w:rPr>
          <w:szCs w:val="24"/>
        </w:rPr>
        <w:t xml:space="preserve"> </w:t>
      </w:r>
      <w:r w:rsidRPr="00601A4B">
        <w:rPr>
          <w:szCs w:val="24"/>
        </w:rPr>
        <w:t>maximizes his/her utility subject to a binding constraint</w:t>
      </w:r>
      <w:r w:rsidR="009A6848">
        <w:rPr>
          <w:szCs w:val="24"/>
        </w:rPr>
        <w:t xml:space="preserve">, as shown in Equation </w:t>
      </w:r>
      <w:r w:rsidR="003D2308">
        <w:rPr>
          <w:szCs w:val="24"/>
        </w:rPr>
        <w:t>(</w:t>
      </w:r>
      <w:r w:rsidR="009A6848">
        <w:rPr>
          <w:szCs w:val="24"/>
        </w:rPr>
        <w:t>1</w:t>
      </w:r>
      <w:r w:rsidR="003D2308">
        <w:rPr>
          <w:szCs w:val="24"/>
        </w:rPr>
        <w:t>)</w:t>
      </w:r>
      <w:r w:rsidRPr="00601A4B">
        <w:rPr>
          <w:szCs w:val="24"/>
        </w:rPr>
        <w:t>:</w:t>
      </w:r>
    </w:p>
    <w:p w:rsidR="00F56288" w:rsidRDefault="000F7C05" w:rsidP="00F56288">
      <w:pPr>
        <w:tabs>
          <w:tab w:val="right" w:pos="9360"/>
        </w:tabs>
        <w:spacing w:line="360" w:lineRule="auto"/>
        <w:rPr>
          <w:szCs w:val="24"/>
        </w:rPr>
      </w:pPr>
      <w:r w:rsidRPr="00F56288">
        <w:rPr>
          <w:position w:val="-76"/>
          <w:szCs w:val="24"/>
        </w:rPr>
        <w:object w:dxaOrig="5500" w:dyaOrig="1640">
          <v:shape id="_x0000_i1027" type="#_x0000_t75" style="width:275.25pt;height:81.75pt" o:ole="" o:preferrelative="f">
            <v:imagedata r:id="rId13" o:title=""/>
            <o:lock v:ext="edit" aspectratio="f"/>
          </v:shape>
          <o:OLEObject Type="Embed" ProgID="Equation.3" ShapeID="_x0000_i1027" DrawAspect="Content" ObjectID="_1519136876" r:id="rId14"/>
        </w:object>
      </w:r>
      <w:r w:rsidR="00F56288">
        <w:rPr>
          <w:szCs w:val="24"/>
        </w:rPr>
        <w:tab/>
        <w:t>(1</w:t>
      </w:r>
      <w:r w:rsidR="00F56288" w:rsidRPr="0036752B">
        <w:rPr>
          <w:szCs w:val="24"/>
        </w:rPr>
        <w:t>)</w:t>
      </w:r>
    </w:p>
    <w:p w:rsidR="0008331C" w:rsidRPr="001E7ACC" w:rsidRDefault="0008331C" w:rsidP="00F56288">
      <w:pPr>
        <w:tabs>
          <w:tab w:val="right" w:pos="9360"/>
        </w:tabs>
        <w:spacing w:line="360" w:lineRule="auto"/>
        <w:rPr>
          <w:szCs w:val="24"/>
        </w:rPr>
      </w:pPr>
      <w:r w:rsidRPr="001E7ACC">
        <w:rPr>
          <w:szCs w:val="24"/>
        </w:rPr>
        <w:t xml:space="preserve">where the utility function </w:t>
      </w:r>
      <w:r w:rsidR="000F7C05" w:rsidRPr="001E7ACC">
        <w:rPr>
          <w:position w:val="-14"/>
          <w:szCs w:val="24"/>
        </w:rPr>
        <w:object w:dxaOrig="740" w:dyaOrig="380" w14:anchorId="417C094A">
          <v:shape id="_x0000_i1028" type="#_x0000_t75" style="width:36.75pt;height:17.25pt" o:ole="" o:preferrelative="f">
            <v:imagedata r:id="rId15" o:title=""/>
            <o:lock v:ext="edit" aspectratio="f"/>
          </v:shape>
          <o:OLEObject Type="Embed" ProgID="Equation.3" ShapeID="_x0000_i1028" DrawAspect="Content" ObjectID="_1519136877" r:id="rId16"/>
        </w:object>
      </w:r>
      <w:r w:rsidR="00D26207" w:rsidRPr="001E7ACC">
        <w:rPr>
          <w:szCs w:val="24"/>
        </w:rPr>
        <w:t>,</w:t>
      </w:r>
      <w:r w:rsidRPr="001E7ACC">
        <w:rPr>
          <w:szCs w:val="24"/>
        </w:rPr>
        <w:t xml:space="preserve"> given </w:t>
      </w:r>
      <w:r w:rsidR="00D26207" w:rsidRPr="001E7ACC">
        <w:rPr>
          <w:szCs w:val="24"/>
        </w:rPr>
        <w:t xml:space="preserve">that consumer </w:t>
      </w:r>
      <w:r w:rsidR="00D26207" w:rsidRPr="001E7ACC">
        <w:rPr>
          <w:i/>
          <w:szCs w:val="24"/>
        </w:rPr>
        <w:t>q</w:t>
      </w:r>
      <w:r w:rsidRPr="001E7ACC">
        <w:rPr>
          <w:szCs w:val="24"/>
        </w:rPr>
        <w:t xml:space="preserve"> belongs to segment </w:t>
      </w:r>
      <w:r w:rsidRPr="001E7ACC">
        <w:rPr>
          <w:i/>
          <w:szCs w:val="24"/>
        </w:rPr>
        <w:t>g</w:t>
      </w:r>
      <w:r w:rsidR="00D26207" w:rsidRPr="001E7ACC">
        <w:rPr>
          <w:szCs w:val="24"/>
        </w:rPr>
        <w:t>,</w:t>
      </w:r>
      <w:r w:rsidRPr="001E7ACC">
        <w:rPr>
          <w:szCs w:val="24"/>
        </w:rPr>
        <w:t xml:space="preserve"> is quasi-concave, increasing and continuously differentiable</w:t>
      </w:r>
      <w:r w:rsidR="0037213D" w:rsidRPr="001E7ACC">
        <w:rPr>
          <w:szCs w:val="24"/>
        </w:rPr>
        <w:t xml:space="preserve">; </w:t>
      </w:r>
      <w:r w:rsidR="000F7C05" w:rsidRPr="001E7ACC">
        <w:rPr>
          <w:position w:val="-14"/>
          <w:szCs w:val="24"/>
        </w:rPr>
        <w:object w:dxaOrig="300" w:dyaOrig="380" w14:anchorId="4E7D40F6">
          <v:shape id="_x0000_i1029" type="#_x0000_t75" style="width:15pt;height:17.25pt" o:ole="" o:preferrelative="f">
            <v:imagedata r:id="rId17" o:title=""/>
            <o:lock v:ext="edit" aspectratio="f"/>
          </v:shape>
          <o:OLEObject Type="Embed" ProgID="Equation.3" ShapeID="_x0000_i1029" DrawAspect="Content" ObjectID="_1519136878" r:id="rId18"/>
        </w:object>
      </w:r>
      <w:r w:rsidRPr="001E7ACC">
        <w:rPr>
          <w:szCs w:val="24"/>
        </w:rPr>
        <w:t xml:space="preserve"> is the consumption quantity (vector of dimension </w:t>
      </w:r>
      <w:r w:rsidRPr="001E7ACC">
        <w:rPr>
          <w:i/>
          <w:szCs w:val="24"/>
        </w:rPr>
        <w:t>K</w:t>
      </w:r>
      <w:r w:rsidRPr="001E7ACC">
        <w:rPr>
          <w:szCs w:val="24"/>
        </w:rPr>
        <w:t xml:space="preserve">×1 with elements </w:t>
      </w:r>
      <w:r w:rsidR="00C658C8" w:rsidRPr="001E7ACC">
        <w:rPr>
          <w:position w:val="-14"/>
          <w:szCs w:val="24"/>
        </w:rPr>
        <w:object w:dxaOrig="360" w:dyaOrig="380" w14:anchorId="3631F87B">
          <v:shape id="_x0000_i1030" type="#_x0000_t75" style="width:15.75pt;height:20.25pt" o:ole="">
            <v:imagedata r:id="rId19" o:title=""/>
          </v:shape>
          <o:OLEObject Type="Embed" ProgID="Equation.3" ShapeID="_x0000_i1030" DrawAspect="Content" ObjectID="_1519136879" r:id="rId20"/>
        </w:object>
      </w:r>
      <w:r w:rsidR="00C658C8" w:rsidRPr="001E7ACC">
        <w:rPr>
          <w:szCs w:val="24"/>
        </w:rPr>
        <w:t xml:space="preserve"> so that </w:t>
      </w:r>
      <w:r w:rsidR="000371C6" w:rsidRPr="001E7ACC">
        <w:rPr>
          <w:position w:val="-14"/>
          <w:szCs w:val="24"/>
        </w:rPr>
        <w:object w:dxaOrig="740" w:dyaOrig="380" w14:anchorId="67AFE62A">
          <v:shape id="_x0000_i1031" type="#_x0000_t75" style="width:39pt;height:20.25pt" o:ole="">
            <v:imagedata r:id="rId21" o:title=""/>
          </v:shape>
          <o:OLEObject Type="Embed" ProgID="Equation.3" ShapeID="_x0000_i1031" DrawAspect="Content" ObjectID="_1519136880" r:id="rId22"/>
        </w:object>
      </w:r>
      <w:r w:rsidR="00C658C8" w:rsidRPr="001E7ACC">
        <w:rPr>
          <w:szCs w:val="24"/>
        </w:rPr>
        <w:t xml:space="preserve"> for all </w:t>
      </w:r>
      <w:r w:rsidR="00C658C8" w:rsidRPr="001E7ACC">
        <w:rPr>
          <w:i/>
          <w:szCs w:val="24"/>
        </w:rPr>
        <w:t>k</w:t>
      </w:r>
      <w:r w:rsidR="009044EF" w:rsidRPr="001E7ACC">
        <w:rPr>
          <w:szCs w:val="24"/>
        </w:rPr>
        <w:t xml:space="preserve">; </w:t>
      </w:r>
      <w:r w:rsidR="009044EF" w:rsidRPr="001E7ACC">
        <w:rPr>
          <w:i/>
          <w:szCs w:val="24"/>
        </w:rPr>
        <w:t>k</w:t>
      </w:r>
      <w:r w:rsidR="009044EF" w:rsidRPr="001E7ACC">
        <w:rPr>
          <w:szCs w:val="24"/>
        </w:rPr>
        <w:t xml:space="preserve"> is an index for good </w:t>
      </w:r>
      <w:r w:rsidR="009044EF" w:rsidRPr="001E7ACC">
        <w:rPr>
          <w:i/>
          <w:szCs w:val="24"/>
        </w:rPr>
        <w:t>k</w:t>
      </w:r>
      <w:r w:rsidR="009044EF" w:rsidRPr="00F56288">
        <w:rPr>
          <w:szCs w:val="24"/>
        </w:rPr>
        <w:t>)</w:t>
      </w:r>
      <w:r w:rsidR="009044EF" w:rsidRPr="001E7ACC">
        <w:rPr>
          <w:szCs w:val="24"/>
        </w:rPr>
        <w:t>,</w:t>
      </w:r>
      <w:r w:rsidR="0037213D" w:rsidRPr="001E7ACC">
        <w:rPr>
          <w:szCs w:val="24"/>
        </w:rPr>
        <w:t xml:space="preserve"> </w:t>
      </w:r>
      <w:r w:rsidRPr="001E7ACC">
        <w:rPr>
          <w:szCs w:val="24"/>
        </w:rPr>
        <w:t xml:space="preserve">and </w:t>
      </w:r>
      <w:r w:rsidR="00F56288" w:rsidRPr="001E7ACC">
        <w:rPr>
          <w:position w:val="-14"/>
          <w:szCs w:val="24"/>
        </w:rPr>
        <w:object w:dxaOrig="420" w:dyaOrig="380" w14:anchorId="36165BBA">
          <v:shape id="_x0000_i1032" type="#_x0000_t75" style="width:21.75pt;height:20.25pt" o:ole="">
            <v:imagedata r:id="rId23" o:title=""/>
          </v:shape>
          <o:OLEObject Type="Embed" ProgID="Equation.3" ShapeID="_x0000_i1032" DrawAspect="Content" ObjectID="_1519136881" r:id="rId24"/>
        </w:object>
      </w:r>
      <w:r w:rsidRPr="001E7ACC">
        <w:rPr>
          <w:szCs w:val="24"/>
        </w:rPr>
        <w:t xml:space="preserve">, </w:t>
      </w:r>
      <w:r w:rsidR="00F56288" w:rsidRPr="001E7ACC">
        <w:rPr>
          <w:position w:val="-14"/>
          <w:szCs w:val="24"/>
        </w:rPr>
        <w:object w:dxaOrig="440" w:dyaOrig="380" w14:anchorId="12C9CEA2">
          <v:shape id="_x0000_i1033" type="#_x0000_t75" style="width:22.5pt;height:17.25pt" o:ole="" o:preferrelative="f">
            <v:imagedata r:id="rId25" o:title=""/>
            <o:lock v:ext="edit" aspectratio="f"/>
          </v:shape>
          <o:OLEObject Type="Embed" ProgID="Equation.3" ShapeID="_x0000_i1033" DrawAspect="Content" ObjectID="_1519136882" r:id="rId26"/>
        </w:object>
      </w:r>
      <w:r w:rsidRPr="001E7ACC">
        <w:rPr>
          <w:szCs w:val="24"/>
        </w:rPr>
        <w:t xml:space="preserve">, and </w:t>
      </w:r>
      <w:r w:rsidR="00F56288" w:rsidRPr="00F56288">
        <w:rPr>
          <w:position w:val="-14"/>
          <w:szCs w:val="24"/>
        </w:rPr>
        <w:object w:dxaOrig="460" w:dyaOrig="380">
          <v:shape id="_x0000_i1034" type="#_x0000_t75" style="width:24pt;height:17.25pt" o:ole="">
            <v:imagedata r:id="rId27" o:title=""/>
          </v:shape>
          <o:OLEObject Type="Embed" ProgID="Equation.3" ShapeID="_x0000_i1034" DrawAspect="Content" ObjectID="_1519136883" r:id="rId28"/>
        </w:object>
      </w:r>
      <w:r w:rsidRPr="001E7ACC">
        <w:rPr>
          <w:szCs w:val="24"/>
        </w:rPr>
        <w:t xml:space="preserve"> are parameters associated with good </w:t>
      </w:r>
      <w:r w:rsidRPr="001E7ACC">
        <w:rPr>
          <w:i/>
          <w:szCs w:val="24"/>
        </w:rPr>
        <w:t xml:space="preserve">k </w:t>
      </w:r>
      <w:r w:rsidRPr="001E7ACC">
        <w:rPr>
          <w:szCs w:val="24"/>
        </w:rPr>
        <w:t xml:space="preserve">and consumer </w:t>
      </w:r>
      <w:r w:rsidRPr="001E7ACC">
        <w:rPr>
          <w:i/>
          <w:szCs w:val="24"/>
        </w:rPr>
        <w:t>q</w:t>
      </w:r>
      <w:r w:rsidR="00C658C8" w:rsidRPr="001E7ACC">
        <w:rPr>
          <w:szCs w:val="24"/>
        </w:rPr>
        <w:t xml:space="preserve">, </w:t>
      </w:r>
      <w:r w:rsidRPr="001E7ACC">
        <w:rPr>
          <w:szCs w:val="24"/>
        </w:rPr>
        <w:t xml:space="preserve">given </w:t>
      </w:r>
      <w:r w:rsidR="0037213D" w:rsidRPr="001E7ACC">
        <w:rPr>
          <w:szCs w:val="24"/>
        </w:rPr>
        <w:t xml:space="preserve">that </w:t>
      </w:r>
      <w:r w:rsidRPr="001E7ACC">
        <w:rPr>
          <w:szCs w:val="24"/>
        </w:rPr>
        <w:t xml:space="preserve">consumer </w:t>
      </w:r>
      <w:r w:rsidRPr="001E7ACC">
        <w:rPr>
          <w:i/>
          <w:szCs w:val="24"/>
        </w:rPr>
        <w:t>q</w:t>
      </w:r>
      <w:r w:rsidRPr="001E7ACC">
        <w:rPr>
          <w:szCs w:val="24"/>
        </w:rPr>
        <w:t xml:space="preserve"> belongs to segment </w:t>
      </w:r>
      <w:r w:rsidRPr="001E7ACC">
        <w:rPr>
          <w:i/>
          <w:szCs w:val="24"/>
        </w:rPr>
        <w:t>g</w:t>
      </w:r>
      <w:r w:rsidRPr="001E7ACC">
        <w:rPr>
          <w:szCs w:val="24"/>
        </w:rPr>
        <w:t>.</w:t>
      </w:r>
      <w:r w:rsidR="00AE7077" w:rsidRPr="001E7ACC">
        <w:rPr>
          <w:rStyle w:val="FootnoteReference"/>
          <w:szCs w:val="24"/>
        </w:rPr>
        <w:footnoteReference w:id="2"/>
      </w:r>
      <w:r w:rsidRPr="001E7ACC">
        <w:rPr>
          <w:szCs w:val="24"/>
        </w:rPr>
        <w:t xml:space="preserve"> In the budget constraint, </w:t>
      </w:r>
      <w:r w:rsidR="00F56288" w:rsidRPr="001E7ACC">
        <w:rPr>
          <w:position w:val="-14"/>
          <w:szCs w:val="24"/>
        </w:rPr>
        <w:object w:dxaOrig="320" w:dyaOrig="380" w14:anchorId="6363C13D">
          <v:shape id="_x0000_i1035" type="#_x0000_t75" style="width:15.75pt;height:20.25pt" o:ole="">
            <v:imagedata r:id="rId29" o:title=""/>
          </v:shape>
          <o:OLEObject Type="Embed" ProgID="Equation.3" ShapeID="_x0000_i1035" DrawAspect="Content" ObjectID="_1519136884" r:id="rId30"/>
        </w:object>
      </w:r>
      <w:r w:rsidRPr="001E7ACC">
        <w:rPr>
          <w:szCs w:val="24"/>
        </w:rPr>
        <w:t xml:space="preserve"> is the total expenditure (or income) of consumer </w:t>
      </w:r>
      <w:r w:rsidRPr="001E7ACC">
        <w:rPr>
          <w:i/>
          <w:szCs w:val="24"/>
        </w:rPr>
        <w:t>q</w:t>
      </w:r>
      <w:r w:rsidRPr="001E7ACC">
        <w:rPr>
          <w:szCs w:val="24"/>
        </w:rPr>
        <w:t xml:space="preserve">, and </w:t>
      </w:r>
      <w:r w:rsidR="00F56288" w:rsidRPr="001E7ACC">
        <w:rPr>
          <w:position w:val="-14"/>
          <w:szCs w:val="24"/>
        </w:rPr>
        <w:object w:dxaOrig="380" w:dyaOrig="380" w14:anchorId="04F92E7C">
          <v:shape id="_x0000_i1036" type="#_x0000_t75" style="width:17.25pt;height:17.25pt" o:ole="">
            <v:imagedata r:id="rId31" o:title=""/>
          </v:shape>
          <o:OLEObject Type="Embed" ProgID="Equation.3" ShapeID="_x0000_i1036" DrawAspect="Content" ObjectID="_1519136885" r:id="rId32"/>
        </w:object>
      </w:r>
      <w:r w:rsidRPr="001E7ACC">
        <w:rPr>
          <w:szCs w:val="24"/>
        </w:rPr>
        <w:t xml:space="preserve"> is the unit price of good </w:t>
      </w:r>
      <w:r w:rsidRPr="001E7ACC">
        <w:rPr>
          <w:i/>
          <w:szCs w:val="24"/>
        </w:rPr>
        <w:t>k</w:t>
      </w:r>
      <w:r w:rsidRPr="001E7ACC">
        <w:rPr>
          <w:szCs w:val="24"/>
        </w:rPr>
        <w:t xml:space="preserve"> as experienced by consumer </w:t>
      </w:r>
      <w:r w:rsidRPr="001E7ACC">
        <w:rPr>
          <w:i/>
          <w:szCs w:val="24"/>
        </w:rPr>
        <w:t>q</w:t>
      </w:r>
      <w:r w:rsidRPr="001E7ACC">
        <w:rPr>
          <w:szCs w:val="24"/>
        </w:rPr>
        <w:t xml:space="preserve">. Assume, for now, that there is no essential outside good, so that corner solutions (zero consumptions) are possible for all goods </w:t>
      </w:r>
      <w:r w:rsidRPr="001E7ACC">
        <w:rPr>
          <w:i/>
          <w:szCs w:val="24"/>
        </w:rPr>
        <w:t>k</w:t>
      </w:r>
      <w:r w:rsidRPr="001E7ACC">
        <w:rPr>
          <w:szCs w:val="24"/>
        </w:rPr>
        <w:t xml:space="preserve"> (relaxing this assumption is straightforward and simplifies the analysis </w:t>
      </w:r>
      <w:r w:rsidR="004C6A42" w:rsidRPr="001E7ACC">
        <w:rPr>
          <w:szCs w:val="24"/>
        </w:rPr>
        <w:t>considerably</w:t>
      </w:r>
      <w:r w:rsidRPr="001E7ACC">
        <w:rPr>
          <w:szCs w:val="24"/>
        </w:rPr>
        <w:t xml:space="preserve">). </w:t>
      </w:r>
      <w:r w:rsidR="001E7ACC" w:rsidRPr="001E7ACC">
        <w:rPr>
          <w:szCs w:val="24"/>
        </w:rPr>
        <w:t xml:space="preserve">The parameter </w:t>
      </w:r>
      <w:r w:rsidR="00621872" w:rsidRPr="00F56288">
        <w:rPr>
          <w:position w:val="-14"/>
          <w:szCs w:val="24"/>
        </w:rPr>
        <w:object w:dxaOrig="460" w:dyaOrig="380">
          <v:shape id="_x0000_i1037" type="#_x0000_t75" style="width:24pt;height:17.25pt" o:ole="">
            <v:imagedata r:id="rId33" o:title=""/>
          </v:shape>
          <o:OLEObject Type="Embed" ProgID="Equation.3" ShapeID="_x0000_i1037" DrawAspect="Content" ObjectID="_1519136886" r:id="rId34"/>
        </w:object>
      </w:r>
      <w:r w:rsidR="00F56288">
        <w:rPr>
          <w:szCs w:val="24"/>
        </w:rPr>
        <w:t xml:space="preserve"> </w:t>
      </w:r>
      <w:r w:rsidR="001E7ACC" w:rsidRPr="001E7ACC">
        <w:rPr>
          <w:szCs w:val="24"/>
        </w:rPr>
        <w:t xml:space="preserve">represents the baseline marginal utility for good </w:t>
      </w:r>
      <w:r w:rsidR="001E7ACC" w:rsidRPr="001E7ACC">
        <w:rPr>
          <w:i/>
          <w:szCs w:val="24"/>
        </w:rPr>
        <w:t>k</w:t>
      </w:r>
      <w:r w:rsidR="001E7ACC" w:rsidRPr="001E7ACC">
        <w:rPr>
          <w:szCs w:val="24"/>
        </w:rPr>
        <w:t xml:space="preserve">, given that the individual </w:t>
      </w:r>
      <w:r w:rsidR="001E7ACC" w:rsidRPr="001E7ACC">
        <w:rPr>
          <w:i/>
          <w:szCs w:val="24"/>
        </w:rPr>
        <w:t>q</w:t>
      </w:r>
      <w:r w:rsidR="001E7ACC" w:rsidRPr="001E7ACC">
        <w:rPr>
          <w:position w:val="-14"/>
          <w:szCs w:val="24"/>
        </w:rPr>
        <w:t xml:space="preserve"> </w:t>
      </w:r>
      <w:r w:rsidR="001E7ACC" w:rsidRPr="001E7ACC">
        <w:rPr>
          <w:szCs w:val="24"/>
        </w:rPr>
        <w:t xml:space="preserve">belongs to population segment </w:t>
      </w:r>
      <w:r w:rsidR="001E7ACC" w:rsidRPr="001E7ACC">
        <w:rPr>
          <w:i/>
          <w:szCs w:val="24"/>
        </w:rPr>
        <w:t>g</w:t>
      </w:r>
      <w:r w:rsidR="001E7ACC" w:rsidRPr="001E7ACC">
        <w:rPr>
          <w:szCs w:val="24"/>
        </w:rPr>
        <w:t xml:space="preserve"> (</w:t>
      </w:r>
      <w:r w:rsidR="001E7ACC" w:rsidRPr="00184DFD">
        <w:rPr>
          <w:i/>
          <w:szCs w:val="24"/>
        </w:rPr>
        <w:t>i.e.</w:t>
      </w:r>
      <w:r w:rsidR="001E7ACC" w:rsidRPr="001E7ACC">
        <w:rPr>
          <w:szCs w:val="24"/>
        </w:rPr>
        <w:t xml:space="preserve">, </w:t>
      </w:r>
      <w:r w:rsidR="00F56288" w:rsidRPr="00F56288">
        <w:rPr>
          <w:position w:val="-14"/>
          <w:szCs w:val="24"/>
        </w:rPr>
        <w:object w:dxaOrig="460" w:dyaOrig="380">
          <v:shape id="_x0000_i1038" type="#_x0000_t75" style="width:24pt;height:17.25pt" o:ole="">
            <v:imagedata r:id="rId27" o:title=""/>
          </v:shape>
          <o:OLEObject Type="Embed" ProgID="Equation.3" ShapeID="_x0000_i1038" DrawAspect="Content" ObjectID="_1519136887" r:id="rId35"/>
        </w:object>
      </w:r>
      <w:r w:rsidR="00F56288">
        <w:rPr>
          <w:szCs w:val="24"/>
        </w:rPr>
        <w:t xml:space="preserve"> </w:t>
      </w:r>
      <w:r w:rsidR="001E7ACC" w:rsidRPr="001E7ACC">
        <w:rPr>
          <w:szCs w:val="24"/>
        </w:rPr>
        <w:t xml:space="preserve">is the marginal utility of good </w:t>
      </w:r>
      <w:r w:rsidR="001E7ACC" w:rsidRPr="001E7ACC">
        <w:rPr>
          <w:i/>
          <w:szCs w:val="24"/>
        </w:rPr>
        <w:t>k</w:t>
      </w:r>
      <w:r w:rsidR="001E7ACC" w:rsidRPr="001E7ACC">
        <w:rPr>
          <w:szCs w:val="24"/>
        </w:rPr>
        <w:t xml:space="preserve"> at the point of no consumption of good </w:t>
      </w:r>
      <w:r w:rsidR="001E7ACC" w:rsidRPr="001E7ACC">
        <w:rPr>
          <w:i/>
          <w:szCs w:val="24"/>
        </w:rPr>
        <w:t>k</w:t>
      </w:r>
      <w:r w:rsidR="001E7ACC" w:rsidRPr="001E7ACC">
        <w:rPr>
          <w:szCs w:val="24"/>
        </w:rPr>
        <w:t xml:space="preserve">, given that </w:t>
      </w:r>
      <w:r w:rsidR="001E7ACC" w:rsidRPr="001E7ACC">
        <w:rPr>
          <w:i/>
          <w:szCs w:val="24"/>
        </w:rPr>
        <w:t>q</w:t>
      </w:r>
      <w:r w:rsidR="001E7ACC" w:rsidRPr="001E7ACC">
        <w:rPr>
          <w:szCs w:val="24"/>
        </w:rPr>
        <w:t xml:space="preserve"> belongs to segment </w:t>
      </w:r>
      <w:r w:rsidR="001E7ACC" w:rsidRPr="001E7ACC">
        <w:rPr>
          <w:i/>
          <w:szCs w:val="24"/>
        </w:rPr>
        <w:t>g</w:t>
      </w:r>
      <w:r w:rsidR="001E7ACC" w:rsidRPr="001E7ACC">
        <w:rPr>
          <w:szCs w:val="24"/>
        </w:rPr>
        <w:t>).</w:t>
      </w:r>
      <w:r w:rsidR="001E7ACC">
        <w:rPr>
          <w:szCs w:val="24"/>
        </w:rPr>
        <w:t xml:space="preserve"> </w:t>
      </w:r>
      <w:r w:rsidRPr="001E7ACC">
        <w:rPr>
          <w:szCs w:val="24"/>
        </w:rPr>
        <w:t xml:space="preserve">The parameter </w:t>
      </w:r>
      <w:r w:rsidR="003F33A0" w:rsidRPr="001E7ACC">
        <w:rPr>
          <w:position w:val="-14"/>
          <w:szCs w:val="24"/>
        </w:rPr>
        <w:object w:dxaOrig="420" w:dyaOrig="380" w14:anchorId="6678FF0C">
          <v:shape id="_x0000_i1039" type="#_x0000_t75" style="width:17.25pt;height:20.25pt" o:ole="">
            <v:imagedata r:id="rId36" o:title=""/>
          </v:shape>
          <o:OLEObject Type="Embed" ProgID="Equation.3" ShapeID="_x0000_i1039" DrawAspect="Content" ObjectID="_1519136888" r:id="rId37"/>
        </w:object>
      </w:r>
      <w:r w:rsidRPr="001E7ACC">
        <w:rPr>
          <w:szCs w:val="24"/>
        </w:rPr>
        <w:t xml:space="preserve"> allows a corner solution for good </w:t>
      </w:r>
      <w:r w:rsidRPr="001E7ACC">
        <w:rPr>
          <w:i/>
          <w:szCs w:val="24"/>
        </w:rPr>
        <w:t>k</w:t>
      </w:r>
      <w:r w:rsidRPr="001E7ACC">
        <w:rPr>
          <w:szCs w:val="24"/>
        </w:rPr>
        <w:t xml:space="preserve"> and also serves as a translation-based satiation parameter, while </w:t>
      </w:r>
      <w:r w:rsidRPr="001E7ACC">
        <w:rPr>
          <w:position w:val="-14"/>
          <w:szCs w:val="24"/>
        </w:rPr>
        <w:object w:dxaOrig="440" w:dyaOrig="380" w14:anchorId="4ADD4B72">
          <v:shape id="_x0000_i1040" type="#_x0000_t75" style="width:20.25pt;height:20.25pt" o:ole="">
            <v:imagedata r:id="rId38" o:title=""/>
          </v:shape>
          <o:OLEObject Type="Embed" ProgID="Equation.3" ShapeID="_x0000_i1040" DrawAspect="Content" ObjectID="_1519136889" r:id="rId39"/>
        </w:object>
      </w:r>
      <w:r w:rsidRPr="001E7ACC">
        <w:rPr>
          <w:szCs w:val="24"/>
        </w:rPr>
        <w:t xml:space="preserve"> serves as an exponential-based satiation parameter. As discussed in detail in Bhat (2008), only one </w:t>
      </w:r>
      <w:r w:rsidR="00EF7589" w:rsidRPr="001E7ACC">
        <w:rPr>
          <w:szCs w:val="24"/>
        </w:rPr>
        <w:t xml:space="preserve">parameter </w:t>
      </w:r>
      <w:r w:rsidRPr="001E7ACC">
        <w:rPr>
          <w:szCs w:val="24"/>
        </w:rPr>
        <w:t xml:space="preserve">of the set </w:t>
      </w:r>
      <w:r w:rsidR="00726FED" w:rsidRPr="001E7ACC">
        <w:rPr>
          <w:position w:val="-14"/>
          <w:szCs w:val="24"/>
        </w:rPr>
        <w:object w:dxaOrig="420" w:dyaOrig="380" w14:anchorId="26A43752">
          <v:shape id="_x0000_i1041" type="#_x0000_t75" style="width:21pt;height:18.75pt" o:ole="" o:preferrelative="f">
            <v:imagedata r:id="rId40" o:title=""/>
            <o:lock v:ext="edit" aspectratio="f"/>
          </v:shape>
          <o:OLEObject Type="Embed" ProgID="Equation.3" ShapeID="_x0000_i1041" DrawAspect="Content" ObjectID="_1519136890" r:id="rId41"/>
        </w:object>
      </w:r>
      <w:r w:rsidRPr="001E7ACC">
        <w:rPr>
          <w:szCs w:val="24"/>
        </w:rPr>
        <w:t xml:space="preserve"> or </w:t>
      </w:r>
      <w:r w:rsidR="00726FED" w:rsidRPr="001E7ACC">
        <w:rPr>
          <w:position w:val="-14"/>
          <w:szCs w:val="24"/>
        </w:rPr>
        <w:object w:dxaOrig="440" w:dyaOrig="380" w14:anchorId="04EB15A4">
          <v:shape id="_x0000_i1042" type="#_x0000_t75" style="width:22.5pt;height:18.75pt" o:ole="" o:preferrelative="f">
            <v:imagedata r:id="rId42" o:title=""/>
            <o:lock v:ext="edit" aspectratio="f"/>
          </v:shape>
          <o:OLEObject Type="Embed" ProgID="Equation.3" ShapeID="_x0000_i1042" DrawAspect="Content" ObjectID="_1519136891" r:id="rId43"/>
        </w:object>
      </w:r>
      <w:r w:rsidRPr="001E7ACC">
        <w:rPr>
          <w:szCs w:val="24"/>
        </w:rPr>
        <w:t xml:space="preserve"> will be empirically identified, so the analyst will have </w:t>
      </w:r>
      <w:r w:rsidR="00F85B8F" w:rsidRPr="001E7ACC">
        <w:rPr>
          <w:szCs w:val="24"/>
        </w:rPr>
        <w:t xml:space="preserve">to </w:t>
      </w:r>
      <w:r w:rsidRPr="001E7ACC">
        <w:rPr>
          <w:szCs w:val="24"/>
        </w:rPr>
        <w:t xml:space="preserve">estimate a </w:t>
      </w:r>
      <w:r w:rsidR="00726FED" w:rsidRPr="001E7ACC">
        <w:rPr>
          <w:position w:val="-10"/>
          <w:szCs w:val="24"/>
        </w:rPr>
        <w:object w:dxaOrig="200" w:dyaOrig="260" w14:anchorId="49A9E7AE">
          <v:shape id="_x0000_i1043" type="#_x0000_t75" style="width:9.75pt;height:12.75pt" o:ole="" o:preferrelative="f">
            <v:imagedata r:id="rId44" o:title=""/>
            <o:lock v:ext="edit" aspectratio="f"/>
          </v:shape>
          <o:OLEObject Type="Embed" ProgID="Equation.3" ShapeID="_x0000_i1043" DrawAspect="Content" ObjectID="_1519136892" r:id="rId45"/>
        </w:object>
      </w:r>
      <w:r w:rsidRPr="001E7ACC">
        <w:rPr>
          <w:szCs w:val="24"/>
        </w:rPr>
        <w:t xml:space="preserve">-profile (in </w:t>
      </w:r>
      <w:proofErr w:type="gramStart"/>
      <w:r w:rsidRPr="001E7ACC">
        <w:rPr>
          <w:szCs w:val="24"/>
        </w:rPr>
        <w:t xml:space="preserve">which </w:t>
      </w:r>
      <w:proofErr w:type="gramEnd"/>
      <w:r w:rsidR="00726FED" w:rsidRPr="00621872">
        <w:rPr>
          <w:position w:val="-14"/>
          <w:szCs w:val="24"/>
        </w:rPr>
        <w:object w:dxaOrig="920" w:dyaOrig="380" w14:anchorId="1629D368">
          <v:shape id="_x0000_i1044" type="#_x0000_t75" style="width:45.75pt;height:18.75pt" o:ole="" o:preferrelative="f">
            <v:imagedata r:id="rId46" o:title=""/>
            <o:lock v:ext="edit" aspectratio="f"/>
          </v:shape>
          <o:OLEObject Type="Embed" ProgID="Equation.3" ShapeID="_x0000_i1044" DrawAspect="Content" ObjectID="_1519136893" r:id="rId47"/>
        </w:object>
      </w:r>
      <w:r w:rsidRPr="001E7ACC">
        <w:rPr>
          <w:szCs w:val="24"/>
        </w:rPr>
        <w:t>) or an</w:t>
      </w:r>
      <w:r w:rsidR="00AE0E7D">
        <w:rPr>
          <w:szCs w:val="24"/>
        </w:rPr>
        <w:t xml:space="preserve"> </w:t>
      </w:r>
      <w:r w:rsidR="00AE0E7D" w:rsidRPr="001E7ACC">
        <w:rPr>
          <w:position w:val="-6"/>
          <w:szCs w:val="24"/>
        </w:rPr>
        <w:object w:dxaOrig="240" w:dyaOrig="220">
          <v:shape id="_x0000_i1045" type="#_x0000_t75" style="width:11.25pt;height:11.25pt" o:ole="">
            <v:imagedata r:id="rId48" o:title=""/>
          </v:shape>
          <o:OLEObject Type="Embed" ProgID="Equation.3" ShapeID="_x0000_i1045" DrawAspect="Content" ObjectID="_1519136894" r:id="rId49"/>
        </w:object>
      </w:r>
      <w:r w:rsidRPr="001E7ACC">
        <w:rPr>
          <w:szCs w:val="24"/>
        </w:rPr>
        <w:t xml:space="preserve">-profile (in which the </w:t>
      </w:r>
      <w:r w:rsidR="00726FED" w:rsidRPr="001E7ACC">
        <w:rPr>
          <w:position w:val="-14"/>
          <w:szCs w:val="24"/>
        </w:rPr>
        <w:object w:dxaOrig="400" w:dyaOrig="380" w14:anchorId="5ED622DC">
          <v:shape id="_x0000_i1046" type="#_x0000_t75" style="width:20.25pt;height:18.75pt" o:ole="">
            <v:imagedata r:id="rId50" o:title=""/>
          </v:shape>
          <o:OLEObject Type="Embed" ProgID="Equation.3" ShapeID="_x0000_i1046" DrawAspect="Content" ObjectID="_1519136895" r:id="rId51"/>
        </w:object>
      </w:r>
      <w:r w:rsidRPr="001E7ACC">
        <w:rPr>
          <w:szCs w:val="24"/>
        </w:rPr>
        <w:t xml:space="preserve"> terms are normalized to the value of one). Both these profiles can be estimated, and the one that provides a </w:t>
      </w:r>
      <w:r w:rsidRPr="001E7ACC">
        <w:rPr>
          <w:szCs w:val="24"/>
        </w:rPr>
        <w:lastRenderedPageBreak/>
        <w:t xml:space="preserve">better data fit may be selected. Also, for the </w:t>
      </w:r>
      <w:r w:rsidR="00726FED" w:rsidRPr="001E7ACC">
        <w:rPr>
          <w:position w:val="-10"/>
          <w:szCs w:val="24"/>
        </w:rPr>
        <w:object w:dxaOrig="200" w:dyaOrig="260">
          <v:shape id="_x0000_i1047" type="#_x0000_t75" style="width:9.75pt;height:12.75pt" o:ole="" o:preferrelative="f">
            <v:imagedata r:id="rId44" o:title=""/>
            <o:lock v:ext="edit" aspectratio="f"/>
          </v:shape>
          <o:OLEObject Type="Embed" ProgID="Equation.3" ShapeID="_x0000_i1047" DrawAspect="Content" ObjectID="_1519136896" r:id="rId52"/>
        </w:object>
      </w:r>
      <w:r w:rsidRPr="001E7ACC">
        <w:rPr>
          <w:szCs w:val="24"/>
        </w:rPr>
        <w:t xml:space="preserve">-profile, we will </w:t>
      </w:r>
      <w:proofErr w:type="gramStart"/>
      <w:r w:rsidRPr="001E7ACC">
        <w:rPr>
          <w:szCs w:val="24"/>
        </w:rPr>
        <w:t xml:space="preserve">need </w:t>
      </w:r>
      <w:proofErr w:type="gramEnd"/>
      <w:r w:rsidR="00726FED" w:rsidRPr="001E7ACC">
        <w:rPr>
          <w:position w:val="-14"/>
          <w:szCs w:val="24"/>
        </w:rPr>
        <w:object w:dxaOrig="1200" w:dyaOrig="380" w14:anchorId="3396C36F">
          <v:shape id="_x0000_i1048" type="#_x0000_t75" style="width:60pt;height:18.75pt" o:ole="" o:preferrelative="f">
            <v:imagedata r:id="rId53" o:title=""/>
            <o:lock v:ext="edit" aspectratio="f"/>
          </v:shape>
          <o:OLEObject Type="Embed" ProgID="Equation.3" ShapeID="_x0000_i1048" DrawAspect="Content" ObjectID="_1519136897" r:id="rId54"/>
        </w:object>
      </w:r>
      <w:r w:rsidRPr="001E7ACC">
        <w:rPr>
          <w:szCs w:val="24"/>
        </w:rPr>
        <w:t xml:space="preserve">, and, for the </w:t>
      </w:r>
      <w:r w:rsidR="00AE0E7D" w:rsidRPr="001E7ACC">
        <w:rPr>
          <w:position w:val="-6"/>
          <w:szCs w:val="24"/>
        </w:rPr>
        <w:object w:dxaOrig="240" w:dyaOrig="220" w14:anchorId="39D450D7">
          <v:shape id="_x0000_i1049" type="#_x0000_t75" style="width:11.25pt;height:11.25pt" o:ole="">
            <v:imagedata r:id="rId48" o:title=""/>
          </v:shape>
          <o:OLEObject Type="Embed" ProgID="Equation.3" ShapeID="_x0000_i1049" DrawAspect="Content" ObjectID="_1519136898" r:id="rId55"/>
        </w:object>
      </w:r>
      <w:r w:rsidRPr="001E7ACC">
        <w:rPr>
          <w:szCs w:val="24"/>
        </w:rPr>
        <w:t xml:space="preserve">-profile, we will need </w:t>
      </w:r>
      <w:r w:rsidR="00726FED" w:rsidRPr="001E7ACC">
        <w:rPr>
          <w:position w:val="-14"/>
          <w:szCs w:val="24"/>
        </w:rPr>
        <w:object w:dxaOrig="1180" w:dyaOrig="380" w14:anchorId="212E27F1">
          <v:shape id="_x0000_i1050" type="#_x0000_t75" style="width:59.25pt;height:18.75pt" o:ole="" o:preferrelative="f">
            <v:imagedata r:id="rId56" o:title=""/>
            <o:lock v:ext="edit" aspectratio="f"/>
          </v:shape>
          <o:OLEObject Type="Embed" ProgID="Equation.3" ShapeID="_x0000_i1050" DrawAspect="Content" ObjectID="_1519136899" r:id="rId57"/>
        </w:object>
      </w:r>
      <w:r w:rsidRPr="001E7ACC">
        <w:rPr>
          <w:szCs w:val="24"/>
        </w:rPr>
        <w:t xml:space="preserve">. In the current paper, we will retain the general utility form of Equation (1) to keep the presentation </w:t>
      </w:r>
      <w:r w:rsidR="00F00872" w:rsidRPr="001E7ACC">
        <w:rPr>
          <w:szCs w:val="24"/>
        </w:rPr>
        <w:t>general</w:t>
      </w:r>
      <w:r w:rsidRPr="001E7ACC">
        <w:rPr>
          <w:szCs w:val="24"/>
        </w:rPr>
        <w:t>.</w:t>
      </w:r>
    </w:p>
    <w:p w:rsidR="0008331C" w:rsidRDefault="00F85B8F" w:rsidP="00966971">
      <w:pPr>
        <w:spacing w:line="360" w:lineRule="auto"/>
        <w:ind w:firstLine="720"/>
        <w:rPr>
          <w:szCs w:val="24"/>
        </w:rPr>
      </w:pPr>
      <w:r>
        <w:rPr>
          <w:szCs w:val="24"/>
        </w:rPr>
        <w:t>In Equation (2) w</w:t>
      </w:r>
      <w:r w:rsidR="0008331C">
        <w:rPr>
          <w:szCs w:val="24"/>
        </w:rPr>
        <w:t xml:space="preserve">e introduce observed heterogeneity across individuals within segment </w:t>
      </w:r>
      <w:r w:rsidR="0008331C" w:rsidRPr="00C719F4">
        <w:rPr>
          <w:i/>
          <w:szCs w:val="24"/>
        </w:rPr>
        <w:t>g</w:t>
      </w:r>
      <w:r w:rsidR="0008331C">
        <w:rPr>
          <w:szCs w:val="24"/>
        </w:rPr>
        <w:t xml:space="preserve"> and stochasticity through the baseline marginal utility </w:t>
      </w:r>
      <w:proofErr w:type="gramStart"/>
      <w:r w:rsidR="0008331C">
        <w:rPr>
          <w:szCs w:val="24"/>
        </w:rPr>
        <w:t xml:space="preserve">function </w:t>
      </w:r>
      <w:proofErr w:type="gramEnd"/>
      <w:r w:rsidR="00621872" w:rsidRPr="00CA7954">
        <w:rPr>
          <w:position w:val="-14"/>
          <w:szCs w:val="24"/>
        </w:rPr>
        <w:object w:dxaOrig="460" w:dyaOrig="380" w14:anchorId="02BF083E">
          <v:shape id="_x0000_i1051" type="#_x0000_t75" style="width:20.25pt;height:20.25pt" o:ole="">
            <v:imagedata r:id="rId58" o:title=""/>
          </v:shape>
          <o:OLEObject Type="Embed" ProgID="Equation.3" ShapeID="_x0000_i1051" DrawAspect="Content" ObjectID="_1519136900" r:id="rId59"/>
        </w:object>
      </w:r>
      <w:r w:rsidR="0008331C">
        <w:rPr>
          <w:szCs w:val="24"/>
        </w:rPr>
        <w:t>:</w:t>
      </w:r>
    </w:p>
    <w:p w:rsidR="00621872" w:rsidRDefault="00621872" w:rsidP="00621872">
      <w:pPr>
        <w:tabs>
          <w:tab w:val="right" w:pos="9360"/>
        </w:tabs>
        <w:spacing w:line="360" w:lineRule="auto"/>
        <w:rPr>
          <w:szCs w:val="24"/>
        </w:rPr>
      </w:pPr>
      <w:r w:rsidRPr="008009A8">
        <w:rPr>
          <w:position w:val="-14"/>
          <w:szCs w:val="24"/>
        </w:rPr>
        <w:object w:dxaOrig="1860" w:dyaOrig="380">
          <v:shape id="_x0000_i1052" type="#_x0000_t75" style="width:92.25pt;height:17.25pt" o:ole="" o:preferrelative="f">
            <v:imagedata r:id="rId60" o:title=""/>
            <o:lock v:ext="edit" aspectratio="f"/>
          </v:shape>
          <o:OLEObject Type="Embed" ProgID="Equation.3" ShapeID="_x0000_i1052" DrawAspect="Content" ObjectID="_1519136901" r:id="rId61"/>
        </w:object>
      </w:r>
      <w:r>
        <w:rPr>
          <w:szCs w:val="24"/>
        </w:rPr>
        <w:t xml:space="preserve"> </w:t>
      </w:r>
      <w:r>
        <w:rPr>
          <w:szCs w:val="24"/>
        </w:rPr>
        <w:tab/>
      </w:r>
      <w:r w:rsidRPr="000E2F9B">
        <w:rPr>
          <w:szCs w:val="24"/>
        </w:rPr>
        <w:t>(2)</w:t>
      </w:r>
    </w:p>
    <w:p w:rsidR="0008331C" w:rsidRPr="00A626FE" w:rsidRDefault="0008331C" w:rsidP="00966971">
      <w:pPr>
        <w:pStyle w:val="FootnoteText"/>
        <w:spacing w:line="360" w:lineRule="auto"/>
        <w:rPr>
          <w:rFonts w:ascii="Times New Roman" w:hAnsi="Times New Roman"/>
          <w:sz w:val="24"/>
          <w:szCs w:val="24"/>
        </w:rPr>
      </w:pPr>
      <w:r w:rsidRPr="000E2F9B">
        <w:rPr>
          <w:rFonts w:ascii="Times New Roman" w:hAnsi="Times New Roman"/>
          <w:sz w:val="24"/>
          <w:szCs w:val="24"/>
        </w:rPr>
        <w:t xml:space="preserve">where </w:t>
      </w:r>
      <w:r w:rsidR="000F7C05" w:rsidRPr="000E2F9B">
        <w:rPr>
          <w:rFonts w:ascii="Times New Roman" w:hAnsi="Times New Roman"/>
          <w:position w:val="-14"/>
          <w:sz w:val="24"/>
          <w:szCs w:val="24"/>
        </w:rPr>
        <w:object w:dxaOrig="340" w:dyaOrig="380" w14:anchorId="60E8058C">
          <v:shape id="_x0000_i1053" type="#_x0000_t75" style="width:17.25pt;height:17.25pt" o:ole="" o:preferrelative="f">
            <v:imagedata r:id="rId62" o:title=""/>
            <o:lock v:ext="edit" aspectratio="f"/>
          </v:shape>
          <o:OLEObject Type="Embed" ProgID="Equation.3" ShapeID="_x0000_i1053" DrawAspect="Content" ObjectID="_1519136902" r:id="rId63"/>
        </w:object>
      </w:r>
      <w:r w:rsidRPr="000E2F9B">
        <w:rPr>
          <w:rFonts w:ascii="Times New Roman" w:hAnsi="Times New Roman"/>
          <w:sz w:val="24"/>
          <w:szCs w:val="24"/>
        </w:rPr>
        <w:t xml:space="preserve"> is a </w:t>
      </w:r>
      <w:r w:rsidRPr="000E2F9B">
        <w:rPr>
          <w:rFonts w:ascii="Times New Roman" w:hAnsi="Times New Roman"/>
          <w:i/>
          <w:sz w:val="24"/>
          <w:szCs w:val="24"/>
        </w:rPr>
        <w:t>D</w:t>
      </w:r>
      <w:r w:rsidRPr="000E2F9B">
        <w:rPr>
          <w:rFonts w:ascii="Times New Roman" w:hAnsi="Times New Roman"/>
          <w:sz w:val="24"/>
          <w:szCs w:val="24"/>
        </w:rPr>
        <w:t>-dimensional vector of attributes that characterize</w:t>
      </w:r>
      <w:r w:rsidRPr="008009A8">
        <w:rPr>
          <w:rFonts w:ascii="Times New Roman" w:hAnsi="Times New Roman"/>
          <w:sz w:val="24"/>
          <w:szCs w:val="24"/>
        </w:rPr>
        <w:t>s</w:t>
      </w:r>
      <w:r w:rsidRPr="000E2F9B">
        <w:rPr>
          <w:rFonts w:ascii="Times New Roman" w:hAnsi="Times New Roman"/>
          <w:sz w:val="24"/>
          <w:szCs w:val="24"/>
        </w:rPr>
        <w:t xml:space="preserve"> good </w:t>
      </w:r>
      <w:r w:rsidRPr="000E2F9B">
        <w:rPr>
          <w:rFonts w:ascii="Times New Roman" w:hAnsi="Times New Roman"/>
          <w:i/>
          <w:sz w:val="24"/>
          <w:szCs w:val="24"/>
        </w:rPr>
        <w:t>k</w:t>
      </w:r>
      <w:r w:rsidRPr="000E2F9B">
        <w:rPr>
          <w:rFonts w:ascii="Times New Roman" w:hAnsi="Times New Roman"/>
          <w:sz w:val="24"/>
          <w:szCs w:val="24"/>
        </w:rPr>
        <w:t xml:space="preserve"> and the consumer </w:t>
      </w:r>
      <w:r w:rsidRPr="000E2F9B">
        <w:rPr>
          <w:rFonts w:ascii="Times New Roman" w:hAnsi="Times New Roman"/>
          <w:i/>
          <w:sz w:val="24"/>
          <w:szCs w:val="24"/>
        </w:rPr>
        <w:t>q</w:t>
      </w:r>
      <w:r w:rsidRPr="000E2F9B">
        <w:rPr>
          <w:rFonts w:ascii="Times New Roman" w:hAnsi="Times New Roman"/>
          <w:sz w:val="24"/>
          <w:szCs w:val="24"/>
        </w:rPr>
        <w:t xml:space="preserve"> (including a </w:t>
      </w:r>
      <w:r w:rsidR="005B2C4C">
        <w:rPr>
          <w:rFonts w:ascii="Times New Roman" w:hAnsi="Times New Roman"/>
          <w:sz w:val="24"/>
          <w:szCs w:val="24"/>
          <w:lang w:val="en-US"/>
        </w:rPr>
        <w:t>constant</w:t>
      </w:r>
      <w:r w:rsidRPr="000E2F9B">
        <w:rPr>
          <w:rFonts w:ascii="Times New Roman" w:hAnsi="Times New Roman"/>
          <w:sz w:val="24"/>
          <w:szCs w:val="24"/>
        </w:rPr>
        <w:t xml:space="preserve"> for each good except one, to capture intrinsic preferences for each good </w:t>
      </w:r>
      <w:r w:rsidRPr="008009A8">
        <w:rPr>
          <w:rFonts w:ascii="Times New Roman" w:hAnsi="Times New Roman"/>
          <w:sz w:val="24"/>
          <w:szCs w:val="24"/>
        </w:rPr>
        <w:t>relative to a base good</w:t>
      </w:r>
      <w:r w:rsidR="00A17000" w:rsidRPr="000E2F9B">
        <w:rPr>
          <w:rFonts w:ascii="Times New Roman" w:hAnsi="Times New Roman"/>
          <w:sz w:val="24"/>
          <w:szCs w:val="24"/>
        </w:rPr>
        <w:t>)</w:t>
      </w:r>
      <w:r w:rsidR="00A17000">
        <w:rPr>
          <w:rFonts w:ascii="Times New Roman" w:hAnsi="Times New Roman"/>
          <w:sz w:val="24"/>
          <w:szCs w:val="24"/>
          <w:lang w:val="en-US"/>
        </w:rPr>
        <w:t>;</w:t>
      </w:r>
      <w:r w:rsidR="00A17000" w:rsidRPr="000E2F9B">
        <w:rPr>
          <w:rFonts w:ascii="Times New Roman" w:hAnsi="Times New Roman"/>
          <w:sz w:val="24"/>
          <w:szCs w:val="24"/>
        </w:rPr>
        <w:t xml:space="preserve"> </w:t>
      </w:r>
      <w:r w:rsidR="00621872" w:rsidRPr="000E2F9B">
        <w:rPr>
          <w:rFonts w:ascii="Times New Roman" w:hAnsi="Times New Roman"/>
          <w:position w:val="-14"/>
          <w:sz w:val="24"/>
          <w:szCs w:val="24"/>
        </w:rPr>
        <w:object w:dxaOrig="380" w:dyaOrig="380" w14:anchorId="4029C7DE">
          <v:shape id="_x0000_i1054" type="#_x0000_t75" style="width:17.25pt;height:17.25pt" o:ole="" o:preferrelative="f">
            <v:imagedata r:id="rId64" o:title=""/>
            <o:lock v:ext="edit" aspectratio="f"/>
          </v:shape>
          <o:OLEObject Type="Embed" ProgID="Equation.3" ShapeID="_x0000_i1054" DrawAspect="Content" ObjectID="_1519136903" r:id="rId65"/>
        </w:object>
      </w:r>
      <w:r w:rsidRPr="000E2F9B">
        <w:rPr>
          <w:rFonts w:ascii="Times New Roman" w:hAnsi="Times New Roman"/>
          <w:sz w:val="24"/>
          <w:szCs w:val="24"/>
        </w:rPr>
        <w:t xml:space="preserve"> is a consumer-specific vector of coefficients (of dimension </w:t>
      </w:r>
      <w:r w:rsidRPr="000E2F9B">
        <w:rPr>
          <w:rFonts w:ascii="Times New Roman" w:hAnsi="Times New Roman"/>
          <w:i/>
          <w:sz w:val="24"/>
          <w:szCs w:val="24"/>
        </w:rPr>
        <w:t>D</w:t>
      </w:r>
      <w:r>
        <w:rPr>
          <w:rFonts w:ascii="Times New Roman" w:hAnsi="Times New Roman"/>
          <w:sz w:val="24"/>
          <w:szCs w:val="24"/>
        </w:rPr>
        <w:t>×1)</w:t>
      </w:r>
      <w:r w:rsidRPr="00A4309E">
        <w:rPr>
          <w:rFonts w:ascii="Times New Roman" w:hAnsi="Times New Roman"/>
          <w:sz w:val="24"/>
          <w:szCs w:val="24"/>
        </w:rPr>
        <w:t xml:space="preserve"> that allows unobserved </w:t>
      </w:r>
      <w:r>
        <w:rPr>
          <w:rFonts w:ascii="Times New Roman" w:hAnsi="Times New Roman"/>
          <w:sz w:val="24"/>
          <w:szCs w:val="24"/>
        </w:rPr>
        <w:t xml:space="preserve">taste variation across </w:t>
      </w:r>
      <w:r w:rsidR="00A17000">
        <w:rPr>
          <w:rFonts w:ascii="Times New Roman" w:hAnsi="Times New Roman"/>
          <w:sz w:val="24"/>
          <w:szCs w:val="24"/>
          <w:lang w:val="en-US"/>
        </w:rPr>
        <w:t xml:space="preserve">all </w:t>
      </w:r>
      <w:r>
        <w:rPr>
          <w:rFonts w:ascii="Times New Roman" w:hAnsi="Times New Roman"/>
          <w:sz w:val="24"/>
          <w:szCs w:val="24"/>
        </w:rPr>
        <w:t xml:space="preserve">consumers </w:t>
      </w:r>
      <w:r w:rsidRPr="00A91991">
        <w:rPr>
          <w:rFonts w:ascii="Times New Roman" w:hAnsi="Times New Roman"/>
          <w:i/>
          <w:sz w:val="24"/>
          <w:szCs w:val="24"/>
        </w:rPr>
        <w:t>q</w:t>
      </w:r>
      <w:r>
        <w:rPr>
          <w:rFonts w:ascii="Times New Roman" w:hAnsi="Times New Roman"/>
          <w:sz w:val="24"/>
          <w:szCs w:val="24"/>
        </w:rPr>
        <w:t xml:space="preserve"> in segment </w:t>
      </w:r>
      <w:r w:rsidRPr="00A91991">
        <w:rPr>
          <w:rFonts w:ascii="Times New Roman" w:hAnsi="Times New Roman"/>
          <w:i/>
          <w:sz w:val="24"/>
          <w:szCs w:val="24"/>
        </w:rPr>
        <w:t>g</w:t>
      </w:r>
      <w:r>
        <w:rPr>
          <w:rFonts w:ascii="Times New Roman" w:hAnsi="Times New Roman"/>
          <w:sz w:val="24"/>
          <w:szCs w:val="24"/>
        </w:rPr>
        <w:t xml:space="preserve"> and allows different observed responsiveness across </w:t>
      </w:r>
      <w:r w:rsidR="00A17000">
        <w:rPr>
          <w:rFonts w:ascii="Times New Roman" w:hAnsi="Times New Roman"/>
          <w:sz w:val="24"/>
          <w:szCs w:val="24"/>
          <w:lang w:val="en-US"/>
        </w:rPr>
        <w:t xml:space="preserve">all </w:t>
      </w:r>
      <w:r>
        <w:rPr>
          <w:rFonts w:ascii="Times New Roman" w:hAnsi="Times New Roman"/>
          <w:sz w:val="24"/>
          <w:szCs w:val="24"/>
        </w:rPr>
        <w:t>consumer</w:t>
      </w:r>
      <w:r w:rsidR="00A17000">
        <w:rPr>
          <w:rFonts w:ascii="Times New Roman" w:hAnsi="Times New Roman"/>
          <w:sz w:val="24"/>
          <w:szCs w:val="24"/>
          <w:lang w:val="en-US"/>
        </w:rPr>
        <w:t>s</w:t>
      </w:r>
      <w:r>
        <w:rPr>
          <w:rFonts w:ascii="Times New Roman" w:hAnsi="Times New Roman"/>
          <w:sz w:val="24"/>
          <w:szCs w:val="24"/>
        </w:rPr>
        <w:t xml:space="preserve"> </w:t>
      </w:r>
      <w:r w:rsidRPr="005654F4">
        <w:rPr>
          <w:rFonts w:ascii="Times New Roman" w:hAnsi="Times New Roman"/>
          <w:i/>
          <w:sz w:val="24"/>
          <w:szCs w:val="24"/>
        </w:rPr>
        <w:t>q</w:t>
      </w:r>
      <w:r>
        <w:rPr>
          <w:rFonts w:ascii="Times New Roman" w:hAnsi="Times New Roman"/>
          <w:sz w:val="24"/>
          <w:szCs w:val="24"/>
        </w:rPr>
        <w:t xml:space="preserve"> based on different values of the elements of the vector </w:t>
      </w:r>
      <w:r w:rsidRPr="000E2F9B">
        <w:rPr>
          <w:rFonts w:ascii="Times New Roman" w:hAnsi="Times New Roman"/>
          <w:position w:val="-14"/>
          <w:sz w:val="24"/>
          <w:szCs w:val="24"/>
        </w:rPr>
        <w:object w:dxaOrig="340" w:dyaOrig="380" w14:anchorId="1DE55ABB">
          <v:shape id="_x0000_i1055" type="#_x0000_t75" style="width:15.75pt;height:20.25pt" o:ole="">
            <v:imagedata r:id="rId62" o:title=""/>
          </v:shape>
          <o:OLEObject Type="Embed" ProgID="Equation.3" ShapeID="_x0000_i1055" DrawAspect="Content" ObjectID="_1519136904" r:id="rId66"/>
        </w:object>
      </w:r>
      <w:r>
        <w:rPr>
          <w:rFonts w:ascii="Times New Roman" w:hAnsi="Times New Roman"/>
          <w:sz w:val="24"/>
          <w:szCs w:val="24"/>
        </w:rPr>
        <w:t xml:space="preserve">. In the current paper, we consider </w:t>
      </w:r>
      <w:r w:rsidR="00621872" w:rsidRPr="000E2F9B">
        <w:rPr>
          <w:rFonts w:ascii="Times New Roman" w:hAnsi="Times New Roman"/>
          <w:position w:val="-14"/>
          <w:sz w:val="24"/>
          <w:szCs w:val="24"/>
        </w:rPr>
        <w:object w:dxaOrig="380" w:dyaOrig="380" w14:anchorId="02D66B90">
          <v:shape id="_x0000_i1056" type="#_x0000_t75" style="width:17.25pt;height:17.25pt" o:ole="" o:preferrelative="f">
            <v:imagedata r:id="rId64" o:title=""/>
            <o:lock v:ext="edit" aspectratio="f"/>
          </v:shape>
          <o:OLEObject Type="Embed" ProgID="Equation.3" ShapeID="_x0000_i1056" DrawAspect="Content" ObjectID="_1519136905" r:id="rId67"/>
        </w:object>
      </w:r>
      <w:r w:rsidRPr="00E358F9">
        <w:rPr>
          <w:rFonts w:ascii="Times New Roman" w:hAnsi="Times New Roman"/>
          <w:sz w:val="24"/>
          <w:szCs w:val="24"/>
        </w:rPr>
        <w:t xml:space="preserve"> </w:t>
      </w:r>
      <w:r>
        <w:rPr>
          <w:rFonts w:ascii="Times New Roman" w:hAnsi="Times New Roman"/>
          <w:sz w:val="24"/>
          <w:szCs w:val="24"/>
        </w:rPr>
        <w:t xml:space="preserve">to be a realization from a multivariate normal distribution: </w:t>
      </w:r>
      <w:r w:rsidR="00621872" w:rsidRPr="000E2F9B">
        <w:rPr>
          <w:rFonts w:ascii="Times New Roman" w:hAnsi="Times New Roman"/>
          <w:position w:val="-14"/>
          <w:sz w:val="24"/>
          <w:szCs w:val="24"/>
        </w:rPr>
        <w:object w:dxaOrig="1660" w:dyaOrig="380" w14:anchorId="76E92C8E">
          <v:shape id="_x0000_i1057" type="#_x0000_t75" style="width:83.25pt;height:17.25pt" o:ole="" o:preferrelative="f">
            <v:imagedata r:id="rId68" o:title=""/>
            <o:lock v:ext="edit" aspectratio="f"/>
          </v:shape>
          <o:OLEObject Type="Embed" ProgID="Equation.3" ShapeID="_x0000_i1057" DrawAspect="Content" ObjectID="_1519136906" r:id="rId69"/>
        </w:object>
      </w:r>
      <w:r w:rsidRPr="000E2F9B">
        <w:rPr>
          <w:rFonts w:ascii="Times New Roman" w:hAnsi="Times New Roman"/>
          <w:sz w:val="24"/>
          <w:szCs w:val="24"/>
        </w:rPr>
        <w:t>. For future reference, we also write</w:t>
      </w:r>
      <w:r w:rsidRPr="000E2F9B">
        <w:rPr>
          <w:rFonts w:ascii="Times New Roman" w:hAnsi="Times New Roman"/>
          <w:position w:val="-14"/>
          <w:sz w:val="24"/>
          <w:szCs w:val="24"/>
        </w:rPr>
        <w:t xml:space="preserve"> </w:t>
      </w:r>
      <w:r w:rsidR="00621872" w:rsidRPr="000E2F9B">
        <w:rPr>
          <w:rFonts w:ascii="Times New Roman" w:hAnsi="Times New Roman"/>
          <w:position w:val="-14"/>
          <w:sz w:val="24"/>
          <w:szCs w:val="24"/>
        </w:rPr>
        <w:object w:dxaOrig="1359" w:dyaOrig="400" w14:anchorId="6A5F3B19">
          <v:shape id="_x0000_i1058" type="#_x0000_t75" style="width:67.5pt;height:20.25pt" o:ole="" o:preferrelative="f">
            <v:imagedata r:id="rId70" o:title=""/>
            <o:lock v:ext="edit" aspectratio="f"/>
          </v:shape>
          <o:OLEObject Type="Embed" ProgID="Equation.3" ShapeID="_x0000_i1058" DrawAspect="Content" ObjectID="_1519136907" r:id="rId71"/>
        </w:object>
      </w:r>
      <w:r w:rsidRPr="000E2F9B">
        <w:rPr>
          <w:rFonts w:ascii="Times New Roman" w:hAnsi="Times New Roman"/>
          <w:sz w:val="24"/>
          <w:szCs w:val="24"/>
        </w:rPr>
        <w:t xml:space="preserve">, where </w:t>
      </w:r>
      <w:r w:rsidR="00621872" w:rsidRPr="000E2F9B">
        <w:rPr>
          <w:rFonts w:ascii="Times New Roman" w:hAnsi="Times New Roman"/>
          <w:position w:val="-14"/>
          <w:sz w:val="24"/>
          <w:szCs w:val="24"/>
        </w:rPr>
        <w:object w:dxaOrig="1700" w:dyaOrig="400" w14:anchorId="626B140F">
          <v:shape id="_x0000_i1059" type="#_x0000_t75" style="width:84.75pt;height:20.25pt" o:ole="" o:preferrelative="f">
            <v:imagedata r:id="rId72" o:title=""/>
            <o:lock v:ext="edit" aspectratio="f"/>
          </v:shape>
          <o:OLEObject Type="Embed" ProgID="Equation.3" ShapeID="_x0000_i1059" DrawAspect="Content" ObjectID="_1519136908" r:id="rId73"/>
        </w:object>
      </w:r>
      <w:r w:rsidRPr="000E2F9B">
        <w:rPr>
          <w:rFonts w:ascii="Times New Roman" w:hAnsi="Times New Roman"/>
          <w:sz w:val="24"/>
          <w:szCs w:val="24"/>
        </w:rPr>
        <w:t xml:space="preserve">. </w:t>
      </w:r>
    </w:p>
    <w:p w:rsidR="0008331C" w:rsidRPr="00621872" w:rsidRDefault="0008331C" w:rsidP="00A97526">
      <w:pPr>
        <w:pStyle w:val="FootnoteText"/>
        <w:spacing w:line="360" w:lineRule="auto"/>
        <w:ind w:firstLine="720"/>
        <w:rPr>
          <w:rFonts w:ascii="Times New Roman" w:hAnsi="Times New Roman"/>
          <w:sz w:val="24"/>
          <w:szCs w:val="24"/>
          <w:lang w:val="en-US"/>
        </w:rPr>
      </w:pPr>
      <w:r w:rsidRPr="00A626FE">
        <w:rPr>
          <w:rFonts w:ascii="Times New Roman" w:hAnsi="Times New Roman"/>
          <w:sz w:val="24"/>
          <w:szCs w:val="24"/>
        </w:rPr>
        <w:t xml:space="preserve">The optimal consumption vector </w:t>
      </w:r>
      <w:r w:rsidR="00621872" w:rsidRPr="000E2F9B">
        <w:rPr>
          <w:rFonts w:ascii="Times New Roman" w:hAnsi="Times New Roman"/>
          <w:position w:val="-14"/>
          <w:sz w:val="24"/>
          <w:szCs w:val="24"/>
        </w:rPr>
        <w:object w:dxaOrig="300" w:dyaOrig="380" w14:anchorId="40ED6575">
          <v:shape id="_x0000_i1060" type="#_x0000_t75" style="width:15pt;height:17.25pt" o:ole="" o:preferrelative="f">
            <v:imagedata r:id="rId74" o:title=""/>
            <o:lock v:ext="edit" aspectratio="f"/>
          </v:shape>
          <o:OLEObject Type="Embed" ProgID="Equation.3" ShapeID="_x0000_i1060" DrawAspect="Content" ObjectID="_1519136909" r:id="rId75"/>
        </w:object>
      </w:r>
      <w:r>
        <w:rPr>
          <w:rFonts w:ascii="Times New Roman" w:hAnsi="Times New Roman"/>
          <w:sz w:val="24"/>
          <w:szCs w:val="24"/>
        </w:rPr>
        <w:t xml:space="preserve"> can be solved based on the constrained optimization problem of Equation (1) by forming the </w:t>
      </w:r>
      <w:proofErr w:type="spellStart"/>
      <w:r>
        <w:rPr>
          <w:rFonts w:ascii="Times New Roman" w:hAnsi="Times New Roman"/>
          <w:sz w:val="24"/>
          <w:szCs w:val="24"/>
        </w:rPr>
        <w:t>Lagrangian</w:t>
      </w:r>
      <w:proofErr w:type="spellEnd"/>
      <w:r>
        <w:rPr>
          <w:rFonts w:ascii="Times New Roman" w:hAnsi="Times New Roman"/>
          <w:sz w:val="24"/>
          <w:szCs w:val="24"/>
        </w:rPr>
        <w:t xml:space="preserve"> </w:t>
      </w:r>
      <w:r w:rsidR="0057510E">
        <w:rPr>
          <w:rFonts w:ascii="Times New Roman" w:hAnsi="Times New Roman"/>
          <w:sz w:val="24"/>
          <w:szCs w:val="24"/>
          <w:lang w:val="en-US"/>
        </w:rPr>
        <w:t>function</w:t>
      </w:r>
      <w:r w:rsidR="00A17000" w:rsidRPr="00A17000">
        <w:rPr>
          <w:rFonts w:ascii="Times New Roman" w:hAnsi="Times New Roman"/>
          <w:sz w:val="24"/>
          <w:szCs w:val="24"/>
        </w:rPr>
        <w:t xml:space="preserve"> </w:t>
      </w:r>
      <w:r>
        <w:rPr>
          <w:rFonts w:ascii="Times New Roman" w:hAnsi="Times New Roman"/>
          <w:sz w:val="24"/>
          <w:szCs w:val="24"/>
        </w:rPr>
        <w:t xml:space="preserve">and applying the KKT conditions, conditional on the individual belonging to segment </w:t>
      </w:r>
      <w:r w:rsidRPr="00A626FE">
        <w:rPr>
          <w:rFonts w:ascii="Times New Roman" w:hAnsi="Times New Roman"/>
          <w:i/>
          <w:sz w:val="24"/>
          <w:szCs w:val="24"/>
        </w:rPr>
        <w:t>g</w:t>
      </w:r>
      <w:r>
        <w:rPr>
          <w:rFonts w:ascii="Times New Roman" w:hAnsi="Times New Roman"/>
          <w:sz w:val="24"/>
          <w:szCs w:val="24"/>
        </w:rPr>
        <w:t xml:space="preserve">. The </w:t>
      </w:r>
      <w:proofErr w:type="spellStart"/>
      <w:r>
        <w:rPr>
          <w:rFonts w:ascii="Times New Roman" w:hAnsi="Times New Roman"/>
          <w:sz w:val="24"/>
          <w:szCs w:val="24"/>
        </w:rPr>
        <w:t>Lagrangian</w:t>
      </w:r>
      <w:proofErr w:type="spellEnd"/>
      <w:r>
        <w:rPr>
          <w:rFonts w:ascii="Times New Roman" w:hAnsi="Times New Roman"/>
          <w:sz w:val="24"/>
          <w:szCs w:val="24"/>
        </w:rPr>
        <w:t xml:space="preserve"> </w:t>
      </w:r>
      <w:r w:rsidR="0057510E">
        <w:rPr>
          <w:rFonts w:ascii="Times New Roman" w:hAnsi="Times New Roman"/>
          <w:sz w:val="24"/>
          <w:szCs w:val="24"/>
          <w:lang w:val="en-US"/>
        </w:rPr>
        <w:t>function</w:t>
      </w:r>
      <w:r w:rsidR="00A17000" w:rsidRPr="00A17000">
        <w:rPr>
          <w:rFonts w:ascii="Times New Roman" w:hAnsi="Times New Roman"/>
          <w:sz w:val="24"/>
          <w:szCs w:val="24"/>
        </w:rPr>
        <w:t xml:space="preserve"> </w:t>
      </w:r>
      <w:r w:rsidRPr="00621872">
        <w:rPr>
          <w:rFonts w:ascii="Times New Roman" w:hAnsi="Times New Roman"/>
          <w:sz w:val="24"/>
          <w:szCs w:val="24"/>
        </w:rPr>
        <w:t>for the problem is</w:t>
      </w:r>
      <w:r w:rsidR="007D2AE0" w:rsidRPr="00621872">
        <w:rPr>
          <w:rFonts w:ascii="Times New Roman" w:hAnsi="Times New Roman"/>
          <w:sz w:val="24"/>
          <w:szCs w:val="24"/>
        </w:rPr>
        <w:t xml:space="preserve"> </w:t>
      </w:r>
      <w:r w:rsidR="00E87837" w:rsidRPr="00621872">
        <w:rPr>
          <w:rFonts w:ascii="Times New Roman" w:hAnsi="Times New Roman"/>
          <w:sz w:val="24"/>
          <w:szCs w:val="24"/>
          <w:lang w:val="en-US"/>
        </w:rPr>
        <w:t>provided</w:t>
      </w:r>
      <w:r w:rsidR="007D2AE0" w:rsidRPr="00621872">
        <w:rPr>
          <w:rFonts w:ascii="Times New Roman" w:hAnsi="Times New Roman"/>
          <w:sz w:val="24"/>
          <w:szCs w:val="24"/>
        </w:rPr>
        <w:t xml:space="preserve"> in Equation </w:t>
      </w:r>
      <w:r w:rsidR="003D2308" w:rsidRPr="00621872">
        <w:rPr>
          <w:rFonts w:ascii="Times New Roman" w:hAnsi="Times New Roman"/>
          <w:sz w:val="24"/>
          <w:szCs w:val="24"/>
          <w:lang w:val="en-US"/>
        </w:rPr>
        <w:t>(</w:t>
      </w:r>
      <w:r w:rsidR="007D2AE0" w:rsidRPr="00621872">
        <w:rPr>
          <w:rFonts w:ascii="Times New Roman" w:hAnsi="Times New Roman"/>
          <w:sz w:val="24"/>
          <w:szCs w:val="24"/>
          <w:lang w:val="en-US"/>
        </w:rPr>
        <w:t>3</w:t>
      </w:r>
      <w:r w:rsidR="003D2308" w:rsidRPr="00621872">
        <w:rPr>
          <w:rFonts w:ascii="Times New Roman" w:hAnsi="Times New Roman"/>
          <w:sz w:val="24"/>
          <w:szCs w:val="24"/>
          <w:lang w:val="en-US"/>
        </w:rPr>
        <w:t>)</w:t>
      </w:r>
      <w:r w:rsidRPr="00621872">
        <w:rPr>
          <w:rFonts w:ascii="Times New Roman" w:hAnsi="Times New Roman"/>
          <w:sz w:val="24"/>
          <w:szCs w:val="24"/>
        </w:rPr>
        <w:t>:</w:t>
      </w:r>
    </w:p>
    <w:p w:rsidR="00621872" w:rsidRPr="00621872" w:rsidRDefault="00B87421" w:rsidP="00621872">
      <w:pPr>
        <w:pStyle w:val="FootnoteText"/>
        <w:tabs>
          <w:tab w:val="right" w:pos="9360"/>
        </w:tabs>
        <w:spacing w:line="360" w:lineRule="auto"/>
        <w:rPr>
          <w:rFonts w:ascii="Times New Roman" w:hAnsi="Times New Roman"/>
          <w:sz w:val="24"/>
          <w:szCs w:val="24"/>
          <w:lang w:val="en-US"/>
        </w:rPr>
      </w:pPr>
      <w:r w:rsidRPr="00621872">
        <w:rPr>
          <w:rFonts w:ascii="Times New Roman" w:hAnsi="Times New Roman"/>
          <w:position w:val="-42"/>
          <w:sz w:val="24"/>
          <w:szCs w:val="24"/>
        </w:rPr>
        <w:object w:dxaOrig="8800" w:dyaOrig="960">
          <v:shape id="_x0000_i1061" type="#_x0000_t75" style="width:440.25pt;height:48pt" o:ole="" o:preferrelative="f">
            <v:imagedata r:id="rId76" o:title=""/>
            <o:lock v:ext="edit" aspectratio="f"/>
          </v:shape>
          <o:OLEObject Type="Embed" ProgID="Equation.3" ShapeID="_x0000_i1061" DrawAspect="Content" ObjectID="_1519136910" r:id="rId77"/>
        </w:object>
      </w:r>
      <w:r w:rsidR="00621872">
        <w:rPr>
          <w:rFonts w:ascii="Times New Roman" w:hAnsi="Times New Roman"/>
          <w:sz w:val="24"/>
          <w:szCs w:val="24"/>
          <w:lang w:val="en-US"/>
        </w:rPr>
        <w:tab/>
      </w:r>
      <w:r w:rsidR="00621872" w:rsidRPr="00621872">
        <w:rPr>
          <w:rFonts w:ascii="Times New Roman" w:hAnsi="Times New Roman"/>
          <w:sz w:val="24"/>
          <w:szCs w:val="24"/>
        </w:rPr>
        <w:t>(3)</w:t>
      </w:r>
    </w:p>
    <w:p w:rsidR="0008331C" w:rsidRDefault="0008331C" w:rsidP="00966971">
      <w:pPr>
        <w:spacing w:line="360" w:lineRule="auto"/>
        <w:rPr>
          <w:szCs w:val="24"/>
        </w:rPr>
      </w:pPr>
      <w:proofErr w:type="gramStart"/>
      <w:r w:rsidRPr="0036752B">
        <w:rPr>
          <w:szCs w:val="24"/>
        </w:rPr>
        <w:t>where</w:t>
      </w:r>
      <w:proofErr w:type="gramEnd"/>
      <w:r w:rsidRPr="0036752B">
        <w:rPr>
          <w:szCs w:val="24"/>
        </w:rPr>
        <w:t xml:space="preserve"> </w:t>
      </w:r>
      <w:r w:rsidR="00621872" w:rsidRPr="0036752B">
        <w:rPr>
          <w:position w:val="-14"/>
          <w:szCs w:val="24"/>
        </w:rPr>
        <w:object w:dxaOrig="360" w:dyaOrig="380" w14:anchorId="0E438410">
          <v:shape id="_x0000_i1062" type="#_x0000_t75" style="width:18.75pt;height:17.25pt;mso-position-vertical:absolute" o:ole="" o:preferrelative="f">
            <v:imagedata r:id="rId78" o:title=""/>
            <o:lock v:ext="edit" aspectratio="f"/>
          </v:shape>
          <o:OLEObject Type="Embed" ProgID="Equation.3" ShapeID="_x0000_i1062" DrawAspect="Content" ObjectID="_1519136911" r:id="rId79"/>
        </w:object>
      </w:r>
      <w:r w:rsidRPr="0036752B">
        <w:rPr>
          <w:szCs w:val="24"/>
        </w:rPr>
        <w:t xml:space="preserve"> is </w:t>
      </w:r>
      <w:r>
        <w:rPr>
          <w:szCs w:val="24"/>
        </w:rPr>
        <w:t xml:space="preserve">a </w:t>
      </w:r>
      <w:r w:rsidR="00451361">
        <w:rPr>
          <w:szCs w:val="24"/>
        </w:rPr>
        <w:t xml:space="preserve">segment </w:t>
      </w:r>
      <w:r w:rsidRPr="00F23740">
        <w:rPr>
          <w:i/>
          <w:szCs w:val="24"/>
        </w:rPr>
        <w:t>g</w:t>
      </w:r>
      <w:r>
        <w:rPr>
          <w:szCs w:val="24"/>
        </w:rPr>
        <w:t xml:space="preserve">-specific </w:t>
      </w:r>
      <w:proofErr w:type="spellStart"/>
      <w:r w:rsidRPr="0036752B">
        <w:rPr>
          <w:szCs w:val="24"/>
        </w:rPr>
        <w:t>Lagrangian</w:t>
      </w:r>
      <w:proofErr w:type="spellEnd"/>
      <w:r w:rsidRPr="0036752B">
        <w:rPr>
          <w:szCs w:val="24"/>
        </w:rPr>
        <w:t xml:space="preserve"> multiplier associated </w:t>
      </w:r>
      <w:r>
        <w:rPr>
          <w:szCs w:val="24"/>
        </w:rPr>
        <w:t xml:space="preserve">with the expenditure constraint. </w:t>
      </w:r>
      <w:r w:rsidRPr="0036752B">
        <w:rPr>
          <w:szCs w:val="24"/>
        </w:rPr>
        <w:t xml:space="preserve">The </w:t>
      </w:r>
      <w:r>
        <w:rPr>
          <w:szCs w:val="24"/>
        </w:rPr>
        <w:t>K</w:t>
      </w:r>
      <w:r w:rsidRPr="0036752B">
        <w:rPr>
          <w:szCs w:val="24"/>
        </w:rPr>
        <w:t xml:space="preserve">KT first-order conditions for the optimal </w:t>
      </w:r>
      <w:proofErr w:type="gramStart"/>
      <w:r w:rsidRPr="0036752B">
        <w:rPr>
          <w:szCs w:val="24"/>
        </w:rPr>
        <w:t xml:space="preserve">consumption </w:t>
      </w:r>
      <w:proofErr w:type="gramEnd"/>
      <w:r w:rsidR="00621872" w:rsidRPr="0036752B">
        <w:rPr>
          <w:position w:val="-14"/>
          <w:szCs w:val="24"/>
        </w:rPr>
        <w:object w:dxaOrig="340" w:dyaOrig="400" w14:anchorId="4F2E044C">
          <v:shape id="_x0000_i1063" type="#_x0000_t75" style="width:17.25pt;height:20.25pt" o:ole="" o:preferrelative="f">
            <v:imagedata r:id="rId80" o:title=""/>
            <o:lock v:ext="edit" aspectratio="f"/>
          </v:shape>
          <o:OLEObject Type="Embed" ProgID="Equation.3" ShapeID="_x0000_i1063" DrawAspect="Content" ObjectID="_1519136912" r:id="rId81"/>
        </w:object>
      </w:r>
      <w:r w:rsidR="007176F2">
        <w:rPr>
          <w:szCs w:val="24"/>
        </w:rPr>
        <w:t>,</w:t>
      </w:r>
      <w:r w:rsidRPr="0036752B">
        <w:rPr>
          <w:szCs w:val="24"/>
        </w:rPr>
        <w:t xml:space="preserve"> </w:t>
      </w:r>
      <w:r>
        <w:rPr>
          <w:szCs w:val="24"/>
        </w:rPr>
        <w:t xml:space="preserve">given </w:t>
      </w:r>
      <w:r w:rsidR="007176F2">
        <w:rPr>
          <w:szCs w:val="24"/>
        </w:rPr>
        <w:t xml:space="preserve">that </w:t>
      </w:r>
      <w:r>
        <w:rPr>
          <w:szCs w:val="24"/>
        </w:rPr>
        <w:t xml:space="preserve">consumer </w:t>
      </w:r>
      <w:r w:rsidRPr="00F23740">
        <w:rPr>
          <w:i/>
          <w:szCs w:val="24"/>
        </w:rPr>
        <w:t>q</w:t>
      </w:r>
      <w:r>
        <w:rPr>
          <w:szCs w:val="24"/>
        </w:rPr>
        <w:t xml:space="preserve"> belongs to segment </w:t>
      </w:r>
      <w:r w:rsidRPr="00F23740">
        <w:rPr>
          <w:i/>
          <w:szCs w:val="24"/>
        </w:rPr>
        <w:t>g</w:t>
      </w:r>
      <w:r>
        <w:rPr>
          <w:szCs w:val="24"/>
        </w:rPr>
        <w:t>, are</w:t>
      </w:r>
      <w:r w:rsidR="007D2AE0">
        <w:rPr>
          <w:szCs w:val="24"/>
        </w:rPr>
        <w:t xml:space="preserve"> as shown in Equation </w:t>
      </w:r>
      <w:r w:rsidR="003D2308">
        <w:rPr>
          <w:szCs w:val="24"/>
        </w:rPr>
        <w:t>(</w:t>
      </w:r>
      <w:r w:rsidR="007D2AE0">
        <w:rPr>
          <w:szCs w:val="24"/>
        </w:rPr>
        <w:t>4</w:t>
      </w:r>
      <w:r w:rsidR="003D2308">
        <w:rPr>
          <w:szCs w:val="24"/>
        </w:rPr>
        <w:t>)</w:t>
      </w:r>
      <w:r w:rsidRPr="0036752B">
        <w:rPr>
          <w:szCs w:val="24"/>
        </w:rPr>
        <w:t>:</w:t>
      </w:r>
    </w:p>
    <w:p w:rsidR="00B87421" w:rsidRDefault="00B87421" w:rsidP="00B87421">
      <w:pPr>
        <w:tabs>
          <w:tab w:val="right" w:pos="9360"/>
        </w:tabs>
        <w:spacing w:line="360" w:lineRule="auto"/>
        <w:rPr>
          <w:szCs w:val="24"/>
        </w:rPr>
      </w:pPr>
      <w:r w:rsidRPr="00B87421">
        <w:rPr>
          <w:position w:val="-82"/>
          <w:szCs w:val="24"/>
        </w:rPr>
        <w:object w:dxaOrig="6940" w:dyaOrig="1760">
          <v:shape id="_x0000_i1064" type="#_x0000_t75" style="width:347.25pt;height:87.75pt" o:ole="" o:preferrelative="f">
            <v:imagedata r:id="rId82" o:title=""/>
            <o:lock v:ext="edit" aspectratio="f"/>
          </v:shape>
          <o:OLEObject Type="Embed" ProgID="Equation.3" ShapeID="_x0000_i1064" DrawAspect="Content" ObjectID="_1519136913" r:id="rId83"/>
        </w:object>
      </w:r>
      <w:r>
        <w:rPr>
          <w:szCs w:val="24"/>
        </w:rPr>
        <w:t xml:space="preserve"> </w:t>
      </w:r>
      <w:r>
        <w:rPr>
          <w:szCs w:val="24"/>
        </w:rPr>
        <w:tab/>
        <w:t>(4)</w:t>
      </w:r>
    </w:p>
    <w:p w:rsidR="0008331C" w:rsidRDefault="0008331C" w:rsidP="00966971">
      <w:pPr>
        <w:spacing w:line="360" w:lineRule="auto"/>
        <w:ind w:firstLine="720"/>
        <w:rPr>
          <w:szCs w:val="24"/>
        </w:rPr>
      </w:pPr>
      <w:r w:rsidRPr="0036752B">
        <w:rPr>
          <w:szCs w:val="24"/>
        </w:rPr>
        <w:lastRenderedPageBreak/>
        <w:t>The optimal demand</w:t>
      </w:r>
      <w:r>
        <w:rPr>
          <w:szCs w:val="24"/>
        </w:rPr>
        <w:t>, conditional on individual</w:t>
      </w:r>
      <w:r w:rsidRPr="00FB3633">
        <w:rPr>
          <w:i/>
          <w:szCs w:val="24"/>
        </w:rPr>
        <w:t xml:space="preserve"> q</w:t>
      </w:r>
      <w:r>
        <w:rPr>
          <w:szCs w:val="24"/>
        </w:rPr>
        <w:t xml:space="preserve"> belonging to segment </w:t>
      </w:r>
      <w:r w:rsidRPr="00FB3633">
        <w:rPr>
          <w:i/>
          <w:szCs w:val="24"/>
        </w:rPr>
        <w:t>g</w:t>
      </w:r>
      <w:r>
        <w:rPr>
          <w:szCs w:val="24"/>
        </w:rPr>
        <w:t>,</w:t>
      </w:r>
      <w:r w:rsidRPr="0036752B">
        <w:rPr>
          <w:szCs w:val="24"/>
        </w:rPr>
        <w:t xml:space="preserve"> satisfies the</w:t>
      </w:r>
      <w:r>
        <w:rPr>
          <w:szCs w:val="24"/>
        </w:rPr>
        <w:t xml:space="preserve"> above</w:t>
      </w:r>
      <w:r w:rsidRPr="0036752B">
        <w:rPr>
          <w:szCs w:val="24"/>
        </w:rPr>
        <w:t xml:space="preserve"> conditions </w:t>
      </w:r>
      <w:r>
        <w:rPr>
          <w:szCs w:val="24"/>
        </w:rPr>
        <w:t>and</w:t>
      </w:r>
      <w:r w:rsidRPr="0036752B">
        <w:rPr>
          <w:szCs w:val="24"/>
        </w:rPr>
        <w:t xml:space="preserve"> the budget constraint </w:t>
      </w:r>
      <w:r w:rsidR="00B87421" w:rsidRPr="0036752B">
        <w:rPr>
          <w:position w:val="-28"/>
          <w:szCs w:val="24"/>
        </w:rPr>
        <w:object w:dxaOrig="1480" w:dyaOrig="680" w14:anchorId="5E7DCB72">
          <v:shape id="_x0000_i1065" type="#_x0000_t75" style="width:74.25pt;height:33pt" o:ole="" o:preferrelative="f">
            <v:imagedata r:id="rId84" o:title=""/>
            <o:lock v:ext="edit" aspectratio="f"/>
          </v:shape>
          <o:OLEObject Type="Embed" ProgID="Equation.3" ShapeID="_x0000_i1065" DrawAspect="Content" ObjectID="_1519136914" r:id="rId85"/>
        </w:object>
      </w:r>
      <w:r w:rsidRPr="0036752B">
        <w:rPr>
          <w:szCs w:val="24"/>
        </w:rPr>
        <w:t xml:space="preserve"> The budget constraint implies that only </w:t>
      </w:r>
      <w:r w:rsidRPr="0036752B">
        <w:rPr>
          <w:i/>
          <w:szCs w:val="24"/>
        </w:rPr>
        <w:t>K</w:t>
      </w:r>
      <w:r>
        <w:rPr>
          <w:szCs w:val="24"/>
        </w:rPr>
        <w:t>–</w:t>
      </w:r>
      <w:r w:rsidRPr="0036752B">
        <w:rPr>
          <w:szCs w:val="24"/>
        </w:rPr>
        <w:t xml:space="preserve">1 of the </w:t>
      </w:r>
      <w:r w:rsidRPr="0036752B">
        <w:rPr>
          <w:position w:val="-14"/>
          <w:szCs w:val="24"/>
        </w:rPr>
        <w:object w:dxaOrig="340" w:dyaOrig="400" w14:anchorId="1AF2AC28">
          <v:shape id="_x0000_i1066" type="#_x0000_t75" style="width:15.75pt;height:20.25pt" o:ole="">
            <v:imagedata r:id="rId86" o:title=""/>
          </v:shape>
          <o:OLEObject Type="Embed" ProgID="Equation.3" ShapeID="_x0000_i1066" DrawAspect="Content" ObjectID="_1519136915" r:id="rId87"/>
        </w:object>
      </w:r>
      <w:r w:rsidRPr="0036752B">
        <w:rPr>
          <w:szCs w:val="24"/>
        </w:rPr>
        <w:t xml:space="preserve"> values need to be estimated</w:t>
      </w:r>
      <w:r>
        <w:rPr>
          <w:szCs w:val="24"/>
        </w:rPr>
        <w:t xml:space="preserve">. </w:t>
      </w:r>
      <w:r w:rsidRPr="0036752B">
        <w:rPr>
          <w:szCs w:val="24"/>
        </w:rPr>
        <w:t xml:space="preserve">To accommodate this </w:t>
      </w:r>
      <w:r>
        <w:rPr>
          <w:szCs w:val="24"/>
        </w:rPr>
        <w:t>singularity</w:t>
      </w:r>
      <w:r w:rsidRPr="0036752B">
        <w:rPr>
          <w:szCs w:val="24"/>
        </w:rPr>
        <w:t xml:space="preserve">, let </w:t>
      </w:r>
      <w:r w:rsidRPr="00470EE9">
        <w:rPr>
          <w:position w:val="-14"/>
          <w:szCs w:val="24"/>
        </w:rPr>
        <w:object w:dxaOrig="320" w:dyaOrig="380" w14:anchorId="6AC348E7">
          <v:shape id="_x0000_i1067" type="#_x0000_t75" style="width:15.75pt;height:20.25pt" o:ole="">
            <v:imagedata r:id="rId88" o:title=""/>
          </v:shape>
          <o:OLEObject Type="Embed" ProgID="Equation.3" ShapeID="_x0000_i1067" DrawAspect="Content" ObjectID="_1519136916" r:id="rId89"/>
        </w:object>
      </w:r>
      <w:r w:rsidRPr="0036752B">
        <w:rPr>
          <w:szCs w:val="24"/>
        </w:rPr>
        <w:t xml:space="preserve"> be</w:t>
      </w:r>
      <w:r>
        <w:rPr>
          <w:szCs w:val="24"/>
        </w:rPr>
        <w:t>, without loss of generality,</w:t>
      </w:r>
      <w:r w:rsidRPr="0036752B">
        <w:rPr>
          <w:szCs w:val="24"/>
        </w:rPr>
        <w:t xml:space="preserve"> the consumed good with the lowest value of </w:t>
      </w:r>
      <w:r w:rsidRPr="0036752B">
        <w:rPr>
          <w:i/>
          <w:szCs w:val="24"/>
        </w:rPr>
        <w:t xml:space="preserve">k </w:t>
      </w:r>
      <w:r w:rsidRPr="0036752B">
        <w:rPr>
          <w:szCs w:val="24"/>
        </w:rPr>
        <w:t xml:space="preserve">for the </w:t>
      </w:r>
      <w:proofErr w:type="spellStart"/>
      <w:r w:rsidRPr="00CB7A89">
        <w:rPr>
          <w:i/>
          <w:szCs w:val="24"/>
        </w:rPr>
        <w:t>q</w:t>
      </w:r>
      <w:r w:rsidRPr="00CB7A89">
        <w:rPr>
          <w:i/>
          <w:szCs w:val="24"/>
          <w:vertAlign w:val="superscript"/>
        </w:rPr>
        <w:t>th</w:t>
      </w:r>
      <w:proofErr w:type="spellEnd"/>
      <w:r w:rsidRPr="0036752B">
        <w:rPr>
          <w:szCs w:val="24"/>
        </w:rPr>
        <w:t xml:space="preserve"> </w:t>
      </w:r>
      <w:r>
        <w:rPr>
          <w:szCs w:val="24"/>
        </w:rPr>
        <w:t xml:space="preserve">consumer (note that the consumer must consume at least one good </w:t>
      </w:r>
      <w:proofErr w:type="gramStart"/>
      <w:r>
        <w:rPr>
          <w:szCs w:val="24"/>
        </w:rPr>
        <w:t xml:space="preserve">given </w:t>
      </w:r>
      <w:proofErr w:type="gramEnd"/>
      <w:r w:rsidRPr="0036752B">
        <w:rPr>
          <w:position w:val="-14"/>
          <w:szCs w:val="24"/>
        </w:rPr>
        <w:object w:dxaOrig="680" w:dyaOrig="380" w14:anchorId="60D0C5F8">
          <v:shape id="_x0000_i1068" type="#_x0000_t75" style="width:36.75pt;height:20.25pt" o:ole="">
            <v:imagedata r:id="rId90" o:title=""/>
          </v:shape>
          <o:OLEObject Type="Embed" ProgID="Equation.3" ShapeID="_x0000_i1068" DrawAspect="Content" ObjectID="_1519136917" r:id="rId91"/>
        </w:object>
      </w:r>
      <w:r>
        <w:rPr>
          <w:szCs w:val="24"/>
        </w:rPr>
        <w:t>)</w:t>
      </w:r>
      <w:r w:rsidRPr="0036752B">
        <w:rPr>
          <w:szCs w:val="24"/>
        </w:rPr>
        <w:t>. For</w:t>
      </w:r>
      <w:r>
        <w:rPr>
          <w:szCs w:val="24"/>
        </w:rPr>
        <w:t xml:space="preserve"> this</w:t>
      </w:r>
      <w:r w:rsidRPr="0036752B">
        <w:rPr>
          <w:szCs w:val="24"/>
        </w:rPr>
        <w:t xml:space="preserve"> </w:t>
      </w:r>
      <w:r w:rsidRPr="00470EE9">
        <w:rPr>
          <w:position w:val="-14"/>
          <w:szCs w:val="24"/>
        </w:rPr>
        <w:object w:dxaOrig="360" w:dyaOrig="400" w14:anchorId="4447A531">
          <v:shape id="_x0000_i1069" type="#_x0000_t75" style="width:15.75pt;height:20.25pt" o:ole="">
            <v:imagedata r:id="rId92" o:title=""/>
          </v:shape>
          <o:OLEObject Type="Embed" ProgID="Equation.3" ShapeID="_x0000_i1069" DrawAspect="Content" ObjectID="_1519136918" r:id="rId93"/>
        </w:object>
      </w:r>
      <w:r>
        <w:rPr>
          <w:szCs w:val="24"/>
        </w:rPr>
        <w:t xml:space="preserve"> good</w:t>
      </w:r>
      <w:proofErr w:type="gramStart"/>
      <w:r>
        <w:rPr>
          <w:szCs w:val="24"/>
        </w:rPr>
        <w:t xml:space="preserve">, </w:t>
      </w:r>
      <w:proofErr w:type="gramEnd"/>
      <w:r w:rsidRPr="00431DD4">
        <w:rPr>
          <w:position w:val="-16"/>
          <w:szCs w:val="24"/>
        </w:rPr>
        <w:object w:dxaOrig="800" w:dyaOrig="420" w14:anchorId="0B992A70">
          <v:shape id="_x0000_i1070" type="#_x0000_t75" style="width:42pt;height:20.25pt" o:ole="">
            <v:imagedata r:id="rId94" o:title=""/>
          </v:shape>
          <o:OLEObject Type="Embed" ProgID="Equation.3" ShapeID="_x0000_i1070" DrawAspect="Content" ObjectID="_1519136919" r:id="rId95"/>
        </w:object>
      </w:r>
      <w:r>
        <w:rPr>
          <w:szCs w:val="24"/>
        </w:rPr>
        <w:t>,</w:t>
      </w:r>
      <w:r w:rsidR="003D2308">
        <w:rPr>
          <w:szCs w:val="24"/>
        </w:rPr>
        <w:t xml:space="preserve"> </w:t>
      </w:r>
      <w:r>
        <w:rPr>
          <w:szCs w:val="24"/>
        </w:rPr>
        <w:t xml:space="preserve">which implies </w:t>
      </w:r>
      <w:r w:rsidR="006F2550">
        <w:rPr>
          <w:szCs w:val="24"/>
        </w:rPr>
        <w:t xml:space="preserve">Equation (5) </w:t>
      </w:r>
      <w:r>
        <w:rPr>
          <w:szCs w:val="24"/>
        </w:rPr>
        <w:t>from the first set of KKT conditions in Equation (4)</w:t>
      </w:r>
      <w:r w:rsidRPr="0036752B">
        <w:rPr>
          <w:szCs w:val="24"/>
        </w:rPr>
        <w:t>:</w:t>
      </w:r>
    </w:p>
    <w:p w:rsidR="00621872" w:rsidRDefault="00320DF9" w:rsidP="00621872">
      <w:pPr>
        <w:tabs>
          <w:tab w:val="right" w:pos="9360"/>
        </w:tabs>
        <w:spacing w:line="360" w:lineRule="auto"/>
        <w:rPr>
          <w:szCs w:val="24"/>
        </w:rPr>
      </w:pPr>
      <w:r w:rsidRPr="0036752B">
        <w:rPr>
          <w:position w:val="-38"/>
          <w:szCs w:val="24"/>
        </w:rPr>
        <w:object w:dxaOrig="4220" w:dyaOrig="920">
          <v:shape id="_x0000_i1071" type="#_x0000_t75" style="width:210.75pt;height:47.25pt" o:ole="" o:preferrelative="f">
            <v:imagedata r:id="rId96" o:title=""/>
            <o:lock v:ext="edit" aspectratio="f"/>
          </v:shape>
          <o:OLEObject Type="Embed" ProgID="Equation.3" ShapeID="_x0000_i1071" DrawAspect="Content" ObjectID="_1519136920" r:id="rId97"/>
        </w:object>
      </w:r>
      <w:r w:rsidR="00621872">
        <w:rPr>
          <w:szCs w:val="24"/>
        </w:rPr>
        <w:t xml:space="preserve"> </w:t>
      </w:r>
      <w:r w:rsidR="00621872">
        <w:rPr>
          <w:szCs w:val="24"/>
        </w:rPr>
        <w:tab/>
        <w:t>(5</w:t>
      </w:r>
      <w:r w:rsidR="00621872" w:rsidRPr="0036752B">
        <w:rPr>
          <w:szCs w:val="24"/>
        </w:rPr>
        <w:t>)</w:t>
      </w:r>
    </w:p>
    <w:p w:rsidR="00320DF9" w:rsidRDefault="0008331C" w:rsidP="00966971">
      <w:pPr>
        <w:spacing w:line="360" w:lineRule="auto"/>
        <w:rPr>
          <w:szCs w:val="24"/>
        </w:rPr>
      </w:pPr>
      <w:r>
        <w:rPr>
          <w:szCs w:val="24"/>
        </w:rPr>
        <w:t>Substituting back in</w:t>
      </w:r>
      <w:r w:rsidRPr="0036752B">
        <w:rPr>
          <w:szCs w:val="24"/>
        </w:rPr>
        <w:t xml:space="preserve"> Equation (</w:t>
      </w:r>
      <w:r>
        <w:rPr>
          <w:szCs w:val="24"/>
        </w:rPr>
        <w:t>4</w:t>
      </w:r>
      <w:r w:rsidRPr="0036752B">
        <w:rPr>
          <w:szCs w:val="24"/>
        </w:rPr>
        <w:t>) for the other goods</w:t>
      </w:r>
      <w:r>
        <w:rPr>
          <w:szCs w:val="24"/>
        </w:rPr>
        <w:t xml:space="preserve"> </w:t>
      </w:r>
      <w:r w:rsidRPr="00121B5C">
        <w:rPr>
          <w:i/>
          <w:szCs w:val="24"/>
        </w:rPr>
        <w:t>k</w:t>
      </w:r>
      <w:r>
        <w:rPr>
          <w:i/>
          <w:szCs w:val="24"/>
        </w:rPr>
        <w:t xml:space="preserve"> </w:t>
      </w:r>
      <w:r w:rsidRPr="00121B5C">
        <w:rPr>
          <w:szCs w:val="24"/>
        </w:rPr>
        <w:t>(</w:t>
      </w:r>
      <w:r w:rsidR="000F7C05" w:rsidRPr="00121B5C">
        <w:rPr>
          <w:position w:val="-10"/>
          <w:szCs w:val="24"/>
        </w:rPr>
        <w:object w:dxaOrig="1219" w:dyaOrig="320" w14:anchorId="589AD844">
          <v:shape id="_x0000_i1072" type="#_x0000_t75" style="width:60.75pt;height:15.75pt" o:ole="" o:preferrelative="f">
            <v:imagedata r:id="rId98" o:title=""/>
            <o:lock v:ext="edit" aspectratio="f"/>
          </v:shape>
          <o:OLEObject Type="Embed" ProgID="Equation.3" ShapeID="_x0000_i1072" DrawAspect="Content" ObjectID="_1519136921" r:id="rId99"/>
        </w:object>
      </w:r>
      <w:r>
        <w:rPr>
          <w:szCs w:val="24"/>
        </w:rPr>
        <w:t>;</w:t>
      </w:r>
      <w:r w:rsidR="000F7C05" w:rsidRPr="0036752B">
        <w:rPr>
          <w:position w:val="-14"/>
          <w:szCs w:val="24"/>
        </w:rPr>
        <w:object w:dxaOrig="700" w:dyaOrig="380" w14:anchorId="47679DE4">
          <v:shape id="_x0000_i1073" type="#_x0000_t75" style="width:35.25pt;height:17.25pt" o:ole="" o:preferrelative="f">
            <v:imagedata r:id="rId100" o:title=""/>
            <o:lock v:ext="edit" aspectratio="f"/>
          </v:shape>
          <o:OLEObject Type="Embed" ProgID="Equation.3" ShapeID="_x0000_i1073" DrawAspect="Content" ObjectID="_1519136922" r:id="rId101"/>
        </w:object>
      </w:r>
      <w:r w:rsidRPr="00121B5C">
        <w:rPr>
          <w:szCs w:val="24"/>
        </w:rPr>
        <w:t>)</w:t>
      </w:r>
      <w:r w:rsidRPr="0036752B">
        <w:rPr>
          <w:szCs w:val="24"/>
        </w:rPr>
        <w:t>, and taking logarithms</w:t>
      </w:r>
      <w:r>
        <w:rPr>
          <w:szCs w:val="24"/>
        </w:rPr>
        <w:t xml:space="preserve"> and simplifying</w:t>
      </w:r>
      <w:r w:rsidRPr="0036752B">
        <w:rPr>
          <w:szCs w:val="24"/>
        </w:rPr>
        <w:t xml:space="preserve">, we </w:t>
      </w:r>
      <w:r>
        <w:rPr>
          <w:szCs w:val="24"/>
        </w:rPr>
        <w:t>may write</w:t>
      </w:r>
      <w:r w:rsidRPr="0036752B">
        <w:rPr>
          <w:szCs w:val="24"/>
        </w:rPr>
        <w:t xml:space="preserve"> the </w:t>
      </w:r>
      <w:r>
        <w:rPr>
          <w:szCs w:val="24"/>
        </w:rPr>
        <w:t>K</w:t>
      </w:r>
      <w:r w:rsidRPr="0036752B">
        <w:rPr>
          <w:szCs w:val="24"/>
        </w:rPr>
        <w:t>KT conditions as</w:t>
      </w:r>
      <w:r w:rsidR="000C3BFE">
        <w:rPr>
          <w:szCs w:val="24"/>
        </w:rPr>
        <w:t xml:space="preserve"> Equation (6)</w:t>
      </w:r>
      <w:r w:rsidRPr="0036752B">
        <w:rPr>
          <w:szCs w:val="24"/>
        </w:rPr>
        <w:t>:</w:t>
      </w:r>
    </w:p>
    <w:p w:rsidR="00320DF9" w:rsidRDefault="00320DF9" w:rsidP="00320DF9">
      <w:pPr>
        <w:tabs>
          <w:tab w:val="right" w:pos="9360"/>
        </w:tabs>
        <w:spacing w:line="360" w:lineRule="auto"/>
        <w:rPr>
          <w:szCs w:val="24"/>
        </w:rPr>
      </w:pPr>
      <w:r w:rsidRPr="00320DF9">
        <w:rPr>
          <w:position w:val="-38"/>
          <w:szCs w:val="24"/>
        </w:rPr>
        <w:object w:dxaOrig="4160" w:dyaOrig="880">
          <v:shape id="_x0000_i1074" type="#_x0000_t75" style="width:207.75pt;height:44.25pt" o:ole="" o:preferrelative="f">
            <v:imagedata r:id="rId102" o:title=""/>
            <o:lock v:ext="edit" aspectratio="f"/>
          </v:shape>
          <o:OLEObject Type="Embed" ProgID="Equation.3" ShapeID="_x0000_i1074" DrawAspect="Content" ObjectID="_1519136923" r:id="rId103"/>
        </w:object>
      </w:r>
      <w:r>
        <w:rPr>
          <w:szCs w:val="24"/>
        </w:rPr>
        <w:t xml:space="preserve"> </w:t>
      </w:r>
      <w:r>
        <w:rPr>
          <w:szCs w:val="24"/>
        </w:rPr>
        <w:tab/>
        <w:t>(6)</w:t>
      </w:r>
    </w:p>
    <w:p w:rsidR="0008331C" w:rsidRDefault="0008331C" w:rsidP="00320DF9">
      <w:pPr>
        <w:tabs>
          <w:tab w:val="right" w:pos="9360"/>
        </w:tabs>
        <w:spacing w:line="360" w:lineRule="auto"/>
        <w:rPr>
          <w:szCs w:val="24"/>
        </w:rPr>
      </w:pPr>
      <w:proofErr w:type="gramStart"/>
      <w:r>
        <w:rPr>
          <w:szCs w:val="24"/>
        </w:rPr>
        <w:t xml:space="preserve">where </w:t>
      </w:r>
      <w:proofErr w:type="gramEnd"/>
      <w:r w:rsidR="00621872" w:rsidRPr="00646F58">
        <w:rPr>
          <w:position w:val="-16"/>
          <w:szCs w:val="24"/>
        </w:rPr>
        <w:object w:dxaOrig="1860" w:dyaOrig="420" w14:anchorId="0EF0A462">
          <v:shape id="_x0000_i1075" type="#_x0000_t75" style="width:92.25pt;height:20.25pt" o:ole="" o:preferrelative="f">
            <v:imagedata r:id="rId104" o:title=""/>
            <o:lock v:ext="edit" aspectratio="f"/>
          </v:shape>
          <o:OLEObject Type="Embed" ProgID="Equation.3" ShapeID="_x0000_i1075" DrawAspect="Content" ObjectID="_1519136924" r:id="rId105"/>
        </w:object>
      </w:r>
      <w:r w:rsidR="00FB2A75">
        <w:rPr>
          <w:szCs w:val="24"/>
        </w:rPr>
        <w:t xml:space="preserve">; </w:t>
      </w:r>
      <w:r w:rsidR="00320DF9" w:rsidRPr="00F8647B">
        <w:rPr>
          <w:position w:val="-14"/>
          <w:szCs w:val="24"/>
        </w:rPr>
        <w:object w:dxaOrig="1820" w:dyaOrig="400" w14:anchorId="40DF07F0">
          <v:shape id="_x0000_i1076" type="#_x0000_t75" style="width:90pt;height:20.25pt" o:ole="" o:preferrelative="f">
            <v:imagedata r:id="rId106" o:title=""/>
            <o:lock v:ext="edit" aspectratio="f"/>
          </v:shape>
          <o:OLEObject Type="Embed" ProgID="Equation.3" ShapeID="_x0000_i1076" DrawAspect="Content" ObjectID="_1519136925" r:id="rId107"/>
        </w:object>
      </w:r>
      <w:r w:rsidR="00FB2A75">
        <w:rPr>
          <w:szCs w:val="24"/>
        </w:rPr>
        <w:t>; and</w:t>
      </w:r>
      <w:r>
        <w:rPr>
          <w:szCs w:val="24"/>
        </w:rPr>
        <w:t xml:space="preserve"> </w:t>
      </w:r>
      <w:r w:rsidR="00621872" w:rsidRPr="008670DC">
        <w:rPr>
          <w:position w:val="-34"/>
          <w:szCs w:val="24"/>
        </w:rPr>
        <w:object w:dxaOrig="4220" w:dyaOrig="800" w14:anchorId="47404ED7">
          <v:shape id="_x0000_i1077" type="#_x0000_t75" style="width:210.75pt;height:40.5pt" o:ole="" o:preferrelative="f">
            <v:imagedata r:id="rId108" o:title=""/>
            <o:lock v:ext="edit" aspectratio="f"/>
          </v:shape>
          <o:OLEObject Type="Embed" ProgID="Equation.3" ShapeID="_x0000_i1077" DrawAspect="Content" ObjectID="_1519136926" r:id="rId109"/>
        </w:object>
      </w:r>
      <w:r>
        <w:rPr>
          <w:szCs w:val="24"/>
        </w:rPr>
        <w:t>.</w:t>
      </w:r>
    </w:p>
    <w:p w:rsidR="0008331C" w:rsidRDefault="0008331C" w:rsidP="00966971">
      <w:pPr>
        <w:spacing w:line="360" w:lineRule="auto"/>
        <w:ind w:firstLine="720"/>
        <w:rPr>
          <w:szCs w:val="24"/>
        </w:rPr>
      </w:pPr>
      <w:r w:rsidRPr="00125D47">
        <w:rPr>
          <w:szCs w:val="24"/>
        </w:rPr>
        <w:t>T</w:t>
      </w:r>
      <w:r>
        <w:rPr>
          <w:szCs w:val="24"/>
        </w:rPr>
        <w:t xml:space="preserve">he above conditions </w:t>
      </w:r>
      <w:r w:rsidR="00FB2A75">
        <w:rPr>
          <w:szCs w:val="24"/>
        </w:rPr>
        <w:t xml:space="preserve">are </w:t>
      </w:r>
      <w:r>
        <w:rPr>
          <w:szCs w:val="24"/>
        </w:rPr>
        <w:t xml:space="preserve">conditional on individual </w:t>
      </w:r>
      <w:r w:rsidRPr="00CE658C">
        <w:rPr>
          <w:i/>
          <w:szCs w:val="24"/>
        </w:rPr>
        <w:t>q</w:t>
      </w:r>
      <w:r>
        <w:rPr>
          <w:szCs w:val="24"/>
        </w:rPr>
        <w:t xml:space="preserve"> belonging to segment </w:t>
      </w:r>
      <w:r w:rsidRPr="00CE658C">
        <w:rPr>
          <w:i/>
          <w:szCs w:val="24"/>
        </w:rPr>
        <w:t>g</w:t>
      </w:r>
      <w:r>
        <w:rPr>
          <w:szCs w:val="24"/>
        </w:rPr>
        <w:t>. Within this context, two important identification considerations need to be noted (additional identifications considerations due to multiple segments will be noted later). First</w:t>
      </w:r>
      <w:r w:rsidR="0057510E">
        <w:rPr>
          <w:szCs w:val="24"/>
        </w:rPr>
        <w:t>, a</w:t>
      </w:r>
      <w:r>
        <w:rPr>
          <w:szCs w:val="24"/>
        </w:rPr>
        <w:t xml:space="preserve"> dummy variable (or constant) corresponding to one of the </w:t>
      </w:r>
      <w:r w:rsidRPr="00882D62">
        <w:rPr>
          <w:i/>
          <w:szCs w:val="24"/>
        </w:rPr>
        <w:t>K</w:t>
      </w:r>
      <w:r>
        <w:rPr>
          <w:szCs w:val="24"/>
        </w:rPr>
        <w:t xml:space="preserve"> goods should not be introduced, since only differences in the </w:t>
      </w:r>
      <w:r w:rsidR="00621872" w:rsidRPr="00882D62">
        <w:rPr>
          <w:position w:val="-14"/>
          <w:szCs w:val="24"/>
        </w:rPr>
        <w:object w:dxaOrig="420" w:dyaOrig="400" w14:anchorId="091D60FB">
          <v:shape id="_x0000_i1078" type="#_x0000_t75" style="width:20.25pt;height:20.25pt" o:ole="" o:preferrelative="f">
            <v:imagedata r:id="rId110" o:title=""/>
            <o:lock v:ext="edit" aspectratio="f"/>
          </v:shape>
          <o:OLEObject Type="Embed" ProgID="Equation.3" ShapeID="_x0000_i1078" DrawAspect="Content" ObjectID="_1519136927" r:id="rId111"/>
        </w:object>
      </w:r>
      <w:r>
        <w:rPr>
          <w:szCs w:val="24"/>
        </w:rPr>
        <w:t xml:space="preserve"> terms matter (this is similar to a standard discrete choice model). Similarly, consumer-specific variables that do not vary across goods can be introduced only for </w:t>
      </w:r>
      <w:r w:rsidR="00C71DCF" w:rsidRPr="00C71DCF">
        <w:rPr>
          <w:szCs w:val="24"/>
        </w:rPr>
        <w:t>(</w:t>
      </w:r>
      <w:r w:rsidRPr="0012477B">
        <w:rPr>
          <w:i/>
          <w:szCs w:val="24"/>
        </w:rPr>
        <w:t>K</w:t>
      </w:r>
      <w:r w:rsidR="00E87837">
        <w:rPr>
          <w:i/>
          <w:szCs w:val="24"/>
        </w:rPr>
        <w:t>–</w:t>
      </w:r>
      <w:r w:rsidRPr="0012477B">
        <w:rPr>
          <w:i/>
          <w:szCs w:val="24"/>
        </w:rPr>
        <w:t>1</w:t>
      </w:r>
      <w:r w:rsidR="00C71DCF" w:rsidRPr="00C71DCF">
        <w:rPr>
          <w:szCs w:val="24"/>
        </w:rPr>
        <w:t>)</w:t>
      </w:r>
      <w:r>
        <w:rPr>
          <w:szCs w:val="24"/>
        </w:rPr>
        <w:t xml:space="preserve"> goods, with the remaining alternative being the base. Let the first alternative be the base for the dummy variable and for consumer-specific variables that do not vary across goods. That is, let </w:t>
      </w:r>
      <w:r w:rsidR="005B4D1F" w:rsidRPr="00F8647B">
        <w:rPr>
          <w:position w:val="-14"/>
          <w:szCs w:val="24"/>
        </w:rPr>
        <w:object w:dxaOrig="1180" w:dyaOrig="380" w14:anchorId="58395883">
          <v:shape id="_x0000_i1079" type="#_x0000_t75" style="width:59.25pt;height:18.75pt" o:ole="" o:preferrelative="f">
            <v:imagedata r:id="rId112" o:title=""/>
            <o:lock v:ext="edit" aspectratio="f"/>
          </v:shape>
          <o:OLEObject Type="Embed" ProgID="Equation.3" ShapeID="_x0000_i1079" DrawAspect="Content" ObjectID="_1519136928" r:id="rId113"/>
        </w:object>
      </w:r>
      <w:r w:rsidR="00CE44E6">
        <w:rPr>
          <w:szCs w:val="24"/>
        </w:rPr>
        <w:t xml:space="preserve"> </w:t>
      </w:r>
      <w:r>
        <w:rPr>
          <w:szCs w:val="24"/>
        </w:rPr>
        <w:t xml:space="preserve">(and correspondingly, the element in </w:t>
      </w:r>
      <w:r w:rsidR="00621872" w:rsidRPr="000E2F9B">
        <w:rPr>
          <w:position w:val="-14"/>
          <w:szCs w:val="24"/>
        </w:rPr>
        <w:object w:dxaOrig="279" w:dyaOrig="380" w14:anchorId="6BA25C0C">
          <v:shape id="_x0000_i1080" type="#_x0000_t75" style="width:14.25pt;height:17.25pt" o:ole="" o:preferrelative="f">
            <v:imagedata r:id="rId114" o:title=""/>
            <o:lock v:ext="edit" aspectratio="f"/>
          </v:shape>
          <o:OLEObject Type="Embed" ProgID="Equation.3" ShapeID="_x0000_i1080" DrawAspect="Content" ObjectID="_1519136929" r:id="rId115"/>
        </w:object>
      </w:r>
      <w:r>
        <w:rPr>
          <w:szCs w:val="24"/>
        </w:rPr>
        <w:t xml:space="preserve"> corresponding </w:t>
      </w:r>
      <w:r w:rsidR="00FB2A75">
        <w:rPr>
          <w:szCs w:val="24"/>
        </w:rPr>
        <w:t xml:space="preserve">to </w:t>
      </w:r>
      <w:r>
        <w:rPr>
          <w:szCs w:val="24"/>
        </w:rPr>
        <w:t xml:space="preserve">this first alternative’s constant is fixed at 0 and the variance element contribution in </w:t>
      </w:r>
      <w:r w:rsidR="00621872" w:rsidRPr="000E2F9B">
        <w:rPr>
          <w:position w:val="-14"/>
          <w:szCs w:val="24"/>
        </w:rPr>
        <w:object w:dxaOrig="360" w:dyaOrig="380" w14:anchorId="4EB23078">
          <v:shape id="_x0000_i1081" type="#_x0000_t75" style="width:18.75pt;height:17.25pt" o:ole="" o:preferrelative="f">
            <v:imagedata r:id="rId116" o:title=""/>
            <o:lock v:ext="edit" aspectratio="f"/>
          </v:shape>
          <o:OLEObject Type="Embed" ProgID="Equation.3" ShapeID="_x0000_i1081" DrawAspect="Content" ObjectID="_1519136930" r:id="rId117"/>
        </w:object>
      </w:r>
      <w:r>
        <w:rPr>
          <w:szCs w:val="24"/>
        </w:rPr>
        <w:t xml:space="preserve"> corresponding to this alternative’s constant is also fixed at 0; in addition, all covariance elements in </w:t>
      </w:r>
      <w:r w:rsidR="00621872" w:rsidRPr="000E2F9B">
        <w:rPr>
          <w:position w:val="-14"/>
          <w:szCs w:val="24"/>
        </w:rPr>
        <w:object w:dxaOrig="360" w:dyaOrig="380" w14:anchorId="24FA4C07">
          <v:shape id="_x0000_i1082" type="#_x0000_t75" style="width:18.75pt;height:17.25pt" o:ole="" o:preferrelative="f">
            <v:imagedata r:id="rId116" o:title=""/>
            <o:lock v:ext="edit" aspectratio="f"/>
          </v:shape>
          <o:OLEObject Type="Embed" ProgID="Equation.3" ShapeID="_x0000_i1082" DrawAspect="Content" ObjectID="_1519136931" r:id="rId118"/>
        </w:object>
      </w:r>
      <w:r>
        <w:rPr>
          <w:szCs w:val="24"/>
        </w:rPr>
        <w:t xml:space="preserve"> corresponding to this first alternative’s constant also are set to zero). Also, let </w:t>
      </w:r>
      <w:r w:rsidR="00726FED" w:rsidRPr="00F8647B">
        <w:rPr>
          <w:position w:val="-14"/>
          <w:szCs w:val="24"/>
        </w:rPr>
        <w:object w:dxaOrig="740" w:dyaOrig="380" w14:anchorId="3143799E">
          <v:shape id="_x0000_i1083" type="#_x0000_t75" style="width:36.75pt;height:18.75pt" o:ole="" o:preferrelative="f">
            <v:imagedata r:id="rId119" o:title=""/>
            <o:lock v:ext="edit" aspectratio="f"/>
          </v:shape>
          <o:OLEObject Type="Embed" ProgID="Equation.3" ShapeID="_x0000_i1083" DrawAspect="Content" ObjectID="_1519136932" r:id="rId120"/>
        </w:object>
      </w:r>
      <w:r>
        <w:rPr>
          <w:szCs w:val="24"/>
        </w:rPr>
        <w:t xml:space="preserve"> for all consumer-specific variables </w:t>
      </w:r>
      <w:r w:rsidRPr="004E16CB">
        <w:rPr>
          <w:i/>
          <w:szCs w:val="24"/>
        </w:rPr>
        <w:t>l</w:t>
      </w:r>
      <w:r>
        <w:rPr>
          <w:szCs w:val="24"/>
        </w:rPr>
        <w:t xml:space="preserve"> that do not </w:t>
      </w:r>
      <w:r>
        <w:rPr>
          <w:szCs w:val="24"/>
        </w:rPr>
        <w:lastRenderedPageBreak/>
        <w:t xml:space="preserve">vary across goods (and correspondingly, the elements in </w:t>
      </w:r>
      <w:r w:rsidR="00621872" w:rsidRPr="000E2F9B">
        <w:rPr>
          <w:position w:val="-14"/>
          <w:szCs w:val="24"/>
        </w:rPr>
        <w:object w:dxaOrig="279" w:dyaOrig="380" w14:anchorId="049D6A69">
          <v:shape id="_x0000_i1084" type="#_x0000_t75" style="width:14.25pt;height:17.25pt" o:ole="" o:preferrelative="f">
            <v:imagedata r:id="rId114" o:title=""/>
            <o:lock v:ext="edit" aspectratio="f"/>
          </v:shape>
          <o:OLEObject Type="Embed" ProgID="Equation.3" ShapeID="_x0000_i1084" DrawAspect="Content" ObjectID="_1519136933" r:id="rId121"/>
        </w:object>
      </w:r>
      <w:r>
        <w:rPr>
          <w:szCs w:val="24"/>
        </w:rPr>
        <w:t xml:space="preserve"> for these variables for the first alternative are fixed at zero and so are all variances/</w:t>
      </w:r>
      <w:proofErr w:type="spellStart"/>
      <w:r>
        <w:rPr>
          <w:szCs w:val="24"/>
        </w:rPr>
        <w:t>covariances</w:t>
      </w:r>
      <w:proofErr w:type="spellEnd"/>
      <w:r>
        <w:rPr>
          <w:szCs w:val="24"/>
        </w:rPr>
        <w:t xml:space="preserve"> in </w:t>
      </w:r>
      <w:r w:rsidR="00621872" w:rsidRPr="000E2F9B">
        <w:rPr>
          <w:position w:val="-14"/>
          <w:szCs w:val="24"/>
        </w:rPr>
        <w:object w:dxaOrig="360" w:dyaOrig="380" w14:anchorId="2607E09D">
          <v:shape id="_x0000_i1085" type="#_x0000_t75" style="width:18.75pt;height:17.25pt" o:ole="" o:preferrelative="f">
            <v:imagedata r:id="rId116" o:title=""/>
            <o:lock v:ext="edit" aspectratio="f"/>
          </v:shape>
          <o:OLEObject Type="Embed" ProgID="Equation.3" ShapeID="_x0000_i1085" DrawAspect="Content" ObjectID="_1519136934" r:id="rId122"/>
        </w:object>
      </w:r>
      <w:r>
        <w:rPr>
          <w:szCs w:val="24"/>
        </w:rPr>
        <w:t xml:space="preserve"> for these variables for the first alternative).</w:t>
      </w:r>
    </w:p>
    <w:p w:rsidR="0008331C" w:rsidRDefault="0008331C" w:rsidP="00966971">
      <w:pPr>
        <w:spacing w:line="360" w:lineRule="auto"/>
        <w:rPr>
          <w:szCs w:val="24"/>
        </w:rPr>
      </w:pPr>
    </w:p>
    <w:p w:rsidR="0008331C" w:rsidRPr="008E5C3A" w:rsidRDefault="0008331C" w:rsidP="00966971">
      <w:pPr>
        <w:keepNext/>
        <w:spacing w:line="360" w:lineRule="auto"/>
        <w:rPr>
          <w:b/>
        </w:rPr>
      </w:pPr>
      <w:r>
        <w:rPr>
          <w:b/>
        </w:rPr>
        <w:t>2.2</w:t>
      </w:r>
      <w:r w:rsidRPr="00EF12FF">
        <w:rPr>
          <w:b/>
        </w:rPr>
        <w:t xml:space="preserve"> </w:t>
      </w:r>
      <w:r>
        <w:rPr>
          <w:b/>
        </w:rPr>
        <w:t xml:space="preserve">Consumer </w:t>
      </w:r>
      <w:r w:rsidR="00001BBA">
        <w:rPr>
          <w:b/>
        </w:rPr>
        <w:t>Role in</w:t>
      </w:r>
      <w:r>
        <w:rPr>
          <w:b/>
        </w:rPr>
        <w:t xml:space="preserve"> a </w:t>
      </w:r>
      <w:r w:rsidR="00001BBA">
        <w:rPr>
          <w:b/>
        </w:rPr>
        <w:t xml:space="preserve">Finite Mixture </w:t>
      </w:r>
      <w:r>
        <w:rPr>
          <w:b/>
        </w:rPr>
        <w:t xml:space="preserve">of </w:t>
      </w:r>
      <w:r w:rsidR="00001BBA">
        <w:rPr>
          <w:b/>
        </w:rPr>
        <w:t>Segments</w:t>
      </w:r>
    </w:p>
    <w:p w:rsidR="0008331C" w:rsidRDefault="0008331C" w:rsidP="008F3611">
      <w:pPr>
        <w:spacing w:line="360" w:lineRule="auto"/>
        <w:rPr>
          <w:szCs w:val="24"/>
        </w:rPr>
      </w:pPr>
      <w:r>
        <w:rPr>
          <w:szCs w:val="24"/>
        </w:rPr>
        <w:t xml:space="preserve">The derivation thus far is based on the notion that consumer </w:t>
      </w:r>
      <w:r w:rsidRPr="008E5C3A">
        <w:rPr>
          <w:i/>
          <w:szCs w:val="24"/>
        </w:rPr>
        <w:t>q</w:t>
      </w:r>
      <w:r>
        <w:rPr>
          <w:szCs w:val="24"/>
        </w:rPr>
        <w:t xml:space="preserve"> belongs to a si</w:t>
      </w:r>
      <w:r w:rsidR="00CE44E6">
        <w:rPr>
          <w:szCs w:val="24"/>
        </w:rPr>
        <w:t>ngle</w:t>
      </w:r>
      <w:r>
        <w:rPr>
          <w:szCs w:val="24"/>
        </w:rPr>
        <w:t xml:space="preserve"> segment </w:t>
      </w:r>
      <w:r w:rsidRPr="008E5C3A">
        <w:rPr>
          <w:i/>
          <w:szCs w:val="24"/>
        </w:rPr>
        <w:t>g</w:t>
      </w:r>
      <w:r>
        <w:rPr>
          <w:szCs w:val="24"/>
        </w:rPr>
        <w:t xml:space="preserve">. But now consider the case that consumer </w:t>
      </w:r>
      <w:r w:rsidRPr="006E214D">
        <w:rPr>
          <w:i/>
          <w:szCs w:val="24"/>
        </w:rPr>
        <w:t>q</w:t>
      </w:r>
      <w:r>
        <w:rPr>
          <w:szCs w:val="24"/>
        </w:rPr>
        <w:t xml:space="preserve"> belongs to a finite mixture of segments</w:t>
      </w:r>
      <w:r w:rsidR="00001BBA">
        <w:rPr>
          <w:szCs w:val="24"/>
        </w:rPr>
        <w:t>—</w:t>
      </w:r>
      <w:r>
        <w:rPr>
          <w:szCs w:val="24"/>
        </w:rPr>
        <w:t xml:space="preserve">that is, the actual assignment of consumer </w:t>
      </w:r>
      <w:r w:rsidRPr="004B3AFF">
        <w:rPr>
          <w:i/>
          <w:szCs w:val="24"/>
        </w:rPr>
        <w:t>q</w:t>
      </w:r>
      <w:r>
        <w:rPr>
          <w:szCs w:val="24"/>
        </w:rPr>
        <w:t xml:space="preserve"> to a specific segment is not observed, but we are able to attribute different probabilities </w:t>
      </w:r>
      <w:r w:rsidR="00621872" w:rsidRPr="00F8647B">
        <w:rPr>
          <w:position w:val="-14"/>
          <w:szCs w:val="24"/>
        </w:rPr>
        <w:object w:dxaOrig="1840" w:dyaOrig="380" w14:anchorId="1740AFCB">
          <v:shape id="_x0000_i1086" type="#_x0000_t75" style="width:92.25pt;height:17.25pt" o:ole="" o:preferrelative="f">
            <v:imagedata r:id="rId123" o:title=""/>
            <o:lock v:ext="edit" aspectratio="f"/>
          </v:shape>
          <o:OLEObject Type="Embed" ProgID="Equation.3" ShapeID="_x0000_i1086" DrawAspect="Content" ObjectID="_1519136935" r:id="rId124"/>
        </w:object>
      </w:r>
      <w:r>
        <w:rPr>
          <w:szCs w:val="24"/>
        </w:rPr>
        <w:t xml:space="preserve"> to consumer </w:t>
      </w:r>
      <w:r w:rsidRPr="00580B3A">
        <w:rPr>
          <w:i/>
          <w:szCs w:val="24"/>
        </w:rPr>
        <w:t>q</w:t>
      </w:r>
      <w:r>
        <w:rPr>
          <w:szCs w:val="24"/>
        </w:rPr>
        <w:t xml:space="preserve"> belonging to different segments. We require </w:t>
      </w:r>
      <w:proofErr w:type="gramStart"/>
      <w:r>
        <w:rPr>
          <w:szCs w:val="24"/>
        </w:rPr>
        <w:t xml:space="preserve">that </w:t>
      </w:r>
      <w:proofErr w:type="gramEnd"/>
      <w:r w:rsidR="00621872" w:rsidRPr="00F8647B">
        <w:rPr>
          <w:position w:val="-14"/>
          <w:szCs w:val="24"/>
        </w:rPr>
        <w:object w:dxaOrig="1040" w:dyaOrig="380" w14:anchorId="27A4C089">
          <v:shape id="_x0000_i1087" type="#_x0000_t75" style="width:51.75pt;height:17.25pt" o:ole="" o:preferrelative="f">
            <v:imagedata r:id="rId125" o:title=""/>
            <o:lock v:ext="edit" aspectratio="f"/>
          </v:shape>
          <o:OLEObject Type="Embed" ProgID="Equation.3" ShapeID="_x0000_i1087" DrawAspect="Content" ObjectID="_1519136936" r:id="rId126"/>
        </w:object>
      </w:r>
      <w:r>
        <w:rPr>
          <w:szCs w:val="24"/>
        </w:rPr>
        <w:t xml:space="preserve">, and </w:t>
      </w:r>
      <w:r w:rsidR="00621872" w:rsidRPr="00A674B0">
        <w:rPr>
          <w:position w:val="-30"/>
          <w:szCs w:val="24"/>
        </w:rPr>
        <w:object w:dxaOrig="999" w:dyaOrig="700" w14:anchorId="767B0DAD">
          <v:shape id="_x0000_i1088" type="#_x0000_t75" style="width:49.5pt;height:35.25pt" o:ole="" o:preferrelative="f">
            <v:imagedata r:id="rId127" o:title=""/>
            <o:lock v:ext="edit" aspectratio="f"/>
          </v:shape>
          <o:OLEObject Type="Embed" ProgID="Equation.3" ShapeID="_x0000_i1088" DrawAspect="Content" ObjectID="_1519136937" r:id="rId128"/>
        </w:object>
      </w:r>
      <w:r>
        <w:rPr>
          <w:szCs w:val="24"/>
        </w:rPr>
        <w:t xml:space="preserve">. To enforce these restrictions, and following Bhat (1997), we use </w:t>
      </w:r>
      <w:r w:rsidR="00587D3B">
        <w:rPr>
          <w:szCs w:val="24"/>
        </w:rPr>
        <w:t xml:space="preserve">the </w:t>
      </w:r>
      <w:r>
        <w:rPr>
          <w:szCs w:val="24"/>
        </w:rPr>
        <w:t>logit link function</w:t>
      </w:r>
      <w:r w:rsidR="00587D3B">
        <w:rPr>
          <w:szCs w:val="24"/>
        </w:rPr>
        <w:t xml:space="preserve"> </w:t>
      </w:r>
      <w:r w:rsidR="000C3BFE">
        <w:rPr>
          <w:szCs w:val="24"/>
        </w:rPr>
        <w:t>shown in Equation (7)</w:t>
      </w:r>
      <w:r>
        <w:rPr>
          <w:szCs w:val="24"/>
        </w:rPr>
        <w:t>:</w:t>
      </w:r>
    </w:p>
    <w:p w:rsidR="000E1FAA" w:rsidRDefault="000F7C05" w:rsidP="00621872">
      <w:pPr>
        <w:tabs>
          <w:tab w:val="right" w:pos="9360"/>
        </w:tabs>
        <w:spacing w:line="360" w:lineRule="auto"/>
        <w:rPr>
          <w:szCs w:val="24"/>
        </w:rPr>
      </w:pPr>
      <w:r w:rsidRPr="000B16D0">
        <w:rPr>
          <w:position w:val="-60"/>
          <w:szCs w:val="24"/>
        </w:rPr>
        <w:object w:dxaOrig="1980" w:dyaOrig="1020" w14:anchorId="69C891BE">
          <v:shape id="_x0000_i1089" type="#_x0000_t75" style="width:99.75pt;height:51.75pt" o:ole="" o:preferrelative="f">
            <v:imagedata r:id="rId129" o:title=""/>
            <o:lock v:ext="edit" aspectratio="f"/>
          </v:shape>
          <o:OLEObject Type="Embed" ProgID="Equation.3" ShapeID="_x0000_i1089" DrawAspect="Content" ObjectID="_1519136938" r:id="rId130"/>
        </w:object>
      </w:r>
      <w:r w:rsidR="0008331C">
        <w:rPr>
          <w:szCs w:val="24"/>
        </w:rPr>
        <w:t xml:space="preserve">, </w:t>
      </w:r>
      <w:r w:rsidR="000E1FAA">
        <w:rPr>
          <w:szCs w:val="24"/>
        </w:rPr>
        <w:tab/>
      </w:r>
      <w:r w:rsidR="00D06A04">
        <w:rPr>
          <w:szCs w:val="24"/>
        </w:rPr>
        <w:t xml:space="preserve"> </w:t>
      </w:r>
      <w:r w:rsidR="000E1FAA" w:rsidRPr="0036752B">
        <w:rPr>
          <w:szCs w:val="24"/>
        </w:rPr>
        <w:t>(</w:t>
      </w:r>
      <w:r w:rsidR="000E1FAA">
        <w:rPr>
          <w:szCs w:val="24"/>
        </w:rPr>
        <w:t>7</w:t>
      </w:r>
      <w:r w:rsidR="000E1FAA" w:rsidRPr="0036752B">
        <w:rPr>
          <w:szCs w:val="24"/>
        </w:rPr>
        <w:t>)</w:t>
      </w:r>
    </w:p>
    <w:p w:rsidR="0008331C" w:rsidRDefault="000E1FAA" w:rsidP="00966971">
      <w:pPr>
        <w:spacing w:line="360" w:lineRule="auto"/>
        <w:rPr>
          <w:szCs w:val="24"/>
        </w:rPr>
      </w:pPr>
      <w:proofErr w:type="gramStart"/>
      <w:r>
        <w:rPr>
          <w:szCs w:val="24"/>
        </w:rPr>
        <w:t>w</w:t>
      </w:r>
      <w:r w:rsidR="0008331C">
        <w:rPr>
          <w:szCs w:val="24"/>
        </w:rPr>
        <w:t>here</w:t>
      </w:r>
      <w:proofErr w:type="gramEnd"/>
      <w:r w:rsidR="0008331C">
        <w:rPr>
          <w:szCs w:val="24"/>
        </w:rPr>
        <w:t xml:space="preserve"> </w:t>
      </w:r>
      <w:r w:rsidR="00621872" w:rsidRPr="00F8647B">
        <w:rPr>
          <w:position w:val="-14"/>
          <w:szCs w:val="24"/>
        </w:rPr>
        <w:object w:dxaOrig="320" w:dyaOrig="380" w14:anchorId="4E8C1571">
          <v:shape id="_x0000_i1090" type="#_x0000_t75" style="width:15.75pt;height:17.25pt" o:ole="" o:preferrelative="f">
            <v:imagedata r:id="rId131" o:title=""/>
            <o:lock v:ext="edit" aspectratio="f"/>
          </v:shape>
          <o:OLEObject Type="Embed" ProgID="Equation.3" ShapeID="_x0000_i1090" DrawAspect="Content" ObjectID="_1519136939" r:id="rId132"/>
        </w:object>
      </w:r>
      <w:r w:rsidR="0008331C">
        <w:rPr>
          <w:szCs w:val="24"/>
        </w:rPr>
        <w:t xml:space="preserve"> is a vector of individual exogenous variables, and </w:t>
      </w:r>
      <w:r w:rsidR="00B2636A" w:rsidRPr="00451361">
        <w:rPr>
          <w:position w:val="-10"/>
          <w:szCs w:val="24"/>
        </w:rPr>
        <w:object w:dxaOrig="660" w:dyaOrig="340" w14:anchorId="6F1F6DB5">
          <v:shape id="_x0000_i1091" type="#_x0000_t75" style="width:33pt;height:17.25pt" o:ole="" o:preferrelative="f">
            <v:imagedata r:id="rId133" o:title=""/>
            <o:lock v:ext="edit" aspectratio="f"/>
          </v:shape>
          <o:OLEObject Type="Embed" ProgID="Equation.3" ShapeID="_x0000_i1091" DrawAspect="Content" ObjectID="_1519136940" r:id="rId134"/>
        </w:object>
      </w:r>
      <w:r w:rsidR="0008331C">
        <w:rPr>
          <w:szCs w:val="24"/>
        </w:rPr>
        <w:t xml:space="preserve"> </w:t>
      </w:r>
      <w:r w:rsidR="00587D3B">
        <w:rPr>
          <w:szCs w:val="24"/>
        </w:rPr>
        <w:t xml:space="preserve">serves as </w:t>
      </w:r>
      <w:r w:rsidR="001A64F1">
        <w:rPr>
          <w:szCs w:val="24"/>
        </w:rPr>
        <w:t xml:space="preserve">a vector </w:t>
      </w:r>
      <w:r w:rsidR="0008331C">
        <w:rPr>
          <w:szCs w:val="24"/>
        </w:rPr>
        <w:t>identification</w:t>
      </w:r>
      <w:r w:rsidR="001A64F1">
        <w:rPr>
          <w:szCs w:val="24"/>
        </w:rPr>
        <w:t xml:space="preserve"> condition</w:t>
      </w:r>
      <w:r w:rsidR="0008331C">
        <w:rPr>
          <w:szCs w:val="24"/>
        </w:rPr>
        <w:t xml:space="preserve">. This probabilistic assignment to segments is tantamount to using a mixture of multivariate normal distributions </w:t>
      </w:r>
      <w:proofErr w:type="gramStart"/>
      <w:r w:rsidR="0008331C">
        <w:rPr>
          <w:szCs w:val="24"/>
        </w:rPr>
        <w:t xml:space="preserve">for </w:t>
      </w:r>
      <w:proofErr w:type="gramEnd"/>
      <w:r w:rsidR="00621872" w:rsidRPr="000E2F9B">
        <w:rPr>
          <w:position w:val="-14"/>
          <w:szCs w:val="24"/>
        </w:rPr>
        <w:object w:dxaOrig="300" w:dyaOrig="380" w14:anchorId="23C0BAE8">
          <v:shape id="_x0000_i1092" type="#_x0000_t75" style="width:15pt;height:17.25pt" o:ole="" o:preferrelative="f">
            <v:imagedata r:id="rId135" o:title=""/>
            <o:lock v:ext="edit" aspectratio="f"/>
          </v:shape>
          <o:OLEObject Type="Embed" ProgID="Equation.3" ShapeID="_x0000_i1092" DrawAspect="Content" ObjectID="_1519136941" r:id="rId136"/>
        </w:object>
      </w:r>
      <w:r w:rsidR="00E41AFD">
        <w:rPr>
          <w:szCs w:val="24"/>
        </w:rPr>
        <w:t xml:space="preserve">: </w:t>
      </w:r>
      <w:r w:rsidR="00B2636A" w:rsidRPr="000709E1">
        <w:rPr>
          <w:position w:val="-30"/>
          <w:szCs w:val="24"/>
        </w:rPr>
        <w:object w:dxaOrig="3700" w:dyaOrig="700" w14:anchorId="33CF1D64">
          <v:shape id="_x0000_i1093" type="#_x0000_t75" style="width:185.25pt;height:35.25pt" o:ole="" o:preferrelative="f">
            <v:imagedata r:id="rId137" o:title=""/>
            <o:lock v:ext="edit" aspectratio="f"/>
          </v:shape>
          <o:OLEObject Type="Embed" ProgID="Equation.3" ShapeID="_x0000_i1093" DrawAspect="Content" ObjectID="_1519136942" r:id="rId138"/>
        </w:object>
      </w:r>
      <w:r w:rsidR="0008331C">
        <w:rPr>
          <w:szCs w:val="24"/>
        </w:rPr>
        <w:t xml:space="preserve">, where </w:t>
      </w:r>
      <w:r w:rsidR="00621872" w:rsidRPr="000E2F9B">
        <w:rPr>
          <w:position w:val="-14"/>
          <w:szCs w:val="24"/>
        </w:rPr>
        <w:object w:dxaOrig="1300" w:dyaOrig="380" w14:anchorId="2BA74744">
          <v:shape id="_x0000_i1094" type="#_x0000_t75" style="width:64.5pt;height:17.25pt" o:ole="" o:preferrelative="f">
            <v:imagedata r:id="rId139" o:title=""/>
            <o:lock v:ext="edit" aspectratio="f"/>
          </v:shape>
          <o:OLEObject Type="Embed" ProgID="Equation.3" ShapeID="_x0000_i1094" DrawAspect="Content" ObjectID="_1519136943" r:id="rId140"/>
        </w:object>
      </w:r>
      <w:r w:rsidR="0008331C">
        <w:rPr>
          <w:szCs w:val="24"/>
        </w:rPr>
        <w:t xml:space="preserve"> is the multivariate normal density function with mean vector </w:t>
      </w:r>
      <w:r w:rsidR="00621872" w:rsidRPr="000E2F9B">
        <w:rPr>
          <w:position w:val="-14"/>
          <w:szCs w:val="24"/>
        </w:rPr>
        <w:object w:dxaOrig="279" w:dyaOrig="380" w14:anchorId="4B65CF8C">
          <v:shape id="_x0000_i1095" type="#_x0000_t75" style="width:14.25pt;height:17.25pt" o:ole="" o:preferrelative="f">
            <v:imagedata r:id="rId114" o:title=""/>
            <o:lock v:ext="edit" aspectratio="f"/>
          </v:shape>
          <o:OLEObject Type="Embed" ProgID="Equation.3" ShapeID="_x0000_i1095" DrawAspect="Content" ObjectID="_1519136944" r:id="rId141"/>
        </w:object>
      </w:r>
      <w:r w:rsidR="0008331C">
        <w:rPr>
          <w:szCs w:val="24"/>
        </w:rPr>
        <w:t xml:space="preserve"> and covariance matrix </w:t>
      </w:r>
      <w:r w:rsidR="00621872" w:rsidRPr="000E2F9B">
        <w:rPr>
          <w:position w:val="-14"/>
          <w:szCs w:val="24"/>
        </w:rPr>
        <w:object w:dxaOrig="360" w:dyaOrig="380" w14:anchorId="1BD81184">
          <v:shape id="_x0000_i1096" type="#_x0000_t75" style="width:18.75pt;height:17.25pt" o:ole="" o:preferrelative="f">
            <v:imagedata r:id="rId116" o:title=""/>
            <o:lock v:ext="edit" aspectratio="f"/>
          </v:shape>
          <o:OLEObject Type="Embed" ProgID="Equation.3" ShapeID="_x0000_i1096" DrawAspect="Content" ObjectID="_1519136945" r:id="rId142"/>
        </w:object>
      </w:r>
      <w:r w:rsidR="00621872">
        <w:rPr>
          <w:szCs w:val="24"/>
        </w:rPr>
        <w:t xml:space="preserve">. </w:t>
      </w:r>
      <w:r w:rsidR="00621872" w:rsidRPr="008235D2">
        <w:rPr>
          <w:position w:val="-6"/>
          <w:szCs w:val="24"/>
        </w:rPr>
        <w:object w:dxaOrig="200" w:dyaOrig="279" w14:anchorId="4B24BEC2">
          <v:shape id="_x0000_i1097" type="#_x0000_t75" style="width:9.75pt;height:14.25pt" o:ole="" o:preferrelative="f">
            <v:imagedata r:id="rId143" o:title=""/>
            <o:lock v:ext="edit" aspectratio="f"/>
          </v:shape>
          <o:OLEObject Type="Embed" ProgID="Equation.3" ShapeID="_x0000_i1097" DrawAspect="Content" ObjectID="_1519136946" r:id="rId144"/>
        </w:object>
      </w:r>
      <w:r w:rsidR="0008331C">
        <w:rPr>
          <w:szCs w:val="24"/>
        </w:rPr>
        <w:t xml:space="preserve"> </w:t>
      </w:r>
      <w:proofErr w:type="gramStart"/>
      <w:r w:rsidR="0008331C">
        <w:rPr>
          <w:szCs w:val="24"/>
        </w:rPr>
        <w:t>is</w:t>
      </w:r>
      <w:proofErr w:type="gramEnd"/>
      <w:r w:rsidR="0008331C">
        <w:rPr>
          <w:szCs w:val="24"/>
        </w:rPr>
        <w:t xml:space="preserve"> a vector obtained by stacking the </w:t>
      </w:r>
      <w:r w:rsidR="00E1319C" w:rsidRPr="000E2F9B">
        <w:rPr>
          <w:position w:val="-14"/>
          <w:szCs w:val="24"/>
        </w:rPr>
        <w:object w:dxaOrig="279" w:dyaOrig="380" w14:anchorId="5BB6EF18">
          <v:shape id="_x0000_i1098" type="#_x0000_t75" style="width:14.25pt;height:17.25pt" o:ole="" o:preferrelative="f">
            <v:imagedata r:id="rId114" o:title=""/>
            <o:lock v:ext="edit" aspectratio="f"/>
          </v:shape>
          <o:OLEObject Type="Embed" ProgID="Equation.3" ShapeID="_x0000_i1098" DrawAspect="Content" ObjectID="_1519136947" r:id="rId145"/>
        </w:object>
      </w:r>
      <w:r w:rsidR="0008331C">
        <w:rPr>
          <w:szCs w:val="24"/>
        </w:rPr>
        <w:t xml:space="preserve"> vectors vertically, and </w:t>
      </w:r>
      <w:r w:rsidR="00E1319C" w:rsidRPr="00007571">
        <w:rPr>
          <w:position w:val="-4"/>
          <w:szCs w:val="24"/>
        </w:rPr>
        <w:object w:dxaOrig="260" w:dyaOrig="260" w14:anchorId="13FF44A9">
          <v:shape id="_x0000_i1099" type="#_x0000_t75" style="width:12.75pt;height:12.75pt" o:ole="" o:preferrelative="f">
            <v:imagedata r:id="rId146" o:title=""/>
            <o:lock v:ext="edit" aspectratio="f"/>
          </v:shape>
          <o:OLEObject Type="Embed" ProgID="Equation.3" ShapeID="_x0000_i1099" DrawAspect="Content" ObjectID="_1519136948" r:id="rId147"/>
        </w:object>
      </w:r>
      <w:r w:rsidR="0008331C">
        <w:rPr>
          <w:szCs w:val="24"/>
        </w:rPr>
        <w:t xml:space="preserve"> is the matrix obtained by block-diagonally stacking the </w:t>
      </w:r>
      <w:r w:rsidR="00E1319C" w:rsidRPr="000E2F9B">
        <w:rPr>
          <w:position w:val="-14"/>
          <w:szCs w:val="24"/>
        </w:rPr>
        <w:object w:dxaOrig="360" w:dyaOrig="380" w14:anchorId="42F9D22C">
          <v:shape id="_x0000_i1100" type="#_x0000_t75" style="width:18.75pt;height:17.25pt" o:ole="" o:preferrelative="f">
            <v:imagedata r:id="rId116" o:title=""/>
            <o:lock v:ext="edit" aspectratio="f"/>
          </v:shape>
          <o:OLEObject Type="Embed" ProgID="Equation.3" ShapeID="_x0000_i1100" DrawAspect="Content" ObjectID="_1519136949" r:id="rId148"/>
        </w:object>
      </w:r>
      <w:r w:rsidR="0008331C">
        <w:rPr>
          <w:szCs w:val="24"/>
        </w:rPr>
        <w:t xml:space="preserve"> matrices. </w:t>
      </w:r>
      <w:r w:rsidR="00C71DCF">
        <w:rPr>
          <w:szCs w:val="24"/>
        </w:rPr>
        <w:t xml:space="preserve">Specifically, one may write </w:t>
      </w:r>
      <w:r w:rsidR="00E1319C" w:rsidRPr="00F8647B">
        <w:rPr>
          <w:position w:val="-14"/>
          <w:szCs w:val="24"/>
        </w:rPr>
        <w:object w:dxaOrig="1719" w:dyaOrig="380" w14:anchorId="3B55F721">
          <v:shape id="_x0000_i1101" type="#_x0000_t75" style="width:86.25pt;height:17.25pt" o:ole="" o:preferrelative="f">
            <v:imagedata r:id="rId149" o:title=""/>
            <o:lock v:ext="edit" aspectratio="f"/>
          </v:shape>
          <o:OLEObject Type="Embed" ProgID="Equation.3" ShapeID="_x0000_i1101" DrawAspect="Content" ObjectID="_1519136950" r:id="rId150"/>
        </w:object>
      </w:r>
      <w:r w:rsidR="00C71DCF">
        <w:rPr>
          <w:szCs w:val="24"/>
        </w:rPr>
        <w:t>which</w:t>
      </w:r>
      <w:r w:rsidR="00EF658C">
        <w:rPr>
          <w:szCs w:val="24"/>
        </w:rPr>
        <w:t>,</w:t>
      </w:r>
      <w:r w:rsidR="00C71DCF">
        <w:rPr>
          <w:szCs w:val="24"/>
        </w:rPr>
        <w:t xml:space="preserve"> with the mixture of MVN distributions as above </w:t>
      </w:r>
      <w:proofErr w:type="gramStart"/>
      <w:r w:rsidR="00C71DCF">
        <w:rPr>
          <w:szCs w:val="24"/>
        </w:rPr>
        <w:t xml:space="preserve">for </w:t>
      </w:r>
      <w:proofErr w:type="gramEnd"/>
      <w:r w:rsidR="00E1319C" w:rsidRPr="00C1371D">
        <w:rPr>
          <w:position w:val="-14"/>
        </w:rPr>
        <w:object w:dxaOrig="300" w:dyaOrig="380" w14:anchorId="3C61AFE7">
          <v:shape id="_x0000_i1102" type="#_x0000_t75" style="width:15.75pt;height:17.25pt" o:ole="" o:preferrelative="f">
            <v:imagedata r:id="rId151" o:title=""/>
            <o:lock v:ext="edit" aspectratio="f"/>
          </v:shape>
          <o:OLEObject Type="Embed" ProgID="Equation.3" ShapeID="_x0000_i1102" DrawAspect="Content" ObjectID="_1519136951" r:id="rId152"/>
        </w:object>
      </w:r>
      <w:r w:rsidR="00EF658C">
        <w:t>,</w:t>
      </w:r>
      <w:r w:rsidR="00C71DCF">
        <w:t xml:space="preserve"> leads to the segment-specific baseline utility functions </w:t>
      </w:r>
      <w:r w:rsidR="00EF658C">
        <w:t>of the form of Equation (</w:t>
      </w:r>
      <w:r w:rsidR="00451361">
        <w:t>2</w:t>
      </w:r>
      <w:r w:rsidR="00EF658C">
        <w:t xml:space="preserve">) with a probabilistic segment assignment </w:t>
      </w:r>
      <w:r w:rsidR="00E1319C" w:rsidRPr="00C1371D">
        <w:rPr>
          <w:position w:val="-14"/>
        </w:rPr>
        <w:object w:dxaOrig="380" w:dyaOrig="380" w14:anchorId="466DF03C">
          <v:shape id="_x0000_i1103" type="#_x0000_t75" style="width:17.25pt;height:17.25pt" o:ole="" o:preferrelative="f">
            <v:imagedata r:id="rId153" o:title=""/>
            <o:lock v:ext="edit" aspectratio="f"/>
          </v:shape>
          <o:OLEObject Type="Embed" ProgID="Equation.3" ShapeID="_x0000_i1103" DrawAspect="Content" ObjectID="_1519136952" r:id="rId154"/>
        </w:object>
      </w:r>
      <w:r w:rsidR="00EF658C">
        <w:t xml:space="preserve">. </w:t>
      </w:r>
      <w:r w:rsidR="0008331C">
        <w:rPr>
          <w:szCs w:val="24"/>
        </w:rPr>
        <w:t xml:space="preserve">The mixture of normal distributions is a semi-parametric distribution that relaxes the normal distribution for </w:t>
      </w:r>
      <w:r w:rsidR="00E1319C" w:rsidRPr="00C1371D">
        <w:rPr>
          <w:position w:val="-14"/>
        </w:rPr>
        <w:object w:dxaOrig="300" w:dyaOrig="380">
          <v:shape id="_x0000_i1104" type="#_x0000_t75" style="width:15.75pt;height:17.25pt" o:ole="" o:preferrelative="f">
            <v:imagedata r:id="rId151" o:title=""/>
            <o:lock v:ext="edit" aspectratio="f"/>
          </v:shape>
          <o:OLEObject Type="Embed" ProgID="Equation.3" ShapeID="_x0000_i1104" DrawAspect="Content" ObjectID="_1519136953" r:id="rId155"/>
        </w:object>
      </w:r>
      <w:r w:rsidR="0008331C">
        <w:rPr>
          <w:szCs w:val="24"/>
        </w:rPr>
        <w:t xml:space="preserve"> </w:t>
      </w:r>
      <w:r w:rsidR="00AA4F1D">
        <w:rPr>
          <w:szCs w:val="24"/>
        </w:rPr>
        <w:t xml:space="preserve">commonly </w:t>
      </w:r>
      <w:r w:rsidR="0008331C">
        <w:rPr>
          <w:szCs w:val="24"/>
        </w:rPr>
        <w:t xml:space="preserve">used in typical </w:t>
      </w:r>
      <w:r w:rsidR="000C1EBE">
        <w:rPr>
          <w:szCs w:val="24"/>
        </w:rPr>
        <w:t>MDC</w:t>
      </w:r>
      <w:r w:rsidR="0008331C">
        <w:rPr>
          <w:szCs w:val="24"/>
        </w:rPr>
        <w:t xml:space="preserve"> models, while allowing the distribution itself to be a function of individual-level attributes through the </w:t>
      </w:r>
      <w:r w:rsidR="00E1319C" w:rsidRPr="000E2F9B">
        <w:rPr>
          <w:position w:val="-14"/>
          <w:szCs w:val="24"/>
        </w:rPr>
        <w:object w:dxaOrig="380" w:dyaOrig="380" w14:anchorId="6A68BBC0">
          <v:shape id="_x0000_i1105" type="#_x0000_t75" style="width:17.25pt;height:17.25pt" o:ole="" o:preferrelative="f">
            <v:imagedata r:id="rId156" o:title=""/>
            <o:lock v:ext="edit" aspectratio="f"/>
          </v:shape>
          <o:OLEObject Type="Embed" ProgID="Equation.3" ShapeID="_x0000_i1105" DrawAspect="Content" ObjectID="_1519136954" r:id="rId157"/>
        </w:object>
      </w:r>
      <w:r w:rsidR="0008331C">
        <w:rPr>
          <w:szCs w:val="24"/>
        </w:rPr>
        <w:t xml:space="preserve"> terms. The mixture distribution effectively combines the flexibility of the latent class model with the parsimony of the continuous multivariate normal distribution assumption </w:t>
      </w:r>
      <w:proofErr w:type="gramStart"/>
      <w:r w:rsidR="00407CAB">
        <w:rPr>
          <w:szCs w:val="24"/>
        </w:rPr>
        <w:t xml:space="preserve">for </w:t>
      </w:r>
      <w:proofErr w:type="gramEnd"/>
      <w:r w:rsidR="00E1319C" w:rsidRPr="00C1371D">
        <w:rPr>
          <w:position w:val="-14"/>
        </w:rPr>
        <w:object w:dxaOrig="300" w:dyaOrig="380">
          <v:shape id="_x0000_i1106" type="#_x0000_t75" style="width:15.75pt;height:17.25pt" o:ole="" o:preferrelative="f">
            <v:imagedata r:id="rId151" o:title=""/>
            <o:lock v:ext="edit" aspectratio="f"/>
          </v:shape>
          <o:OLEObject Type="Embed" ProgID="Equation.3" ShapeID="_x0000_i1106" DrawAspect="Content" ObjectID="_1519136955" r:id="rId158"/>
        </w:object>
      </w:r>
      <w:r w:rsidR="0008331C">
        <w:rPr>
          <w:szCs w:val="24"/>
        </w:rPr>
        <w:t xml:space="preserve">. </w:t>
      </w:r>
      <w:r w:rsidR="00EF658C">
        <w:rPr>
          <w:szCs w:val="24"/>
        </w:rPr>
        <w:t xml:space="preserve">In </w:t>
      </w:r>
      <w:r w:rsidR="00EF658C">
        <w:rPr>
          <w:szCs w:val="24"/>
        </w:rPr>
        <w:lastRenderedPageBreak/>
        <w:t>particular</w:t>
      </w:r>
      <w:r w:rsidR="009044EF">
        <w:rPr>
          <w:szCs w:val="24"/>
        </w:rPr>
        <w:t>, i</w:t>
      </w:r>
      <w:r w:rsidR="0008331C">
        <w:rPr>
          <w:szCs w:val="24"/>
        </w:rPr>
        <w:t>f each individual belongs to a si</w:t>
      </w:r>
      <w:r w:rsidR="00E430C6">
        <w:rPr>
          <w:szCs w:val="24"/>
        </w:rPr>
        <w:t>ng</w:t>
      </w:r>
      <w:r w:rsidR="0008331C">
        <w:rPr>
          <w:szCs w:val="24"/>
        </w:rPr>
        <w:t xml:space="preserve">le segment that is known </w:t>
      </w:r>
      <w:r w:rsidR="0008331C" w:rsidRPr="00E430C6">
        <w:rPr>
          <w:i/>
          <w:szCs w:val="24"/>
        </w:rPr>
        <w:t>a priori</w:t>
      </w:r>
      <w:r w:rsidR="009044EF">
        <w:rPr>
          <w:szCs w:val="24"/>
        </w:rPr>
        <w:t xml:space="preserve"> (that is, if </w:t>
      </w:r>
      <w:r w:rsidR="00E1319C" w:rsidRPr="00C1371D">
        <w:rPr>
          <w:position w:val="-14"/>
        </w:rPr>
        <w:object w:dxaOrig="380" w:dyaOrig="380" w14:anchorId="22D260A7">
          <v:shape id="_x0000_i1107" type="#_x0000_t75" style="width:17.25pt;height:17.25pt" o:ole="" o:preferrelative="f">
            <v:imagedata r:id="rId159" o:title=""/>
            <o:lock v:ext="edit" aspectratio="f"/>
          </v:shape>
          <o:OLEObject Type="Embed" ProgID="Equation.3" ShapeID="_x0000_i1107" DrawAspect="Content" ObjectID="_1519136956" r:id="rId160"/>
        </w:object>
      </w:r>
      <w:r w:rsidR="009044EF">
        <w:rPr>
          <w:szCs w:val="24"/>
        </w:rPr>
        <w:t xml:space="preserve">= 1 for a specific segment </w:t>
      </w:r>
      <w:r w:rsidR="009044EF" w:rsidRPr="00EF658C">
        <w:rPr>
          <w:i/>
          <w:szCs w:val="24"/>
        </w:rPr>
        <w:t>g</w:t>
      </w:r>
      <w:r w:rsidR="009044EF">
        <w:rPr>
          <w:szCs w:val="24"/>
        </w:rPr>
        <w:t xml:space="preserve"> and zero for all other segments, and if this is known a priori for each individual </w:t>
      </w:r>
      <w:r w:rsidR="009044EF" w:rsidRPr="00EF658C">
        <w:rPr>
          <w:i/>
          <w:szCs w:val="24"/>
        </w:rPr>
        <w:t>q</w:t>
      </w:r>
      <w:r w:rsidR="009044EF">
        <w:rPr>
          <w:szCs w:val="24"/>
        </w:rPr>
        <w:t>)</w:t>
      </w:r>
      <w:r w:rsidR="0008331C">
        <w:rPr>
          <w:szCs w:val="24"/>
        </w:rPr>
        <w:t xml:space="preserve"> </w:t>
      </w:r>
      <w:r w:rsidR="00EF658C">
        <w:rPr>
          <w:szCs w:val="24"/>
        </w:rPr>
        <w:t xml:space="preserve">and </w:t>
      </w:r>
      <w:r w:rsidR="00726FED" w:rsidRPr="001E7ACC">
        <w:rPr>
          <w:position w:val="-14"/>
          <w:szCs w:val="24"/>
        </w:rPr>
        <w:object w:dxaOrig="1420" w:dyaOrig="380" w14:anchorId="6577312E">
          <v:shape id="_x0000_i1108" type="#_x0000_t75" style="width:71.25pt;height:18.75pt" o:ole="" o:preferrelative="f">
            <v:imagedata r:id="rId161" o:title=""/>
            <o:lock v:ext="edit" aspectratio="f"/>
          </v:shape>
          <o:OLEObject Type="Embed" ProgID="Equation.3" ShapeID="_x0000_i1108" DrawAspect="Content" ObjectID="_1519136957" r:id="rId162"/>
        </w:object>
      </w:r>
      <w:proofErr w:type="spellStart"/>
      <w:r w:rsidR="00EF658C">
        <w:rPr>
          <w:szCs w:val="24"/>
        </w:rPr>
        <w:t>and</w:t>
      </w:r>
      <w:proofErr w:type="spellEnd"/>
      <w:r w:rsidR="00EF658C">
        <w:rPr>
          <w:szCs w:val="24"/>
        </w:rPr>
        <w:t xml:space="preserve"> </w:t>
      </w:r>
      <w:r w:rsidR="00726FED" w:rsidRPr="001E7ACC">
        <w:rPr>
          <w:position w:val="-14"/>
          <w:szCs w:val="24"/>
        </w:rPr>
        <w:object w:dxaOrig="1460" w:dyaOrig="380" w14:anchorId="28A6906C">
          <v:shape id="_x0000_i1109" type="#_x0000_t75" style="width:72.75pt;height:18.75pt" o:ole="" o:preferrelative="f">
            <v:imagedata r:id="rId163" o:title=""/>
            <o:lock v:ext="edit" aspectratio="f"/>
          </v:shape>
          <o:OLEObject Type="Embed" ProgID="Equation.3" ShapeID="_x0000_i1109" DrawAspect="Content" ObjectID="_1519136958" r:id="rId164"/>
        </w:object>
      </w:r>
      <w:r w:rsidR="00EF658C" w:rsidRPr="001E7ACC">
        <w:rPr>
          <w:szCs w:val="24"/>
        </w:rPr>
        <w:t xml:space="preserve"> </w:t>
      </w:r>
      <w:r w:rsidR="0008331C">
        <w:rPr>
          <w:szCs w:val="24"/>
        </w:rPr>
        <w:t xml:space="preserve">the model collapses to a random-coefficient MDCP model </w:t>
      </w:r>
      <w:r w:rsidR="009044EF">
        <w:rPr>
          <w:szCs w:val="24"/>
        </w:rPr>
        <w:t xml:space="preserve">(or RC-MDCP in the rest of this paper) </w:t>
      </w:r>
      <w:r w:rsidR="0008331C">
        <w:rPr>
          <w:szCs w:val="24"/>
        </w:rPr>
        <w:t xml:space="preserve">as in Bhat </w:t>
      </w:r>
      <w:r w:rsidR="0008331C" w:rsidRPr="00320DF9">
        <w:rPr>
          <w:i/>
          <w:szCs w:val="24"/>
        </w:rPr>
        <w:t>et al</w:t>
      </w:r>
      <w:r w:rsidR="0008331C">
        <w:rPr>
          <w:szCs w:val="24"/>
        </w:rPr>
        <w:t>. (201</w:t>
      </w:r>
      <w:r w:rsidR="00DD258D">
        <w:rPr>
          <w:szCs w:val="24"/>
        </w:rPr>
        <w:t>3</w:t>
      </w:r>
      <w:r w:rsidR="0008331C">
        <w:rPr>
          <w:szCs w:val="24"/>
        </w:rPr>
        <w:t>). On the other hand, if the multivariate normal distribution within each segment becomes degenerate (</w:t>
      </w:r>
      <w:r w:rsidR="0008331C" w:rsidRPr="00184DFD">
        <w:rPr>
          <w:i/>
          <w:szCs w:val="24"/>
        </w:rPr>
        <w:t>i.e.</w:t>
      </w:r>
      <w:r w:rsidR="00F3588B">
        <w:rPr>
          <w:szCs w:val="24"/>
        </w:rPr>
        <w:t>,</w:t>
      </w:r>
      <w:r w:rsidR="0008331C">
        <w:rPr>
          <w:szCs w:val="24"/>
        </w:rPr>
        <w:t xml:space="preserve"> </w:t>
      </w:r>
      <w:r w:rsidR="00E1319C" w:rsidRPr="000E2F9B">
        <w:rPr>
          <w:position w:val="-14"/>
          <w:szCs w:val="24"/>
        </w:rPr>
        <w:object w:dxaOrig="740" w:dyaOrig="380" w14:anchorId="092B3B85">
          <v:shape id="_x0000_i1110" type="#_x0000_t75" style="width:36.75pt;height:17.25pt" o:ole="" o:preferrelative="f">
            <v:imagedata r:id="rId165" o:title=""/>
            <o:lock v:ext="edit" aspectratio="f"/>
          </v:shape>
          <o:OLEObject Type="Embed" ProgID="Equation.3" ShapeID="_x0000_i1110" DrawAspect="Content" ObjectID="_1519136959" r:id="rId166"/>
        </w:object>
      </w:r>
      <w:r w:rsidR="0008331C">
        <w:rPr>
          <w:szCs w:val="24"/>
        </w:rPr>
        <w:t xml:space="preserve"> for all </w:t>
      </w:r>
      <w:r w:rsidR="0008331C" w:rsidRPr="004A7D79">
        <w:rPr>
          <w:i/>
          <w:szCs w:val="24"/>
        </w:rPr>
        <w:t>g</w:t>
      </w:r>
      <w:r w:rsidR="0008331C">
        <w:rPr>
          <w:szCs w:val="24"/>
        </w:rPr>
        <w:t xml:space="preserve">), then the model collapses to a latent class MDCP </w:t>
      </w:r>
      <w:r w:rsidR="009044EF">
        <w:rPr>
          <w:szCs w:val="24"/>
        </w:rPr>
        <w:t xml:space="preserve">(LC-MDCP) </w:t>
      </w:r>
      <w:r w:rsidR="0008331C">
        <w:rPr>
          <w:szCs w:val="24"/>
        </w:rPr>
        <w:t>model.</w:t>
      </w:r>
    </w:p>
    <w:p w:rsidR="0008331C" w:rsidRDefault="0008331C" w:rsidP="00A95173">
      <w:pPr>
        <w:spacing w:line="360" w:lineRule="auto"/>
        <w:ind w:firstLine="720"/>
        <w:rPr>
          <w:szCs w:val="24"/>
        </w:rPr>
      </w:pPr>
      <w:r>
        <w:rPr>
          <w:szCs w:val="24"/>
        </w:rPr>
        <w:t xml:space="preserve">The use of latent classes, as in the current paper, requires labeling restrictions for identifiability. In particular, the parameter space includes </w:t>
      </w:r>
      <w:r w:rsidR="00E1319C" w:rsidRPr="00BC5439">
        <w:rPr>
          <w:position w:val="-6"/>
          <w:szCs w:val="24"/>
        </w:rPr>
        <w:object w:dxaOrig="320" w:dyaOrig="279" w14:anchorId="5A97015B">
          <v:shape id="_x0000_i1111" type="#_x0000_t75" style="width:15.75pt;height:14.25pt" o:ole="" o:preferrelative="f">
            <v:imagedata r:id="rId167" o:title=""/>
            <o:lock v:ext="edit" aspectratio="f"/>
          </v:shape>
          <o:OLEObject Type="Embed" ProgID="Equation.3" ShapeID="_x0000_i1111" DrawAspect="Content" ObjectID="_1519136960" r:id="rId168"/>
        </w:object>
      </w:r>
      <w:r w:rsidRPr="008C751C">
        <w:rPr>
          <w:i/>
          <w:szCs w:val="24"/>
        </w:rPr>
        <w:t xml:space="preserve"> </w:t>
      </w:r>
      <w:r>
        <w:rPr>
          <w:szCs w:val="24"/>
        </w:rPr>
        <w:t xml:space="preserve">subspaces, each associated with a different way of labeling the mixture components. To prevent the </w:t>
      </w:r>
      <w:r w:rsidR="00F63D13">
        <w:rPr>
          <w:szCs w:val="24"/>
        </w:rPr>
        <w:t xml:space="preserve">interchange </w:t>
      </w:r>
      <w:r>
        <w:rPr>
          <w:szCs w:val="24"/>
        </w:rPr>
        <w:t xml:space="preserve">of the mixture components, we impose the </w:t>
      </w:r>
      <w:r w:rsidR="008852EA">
        <w:rPr>
          <w:szCs w:val="24"/>
        </w:rPr>
        <w:t xml:space="preserve">labeling </w:t>
      </w:r>
      <w:r>
        <w:rPr>
          <w:szCs w:val="24"/>
        </w:rPr>
        <w:t xml:space="preserve">restriction that the </w:t>
      </w:r>
      <w:r w:rsidR="00186DD8">
        <w:rPr>
          <w:szCs w:val="24"/>
        </w:rPr>
        <w:t>constants</w:t>
      </w:r>
      <w:r>
        <w:rPr>
          <w:szCs w:val="24"/>
        </w:rPr>
        <w:t xml:space="preserve"> specific to the second alternative are </w:t>
      </w:r>
      <w:r w:rsidR="00E919D3">
        <w:rPr>
          <w:szCs w:val="24"/>
        </w:rPr>
        <w:t>increasing</w:t>
      </w:r>
      <w:r>
        <w:rPr>
          <w:szCs w:val="24"/>
        </w:rPr>
        <w:t xml:space="preserve"> across the segments</w:t>
      </w:r>
      <w:r w:rsidR="008852EA">
        <w:rPr>
          <w:szCs w:val="24"/>
        </w:rPr>
        <w:t xml:space="preserve">, </w:t>
      </w:r>
      <w:r w:rsidR="008852EA" w:rsidRPr="00726FED">
        <w:rPr>
          <w:i/>
          <w:szCs w:val="24"/>
        </w:rPr>
        <w:t>i.e.</w:t>
      </w:r>
      <w:r w:rsidR="008852EA">
        <w:rPr>
          <w:szCs w:val="24"/>
        </w:rPr>
        <w:t>:</w:t>
      </w:r>
      <w:r w:rsidR="00164D79">
        <w:rPr>
          <w:szCs w:val="24"/>
        </w:rPr>
        <w:t xml:space="preserve"> </w:t>
      </w:r>
      <w:r w:rsidR="00AB7EA8" w:rsidRPr="00164D79">
        <w:rPr>
          <w:i/>
          <w:szCs w:val="24"/>
        </w:rPr>
        <w:t>b</w:t>
      </w:r>
      <w:r w:rsidR="00AB7EA8">
        <w:rPr>
          <w:szCs w:val="24"/>
          <w:vertAlign w:val="subscript"/>
        </w:rPr>
        <w:t>1</w:t>
      </w:r>
      <w:r w:rsidR="00AB7EA8" w:rsidRPr="00164D79">
        <w:rPr>
          <w:szCs w:val="24"/>
          <w:vertAlign w:val="subscript"/>
        </w:rPr>
        <w:t>1</w:t>
      </w:r>
      <w:r w:rsidR="00AB7EA8" w:rsidRPr="00AB7EA8">
        <w:rPr>
          <w:szCs w:val="24"/>
        </w:rPr>
        <w:t>&lt;</w:t>
      </w:r>
      <w:r w:rsidR="00164D79" w:rsidRPr="00164D79">
        <w:rPr>
          <w:i/>
          <w:szCs w:val="24"/>
        </w:rPr>
        <w:t>b</w:t>
      </w:r>
      <w:r w:rsidR="00AB7EA8">
        <w:rPr>
          <w:szCs w:val="24"/>
          <w:vertAlign w:val="subscript"/>
        </w:rPr>
        <w:t>2</w:t>
      </w:r>
      <w:r w:rsidR="00164D79" w:rsidRPr="00164D79">
        <w:rPr>
          <w:szCs w:val="24"/>
          <w:vertAlign w:val="subscript"/>
        </w:rPr>
        <w:t>1</w:t>
      </w:r>
      <w:r w:rsidR="00164D79">
        <w:rPr>
          <w:szCs w:val="24"/>
        </w:rPr>
        <w:t>&lt;</w:t>
      </w:r>
      <w:r w:rsidR="00164D79" w:rsidRPr="00164D79">
        <w:rPr>
          <w:i/>
          <w:szCs w:val="24"/>
        </w:rPr>
        <w:t>b</w:t>
      </w:r>
      <w:r w:rsidR="00AB7EA8">
        <w:rPr>
          <w:szCs w:val="24"/>
          <w:vertAlign w:val="subscript"/>
        </w:rPr>
        <w:t>31</w:t>
      </w:r>
      <w:r w:rsidR="00164D79">
        <w:rPr>
          <w:szCs w:val="24"/>
        </w:rPr>
        <w:t>&lt;…</w:t>
      </w:r>
      <w:r w:rsidR="00164D79" w:rsidRPr="00164D79">
        <w:rPr>
          <w:i/>
          <w:szCs w:val="24"/>
        </w:rPr>
        <w:t>b</w:t>
      </w:r>
      <w:r w:rsidR="00164D79" w:rsidRPr="00164D79">
        <w:rPr>
          <w:i/>
          <w:szCs w:val="24"/>
          <w:vertAlign w:val="subscript"/>
        </w:rPr>
        <w:t>G</w:t>
      </w:r>
      <w:r w:rsidR="00AB7EA8">
        <w:rPr>
          <w:i/>
          <w:szCs w:val="24"/>
          <w:vertAlign w:val="subscript"/>
        </w:rPr>
        <w:t>1</w:t>
      </w:r>
      <w:r w:rsidR="00AB7EA8">
        <w:rPr>
          <w:szCs w:val="24"/>
        </w:rPr>
        <w:t xml:space="preserve"> (</w:t>
      </w:r>
      <w:r w:rsidR="00AB7EA8" w:rsidRPr="00164D79">
        <w:rPr>
          <w:i/>
          <w:szCs w:val="24"/>
        </w:rPr>
        <w:t>b</w:t>
      </w:r>
      <w:r w:rsidR="00AB7EA8">
        <w:rPr>
          <w:szCs w:val="24"/>
          <w:vertAlign w:val="subscript"/>
        </w:rPr>
        <w:t>1</w:t>
      </w:r>
      <w:r w:rsidR="00AB7EA8" w:rsidRPr="00164D79">
        <w:rPr>
          <w:szCs w:val="24"/>
          <w:vertAlign w:val="subscript"/>
        </w:rPr>
        <w:t>1</w:t>
      </w:r>
      <w:r w:rsidR="00AB7EA8">
        <w:rPr>
          <w:szCs w:val="24"/>
        </w:rPr>
        <w:t xml:space="preserve"> refers to coefficient on the dummy variable for the second alternative in the first segment, </w:t>
      </w:r>
      <w:r w:rsidR="00AB7EA8" w:rsidRPr="00164D79">
        <w:rPr>
          <w:i/>
          <w:szCs w:val="24"/>
        </w:rPr>
        <w:t>b</w:t>
      </w:r>
      <w:r w:rsidR="00AB7EA8">
        <w:rPr>
          <w:szCs w:val="24"/>
          <w:vertAlign w:val="subscript"/>
        </w:rPr>
        <w:t>2</w:t>
      </w:r>
      <w:r w:rsidR="00AB7EA8" w:rsidRPr="00164D79">
        <w:rPr>
          <w:szCs w:val="24"/>
          <w:vertAlign w:val="subscript"/>
        </w:rPr>
        <w:t>1</w:t>
      </w:r>
      <w:r w:rsidR="00AB7EA8">
        <w:rPr>
          <w:szCs w:val="24"/>
        </w:rPr>
        <w:t xml:space="preserve"> refers to the coefficient on the dummy variable for the second alternative in the second segment, and so on until</w:t>
      </w:r>
      <w:r w:rsidR="00AB7EA8" w:rsidRPr="00AB7EA8">
        <w:rPr>
          <w:i/>
          <w:szCs w:val="24"/>
        </w:rPr>
        <w:t xml:space="preserve"> </w:t>
      </w:r>
      <w:r w:rsidR="00AB7EA8" w:rsidRPr="00164D79">
        <w:rPr>
          <w:i/>
          <w:szCs w:val="24"/>
        </w:rPr>
        <w:t>b</w:t>
      </w:r>
      <w:r w:rsidR="00AB7EA8" w:rsidRPr="00E9605C">
        <w:rPr>
          <w:i/>
          <w:szCs w:val="24"/>
          <w:vertAlign w:val="subscript"/>
        </w:rPr>
        <w:t>G</w:t>
      </w:r>
      <w:r w:rsidR="00AB7EA8" w:rsidRPr="00164D79">
        <w:rPr>
          <w:szCs w:val="24"/>
          <w:vertAlign w:val="subscript"/>
        </w:rPr>
        <w:t>1</w:t>
      </w:r>
      <w:r w:rsidR="00AB7EA8">
        <w:rPr>
          <w:szCs w:val="24"/>
        </w:rPr>
        <w:t xml:space="preserve"> refers to the coefficient on the dummy variable for the second alternative in the </w:t>
      </w:r>
      <w:proofErr w:type="spellStart"/>
      <w:r w:rsidR="00AB7EA8" w:rsidRPr="00AB7EA8">
        <w:rPr>
          <w:i/>
          <w:szCs w:val="24"/>
        </w:rPr>
        <w:t>G</w:t>
      </w:r>
      <w:r w:rsidR="00AB7EA8">
        <w:rPr>
          <w:szCs w:val="24"/>
        </w:rPr>
        <w:t>th</w:t>
      </w:r>
      <w:proofErr w:type="spellEnd"/>
      <w:r w:rsidR="00AB7EA8">
        <w:rPr>
          <w:szCs w:val="24"/>
        </w:rPr>
        <w:t xml:space="preserve"> segment).</w:t>
      </w:r>
      <w:r w:rsidR="00E9605C">
        <w:rPr>
          <w:rStyle w:val="FootnoteReference"/>
          <w:szCs w:val="24"/>
        </w:rPr>
        <w:footnoteReference w:id="3"/>
      </w:r>
      <w:r w:rsidR="00AB7EA8">
        <w:rPr>
          <w:szCs w:val="24"/>
        </w:rPr>
        <w:t xml:space="preserve"> </w:t>
      </w:r>
      <w:r w:rsidR="00795A5D" w:rsidRPr="00795A5D">
        <w:rPr>
          <w:szCs w:val="24"/>
        </w:rPr>
        <w:t>To implement th</w:t>
      </w:r>
      <w:r w:rsidR="00E9605C">
        <w:rPr>
          <w:szCs w:val="24"/>
        </w:rPr>
        <w:t xml:space="preserve">e labeling </w:t>
      </w:r>
      <w:r w:rsidR="00164D79">
        <w:rPr>
          <w:szCs w:val="24"/>
        </w:rPr>
        <w:t>restriction</w:t>
      </w:r>
      <w:r w:rsidR="00E9605C">
        <w:rPr>
          <w:szCs w:val="24"/>
        </w:rPr>
        <w:t>,</w:t>
      </w:r>
      <w:r w:rsidR="00164D79">
        <w:rPr>
          <w:szCs w:val="24"/>
        </w:rPr>
        <w:t xml:space="preserve"> we parameter</w:t>
      </w:r>
      <w:r w:rsidR="00AB7EA8">
        <w:rPr>
          <w:szCs w:val="24"/>
        </w:rPr>
        <w:t>ize</w:t>
      </w:r>
      <w:r w:rsidR="00164D79">
        <w:rPr>
          <w:szCs w:val="24"/>
        </w:rPr>
        <w:t xml:space="preserve"> the </w:t>
      </w:r>
      <w:r w:rsidR="00164D79" w:rsidRPr="00164D79">
        <w:rPr>
          <w:i/>
          <w:szCs w:val="24"/>
        </w:rPr>
        <w:t>b</w:t>
      </w:r>
      <w:r w:rsidR="00164D79" w:rsidRPr="00164D79">
        <w:rPr>
          <w:i/>
          <w:szCs w:val="24"/>
          <w:vertAlign w:val="subscript"/>
        </w:rPr>
        <w:t>g</w:t>
      </w:r>
      <w:r w:rsidR="00AB7EA8">
        <w:rPr>
          <w:i/>
          <w:szCs w:val="24"/>
          <w:vertAlign w:val="subscript"/>
        </w:rPr>
        <w:t>1</w:t>
      </w:r>
      <w:r w:rsidR="00795A5D" w:rsidRPr="00795A5D">
        <w:rPr>
          <w:szCs w:val="24"/>
        </w:rPr>
        <w:t xml:space="preserve"> values as follows: </w:t>
      </w:r>
      <w:r w:rsidR="005B4D1F" w:rsidRPr="000156D6">
        <w:rPr>
          <w:position w:val="-14"/>
        </w:rPr>
        <w:object w:dxaOrig="2079" w:dyaOrig="380">
          <v:shape id="_x0000_i1112" type="#_x0000_t75" style="width:103.5pt;height:18.75pt" o:ole="" o:preferrelative="f">
            <v:imagedata r:id="rId169" o:title=""/>
            <o:lock v:ext="edit" aspectratio="f"/>
          </v:shape>
          <o:OLEObject Type="Embed" ProgID="Equation.3" ShapeID="_x0000_i1112" DrawAspect="Content" ObjectID="_1519136961" r:id="rId170"/>
        </w:object>
      </w:r>
      <w:r w:rsidR="005B4D1F">
        <w:rPr>
          <w:szCs w:val="24"/>
        </w:rPr>
        <w:t xml:space="preserve"> </w:t>
      </w:r>
      <w:r w:rsidR="00795A5D" w:rsidRPr="00795A5D">
        <w:rPr>
          <w:szCs w:val="24"/>
        </w:rPr>
        <w:t xml:space="preserve">for </w:t>
      </w:r>
      <w:r w:rsidR="00795A5D" w:rsidRPr="00164D79">
        <w:rPr>
          <w:i/>
          <w:szCs w:val="24"/>
        </w:rPr>
        <w:t>g</w:t>
      </w:r>
      <w:r w:rsidR="00795A5D" w:rsidRPr="00795A5D">
        <w:rPr>
          <w:szCs w:val="24"/>
        </w:rPr>
        <w:t>=2,…</w:t>
      </w:r>
      <w:proofErr w:type="gramStart"/>
      <w:r w:rsidR="00795A5D" w:rsidRPr="00795A5D">
        <w:rPr>
          <w:szCs w:val="24"/>
        </w:rPr>
        <w:t>,</w:t>
      </w:r>
      <w:r w:rsidR="00795A5D" w:rsidRPr="00164D79">
        <w:rPr>
          <w:i/>
          <w:szCs w:val="24"/>
        </w:rPr>
        <w:t>G</w:t>
      </w:r>
      <w:proofErr w:type="gramEnd"/>
      <w:r w:rsidR="00795A5D" w:rsidRPr="00795A5D">
        <w:rPr>
          <w:szCs w:val="24"/>
        </w:rPr>
        <w:t xml:space="preserve">. </w:t>
      </w:r>
      <w:r w:rsidR="00253A97">
        <w:rPr>
          <w:szCs w:val="24"/>
        </w:rPr>
        <w:t xml:space="preserve">Such a </w:t>
      </w:r>
      <w:r w:rsidR="00164D79">
        <w:rPr>
          <w:szCs w:val="24"/>
        </w:rPr>
        <w:t xml:space="preserve">labeling restriction is needed </w:t>
      </w:r>
      <w:r w:rsidR="00640153">
        <w:rPr>
          <w:szCs w:val="24"/>
        </w:rPr>
        <w:t xml:space="preserve">because </w:t>
      </w:r>
      <w:r w:rsidR="00E9605C">
        <w:rPr>
          <w:szCs w:val="24"/>
        </w:rPr>
        <w:t xml:space="preserve">the same model specification (and likelihood function value) results simply by interchanging the sequence in which the segments are numbered. Technically, therefore, multiple sets of parameters (corresponding to a swap of segment values) result in the same likelihood function, creating an identification problem. This identification problem is resolved through the imposition of the labeling restriction above so that </w:t>
      </w:r>
      <w:r w:rsidR="00253A97">
        <w:rPr>
          <w:szCs w:val="24"/>
        </w:rPr>
        <w:t xml:space="preserve">the </w:t>
      </w:r>
      <w:r w:rsidR="00E9605C">
        <w:rPr>
          <w:szCs w:val="24"/>
        </w:rPr>
        <w:t>segments become non-interchangeable.</w:t>
      </w:r>
      <w:r w:rsidR="00253A97">
        <w:rPr>
          <w:rStyle w:val="FootnoteReference"/>
          <w:szCs w:val="24"/>
        </w:rPr>
        <w:footnoteReference w:id="4"/>
      </w:r>
      <w:r w:rsidR="005B4D1F">
        <w:rPr>
          <w:szCs w:val="24"/>
        </w:rPr>
        <w:t xml:space="preserve"> </w:t>
      </w:r>
      <w:r>
        <w:rPr>
          <w:szCs w:val="24"/>
        </w:rPr>
        <w:t xml:space="preserve">Finally, an additional scale normalization needs to be imposed on </w:t>
      </w:r>
      <w:r w:rsidR="00E1319C" w:rsidRPr="000E2F9B">
        <w:rPr>
          <w:position w:val="-14"/>
          <w:szCs w:val="24"/>
        </w:rPr>
        <w:object w:dxaOrig="360" w:dyaOrig="380" w14:anchorId="0EE0434A">
          <v:shape id="_x0000_i1113" type="#_x0000_t75" style="width:18.75pt;height:17.25pt" o:ole="" o:preferrelative="f">
            <v:imagedata r:id="rId171" o:title=""/>
            <o:lock v:ext="edit" aspectratio="f"/>
          </v:shape>
          <o:OLEObject Type="Embed" ProgID="Equation.3" ShapeID="_x0000_i1113" DrawAspect="Content" ObjectID="_1519136962" r:id="rId172"/>
        </w:object>
      </w:r>
      <w:r>
        <w:rPr>
          <w:szCs w:val="24"/>
        </w:rPr>
        <w:t xml:space="preserve"> for one of the </w:t>
      </w:r>
      <w:r w:rsidRPr="00783ED3">
        <w:rPr>
          <w:i/>
          <w:szCs w:val="24"/>
        </w:rPr>
        <w:t>g</w:t>
      </w:r>
      <w:r>
        <w:rPr>
          <w:szCs w:val="24"/>
        </w:rPr>
        <w:t xml:space="preserve"> segments if there is no price variation across goods for each consumer </w:t>
      </w:r>
      <w:r w:rsidRPr="00783ED3">
        <w:rPr>
          <w:i/>
          <w:szCs w:val="24"/>
        </w:rPr>
        <w:t>q</w:t>
      </w:r>
      <w:r>
        <w:rPr>
          <w:szCs w:val="24"/>
        </w:rPr>
        <w:t xml:space="preserve"> (</w:t>
      </w:r>
      <w:r w:rsidR="00F3588B" w:rsidRPr="00184DFD">
        <w:rPr>
          <w:i/>
          <w:szCs w:val="24"/>
        </w:rPr>
        <w:t>i.e.</w:t>
      </w:r>
      <w:r w:rsidR="00F3588B">
        <w:rPr>
          <w:szCs w:val="24"/>
        </w:rPr>
        <w:t xml:space="preserve">, </w:t>
      </w:r>
      <w:proofErr w:type="gramStart"/>
      <w:r>
        <w:rPr>
          <w:szCs w:val="24"/>
        </w:rPr>
        <w:t xml:space="preserve">if </w:t>
      </w:r>
      <w:proofErr w:type="gramEnd"/>
      <w:r w:rsidR="005B4D1F" w:rsidRPr="00CA7954">
        <w:rPr>
          <w:position w:val="-14"/>
          <w:szCs w:val="24"/>
        </w:rPr>
        <w:object w:dxaOrig="2299" w:dyaOrig="380" w14:anchorId="4C82281A">
          <v:shape id="_x0000_i1114" type="#_x0000_t75" style="width:115.5pt;height:18.75pt" o:ole="" o:preferrelative="f">
            <v:imagedata r:id="rId173" o:title=""/>
            <o:lock v:ext="edit" aspectratio="f"/>
          </v:shape>
          <o:OLEObject Type="Embed" ProgID="Equation.3" ShapeID="_x0000_i1114" DrawAspect="Content" ObjectID="_1519136963" r:id="rId174"/>
        </w:object>
      </w:r>
      <w:r>
        <w:rPr>
          <w:szCs w:val="24"/>
        </w:rPr>
        <w:t xml:space="preserve">). For instance, one can normalize the variance of the second alternative’s constant in the first segment </w:t>
      </w:r>
      <w:r>
        <w:rPr>
          <w:szCs w:val="24"/>
        </w:rPr>
        <w:lastRenderedPageBreak/>
        <w:t>(</w:t>
      </w:r>
      <w:r w:rsidR="00E1319C" w:rsidRPr="00783ED3">
        <w:rPr>
          <w:position w:val="-10"/>
          <w:szCs w:val="24"/>
        </w:rPr>
        <w:object w:dxaOrig="540" w:dyaOrig="320" w14:anchorId="38494C75">
          <v:shape id="_x0000_i1115" type="#_x0000_t75" style="width:27pt;height:15.75pt" o:ole="" o:preferrelative="f">
            <v:imagedata r:id="rId175" o:title=""/>
            <o:lock v:ext="edit" aspectratio="f"/>
          </v:shape>
          <o:OLEObject Type="Embed" ProgID="Equation.3" ShapeID="_x0000_i1115" DrawAspect="Content" ObjectID="_1519136964" r:id="rId176"/>
        </w:object>
      </w:r>
      <w:r>
        <w:rPr>
          <w:szCs w:val="24"/>
        </w:rPr>
        <w:t>) to the value of one. But, if there is price variation across even a subset of goods for a subset of consumers, there is no need for this additional scale normalization (see Bhat, 2008).</w:t>
      </w:r>
    </w:p>
    <w:p w:rsidR="0008331C" w:rsidRDefault="0008331C" w:rsidP="00966971">
      <w:pPr>
        <w:spacing w:line="360" w:lineRule="auto"/>
        <w:rPr>
          <w:szCs w:val="24"/>
        </w:rPr>
      </w:pPr>
    </w:p>
    <w:p w:rsidR="0008331C" w:rsidRDefault="0008331C" w:rsidP="00966971">
      <w:pPr>
        <w:spacing w:line="360" w:lineRule="auto"/>
        <w:rPr>
          <w:szCs w:val="24"/>
        </w:rPr>
      </w:pPr>
      <w:r w:rsidRPr="00601A4B">
        <w:rPr>
          <w:b/>
        </w:rPr>
        <w:t>2.</w:t>
      </w:r>
      <w:r w:rsidR="00001BBA">
        <w:rPr>
          <w:b/>
        </w:rPr>
        <w:t>3</w:t>
      </w:r>
      <w:r w:rsidR="00001BBA" w:rsidRPr="00601A4B">
        <w:rPr>
          <w:b/>
        </w:rPr>
        <w:t xml:space="preserve"> </w:t>
      </w:r>
      <w:r w:rsidRPr="00601A4B">
        <w:rPr>
          <w:b/>
        </w:rPr>
        <w:t>Model Estimation</w:t>
      </w:r>
    </w:p>
    <w:p w:rsidR="0008331C" w:rsidRDefault="0008331C" w:rsidP="00966971">
      <w:pPr>
        <w:spacing w:line="360" w:lineRule="auto"/>
        <w:rPr>
          <w:szCs w:val="24"/>
        </w:rPr>
      </w:pPr>
      <w:r>
        <w:rPr>
          <w:szCs w:val="24"/>
        </w:rPr>
        <w:t xml:space="preserve">If a </w:t>
      </w:r>
      <w:r w:rsidR="000F7C05" w:rsidRPr="000E2F9B">
        <w:rPr>
          <w:position w:val="-10"/>
          <w:szCs w:val="24"/>
        </w:rPr>
        <w:object w:dxaOrig="200" w:dyaOrig="260" w14:anchorId="6F06E444">
          <v:shape id="_x0000_i1116" type="#_x0000_t75" style="width:9.75pt;height:12.75pt" o:ole="" o:preferrelative="f">
            <v:imagedata r:id="rId44" o:title=""/>
            <o:lock v:ext="edit" aspectratio="f"/>
          </v:shape>
          <o:OLEObject Type="Embed" ProgID="Equation.3" ShapeID="_x0000_i1116" DrawAspect="Content" ObjectID="_1519136965" r:id="rId177"/>
        </w:object>
      </w:r>
      <w:r w:rsidRPr="000E2F9B">
        <w:rPr>
          <w:szCs w:val="24"/>
        </w:rPr>
        <w:t>-profile</w:t>
      </w:r>
      <w:r>
        <w:rPr>
          <w:szCs w:val="24"/>
        </w:rPr>
        <w:t xml:space="preserve"> is used, the parameter </w:t>
      </w:r>
      <w:r w:rsidR="00726FED" w:rsidRPr="004E22C6">
        <w:rPr>
          <w:position w:val="-14"/>
        </w:rPr>
        <w:object w:dxaOrig="420" w:dyaOrig="380" w14:anchorId="766FF4A5">
          <v:shape id="_x0000_i1117" type="#_x0000_t75" style="width:21pt;height:18.75pt" o:ole="" o:preferrelative="f">
            <v:imagedata r:id="rId178" o:title=""/>
            <o:lock v:ext="edit" aspectratio="f"/>
          </v:shape>
          <o:OLEObject Type="Embed" ProgID="Equation.3" ShapeID="_x0000_i1117" DrawAspect="Content" ObjectID="_1519136966" r:id="rId179"/>
        </w:object>
      </w:r>
      <w:r>
        <w:rPr>
          <w:szCs w:val="24"/>
        </w:rPr>
        <w:t xml:space="preserve"> may be parameterized </w:t>
      </w:r>
      <w:proofErr w:type="gramStart"/>
      <w:r>
        <w:rPr>
          <w:szCs w:val="24"/>
        </w:rPr>
        <w:t xml:space="preserve">as </w:t>
      </w:r>
      <w:proofErr w:type="gramEnd"/>
      <w:r w:rsidR="00726FED" w:rsidRPr="00603274">
        <w:rPr>
          <w:position w:val="-14"/>
        </w:rPr>
        <w:object w:dxaOrig="1100" w:dyaOrig="420" w14:anchorId="4009462B">
          <v:shape id="_x0000_i1118" type="#_x0000_t75" style="width:54.75pt;height:21pt" o:ole="" o:preferrelative="f">
            <v:imagedata r:id="rId180" o:title=""/>
            <o:lock v:ext="edit" aspectratio="f"/>
          </v:shape>
          <o:OLEObject Type="Embed" ProgID="Equation.3" ShapeID="_x0000_i1118" DrawAspect="Content" ObjectID="_1519136967" r:id="rId181"/>
        </w:object>
      </w:r>
      <w:r>
        <w:rPr>
          <w:szCs w:val="24"/>
        </w:rPr>
        <w:t xml:space="preserve">, where </w:t>
      </w:r>
      <w:r w:rsidR="00726FED" w:rsidRPr="004E22C6">
        <w:rPr>
          <w:position w:val="-14"/>
        </w:rPr>
        <w:object w:dxaOrig="340" w:dyaOrig="380" w14:anchorId="3ED5AC93">
          <v:shape id="_x0000_i1119" type="#_x0000_t75" style="width:17.25pt;height:18.75pt" o:ole="" o:preferrelative="f">
            <v:imagedata r:id="rId182" o:title=""/>
            <o:lock v:ext="edit" aspectratio="f"/>
          </v:shape>
          <o:OLEObject Type="Embed" ProgID="Equation.3" ShapeID="_x0000_i1119" DrawAspect="Content" ObjectID="_1519136968" r:id="rId183"/>
        </w:object>
      </w:r>
      <w:r>
        <w:rPr>
          <w:szCs w:val="24"/>
        </w:rPr>
        <w:t xml:space="preserve"> is a vector of explanatory variables and </w:t>
      </w:r>
      <w:r w:rsidR="00726FED" w:rsidRPr="004E22C6">
        <w:rPr>
          <w:position w:val="-14"/>
        </w:rPr>
        <w:object w:dxaOrig="279" w:dyaOrig="420" w14:anchorId="264A4BC9">
          <v:shape id="_x0000_i1120" type="#_x0000_t75" style="width:13.5pt;height:21pt" o:ole="" o:preferrelative="f">
            <v:imagedata r:id="rId184" o:title=""/>
            <o:lock v:ext="edit" aspectratio="f"/>
          </v:shape>
          <o:OLEObject Type="Embed" ProgID="Equation.3" ShapeID="_x0000_i1120" DrawAspect="Content" ObjectID="_1519136969" r:id="rId185"/>
        </w:object>
      </w:r>
      <w:r>
        <w:rPr>
          <w:szCs w:val="24"/>
        </w:rPr>
        <w:t xml:space="preserve"> is a corresponding vector of parameters. On the other hand, if an </w:t>
      </w:r>
      <w:r w:rsidR="000F7C05" w:rsidRPr="00A27201">
        <w:rPr>
          <w:position w:val="-6"/>
          <w:szCs w:val="24"/>
        </w:rPr>
        <w:object w:dxaOrig="240" w:dyaOrig="220" w14:anchorId="0B4A2355">
          <v:shape id="_x0000_i1121" type="#_x0000_t75" style="width:12pt;height:11.25pt" o:ole="" o:preferrelative="f">
            <v:imagedata r:id="rId186" o:title=""/>
            <o:lock v:ext="edit" aspectratio="f"/>
          </v:shape>
          <o:OLEObject Type="Embed" ProgID="Equation.3" ShapeID="_x0000_i1121" DrawAspect="Content" ObjectID="_1519136970" r:id="rId187"/>
        </w:object>
      </w:r>
      <w:r w:rsidRPr="000E2F9B">
        <w:rPr>
          <w:szCs w:val="24"/>
        </w:rPr>
        <w:t>-profile</w:t>
      </w:r>
      <w:r>
        <w:rPr>
          <w:szCs w:val="24"/>
        </w:rPr>
        <w:t xml:space="preserve"> is used, the parameter </w:t>
      </w:r>
      <w:r w:rsidR="000F7C05" w:rsidRPr="004E22C6">
        <w:rPr>
          <w:position w:val="-14"/>
        </w:rPr>
        <w:object w:dxaOrig="440" w:dyaOrig="380" w14:anchorId="363A2808">
          <v:shape id="_x0000_i1122" type="#_x0000_t75" style="width:22.5pt;height:17.25pt" o:ole="" o:preferrelative="f">
            <v:imagedata r:id="rId188" o:title=""/>
            <o:lock v:ext="edit" aspectratio="f"/>
          </v:shape>
          <o:OLEObject Type="Embed" ProgID="Equation.3" ShapeID="_x0000_i1122" DrawAspect="Content" ObjectID="_1519136971" r:id="rId189"/>
        </w:object>
      </w:r>
      <w:r>
        <w:rPr>
          <w:szCs w:val="24"/>
        </w:rPr>
        <w:t xml:space="preserve"> may be parameterized as </w:t>
      </w:r>
      <w:r w:rsidR="000F7C05" w:rsidRPr="00603274">
        <w:rPr>
          <w:position w:val="-14"/>
        </w:rPr>
        <w:object w:dxaOrig="1420" w:dyaOrig="420" w14:anchorId="701E7E90">
          <v:shape id="_x0000_i1123" type="#_x0000_t75" style="width:71.25pt;height:20.25pt" o:ole="" o:preferrelative="f">
            <v:imagedata r:id="rId190" o:title=""/>
            <o:lock v:ext="edit" aspectratio="f"/>
          </v:shape>
          <o:OLEObject Type="Embed" ProgID="Equation.3" ShapeID="_x0000_i1123" DrawAspect="Content" ObjectID="_1519136972" r:id="rId191"/>
        </w:object>
      </w:r>
      <w:r>
        <w:rPr>
          <w:szCs w:val="24"/>
        </w:rPr>
        <w:t xml:space="preserve"> (to maintain the restriction </w:t>
      </w:r>
      <w:proofErr w:type="gramStart"/>
      <w:r>
        <w:rPr>
          <w:szCs w:val="24"/>
        </w:rPr>
        <w:t xml:space="preserve">that </w:t>
      </w:r>
      <w:proofErr w:type="gramEnd"/>
      <w:r w:rsidR="000F7C05" w:rsidRPr="004E22C6">
        <w:rPr>
          <w:position w:val="-14"/>
        </w:rPr>
        <w:object w:dxaOrig="800" w:dyaOrig="380" w14:anchorId="5CEA5B56">
          <v:shape id="_x0000_i1124" type="#_x0000_t75" style="width:40.5pt;height:17.25pt" o:ole="" o:preferrelative="f">
            <v:imagedata r:id="rId192" o:title=""/>
            <o:lock v:ext="edit" aspectratio="f"/>
          </v:shape>
          <o:OLEObject Type="Embed" ProgID="Equation.3" ShapeID="_x0000_i1124" DrawAspect="Content" ObjectID="_1519136973" r:id="rId193"/>
        </w:object>
      </w:r>
      <w:r>
        <w:rPr>
          <w:szCs w:val="24"/>
        </w:rPr>
        <w:t xml:space="preserve">) or as </w:t>
      </w:r>
      <w:r w:rsidR="000F7C05" w:rsidRPr="00C816EC">
        <w:rPr>
          <w:position w:val="-34"/>
        </w:rPr>
        <w:object w:dxaOrig="1600" w:dyaOrig="720" w14:anchorId="25BEEA5B">
          <v:shape id="_x0000_i1125" type="#_x0000_t75" style="width:81pt;height:36.75pt" o:ole="" o:preferrelative="f">
            <v:imagedata r:id="rId194" o:title=""/>
            <o:lock v:ext="edit" aspectratio="f"/>
          </v:shape>
          <o:OLEObject Type="Embed" ProgID="Equation.3" ShapeID="_x0000_i1125" DrawAspect="Content" ObjectID="_1519136974" r:id="rId195"/>
        </w:object>
      </w:r>
      <w:r>
        <w:rPr>
          <w:szCs w:val="24"/>
        </w:rPr>
        <w:t xml:space="preserve"> (to maintain the stronger restrictions that </w:t>
      </w:r>
      <w:r w:rsidR="000F7C05" w:rsidRPr="004E22C6">
        <w:rPr>
          <w:position w:val="-14"/>
        </w:rPr>
        <w:object w:dxaOrig="1160" w:dyaOrig="380" w14:anchorId="28315F0E">
          <v:shape id="_x0000_i1126" type="#_x0000_t75" style="width:57.75pt;height:17.25pt" o:ole="" o:preferrelative="f">
            <v:imagedata r:id="rId196" o:title=""/>
            <o:lock v:ext="edit" aspectratio="f"/>
          </v:shape>
          <o:OLEObject Type="Embed" ProgID="Equation.3" ShapeID="_x0000_i1126" DrawAspect="Content" ObjectID="_1519136975" r:id="rId197"/>
        </w:object>
      </w:r>
      <w:r>
        <w:rPr>
          <w:szCs w:val="24"/>
        </w:rPr>
        <w:t xml:space="preserve">; this stronger restriction </w:t>
      </w:r>
      <w:r w:rsidR="00CB3B65">
        <w:rPr>
          <w:szCs w:val="24"/>
        </w:rPr>
        <w:t xml:space="preserve">often </w:t>
      </w:r>
      <w:r>
        <w:rPr>
          <w:szCs w:val="24"/>
        </w:rPr>
        <w:t>helps</w:t>
      </w:r>
      <w:r w:rsidR="00CB3B65">
        <w:rPr>
          <w:szCs w:val="24"/>
        </w:rPr>
        <w:t xml:space="preserve"> create</w:t>
      </w:r>
      <w:r>
        <w:rPr>
          <w:szCs w:val="24"/>
        </w:rPr>
        <w:t xml:space="preserve"> </w:t>
      </w:r>
      <w:r w:rsidR="00CB3B65">
        <w:rPr>
          <w:szCs w:val="24"/>
        </w:rPr>
        <w:t xml:space="preserve">stability </w:t>
      </w:r>
      <w:r>
        <w:rPr>
          <w:szCs w:val="24"/>
        </w:rPr>
        <w:t>in estimation).</w:t>
      </w:r>
    </w:p>
    <w:p w:rsidR="0008331C" w:rsidRDefault="0008331C" w:rsidP="006C00E4">
      <w:pPr>
        <w:spacing w:line="360" w:lineRule="auto"/>
        <w:ind w:firstLine="720"/>
        <w:rPr>
          <w:szCs w:val="24"/>
        </w:rPr>
      </w:pPr>
      <w:r>
        <w:rPr>
          <w:szCs w:val="24"/>
        </w:rPr>
        <w:t xml:space="preserve">Let </w:t>
      </w:r>
      <w:r w:rsidR="00710C11" w:rsidRPr="00710C11">
        <w:rPr>
          <w:position w:val="-12"/>
        </w:rPr>
        <w:object w:dxaOrig="5800" w:dyaOrig="400" w14:anchorId="09186632">
          <v:shape id="_x0000_i1127" type="#_x0000_t75" style="width:288.75pt;height:20.25pt" o:ole="" o:preferrelative="f">
            <v:imagedata r:id="rId198" o:title=""/>
            <o:lock v:ext="edit" aspectratio="f"/>
          </v:shape>
          <o:OLEObject Type="Embed" ProgID="Equation.3" ShapeID="_x0000_i1127" DrawAspect="Content" ObjectID="_1519136976" r:id="rId199"/>
        </w:object>
      </w:r>
      <w:r>
        <w:rPr>
          <w:szCs w:val="24"/>
        </w:rPr>
        <w:t xml:space="preserve"> if a </w:t>
      </w:r>
      <w:r w:rsidR="00A52999" w:rsidRPr="000E2F9B">
        <w:rPr>
          <w:position w:val="-10"/>
          <w:szCs w:val="24"/>
        </w:rPr>
        <w:object w:dxaOrig="200" w:dyaOrig="260" w14:anchorId="081531EF">
          <v:shape id="_x0000_i1128" type="#_x0000_t75" style="width:9.75pt;height:12.75pt" o:ole="" o:preferrelative="f">
            <v:imagedata r:id="rId44" o:title=""/>
            <o:lock v:ext="edit" aspectratio="f"/>
          </v:shape>
          <o:OLEObject Type="Embed" ProgID="Equation.3" ShapeID="_x0000_i1128" DrawAspect="Content" ObjectID="_1519136977" r:id="rId200"/>
        </w:object>
      </w:r>
      <w:r w:rsidRPr="000E2F9B">
        <w:rPr>
          <w:szCs w:val="24"/>
        </w:rPr>
        <w:t>-profile</w:t>
      </w:r>
      <w:r>
        <w:rPr>
          <w:szCs w:val="24"/>
        </w:rPr>
        <w:t xml:space="preserve"> is estimated and </w:t>
      </w:r>
      <w:r w:rsidR="00710C11" w:rsidRPr="000F015A">
        <w:rPr>
          <w:position w:val="-12"/>
        </w:rPr>
        <w:object w:dxaOrig="5800" w:dyaOrig="400" w14:anchorId="30293FEB">
          <v:shape id="_x0000_i1129" type="#_x0000_t75" style="width:289.5pt;height:20.25pt" o:ole="" o:preferrelative="f">
            <v:imagedata r:id="rId201" o:title=""/>
            <o:lock v:ext="edit" aspectratio="f"/>
          </v:shape>
          <o:OLEObject Type="Embed" ProgID="Equation.3" ShapeID="_x0000_i1129" DrawAspect="Content" ObjectID="_1519136978" r:id="rId202"/>
        </w:object>
      </w:r>
      <w:r>
        <w:rPr>
          <w:szCs w:val="24"/>
        </w:rPr>
        <w:t xml:space="preserve"> if an </w:t>
      </w:r>
      <w:r w:rsidR="00A52999" w:rsidRPr="00EF658C">
        <w:rPr>
          <w:position w:val="-6"/>
          <w:szCs w:val="24"/>
        </w:rPr>
        <w:object w:dxaOrig="240" w:dyaOrig="220" w14:anchorId="3985E6A6">
          <v:shape id="_x0000_i1130" type="#_x0000_t75" style="width:12pt;height:11.25pt" o:ole="" o:preferrelative="f">
            <v:imagedata r:id="rId203" o:title=""/>
            <o:lock v:ext="edit" aspectratio="f"/>
          </v:shape>
          <o:OLEObject Type="Embed" ProgID="Equation.3" ShapeID="_x0000_i1130" DrawAspect="Content" ObjectID="_1519136979" r:id="rId204"/>
        </w:object>
      </w:r>
      <w:r w:rsidRPr="000E2F9B">
        <w:rPr>
          <w:szCs w:val="24"/>
        </w:rPr>
        <w:t>-profile</w:t>
      </w:r>
      <w:r>
        <w:rPr>
          <w:szCs w:val="24"/>
        </w:rPr>
        <w:t xml:space="preserve"> is estimated, with </w:t>
      </w:r>
      <w:r w:rsidR="00A52999" w:rsidRPr="002F6A35">
        <w:rPr>
          <w:position w:val="-14"/>
        </w:rPr>
        <w:object w:dxaOrig="340" w:dyaOrig="400" w14:anchorId="60EE44B2">
          <v:shape id="_x0000_i1131" type="#_x0000_t75" style="width:17.25pt;height:20.25pt" o:ole="" o:preferrelative="f">
            <v:imagedata r:id="rId205" o:title=""/>
            <o:lock v:ext="edit" aspectratio="f"/>
          </v:shape>
          <o:OLEObject Type="Embed" ProgID="Equation.3" ShapeID="_x0000_i1131" DrawAspect="Content" ObjectID="_1519136980" r:id="rId206"/>
        </w:object>
      </w:r>
      <w:r>
        <w:t xml:space="preserve"> </w:t>
      </w:r>
      <w:r w:rsidR="00CB3B65">
        <w:t xml:space="preserve">representing </w:t>
      </w:r>
      <w:r>
        <w:t xml:space="preserve">the row vectorization of the </w:t>
      </w:r>
      <w:r w:rsidRPr="0000215C">
        <w:t xml:space="preserve">upper diagonal elements </w:t>
      </w:r>
      <w:proofErr w:type="gramStart"/>
      <w:r w:rsidRPr="0000215C">
        <w:t xml:space="preserve">of </w:t>
      </w:r>
      <w:proofErr w:type="gramEnd"/>
      <w:r w:rsidR="00A52999" w:rsidRPr="0000215C">
        <w:rPr>
          <w:position w:val="-14"/>
        </w:rPr>
        <w:object w:dxaOrig="340" w:dyaOrig="380" w14:anchorId="2FCE4B10">
          <v:shape id="_x0000_i1132" type="#_x0000_t75" style="width:17.25pt;height:17.25pt" o:ole="" o:preferrelative="f">
            <v:imagedata r:id="rId207" o:title=""/>
            <o:lock v:ext="edit" aspectratio="f"/>
          </v:shape>
          <o:OLEObject Type="Embed" ProgID="Equation.3" ShapeID="_x0000_i1132" DrawAspect="Content" ObjectID="_1519136981" r:id="rId208"/>
        </w:object>
      </w:r>
      <w:r w:rsidRPr="0000215C">
        <w:rPr>
          <w:szCs w:val="24"/>
        </w:rPr>
        <w:t>. To formulate the estimation procedure, we will use the following notation:</w:t>
      </w:r>
      <w:r w:rsidR="000669FE" w:rsidRPr="000669FE">
        <w:t xml:space="preserve"> </w:t>
      </w:r>
      <w:r w:rsidR="00A52999" w:rsidRPr="000669FE">
        <w:rPr>
          <w:position w:val="-12"/>
        </w:rPr>
        <w:object w:dxaOrig="1020" w:dyaOrig="360" w14:anchorId="16BE0276">
          <v:shape id="_x0000_i1133" type="#_x0000_t75" style="width:47.25pt;height:19.5pt" o:ole="" o:preferrelative="f">
            <v:imagedata r:id="rId209" o:title=""/>
            <o:lock v:ext="edit" aspectratio="f"/>
          </v:shape>
          <o:OLEObject Type="Embed" ProgID="Equation.3" ShapeID="_x0000_i1133" DrawAspect="Content" ObjectID="_1519136982" r:id="rId210"/>
        </w:object>
      </w:r>
      <w:r w:rsidR="00710C11">
        <w:rPr>
          <w:szCs w:val="24"/>
        </w:rPr>
        <w:t xml:space="preserve"> </w:t>
      </w:r>
      <w:r>
        <w:rPr>
          <w:szCs w:val="24"/>
        </w:rPr>
        <w:t xml:space="preserve">for the multivariate normal density function of dimension </w:t>
      </w:r>
      <w:r>
        <w:rPr>
          <w:i/>
          <w:szCs w:val="24"/>
        </w:rPr>
        <w:t>S</w:t>
      </w:r>
      <w:r>
        <w:rPr>
          <w:szCs w:val="24"/>
        </w:rPr>
        <w:t xml:space="preserve"> with mean vector </w:t>
      </w:r>
      <w:r w:rsidR="00A52999" w:rsidRPr="003C7819">
        <w:rPr>
          <w:position w:val="-10"/>
          <w:szCs w:val="24"/>
        </w:rPr>
        <w:object w:dxaOrig="200" w:dyaOrig="260" w14:anchorId="7DFA22FE">
          <v:shape id="_x0000_i1134" type="#_x0000_t75" style="width:9.75pt;height:12.75pt" o:ole="" o:preferrelative="f">
            <v:imagedata r:id="rId211" o:title=""/>
            <o:lock v:ext="edit" aspectratio="f"/>
          </v:shape>
          <o:OLEObject Type="Embed" ProgID="Equation.3" ShapeID="_x0000_i1134" DrawAspect="Content" ObjectID="_1519136983" r:id="rId212"/>
        </w:object>
      </w:r>
      <w:r>
        <w:rPr>
          <w:szCs w:val="24"/>
        </w:rPr>
        <w:t xml:space="preserve"> and covariance matrix </w:t>
      </w:r>
      <w:r w:rsidR="00A52999" w:rsidRPr="003C7819">
        <w:rPr>
          <w:position w:val="-4"/>
          <w:szCs w:val="24"/>
        </w:rPr>
        <w:object w:dxaOrig="240" w:dyaOrig="260" w14:anchorId="001D64EF">
          <v:shape id="_x0000_i1135" type="#_x0000_t75" style="width:12pt;height:12.75pt" o:ole="" o:preferrelative="f">
            <v:imagedata r:id="rId213" o:title=""/>
            <o:lock v:ext="edit" aspectratio="f"/>
          </v:shape>
          <o:OLEObject Type="Embed" ProgID="Equation.3" ShapeID="_x0000_i1135" DrawAspect="Content" ObjectID="_1519136984" r:id="rId214"/>
        </w:object>
      </w:r>
      <w:r w:rsidR="000669FE">
        <w:rPr>
          <w:szCs w:val="24"/>
        </w:rPr>
        <w:t>;</w:t>
      </w:r>
      <w:r>
        <w:rPr>
          <w:szCs w:val="24"/>
        </w:rPr>
        <w:t xml:space="preserve"> </w:t>
      </w:r>
      <w:r w:rsidR="00A52999" w:rsidRPr="000669FE">
        <w:rPr>
          <w:position w:val="-10"/>
        </w:rPr>
        <w:object w:dxaOrig="360" w:dyaOrig="340" w14:anchorId="6BA49655">
          <v:shape id="_x0000_i1136" type="#_x0000_t75" style="width:18.75pt;height:17.25pt" o:ole="" o:preferrelative="f">
            <v:imagedata r:id="rId215" o:title=""/>
            <o:lock v:ext="edit" aspectratio="f"/>
          </v:shape>
          <o:OLEObject Type="Embed" ProgID="Equation.3" ShapeID="_x0000_i1136" DrawAspect="Content" ObjectID="_1519136985" r:id="rId216"/>
        </w:object>
      </w:r>
      <w:r w:rsidR="000669FE">
        <w:t xml:space="preserve"> </w:t>
      </w:r>
      <w:r>
        <w:rPr>
          <w:szCs w:val="24"/>
        </w:rPr>
        <w:t>for the diagonal matrix of standard deviations of</w:t>
      </w:r>
      <w:r w:rsidR="000669FE">
        <w:rPr>
          <w:szCs w:val="24"/>
        </w:rPr>
        <w:t xml:space="preserve"> </w:t>
      </w:r>
      <w:r w:rsidR="00A52999" w:rsidRPr="000669FE">
        <w:rPr>
          <w:position w:val="-4"/>
        </w:rPr>
        <w:object w:dxaOrig="240" w:dyaOrig="260" w14:anchorId="50EED1A2">
          <v:shape id="_x0000_i1137" type="#_x0000_t75" style="width:12pt;height:12.75pt" o:ole="" o:preferrelative="f">
            <v:imagedata r:id="rId217" o:title=""/>
            <o:lock v:ext="edit" aspectratio="f"/>
          </v:shape>
          <o:OLEObject Type="Embed" ProgID="Equation.3" ShapeID="_x0000_i1137" DrawAspect="Content" ObjectID="_1519136986" r:id="rId218"/>
        </w:object>
      </w:r>
      <w:r>
        <w:rPr>
          <w:szCs w:val="24"/>
        </w:rPr>
        <w:t xml:space="preserve"> (with its </w:t>
      </w:r>
      <w:proofErr w:type="spellStart"/>
      <w:r w:rsidRPr="003C7819">
        <w:rPr>
          <w:i/>
          <w:szCs w:val="24"/>
        </w:rPr>
        <w:t>r</w:t>
      </w:r>
      <w:r w:rsidRPr="003C7819">
        <w:rPr>
          <w:i/>
          <w:szCs w:val="24"/>
          <w:vertAlign w:val="superscript"/>
        </w:rPr>
        <w:t>th</w:t>
      </w:r>
      <w:proofErr w:type="spellEnd"/>
      <w:r>
        <w:rPr>
          <w:szCs w:val="24"/>
        </w:rPr>
        <w:t xml:space="preserve"> element being </w:t>
      </w:r>
      <w:r w:rsidR="00A52999" w:rsidRPr="003C7819">
        <w:rPr>
          <w:position w:val="-14"/>
        </w:rPr>
        <w:object w:dxaOrig="460" w:dyaOrig="380" w14:anchorId="46B4E93E">
          <v:shape id="_x0000_i1138" type="#_x0000_t75" style="width:24pt;height:17.25pt" o:ole="" o:preferrelative="f">
            <v:imagedata r:id="rId219" o:title=""/>
            <o:lock v:ext="edit" aspectratio="f"/>
          </v:shape>
          <o:OLEObject Type="Embed" ProgID="Equation.3" ShapeID="_x0000_i1138" DrawAspect="Content" ObjectID="_1519136987" r:id="rId220"/>
        </w:object>
      </w:r>
      <w:r w:rsidR="00CB3B65">
        <w:rPr>
          <w:szCs w:val="24"/>
        </w:rPr>
        <w:t xml:space="preserve">); </w:t>
      </w:r>
      <w:r w:rsidR="00A52999" w:rsidRPr="003C7819">
        <w:rPr>
          <w:position w:val="-12"/>
          <w:szCs w:val="24"/>
        </w:rPr>
        <w:object w:dxaOrig="900" w:dyaOrig="380" w14:anchorId="2564D564">
          <v:shape id="_x0000_i1139" type="#_x0000_t75" style="width:45pt;height:17.25pt" o:ole="" o:preferrelative="f">
            <v:imagedata r:id="rId221" o:title=""/>
            <o:lock v:ext="edit" aspectratio="f"/>
          </v:shape>
          <o:OLEObject Type="Embed" ProgID="Equation.3" ShapeID="_x0000_i1139" DrawAspect="Content" ObjectID="_1519136988" r:id="rId222"/>
        </w:object>
      </w:r>
      <w:r>
        <w:rPr>
          <w:szCs w:val="24"/>
        </w:rPr>
        <w:t xml:space="preserve"> for the multivariate standard normal density function of dimension </w:t>
      </w:r>
      <w:r>
        <w:rPr>
          <w:i/>
          <w:szCs w:val="24"/>
        </w:rPr>
        <w:t>S</w:t>
      </w:r>
      <w:r>
        <w:rPr>
          <w:szCs w:val="24"/>
        </w:rPr>
        <w:t xml:space="preserve"> and correlation matrix </w:t>
      </w:r>
      <w:r w:rsidR="00A52999" w:rsidRPr="003C7819">
        <w:rPr>
          <w:position w:val="-4"/>
          <w:szCs w:val="24"/>
        </w:rPr>
        <w:object w:dxaOrig="320" w:dyaOrig="300" w14:anchorId="285B21AA">
          <v:shape id="_x0000_i1140" type="#_x0000_t75" style="width:15.75pt;height:15pt" o:ole="" o:preferrelative="f">
            <v:imagedata r:id="rId223" o:title=""/>
            <o:lock v:ext="edit" aspectratio="f"/>
          </v:shape>
          <o:OLEObject Type="Embed" ProgID="Equation.3" ShapeID="_x0000_i1140" DrawAspect="Content" ObjectID="_1519136989" r:id="rId224"/>
        </w:object>
      </w:r>
      <w:r w:rsidR="00CB3B65">
        <w:rPr>
          <w:szCs w:val="24"/>
        </w:rPr>
        <w:t>—</w:t>
      </w:r>
      <w:r>
        <w:rPr>
          <w:szCs w:val="24"/>
        </w:rPr>
        <w:t xml:space="preserve">such that </w:t>
      </w:r>
      <w:r w:rsidR="00A52999" w:rsidRPr="003C7819">
        <w:rPr>
          <w:position w:val="-10"/>
          <w:szCs w:val="24"/>
        </w:rPr>
        <w:object w:dxaOrig="1460" w:dyaOrig="360" w14:anchorId="4B274369">
          <v:shape id="_x0000_i1141" type="#_x0000_t75" style="width:72.75pt;height:18.75pt" o:ole="" o:preferrelative="f">
            <v:imagedata r:id="rId225" o:title=""/>
            <o:lock v:ext="edit" aspectratio="f"/>
          </v:shape>
          <o:OLEObject Type="Embed" ProgID="Equation.3" ShapeID="_x0000_i1141" DrawAspect="Content" ObjectID="_1519136990" r:id="rId226"/>
        </w:object>
      </w:r>
      <w:r>
        <w:rPr>
          <w:szCs w:val="24"/>
        </w:rPr>
        <w:t xml:space="preserve">, </w:t>
      </w:r>
      <w:r w:rsidR="00A52999" w:rsidRPr="000669FE">
        <w:rPr>
          <w:position w:val="-12"/>
        </w:rPr>
        <w:object w:dxaOrig="1020" w:dyaOrig="360" w14:anchorId="49473DE5">
          <v:shape id="_x0000_i1142" type="#_x0000_t75" style="width:50.25pt;height:18.75pt" o:ole="" o:preferrelative="f">
            <v:imagedata r:id="rId227" o:title=""/>
            <o:lock v:ext="edit" aspectratio="f"/>
          </v:shape>
          <o:OLEObject Type="Embed" ProgID="Equation.3" ShapeID="_x0000_i1142" DrawAspect="Content" ObjectID="_1519136991" r:id="rId228"/>
        </w:object>
      </w:r>
      <w:r w:rsidR="000669FE">
        <w:t xml:space="preserve"> </w:t>
      </w:r>
      <w:r>
        <w:rPr>
          <w:szCs w:val="24"/>
        </w:rPr>
        <w:t xml:space="preserve">for the multivariate normal cumulative distribution function of dimension </w:t>
      </w:r>
      <w:r>
        <w:rPr>
          <w:i/>
          <w:szCs w:val="24"/>
        </w:rPr>
        <w:t>S</w:t>
      </w:r>
      <w:r>
        <w:rPr>
          <w:szCs w:val="24"/>
        </w:rPr>
        <w:t xml:space="preserve"> with mean vector </w:t>
      </w:r>
      <w:r w:rsidR="00A52999" w:rsidRPr="003C7819">
        <w:rPr>
          <w:position w:val="-10"/>
          <w:szCs w:val="24"/>
        </w:rPr>
        <w:object w:dxaOrig="200" w:dyaOrig="260" w14:anchorId="2CF1FD3F">
          <v:shape id="_x0000_i1143" type="#_x0000_t75" style="width:9.75pt;height:12.75pt" o:ole="" o:preferrelative="f">
            <v:imagedata r:id="rId229" o:title=""/>
            <o:lock v:ext="edit" aspectratio="f"/>
          </v:shape>
          <o:OLEObject Type="Embed" ProgID="Equation.3" ShapeID="_x0000_i1143" DrawAspect="Content" ObjectID="_1519136992" r:id="rId230"/>
        </w:object>
      </w:r>
      <w:r>
        <w:rPr>
          <w:szCs w:val="24"/>
        </w:rPr>
        <w:t xml:space="preserve"> and covariance matrix</w:t>
      </w:r>
      <w:r w:rsidR="000669FE">
        <w:rPr>
          <w:szCs w:val="24"/>
        </w:rPr>
        <w:t xml:space="preserve"> </w:t>
      </w:r>
      <w:r w:rsidR="00A52999" w:rsidRPr="000669FE">
        <w:rPr>
          <w:position w:val="-4"/>
        </w:rPr>
        <w:object w:dxaOrig="240" w:dyaOrig="260" w14:anchorId="291068E0">
          <v:shape id="_x0000_i1144" type="#_x0000_t75" style="width:12pt;height:12.75pt" o:ole="" o:preferrelative="f">
            <v:imagedata r:id="rId231" o:title=""/>
            <o:lock v:ext="edit" aspectratio="f"/>
          </v:shape>
          <o:OLEObject Type="Embed" ProgID="Equation.3" ShapeID="_x0000_i1144" DrawAspect="Content" ObjectID="_1519136993" r:id="rId232"/>
        </w:object>
      </w:r>
      <w:r w:rsidR="00CB3B65">
        <w:rPr>
          <w:szCs w:val="24"/>
        </w:rPr>
        <w:t>—</w:t>
      </w:r>
      <w:r>
        <w:rPr>
          <w:szCs w:val="24"/>
        </w:rPr>
        <w:t xml:space="preserve">and </w:t>
      </w:r>
      <w:r w:rsidR="00A52999" w:rsidRPr="003C7819">
        <w:rPr>
          <w:position w:val="-12"/>
          <w:szCs w:val="24"/>
        </w:rPr>
        <w:object w:dxaOrig="980" w:dyaOrig="380" w14:anchorId="75E699A9">
          <v:shape id="_x0000_i1145" type="#_x0000_t75" style="width:48pt;height:17.25pt" o:ole="" o:preferrelative="f">
            <v:imagedata r:id="rId233" o:title=""/>
            <o:lock v:ext="edit" aspectratio="f"/>
          </v:shape>
          <o:OLEObject Type="Embed" ProgID="Equation.3" ShapeID="_x0000_i1145" DrawAspect="Content" ObjectID="_1519136994" r:id="rId234"/>
        </w:object>
      </w:r>
      <w:r>
        <w:rPr>
          <w:szCs w:val="24"/>
        </w:rPr>
        <w:t xml:space="preserve"> for the multivariate standard normal cumulative distribution function of dimension </w:t>
      </w:r>
      <w:r>
        <w:rPr>
          <w:i/>
          <w:szCs w:val="24"/>
        </w:rPr>
        <w:t>S</w:t>
      </w:r>
      <w:r>
        <w:rPr>
          <w:szCs w:val="24"/>
        </w:rPr>
        <w:t xml:space="preserve"> and correlation matrix </w:t>
      </w:r>
      <w:r w:rsidR="00A52999" w:rsidRPr="00F8647B">
        <w:rPr>
          <w:position w:val="-6"/>
          <w:szCs w:val="24"/>
        </w:rPr>
        <w:object w:dxaOrig="380" w:dyaOrig="320" w14:anchorId="2AA1EF1E">
          <v:shape id="_x0000_i1146" type="#_x0000_t75" style="width:17.25pt;height:15.75pt" o:ole="" o:preferrelative="f">
            <v:imagedata r:id="rId235" o:title=""/>
            <o:lock v:ext="edit" aspectratio="f"/>
          </v:shape>
          <o:OLEObject Type="Embed" ProgID="Equation.3" ShapeID="_x0000_i1146" DrawAspect="Content" ObjectID="_1519136995" r:id="rId236"/>
        </w:object>
      </w:r>
    </w:p>
    <w:p w:rsidR="0008331C" w:rsidRDefault="0008331C" w:rsidP="00966971">
      <w:pPr>
        <w:spacing w:line="360" w:lineRule="auto"/>
        <w:ind w:firstLine="720"/>
        <w:rPr>
          <w:szCs w:val="24"/>
        </w:rPr>
      </w:pPr>
      <w:r w:rsidRPr="00D5063F">
        <w:rPr>
          <w:szCs w:val="24"/>
        </w:rPr>
        <w:t xml:space="preserve">To develop the likelihood function, define </w:t>
      </w:r>
      <w:r w:rsidR="00A52999" w:rsidRPr="00D5063F">
        <w:rPr>
          <w:position w:val="-14"/>
          <w:szCs w:val="24"/>
        </w:rPr>
        <w:object w:dxaOrig="400" w:dyaOrig="380" w14:anchorId="215F1C28">
          <v:shape id="_x0000_i1147" type="#_x0000_t75" style="width:20.25pt;height:17.25pt" o:ole="" o:preferrelative="f">
            <v:imagedata r:id="rId237" o:title=""/>
            <o:lock v:ext="edit" aspectratio="f"/>
          </v:shape>
          <o:OLEObject Type="Embed" ProgID="Equation.3" ShapeID="_x0000_i1147" DrawAspect="Content" ObjectID="_1519136996" r:id="rId238"/>
        </w:object>
      </w:r>
      <w:r w:rsidRPr="00D5063F">
        <w:rPr>
          <w:szCs w:val="24"/>
        </w:rPr>
        <w:t xml:space="preserve"> as an identity matrix of size </w:t>
      </w:r>
      <w:r w:rsidRPr="00D5063F">
        <w:rPr>
          <w:i/>
          <w:szCs w:val="24"/>
        </w:rPr>
        <w:t>K</w:t>
      </w:r>
      <w:r>
        <w:rPr>
          <w:szCs w:val="24"/>
        </w:rPr>
        <w:t>–</w:t>
      </w:r>
      <w:r w:rsidRPr="00D5063F">
        <w:rPr>
          <w:szCs w:val="24"/>
        </w:rPr>
        <w:t>1 with an extra column of “</w:t>
      </w:r>
      <w:r>
        <w:rPr>
          <w:szCs w:val="24"/>
        </w:rPr>
        <w:t>–</w:t>
      </w:r>
      <w:r w:rsidRPr="00D5063F">
        <w:rPr>
          <w:szCs w:val="24"/>
        </w:rPr>
        <w:t xml:space="preserve">1” values added at the </w:t>
      </w:r>
      <w:r w:rsidR="00A52999" w:rsidRPr="00D5063F">
        <w:rPr>
          <w:position w:val="-14"/>
          <w:szCs w:val="24"/>
        </w:rPr>
        <w:object w:dxaOrig="360" w:dyaOrig="400" w14:anchorId="58C7DE3B">
          <v:shape id="_x0000_i1148" type="#_x0000_t75" style="width:18.75pt;height:20.25pt" o:ole="" o:preferrelative="f">
            <v:imagedata r:id="rId239" o:title=""/>
            <o:lock v:ext="edit" aspectratio="f"/>
          </v:shape>
          <o:OLEObject Type="Embed" ProgID="Equation.3" ShapeID="_x0000_i1148" DrawAspect="Content" ObjectID="_1519136997" r:id="rId240"/>
        </w:object>
      </w:r>
      <w:r w:rsidRPr="00D5063F">
        <w:rPr>
          <w:szCs w:val="24"/>
        </w:rPr>
        <w:t xml:space="preserve"> column. Also, </w:t>
      </w:r>
      <w:r w:rsidR="00B81377" w:rsidRPr="00D5063F">
        <w:rPr>
          <w:szCs w:val="24"/>
        </w:rPr>
        <w:t>stack</w:t>
      </w:r>
      <w:r w:rsidR="00710C11">
        <w:rPr>
          <w:szCs w:val="24"/>
        </w:rPr>
        <w:t xml:space="preserve"> </w:t>
      </w:r>
      <w:r w:rsidR="00A52999" w:rsidRPr="00D5063F">
        <w:rPr>
          <w:position w:val="-14"/>
          <w:szCs w:val="24"/>
        </w:rPr>
        <w:object w:dxaOrig="420" w:dyaOrig="380" w14:anchorId="06A56404">
          <v:shape id="_x0000_i1149" type="#_x0000_t75" style="width:20.25pt;height:17.25pt" o:ole="" o:preferrelative="f">
            <v:imagedata r:id="rId241" o:title=""/>
            <o:lock v:ext="edit" aspectratio="f"/>
          </v:shape>
          <o:OLEObject Type="Embed" ProgID="Equation.3" ShapeID="_x0000_i1149" DrawAspect="Content" ObjectID="_1519136998" r:id="rId242"/>
        </w:object>
      </w:r>
      <w:r>
        <w:rPr>
          <w:szCs w:val="24"/>
        </w:rPr>
        <w:t xml:space="preserve"> and</w:t>
      </w:r>
      <w:r w:rsidRPr="00D5063F">
        <w:rPr>
          <w:szCs w:val="24"/>
        </w:rPr>
        <w:t xml:space="preserve"> </w:t>
      </w:r>
      <w:r w:rsidR="00A52999" w:rsidRPr="00D5063F">
        <w:rPr>
          <w:position w:val="-14"/>
          <w:szCs w:val="24"/>
        </w:rPr>
        <w:object w:dxaOrig="420" w:dyaOrig="380" w14:anchorId="11FA941F">
          <v:shape id="_x0000_i1150" type="#_x0000_t75" style="width:20.25pt;height:17.25pt" o:ole="" o:preferrelative="f">
            <v:imagedata r:id="rId243" o:title=""/>
            <o:lock v:ext="edit" aspectratio="f"/>
          </v:shape>
          <o:OLEObject Type="Embed" ProgID="Equation.3" ShapeID="_x0000_i1150" DrawAspect="Content" ObjectID="_1519136999" r:id="rId244"/>
        </w:object>
      </w:r>
      <w:r w:rsidRPr="00D5063F">
        <w:rPr>
          <w:szCs w:val="24"/>
        </w:rPr>
        <w:t xml:space="preserve"> </w:t>
      </w:r>
      <w:r>
        <w:rPr>
          <w:szCs w:val="24"/>
        </w:rPr>
        <w:t>i</w:t>
      </w:r>
      <w:r w:rsidRPr="00D5063F">
        <w:rPr>
          <w:szCs w:val="24"/>
        </w:rPr>
        <w:t xml:space="preserve">nto </w:t>
      </w:r>
      <w:r w:rsidRPr="00D5063F">
        <w:rPr>
          <w:i/>
          <w:szCs w:val="24"/>
        </w:rPr>
        <w:t>K</w:t>
      </w:r>
      <w:r w:rsidRPr="00D5063F">
        <w:rPr>
          <w:szCs w:val="24"/>
        </w:rPr>
        <w:t>×1 vectors</w:t>
      </w:r>
      <w:r w:rsidR="00FA27FE" w:rsidRPr="00D5063F">
        <w:rPr>
          <w:position w:val="-14"/>
          <w:szCs w:val="24"/>
        </w:rPr>
        <w:object w:dxaOrig="2439" w:dyaOrig="380" w14:anchorId="5511123F">
          <v:shape id="_x0000_i1151" type="#_x0000_t75" style="width:121.5pt;height:18.75pt" o:ole="" o:preferrelative="f">
            <v:imagedata r:id="rId245" o:title=""/>
            <o:lock v:ext="edit" aspectratio="f"/>
          </v:shape>
          <o:OLEObject Type="Embed" ProgID="Equation.3" ShapeID="_x0000_i1151" DrawAspect="Content" ObjectID="_1519137000" r:id="rId246"/>
        </w:object>
      </w:r>
      <w:r w:rsidR="00A52999">
        <w:rPr>
          <w:szCs w:val="24"/>
        </w:rPr>
        <w:t xml:space="preserve"> </w:t>
      </w:r>
      <w:r w:rsidR="000B33C5">
        <w:rPr>
          <w:szCs w:val="24"/>
        </w:rPr>
        <w:t>and</w:t>
      </w:r>
      <w:r w:rsidR="00A52999">
        <w:rPr>
          <w:szCs w:val="24"/>
        </w:rPr>
        <w:t xml:space="preserve"> </w:t>
      </w:r>
      <w:r w:rsidR="00FA27FE" w:rsidRPr="00D5063F">
        <w:rPr>
          <w:position w:val="-14"/>
          <w:szCs w:val="24"/>
        </w:rPr>
        <w:object w:dxaOrig="2400" w:dyaOrig="380" w14:anchorId="0AF5E271">
          <v:shape id="_x0000_i1152" type="#_x0000_t75" style="width:120pt;height:18.75pt" o:ole="" o:preferrelative="f">
            <v:imagedata r:id="rId247" o:title=""/>
            <o:lock v:ext="edit" aspectratio="f"/>
          </v:shape>
          <o:OLEObject Type="Embed" ProgID="Equation.3" ShapeID="_x0000_i1152" DrawAspect="Content" ObjectID="_1519137001" r:id="rId248"/>
        </w:object>
      </w:r>
      <w:r>
        <w:rPr>
          <w:szCs w:val="24"/>
        </w:rPr>
        <w:t xml:space="preserve"> </w:t>
      </w:r>
      <w:r w:rsidRPr="00D5063F">
        <w:rPr>
          <w:szCs w:val="24"/>
        </w:rPr>
        <w:t>respectively</w:t>
      </w:r>
      <w:r w:rsidR="000669FE">
        <w:rPr>
          <w:szCs w:val="24"/>
        </w:rPr>
        <w:t xml:space="preserve">, </w:t>
      </w:r>
      <w:r w:rsidRPr="00D5063F">
        <w:rPr>
          <w:szCs w:val="24"/>
        </w:rPr>
        <w:t xml:space="preserve">and let </w:t>
      </w:r>
      <w:r w:rsidR="00FA27FE" w:rsidRPr="00D5063F">
        <w:rPr>
          <w:position w:val="-14"/>
          <w:szCs w:val="24"/>
        </w:rPr>
        <w:object w:dxaOrig="2140" w:dyaOrig="380" w14:anchorId="15FCBD94">
          <v:shape id="_x0000_i1153" type="#_x0000_t75" style="width:107.25pt;height:18.75pt" o:ole="" o:preferrelative="f">
            <v:imagedata r:id="rId249" o:title=""/>
            <o:lock v:ext="edit" aspectratio="f"/>
          </v:shape>
          <o:OLEObject Type="Embed" ProgID="Equation.3" ShapeID="_x0000_i1153" DrawAspect="Content" ObjectID="_1519137002" r:id="rId250"/>
        </w:object>
      </w:r>
      <w:r w:rsidRPr="00D5063F">
        <w:rPr>
          <w:szCs w:val="24"/>
        </w:rPr>
        <w:t xml:space="preserve"> be a </w:t>
      </w:r>
      <w:r w:rsidRPr="00D5063F">
        <w:rPr>
          <w:i/>
          <w:szCs w:val="24"/>
        </w:rPr>
        <w:t>K</w:t>
      </w:r>
      <w:r w:rsidRPr="00D5063F">
        <w:rPr>
          <w:szCs w:val="24"/>
        </w:rPr>
        <w:t>×</w:t>
      </w:r>
      <w:r w:rsidRPr="00D5063F">
        <w:rPr>
          <w:i/>
          <w:szCs w:val="24"/>
        </w:rPr>
        <w:t>D</w:t>
      </w:r>
      <w:r w:rsidRPr="00D5063F">
        <w:rPr>
          <w:szCs w:val="24"/>
        </w:rPr>
        <w:t xml:space="preserve"> matrix of variable attributes. Then, we may write, in matrix notation,</w:t>
      </w:r>
      <w:r w:rsidR="00626664">
        <w:rPr>
          <w:szCs w:val="24"/>
        </w:rPr>
        <w:t xml:space="preserve"> </w:t>
      </w:r>
      <w:r w:rsidR="00FA27FE" w:rsidRPr="00D5063F">
        <w:rPr>
          <w:position w:val="-14"/>
          <w:szCs w:val="24"/>
        </w:rPr>
        <w:object w:dxaOrig="1700" w:dyaOrig="420" w14:anchorId="1C0196E8">
          <v:shape id="_x0000_i1154" type="#_x0000_t75" style="width:84.75pt;height:21pt" o:ole="" o:preferrelative="f">
            <v:imagedata r:id="rId251" o:title=""/>
            <o:lock v:ext="edit" aspectratio="f"/>
          </v:shape>
          <o:OLEObject Type="Embed" ProgID="Equation.3" ShapeID="_x0000_i1154" DrawAspect="Content" ObjectID="_1519137003" r:id="rId252"/>
        </w:object>
      </w:r>
      <w:r w:rsidRPr="00D5063F">
        <w:rPr>
          <w:szCs w:val="24"/>
        </w:rPr>
        <w:t xml:space="preserve"> </w:t>
      </w:r>
      <w:proofErr w:type="gramStart"/>
      <w:r w:rsidR="00B81377" w:rsidRPr="00D5063F">
        <w:rPr>
          <w:szCs w:val="24"/>
        </w:rPr>
        <w:t>an</w:t>
      </w:r>
      <w:r w:rsidR="00B81377">
        <w:rPr>
          <w:szCs w:val="24"/>
        </w:rPr>
        <w:t>d</w:t>
      </w:r>
      <w:r w:rsidR="00A52999">
        <w:rPr>
          <w:szCs w:val="24"/>
        </w:rPr>
        <w:t xml:space="preserve"> </w:t>
      </w:r>
      <w:proofErr w:type="gramEnd"/>
      <w:r w:rsidR="00FA27FE" w:rsidRPr="00D5063F">
        <w:rPr>
          <w:position w:val="-14"/>
          <w:szCs w:val="24"/>
        </w:rPr>
        <w:object w:dxaOrig="3400" w:dyaOrig="400" w14:anchorId="04070858">
          <v:shape id="_x0000_i1155" type="#_x0000_t75" style="width:170.25pt;height:20.25pt" o:ole="" o:preferrelative="f">
            <v:imagedata r:id="rId253" o:title=""/>
            <o:lock v:ext="edit" aspectratio="f"/>
          </v:shape>
          <o:OLEObject Type="Embed" ProgID="Equation.3" ShapeID="_x0000_i1155" DrawAspect="Content" ObjectID="_1519137004" r:id="rId254"/>
        </w:object>
      </w:r>
      <w:r w:rsidRPr="00D5063F">
        <w:rPr>
          <w:szCs w:val="24"/>
        </w:rPr>
        <w:t xml:space="preserve">, where </w:t>
      </w:r>
      <w:r w:rsidR="00FA27FE" w:rsidRPr="00D5063F">
        <w:rPr>
          <w:position w:val="-14"/>
          <w:szCs w:val="24"/>
        </w:rPr>
        <w:object w:dxaOrig="1359" w:dyaOrig="380" w14:anchorId="1CD7C514">
          <v:shape id="_x0000_i1156" type="#_x0000_t75" style="width:67.5pt;height:18.75pt" o:ole="" o:preferrelative="f">
            <v:imagedata r:id="rId255" o:title=""/>
            <o:lock v:ext="edit" aspectratio="f"/>
          </v:shape>
          <o:OLEObject Type="Embed" ProgID="Equation.3" ShapeID="_x0000_i1156" DrawAspect="Content" ObjectID="_1519137005" r:id="rId256"/>
        </w:object>
      </w:r>
      <w:r w:rsidRPr="00D5063F">
        <w:rPr>
          <w:szCs w:val="24"/>
        </w:rPr>
        <w:t xml:space="preserve"> </w:t>
      </w:r>
      <w:r w:rsidR="00B81377" w:rsidRPr="00D5063F">
        <w:rPr>
          <w:szCs w:val="24"/>
        </w:rPr>
        <w:t>and</w:t>
      </w:r>
      <w:r w:rsidR="00710C11" w:rsidRPr="00D5063F">
        <w:rPr>
          <w:position w:val="-14"/>
          <w:szCs w:val="24"/>
        </w:rPr>
        <w:object w:dxaOrig="2200" w:dyaOrig="380" w14:anchorId="1CB05115">
          <v:shape id="_x0000_i1157" type="#_x0000_t75" style="width:110.25pt;height:18.75pt" o:ole="" o:preferrelative="f">
            <v:imagedata r:id="rId257" o:title=""/>
            <o:lock v:ext="edit" aspectratio="f"/>
          </v:shape>
          <o:OLEObject Type="Embed" ProgID="Equation.3" ShapeID="_x0000_i1157" DrawAspect="Content" ObjectID="_1519137006" r:id="rId258"/>
        </w:object>
      </w:r>
      <w:r w:rsidRPr="00D5063F">
        <w:rPr>
          <w:szCs w:val="24"/>
        </w:rPr>
        <w:t xml:space="preserve">. Next, partition the vector </w:t>
      </w:r>
      <w:r w:rsidR="00FA27FE" w:rsidRPr="00D5063F">
        <w:rPr>
          <w:position w:val="-14"/>
          <w:szCs w:val="24"/>
        </w:rPr>
        <w:object w:dxaOrig="380" w:dyaOrig="400" w14:anchorId="33234AAD">
          <v:shape id="_x0000_i1158" type="#_x0000_t75" style="width:18.75pt;height:20.25pt" o:ole="" o:preferrelative="f">
            <v:imagedata r:id="rId259" o:title=""/>
            <o:lock v:ext="edit" aspectratio="f"/>
          </v:shape>
          <o:OLEObject Type="Embed" ProgID="Equation.3" ShapeID="_x0000_i1158" DrawAspect="Content" ObjectID="_1519137007" r:id="rId260"/>
        </w:object>
      </w:r>
      <w:r w:rsidRPr="00D5063F">
        <w:rPr>
          <w:szCs w:val="24"/>
        </w:rPr>
        <w:t xml:space="preserve"> into a sub-vector </w:t>
      </w:r>
      <w:r w:rsidR="00FA27FE" w:rsidRPr="00D5063F">
        <w:rPr>
          <w:position w:val="-14"/>
          <w:szCs w:val="24"/>
        </w:rPr>
        <w:object w:dxaOrig="620" w:dyaOrig="400" w14:anchorId="6BF4A397">
          <v:shape id="_x0000_i1159" type="#_x0000_t75" style="width:30.75pt;height:20.25pt" o:ole="" o:preferrelative="f">
            <v:imagedata r:id="rId261" o:title=""/>
            <o:lock v:ext="edit" aspectratio="f"/>
          </v:shape>
          <o:OLEObject Type="Embed" ProgID="Equation.3" ShapeID="_x0000_i1159" DrawAspect="Content" ObjectID="_1519137008" r:id="rId262"/>
        </w:object>
      </w:r>
      <w:r w:rsidRPr="00D5063F">
        <w:rPr>
          <w:szCs w:val="24"/>
        </w:rPr>
        <w:t xml:space="preserve"> of length</w:t>
      </w:r>
      <w:r w:rsidR="00710C11">
        <w:rPr>
          <w:szCs w:val="24"/>
        </w:rPr>
        <w:t xml:space="preserve"> </w:t>
      </w:r>
      <w:r w:rsidR="00FA27FE" w:rsidRPr="00D5063F">
        <w:rPr>
          <w:position w:val="-14"/>
          <w:szCs w:val="24"/>
        </w:rPr>
        <w:object w:dxaOrig="540" w:dyaOrig="380" w14:anchorId="2334C268">
          <v:shape id="_x0000_i1160" type="#_x0000_t75" style="width:27pt;height:18.75pt" o:ole="" o:preferrelative="f">
            <v:imagedata r:id="rId263" o:title=""/>
            <o:lock v:ext="edit" aspectratio="f"/>
          </v:shape>
          <o:OLEObject Type="Embed" ProgID="Equation.3" ShapeID="_x0000_i1160" DrawAspect="Content" ObjectID="_1519137009" r:id="rId264"/>
        </w:object>
      </w:r>
      <w:r w:rsidRPr="00D5063F">
        <w:rPr>
          <w:szCs w:val="24"/>
        </w:rPr>
        <w:t>×</w:t>
      </w:r>
      <w:proofErr w:type="gramStart"/>
      <w:r w:rsidRPr="00D5063F">
        <w:rPr>
          <w:szCs w:val="24"/>
        </w:rPr>
        <w:t xml:space="preserve">1 </w:t>
      </w:r>
      <w:proofErr w:type="gramEnd"/>
      <w:r w:rsidR="00FA27FE" w:rsidRPr="00D5063F">
        <w:rPr>
          <w:position w:val="-14"/>
          <w:szCs w:val="24"/>
        </w:rPr>
        <w:object w:dxaOrig="1740" w:dyaOrig="380" w14:anchorId="3A12CEA6">
          <v:shape id="_x0000_i1161" type="#_x0000_t75" style="width:87pt;height:18.75pt" o:ole="" o:preferrelative="f">
            <v:imagedata r:id="rId265" o:title=""/>
            <o:lock v:ext="edit" aspectratio="f"/>
          </v:shape>
          <o:OLEObject Type="Embed" ProgID="Equation.3" ShapeID="_x0000_i1161" DrawAspect="Content" ObjectID="_1519137010" r:id="rId266"/>
        </w:object>
      </w:r>
      <w:r w:rsidRPr="00D5063F">
        <w:rPr>
          <w:szCs w:val="24"/>
        </w:rPr>
        <w:t xml:space="preserve">) for the non-consumed goods, and another sub-vector </w:t>
      </w:r>
      <w:r w:rsidR="00A52999" w:rsidRPr="00D5063F">
        <w:rPr>
          <w:position w:val="-14"/>
          <w:szCs w:val="24"/>
        </w:rPr>
        <w:object w:dxaOrig="520" w:dyaOrig="400" w14:anchorId="7E8E78FD">
          <v:shape id="_x0000_i1162" type="#_x0000_t75" style="width:24.75pt;height:20.25pt" o:ole="" o:preferrelative="f">
            <v:imagedata r:id="rId267" o:title=""/>
            <o:lock v:ext="edit" aspectratio="f"/>
          </v:shape>
          <o:OLEObject Type="Embed" ProgID="Equation.3" ShapeID="_x0000_i1162" DrawAspect="Content" ObjectID="_1519137011" r:id="rId268"/>
        </w:object>
      </w:r>
      <w:r w:rsidRPr="00D5063F">
        <w:rPr>
          <w:szCs w:val="24"/>
        </w:rPr>
        <w:t xml:space="preserve"> of length </w:t>
      </w:r>
      <w:r w:rsidR="00FA27FE" w:rsidRPr="00D5063F">
        <w:rPr>
          <w:position w:val="-14"/>
          <w:szCs w:val="24"/>
        </w:rPr>
        <w:object w:dxaOrig="440" w:dyaOrig="380" w14:anchorId="3AC47513">
          <v:shape id="_x0000_i1163" type="#_x0000_t75" style="width:22.5pt;height:18.75pt" o:ole="" o:preferrelative="f">
            <v:imagedata r:id="rId269" o:title=""/>
            <o:lock v:ext="edit" aspectratio="f"/>
          </v:shape>
          <o:OLEObject Type="Embed" ProgID="Equation.3" ShapeID="_x0000_i1163" DrawAspect="Content" ObjectID="_1519137012" r:id="rId270"/>
        </w:object>
      </w:r>
      <w:r w:rsidRPr="00D5063F">
        <w:rPr>
          <w:szCs w:val="24"/>
        </w:rPr>
        <w:t xml:space="preserve">×1 </w:t>
      </w:r>
      <w:r w:rsidR="00FA27FE" w:rsidRPr="00D5063F">
        <w:rPr>
          <w:position w:val="-14"/>
          <w:szCs w:val="24"/>
        </w:rPr>
        <w:object w:dxaOrig="1620" w:dyaOrig="380" w14:anchorId="1DCC3AC9">
          <v:shape id="_x0000_i1164" type="#_x0000_t75" style="width:81pt;height:18.75pt" o:ole="" o:preferrelative="f">
            <v:imagedata r:id="rId271" o:title=""/>
            <o:lock v:ext="edit" aspectratio="f"/>
          </v:shape>
          <o:OLEObject Type="Embed" ProgID="Equation.3" ShapeID="_x0000_i1164" DrawAspect="Content" ObjectID="_1519137013" r:id="rId272"/>
        </w:object>
      </w:r>
      <w:r w:rsidRPr="00D5063F">
        <w:rPr>
          <w:szCs w:val="24"/>
        </w:rPr>
        <w:t xml:space="preserve">) for the </w:t>
      </w:r>
      <w:proofErr w:type="spellStart"/>
      <w:r w:rsidRPr="00D5063F">
        <w:rPr>
          <w:szCs w:val="24"/>
        </w:rPr>
        <w:t>consumed</w:t>
      </w:r>
      <w:proofErr w:type="spellEnd"/>
      <w:r w:rsidRPr="00D5063F">
        <w:rPr>
          <w:szCs w:val="24"/>
        </w:rPr>
        <w:t xml:space="preserve"> goods (</w:t>
      </w:r>
      <w:r w:rsidR="00FA27FE" w:rsidRPr="00D5063F">
        <w:rPr>
          <w:position w:val="-14"/>
          <w:szCs w:val="24"/>
        </w:rPr>
        <w:object w:dxaOrig="1860" w:dyaOrig="380" w14:anchorId="3EF8058A">
          <v:shape id="_x0000_i1165" type="#_x0000_t75" style="width:93pt;height:18.75pt" o:ole="" o:preferrelative="f">
            <v:imagedata r:id="rId273" o:title=""/>
            <o:lock v:ext="edit" aspectratio="f"/>
          </v:shape>
          <o:OLEObject Type="Embed" ProgID="Equation.3" ShapeID="_x0000_i1165" DrawAspect="Content" ObjectID="_1519137014" r:id="rId274"/>
        </w:object>
      </w:r>
      <w:r w:rsidRPr="00D5063F">
        <w:rPr>
          <w:szCs w:val="24"/>
        </w:rPr>
        <w:t xml:space="preserve">). </w:t>
      </w:r>
      <w:proofErr w:type="gramStart"/>
      <w:r w:rsidR="00B81377" w:rsidRPr="00D5063F">
        <w:rPr>
          <w:szCs w:val="24"/>
        </w:rPr>
        <w:t>Let</w:t>
      </w:r>
      <w:r w:rsidR="00710C11">
        <w:rPr>
          <w:szCs w:val="24"/>
        </w:rPr>
        <w:t xml:space="preserve"> </w:t>
      </w:r>
      <w:proofErr w:type="gramEnd"/>
      <w:r w:rsidR="00FA27FE" w:rsidRPr="00F35A22">
        <w:rPr>
          <w:position w:val="-26"/>
          <w:szCs w:val="24"/>
        </w:rPr>
        <w:object w:dxaOrig="2400" w:dyaOrig="740" w14:anchorId="4BF954C7">
          <v:shape id="_x0000_i1166" type="#_x0000_t75" style="width:120pt;height:36.75pt" o:ole="" o:preferrelative="f">
            <v:imagedata r:id="rId275" o:title=""/>
            <o:lock v:ext="edit" aspectratio="f"/>
          </v:shape>
          <o:OLEObject Type="Embed" ProgID="Equation.3" ShapeID="_x0000_i1166" DrawAspect="Content" ObjectID="_1519137015" r:id="rId276"/>
        </w:object>
      </w:r>
      <w:r>
        <w:rPr>
          <w:szCs w:val="24"/>
        </w:rPr>
        <w:t>,</w:t>
      </w:r>
      <w:r w:rsidRPr="00D5063F">
        <w:rPr>
          <w:szCs w:val="24"/>
        </w:rPr>
        <w:t xml:space="preserve"> which may be obtained from </w:t>
      </w:r>
      <w:r w:rsidR="00A52999" w:rsidRPr="00D5063F">
        <w:rPr>
          <w:position w:val="-14"/>
          <w:szCs w:val="24"/>
        </w:rPr>
        <w:object w:dxaOrig="380" w:dyaOrig="400" w14:anchorId="3736215F">
          <v:shape id="_x0000_i1167" type="#_x0000_t75" style="width:17.25pt;height:20.25pt" o:ole="" o:preferrelative="f">
            <v:imagedata r:id="rId277" o:title=""/>
            <o:lock v:ext="edit" aspectratio="f"/>
          </v:shape>
          <o:OLEObject Type="Embed" ProgID="Equation.3" ShapeID="_x0000_i1167" DrawAspect="Content" ObjectID="_1519137016" r:id="rId278"/>
        </w:object>
      </w:r>
      <w:r w:rsidRPr="00D5063F">
        <w:rPr>
          <w:szCs w:val="24"/>
        </w:rPr>
        <w:t xml:space="preserve"> </w:t>
      </w:r>
      <w:r w:rsidR="00B81377" w:rsidRPr="00D5063F">
        <w:rPr>
          <w:szCs w:val="24"/>
        </w:rPr>
        <w:t>as</w:t>
      </w:r>
      <w:r w:rsidR="00A52999">
        <w:rPr>
          <w:szCs w:val="24"/>
        </w:rPr>
        <w:t xml:space="preserve"> </w:t>
      </w:r>
      <w:r w:rsidR="00A52999" w:rsidRPr="00D5063F">
        <w:rPr>
          <w:position w:val="-14"/>
          <w:szCs w:val="24"/>
        </w:rPr>
        <w:object w:dxaOrig="1260" w:dyaOrig="400" w14:anchorId="32AB1380">
          <v:shape id="_x0000_i1168" type="#_x0000_t75" style="width:63.75pt;height:20.25pt" o:ole="" o:preferrelative="f">
            <v:imagedata r:id="rId279" o:title=""/>
            <o:lock v:ext="edit" aspectratio="f"/>
          </v:shape>
          <o:OLEObject Type="Embed" ProgID="Equation.3" ShapeID="_x0000_i1168" DrawAspect="Content" ObjectID="_1519137017" r:id="rId280"/>
        </w:object>
      </w:r>
      <w:r w:rsidR="00A52999">
        <w:rPr>
          <w:szCs w:val="24"/>
        </w:rPr>
        <w:t xml:space="preserve">, where </w:t>
      </w:r>
      <w:r w:rsidR="00A52999" w:rsidRPr="00D5063F">
        <w:rPr>
          <w:position w:val="-14"/>
          <w:szCs w:val="24"/>
        </w:rPr>
        <w:object w:dxaOrig="360" w:dyaOrig="380" w14:anchorId="6817F51B">
          <v:shape id="_x0000_i1169" type="#_x0000_t75" style="width:18.75pt;height:17.25pt" o:ole="" o:preferrelative="f">
            <v:imagedata r:id="rId281" o:title=""/>
            <o:lock v:ext="edit" aspectratio="f"/>
          </v:shape>
          <o:OLEObject Type="Embed" ProgID="Equation.3" ShapeID="_x0000_i1169" DrawAspect="Content" ObjectID="_1519137018" r:id="rId282"/>
        </w:object>
      </w:r>
      <w:r w:rsidRPr="00D5063F">
        <w:rPr>
          <w:szCs w:val="24"/>
        </w:rPr>
        <w:t xml:space="preserve"> is a re-arrangement matrix of dimension (</w:t>
      </w:r>
      <w:r w:rsidRPr="00D5063F">
        <w:rPr>
          <w:i/>
          <w:szCs w:val="24"/>
        </w:rPr>
        <w:t>K</w:t>
      </w:r>
      <w:r>
        <w:rPr>
          <w:szCs w:val="24"/>
        </w:rPr>
        <w:t>–</w:t>
      </w:r>
      <w:r w:rsidRPr="00D5063F">
        <w:rPr>
          <w:szCs w:val="24"/>
        </w:rPr>
        <w:t>1)×(</w:t>
      </w:r>
      <w:r w:rsidRPr="00D5063F">
        <w:rPr>
          <w:i/>
          <w:szCs w:val="24"/>
        </w:rPr>
        <w:t>K</w:t>
      </w:r>
      <w:r>
        <w:rPr>
          <w:szCs w:val="24"/>
        </w:rPr>
        <w:t>–</w:t>
      </w:r>
      <w:r w:rsidRPr="00D5063F">
        <w:rPr>
          <w:szCs w:val="24"/>
        </w:rPr>
        <w:t xml:space="preserve">1) with </w:t>
      </w:r>
      <w:r w:rsidR="00626664">
        <w:rPr>
          <w:szCs w:val="24"/>
        </w:rPr>
        <w:t>zero</w:t>
      </w:r>
      <w:r w:rsidR="006A4C3C" w:rsidRPr="00D5063F">
        <w:rPr>
          <w:szCs w:val="24"/>
        </w:rPr>
        <w:t>s</w:t>
      </w:r>
      <w:r w:rsidRPr="00D5063F">
        <w:rPr>
          <w:szCs w:val="24"/>
        </w:rPr>
        <w:t xml:space="preserve"> and ones. For example, consider a consumer </w:t>
      </w:r>
      <w:r w:rsidRPr="00D5063F">
        <w:rPr>
          <w:i/>
          <w:szCs w:val="24"/>
        </w:rPr>
        <w:t>q</w:t>
      </w:r>
      <w:r w:rsidRPr="00D5063F">
        <w:rPr>
          <w:szCs w:val="24"/>
        </w:rPr>
        <w:t xml:space="preserve"> who cho</w:t>
      </w:r>
      <w:r>
        <w:rPr>
          <w:szCs w:val="24"/>
        </w:rPr>
        <w:t>o</w:t>
      </w:r>
      <w:r w:rsidRPr="00D5063F">
        <w:rPr>
          <w:szCs w:val="24"/>
        </w:rPr>
        <w:t>ses among five goods (</w:t>
      </w:r>
      <w:r w:rsidRPr="00F8612C">
        <w:rPr>
          <w:i/>
          <w:szCs w:val="24"/>
        </w:rPr>
        <w:t>K</w:t>
      </w:r>
      <w:r>
        <w:rPr>
          <w:szCs w:val="24"/>
        </w:rPr>
        <w:t>=5</w:t>
      </w:r>
      <w:r w:rsidRPr="00D5063F">
        <w:rPr>
          <w:szCs w:val="24"/>
        </w:rPr>
        <w:t xml:space="preserve">), </w:t>
      </w:r>
      <w:r>
        <w:rPr>
          <w:szCs w:val="24"/>
        </w:rPr>
        <w:t xml:space="preserve">and </w:t>
      </w:r>
      <w:r w:rsidRPr="00D5063F">
        <w:rPr>
          <w:szCs w:val="24"/>
        </w:rPr>
        <w:t>select</w:t>
      </w:r>
      <w:r>
        <w:rPr>
          <w:szCs w:val="24"/>
        </w:rPr>
        <w:t>s</w:t>
      </w:r>
      <w:r w:rsidRPr="00D5063F">
        <w:rPr>
          <w:szCs w:val="24"/>
        </w:rPr>
        <w:t xml:space="preserve"> goods 2, 3</w:t>
      </w:r>
      <w:r>
        <w:rPr>
          <w:szCs w:val="24"/>
        </w:rPr>
        <w:t>,</w:t>
      </w:r>
      <w:r w:rsidRPr="00D5063F">
        <w:rPr>
          <w:szCs w:val="24"/>
        </w:rPr>
        <w:t xml:space="preserve"> and 5</w:t>
      </w:r>
      <w:r>
        <w:rPr>
          <w:szCs w:val="24"/>
        </w:rPr>
        <w:t xml:space="preserve"> for consumption</w:t>
      </w:r>
      <w:r w:rsidRPr="00D5063F">
        <w:rPr>
          <w:szCs w:val="24"/>
        </w:rPr>
        <w:t xml:space="preserve">. Thus, </w:t>
      </w:r>
      <w:r w:rsidR="00A52999" w:rsidRPr="00D5063F">
        <w:rPr>
          <w:position w:val="-14"/>
          <w:szCs w:val="24"/>
        </w:rPr>
        <w:object w:dxaOrig="700" w:dyaOrig="380" w14:anchorId="7A230451">
          <v:shape id="_x0000_i1170" type="#_x0000_t75" style="width:35.25pt;height:17.25pt" o:ole="" o:preferrelative="f">
            <v:imagedata r:id="rId283" o:title=""/>
            <o:lock v:ext="edit" aspectratio="f"/>
          </v:shape>
          <o:OLEObject Type="Embed" ProgID="Equation.3" ShapeID="_x0000_i1170" DrawAspect="Content" ObjectID="_1519137019" r:id="rId284"/>
        </w:object>
      </w:r>
      <w:r w:rsidRPr="00D5063F">
        <w:rPr>
          <w:szCs w:val="24"/>
        </w:rPr>
        <w:t xml:space="preserve">, </w:t>
      </w:r>
      <w:r w:rsidR="00A52999" w:rsidRPr="00D5063F">
        <w:rPr>
          <w:position w:val="-14"/>
          <w:szCs w:val="24"/>
        </w:rPr>
        <w:object w:dxaOrig="920" w:dyaOrig="380" w14:anchorId="2C698CC4">
          <v:shape id="_x0000_i1171" type="#_x0000_t75" style="width:47.25pt;height:17.25pt" o:ole="" o:preferrelative="f">
            <v:imagedata r:id="rId285" o:title=""/>
            <o:lock v:ext="edit" aspectratio="f"/>
          </v:shape>
          <o:OLEObject Type="Embed" ProgID="Equation.3" ShapeID="_x0000_i1171" DrawAspect="Content" ObjectID="_1519137020" r:id="rId286"/>
        </w:object>
      </w:r>
      <w:r w:rsidRPr="00D5063F">
        <w:rPr>
          <w:szCs w:val="24"/>
        </w:rPr>
        <w:t xml:space="preserve"> (corresponding to the non-consumed goods 1 and 4), and </w:t>
      </w:r>
      <w:r w:rsidR="00A52999" w:rsidRPr="00D5063F">
        <w:rPr>
          <w:position w:val="-14"/>
          <w:szCs w:val="24"/>
        </w:rPr>
        <w:object w:dxaOrig="820" w:dyaOrig="380" w14:anchorId="684A000F">
          <v:shape id="_x0000_i1172" type="#_x0000_t75" style="width:40.5pt;height:17.25pt" o:ole="" o:preferrelative="f">
            <v:imagedata r:id="rId287" o:title=""/>
            <o:lock v:ext="edit" aspectratio="f"/>
          </v:shape>
          <o:OLEObject Type="Embed" ProgID="Equation.3" ShapeID="_x0000_i1172" DrawAspect="Content" ObjectID="_1519137021" r:id="rId288"/>
        </w:object>
      </w:r>
      <w:r w:rsidRPr="00D5063F">
        <w:rPr>
          <w:szCs w:val="24"/>
        </w:rPr>
        <w:t xml:space="preserve"> (corresponding to the </w:t>
      </w:r>
      <w:proofErr w:type="spellStart"/>
      <w:r w:rsidRPr="00D5063F">
        <w:rPr>
          <w:szCs w:val="24"/>
        </w:rPr>
        <w:t>consumed</w:t>
      </w:r>
      <w:proofErr w:type="spellEnd"/>
      <w:r w:rsidRPr="00D5063F">
        <w:rPr>
          <w:szCs w:val="24"/>
        </w:rPr>
        <w:t xml:space="preserve"> goods 3 and 5, with good 2 serving as the base good needed to take utility differentials). Then, the re-arrangement matrix </w:t>
      </w:r>
      <w:r w:rsidR="00A52999" w:rsidRPr="00D5063F">
        <w:rPr>
          <w:position w:val="-14"/>
          <w:szCs w:val="24"/>
        </w:rPr>
        <w:object w:dxaOrig="360" w:dyaOrig="380" w14:anchorId="79F13CE0">
          <v:shape id="_x0000_i1173" type="#_x0000_t75" style="width:18.75pt;height:17.25pt" o:ole="" o:preferrelative="f">
            <v:imagedata r:id="rId289" o:title=""/>
            <o:lock v:ext="edit" aspectratio="f"/>
          </v:shape>
          <o:OLEObject Type="Embed" ProgID="Equation.3" ShapeID="_x0000_i1173" DrawAspect="Content" ObjectID="_1519137022" r:id="rId290"/>
        </w:object>
      </w:r>
      <w:r w:rsidRPr="00D5063F">
        <w:rPr>
          <w:szCs w:val="24"/>
        </w:rPr>
        <w:t xml:space="preserve"> (for goods 1, 3, 4</w:t>
      </w:r>
      <w:r>
        <w:rPr>
          <w:szCs w:val="24"/>
        </w:rPr>
        <w:t>,</w:t>
      </w:r>
      <w:r w:rsidRPr="00D5063F">
        <w:rPr>
          <w:szCs w:val="24"/>
        </w:rPr>
        <w:t xml:space="preserve"> and 5) is</w:t>
      </w:r>
      <w:r w:rsidR="000C3BFE">
        <w:rPr>
          <w:szCs w:val="24"/>
        </w:rPr>
        <w:t xml:space="preserve"> provided </w:t>
      </w:r>
      <w:r w:rsidR="00417F18">
        <w:rPr>
          <w:szCs w:val="24"/>
        </w:rPr>
        <w:t>in</w:t>
      </w:r>
      <w:r w:rsidR="000C3BFE">
        <w:rPr>
          <w:szCs w:val="24"/>
        </w:rPr>
        <w:t xml:space="preserve"> Equation (8)</w:t>
      </w:r>
      <w:r w:rsidRPr="00D5063F">
        <w:rPr>
          <w:szCs w:val="24"/>
        </w:rPr>
        <w:t>:</w:t>
      </w:r>
    </w:p>
    <w:p w:rsidR="00A52999" w:rsidRPr="00D5063F" w:rsidRDefault="00A52999" w:rsidP="00A52999">
      <w:pPr>
        <w:tabs>
          <w:tab w:val="right" w:pos="9360"/>
        </w:tabs>
        <w:spacing w:line="360" w:lineRule="auto"/>
        <w:rPr>
          <w:szCs w:val="24"/>
        </w:rPr>
      </w:pPr>
      <w:r w:rsidRPr="00BB7680">
        <w:rPr>
          <w:position w:val="-66"/>
          <w:szCs w:val="24"/>
        </w:rPr>
        <w:object w:dxaOrig="3040" w:dyaOrig="1440">
          <v:shape id="_x0000_i1174" type="#_x0000_t75" style="width:151.5pt;height:1in" o:ole="" o:preferrelative="f">
            <v:imagedata r:id="rId291" o:title=""/>
            <o:lock v:ext="edit" aspectratio="f"/>
          </v:shape>
          <o:OLEObject Type="Embed" ProgID="Equation.3" ShapeID="_x0000_i1174" DrawAspect="Content" ObjectID="_1519137023" r:id="rId292"/>
        </w:object>
      </w:r>
      <w:r>
        <w:rPr>
          <w:szCs w:val="24"/>
        </w:rPr>
        <w:t xml:space="preserve">  </w:t>
      </w:r>
      <w:r>
        <w:rPr>
          <w:szCs w:val="24"/>
        </w:rPr>
        <w:tab/>
        <w:t>(8</w:t>
      </w:r>
      <w:r w:rsidRPr="00CD5C0D">
        <w:rPr>
          <w:szCs w:val="24"/>
        </w:rPr>
        <w:t>)</w:t>
      </w:r>
    </w:p>
    <w:p w:rsidR="0008331C" w:rsidRPr="00C947B5" w:rsidRDefault="0008331C" w:rsidP="00966971">
      <w:pPr>
        <w:pStyle w:val="FootnoteText"/>
        <w:spacing w:line="360" w:lineRule="auto"/>
        <w:rPr>
          <w:rFonts w:ascii="Times New Roman" w:hAnsi="Times New Roman"/>
          <w:sz w:val="24"/>
          <w:szCs w:val="24"/>
        </w:rPr>
      </w:pPr>
      <w:r w:rsidRPr="00C947B5">
        <w:rPr>
          <w:rFonts w:ascii="Times New Roman" w:hAnsi="Times New Roman"/>
          <w:sz w:val="24"/>
          <w:szCs w:val="24"/>
        </w:rPr>
        <w:t xml:space="preserve">where the upper sub-matrix </w:t>
      </w:r>
      <w:r w:rsidR="00A52999" w:rsidRPr="00C947B5">
        <w:rPr>
          <w:rFonts w:ascii="Times New Roman" w:hAnsi="Times New Roman"/>
          <w:position w:val="-14"/>
          <w:sz w:val="24"/>
          <w:szCs w:val="24"/>
        </w:rPr>
        <w:object w:dxaOrig="600" w:dyaOrig="380" w14:anchorId="00A9841F">
          <v:shape id="_x0000_i1175" type="#_x0000_t75" style="width:30pt;height:17.25pt" o:ole="" o:preferrelative="f">
            <v:imagedata r:id="rId293" o:title=""/>
            <o:lock v:ext="edit" aspectratio="f"/>
          </v:shape>
          <o:OLEObject Type="Embed" ProgID="Equation.3" ShapeID="_x0000_i1175" DrawAspect="Content" ObjectID="_1519137024" r:id="rId294"/>
        </w:object>
      </w:r>
      <w:r w:rsidRPr="00C947B5">
        <w:rPr>
          <w:rFonts w:ascii="Times New Roman" w:hAnsi="Times New Roman"/>
          <w:sz w:val="24"/>
          <w:szCs w:val="24"/>
        </w:rPr>
        <w:t xml:space="preserve"> corresponds to the non-consumed goods (of dimension </w:t>
      </w:r>
      <w:r w:rsidR="00FA27FE" w:rsidRPr="00C947B5">
        <w:rPr>
          <w:rFonts w:ascii="Times New Roman" w:hAnsi="Times New Roman"/>
          <w:position w:val="-14"/>
          <w:sz w:val="24"/>
          <w:szCs w:val="24"/>
        </w:rPr>
        <w:object w:dxaOrig="1460" w:dyaOrig="380" w14:anchorId="023E3A3C">
          <v:shape id="_x0000_i1176" type="#_x0000_t75" style="width:72.75pt;height:18.75pt" o:ole="" o:preferrelative="f">
            <v:imagedata r:id="rId295" o:title=""/>
            <o:lock v:ext="edit" aspectratio="f"/>
          </v:shape>
          <o:OLEObject Type="Embed" ProgID="Equation.3" ShapeID="_x0000_i1176" DrawAspect="Content" ObjectID="_1519137025" r:id="rId296"/>
        </w:object>
      </w:r>
      <w:r w:rsidRPr="00C947B5">
        <w:rPr>
          <w:rFonts w:ascii="Times New Roman" w:hAnsi="Times New Roman"/>
          <w:sz w:val="24"/>
          <w:szCs w:val="24"/>
        </w:rPr>
        <w:t xml:space="preserve">) and the lower sub-matrix </w:t>
      </w:r>
      <w:r w:rsidR="00A52999" w:rsidRPr="00C947B5">
        <w:rPr>
          <w:rFonts w:ascii="Times New Roman" w:hAnsi="Times New Roman"/>
          <w:position w:val="-14"/>
          <w:sz w:val="24"/>
          <w:szCs w:val="24"/>
        </w:rPr>
        <w:object w:dxaOrig="499" w:dyaOrig="380" w14:anchorId="284CC047">
          <v:shape id="_x0000_i1177" type="#_x0000_t75" style="width:24.75pt;height:17.25pt" o:ole="" o:preferrelative="f">
            <v:imagedata r:id="rId297" o:title=""/>
            <o:lock v:ext="edit" aspectratio="f"/>
          </v:shape>
          <o:OLEObject Type="Embed" ProgID="Equation.3" ShapeID="_x0000_i1177" DrawAspect="Content" ObjectID="_1519137026" r:id="rId298"/>
        </w:object>
      </w:r>
      <w:r w:rsidRPr="00C947B5">
        <w:rPr>
          <w:rFonts w:ascii="Times New Roman" w:hAnsi="Times New Roman"/>
          <w:sz w:val="24"/>
          <w:szCs w:val="24"/>
        </w:rPr>
        <w:t xml:space="preserve"> corresponds to the </w:t>
      </w:r>
      <w:proofErr w:type="spellStart"/>
      <w:r w:rsidRPr="00C947B5">
        <w:rPr>
          <w:rFonts w:ascii="Times New Roman" w:hAnsi="Times New Roman"/>
          <w:sz w:val="24"/>
          <w:szCs w:val="24"/>
        </w:rPr>
        <w:t>consumed</w:t>
      </w:r>
      <w:proofErr w:type="spellEnd"/>
      <w:r w:rsidRPr="00C947B5">
        <w:rPr>
          <w:rFonts w:ascii="Times New Roman" w:hAnsi="Times New Roman"/>
          <w:sz w:val="24"/>
          <w:szCs w:val="24"/>
        </w:rPr>
        <w:t xml:space="preserve"> goods (of dimension </w:t>
      </w:r>
      <w:r w:rsidR="00FA27FE" w:rsidRPr="00C947B5">
        <w:rPr>
          <w:rFonts w:ascii="Times New Roman" w:hAnsi="Times New Roman"/>
          <w:position w:val="-14"/>
          <w:sz w:val="24"/>
          <w:szCs w:val="24"/>
        </w:rPr>
        <w:object w:dxaOrig="1340" w:dyaOrig="380" w14:anchorId="237936C7">
          <v:shape id="_x0000_i1178" type="#_x0000_t75" style="width:66.75pt;height:18.75pt" o:ole="" o:preferrelative="f">
            <v:imagedata r:id="rId299" o:title=""/>
            <o:lock v:ext="edit" aspectratio="f"/>
          </v:shape>
          <o:OLEObject Type="Embed" ProgID="Equation.3" ShapeID="_x0000_i1178" DrawAspect="Content" ObjectID="_1519137027" r:id="rId300"/>
        </w:object>
      </w:r>
      <w:r w:rsidRPr="00C947B5">
        <w:rPr>
          <w:rFonts w:ascii="Times New Roman" w:hAnsi="Times New Roman"/>
          <w:sz w:val="24"/>
          <w:szCs w:val="24"/>
        </w:rPr>
        <w:t xml:space="preserve">). Note also that </w:t>
      </w:r>
      <w:r w:rsidR="00A52999" w:rsidRPr="00C947B5">
        <w:rPr>
          <w:rFonts w:ascii="Times New Roman" w:hAnsi="Times New Roman"/>
          <w:position w:val="-14"/>
          <w:sz w:val="24"/>
          <w:szCs w:val="24"/>
        </w:rPr>
        <w:object w:dxaOrig="1780" w:dyaOrig="400" w14:anchorId="7C37265A">
          <v:shape id="_x0000_i1179" type="#_x0000_t75" style="width:89.25pt;height:20.25pt" o:ole="" o:preferrelative="f">
            <v:imagedata r:id="rId301" o:title=""/>
            <o:lock v:ext="edit" aspectratio="f"/>
          </v:shape>
          <o:OLEObject Type="Embed" ProgID="Equation.3" ShapeID="_x0000_i1179" DrawAspect="Content" ObjectID="_1519137028" r:id="rId302"/>
        </w:object>
      </w:r>
      <w:r w:rsidRPr="00C947B5">
        <w:rPr>
          <w:rFonts w:ascii="Times New Roman" w:hAnsi="Times New Roman"/>
          <w:sz w:val="24"/>
          <w:szCs w:val="24"/>
        </w:rPr>
        <w:t xml:space="preserve"> and </w:t>
      </w:r>
      <w:r w:rsidR="00A52999" w:rsidRPr="00C947B5">
        <w:rPr>
          <w:rFonts w:ascii="Times New Roman" w:hAnsi="Times New Roman"/>
          <w:position w:val="-14"/>
          <w:sz w:val="24"/>
          <w:szCs w:val="24"/>
        </w:rPr>
        <w:object w:dxaOrig="1579" w:dyaOrig="400" w14:anchorId="6AC739C6">
          <v:shape id="_x0000_i1180" type="#_x0000_t75" style="width:79.5pt;height:20.25pt" o:ole="" o:preferrelative="f">
            <v:imagedata r:id="rId303" o:title=""/>
            <o:lock v:ext="edit" aspectratio="f"/>
          </v:shape>
          <o:OLEObject Type="Embed" ProgID="Equation.3" ShapeID="_x0000_i1180" DrawAspect="Content" ObjectID="_1519137029" r:id="rId304"/>
        </w:object>
      </w:r>
      <w:r w:rsidRPr="00C947B5">
        <w:rPr>
          <w:rFonts w:ascii="Times New Roman" w:hAnsi="Times New Roman"/>
          <w:sz w:val="24"/>
          <w:szCs w:val="24"/>
        </w:rPr>
        <w:t xml:space="preserve">. </w:t>
      </w:r>
      <w:r w:rsidR="00A52999" w:rsidRPr="00C947B5">
        <w:rPr>
          <w:rFonts w:ascii="Times New Roman" w:hAnsi="Times New Roman"/>
          <w:position w:val="-14"/>
          <w:sz w:val="24"/>
          <w:szCs w:val="24"/>
        </w:rPr>
        <w:object w:dxaOrig="600" w:dyaOrig="380" w14:anchorId="780058E3">
          <v:shape id="_x0000_i1181" type="#_x0000_t75" style="width:30pt;height:17.25pt" o:ole="" o:preferrelative="f">
            <v:imagedata r:id="rId305" o:title=""/>
            <o:lock v:ext="edit" aspectratio="f"/>
          </v:shape>
          <o:OLEObject Type="Embed" ProgID="Equation.3" ShapeID="_x0000_i1181" DrawAspect="Content" ObjectID="_1519137030" r:id="rId306"/>
        </w:object>
      </w:r>
      <w:r w:rsidRPr="00C947B5">
        <w:rPr>
          <w:rFonts w:ascii="Times New Roman" w:hAnsi="Times New Roman"/>
          <w:sz w:val="24"/>
          <w:szCs w:val="24"/>
        </w:rPr>
        <w:t xml:space="preserve"> has as many rows as the number of non-consumed alternatives and as many columns as the number of alternatives minus one (each column corresponds to an alternative, except the </w:t>
      </w:r>
      <w:r w:rsidR="00861BB6" w:rsidRPr="00C947B5">
        <w:rPr>
          <w:rFonts w:ascii="Times New Roman" w:hAnsi="Times New Roman"/>
          <w:position w:val="-14"/>
          <w:sz w:val="24"/>
          <w:szCs w:val="24"/>
        </w:rPr>
        <w:object w:dxaOrig="380" w:dyaOrig="400" w14:anchorId="405EF553">
          <v:shape id="_x0000_i1182" type="#_x0000_t75" style="width:17.25pt;height:20.25pt" o:ole="" o:preferrelative="f">
            <v:imagedata r:id="rId307" o:title=""/>
            <o:lock v:ext="edit" aspectratio="f"/>
          </v:shape>
          <o:OLEObject Type="Embed" ProgID="Equation.3" ShapeID="_x0000_i1182" DrawAspect="Content" ObjectID="_1519137031" r:id="rId308"/>
        </w:object>
      </w:r>
      <w:r w:rsidRPr="00C947B5">
        <w:rPr>
          <w:rFonts w:ascii="Times New Roman" w:hAnsi="Times New Roman"/>
          <w:sz w:val="24"/>
          <w:szCs w:val="24"/>
        </w:rPr>
        <w:t xml:space="preserve"> alternative). Then, for each row, </w:t>
      </w:r>
      <w:r w:rsidR="00861BB6" w:rsidRPr="00C947B5">
        <w:rPr>
          <w:rFonts w:ascii="Times New Roman" w:hAnsi="Times New Roman"/>
          <w:position w:val="-14"/>
          <w:sz w:val="24"/>
          <w:szCs w:val="24"/>
        </w:rPr>
        <w:object w:dxaOrig="600" w:dyaOrig="380" w14:anchorId="15F64A8B">
          <v:shape id="_x0000_i1183" type="#_x0000_t75" style="width:30pt;height:17.25pt" o:ole="" o:preferrelative="f">
            <v:imagedata r:id="rId309" o:title=""/>
            <o:lock v:ext="edit" aspectratio="f"/>
          </v:shape>
          <o:OLEObject Type="Embed" ProgID="Equation.3" ShapeID="_x0000_i1183" DrawAspect="Content" ObjectID="_1519137032" r:id="rId310"/>
        </w:object>
      </w:r>
      <w:r w:rsidRPr="00C947B5">
        <w:rPr>
          <w:rFonts w:ascii="Times New Roman" w:hAnsi="Times New Roman"/>
          <w:sz w:val="24"/>
          <w:szCs w:val="24"/>
        </w:rPr>
        <w:t xml:space="preserve"> has a value of “1” in one of the columns corresponding to an alternative that is not consumed, and the value of “0” everywhere else. A similar construction is involved in creating the </w:t>
      </w:r>
      <w:r w:rsidR="00861BB6" w:rsidRPr="00C947B5">
        <w:rPr>
          <w:rFonts w:ascii="Times New Roman" w:hAnsi="Times New Roman"/>
          <w:position w:val="-14"/>
          <w:sz w:val="24"/>
          <w:szCs w:val="24"/>
        </w:rPr>
        <w:object w:dxaOrig="480" w:dyaOrig="380" w14:anchorId="249684B9">
          <v:shape id="_x0000_i1184" type="#_x0000_t75" style="width:24pt;height:17.25pt" o:ole="" o:preferrelative="f">
            <v:imagedata r:id="rId311" o:title=""/>
            <o:lock v:ext="edit" aspectratio="f"/>
          </v:shape>
          <o:OLEObject Type="Embed" ProgID="Equation.3" ShapeID="_x0000_i1184" DrawAspect="Content" ObjectID="_1519137033" r:id="rId312"/>
        </w:object>
      </w:r>
      <w:r w:rsidRPr="00C947B5">
        <w:rPr>
          <w:rFonts w:ascii="Times New Roman" w:hAnsi="Times New Roman"/>
          <w:sz w:val="24"/>
          <w:szCs w:val="24"/>
        </w:rPr>
        <w:t xml:space="preserve"> matrix.</w:t>
      </w:r>
    </w:p>
    <w:p w:rsidR="0008331C" w:rsidRDefault="0008331C" w:rsidP="00966971">
      <w:pPr>
        <w:spacing w:line="360" w:lineRule="auto"/>
        <w:ind w:firstLine="720"/>
        <w:rPr>
          <w:szCs w:val="24"/>
        </w:rPr>
      </w:pPr>
      <w:r>
        <w:rPr>
          <w:szCs w:val="24"/>
        </w:rPr>
        <w:t xml:space="preserve">Consistent with the above re-arrangement, </w:t>
      </w:r>
      <w:proofErr w:type="gramStart"/>
      <w:r>
        <w:rPr>
          <w:szCs w:val="24"/>
        </w:rPr>
        <w:t xml:space="preserve">define </w:t>
      </w:r>
      <w:r w:rsidR="00CF7D40" w:rsidRPr="004E2B07">
        <w:rPr>
          <w:position w:val="-14"/>
          <w:szCs w:val="24"/>
        </w:rPr>
        <w:object w:dxaOrig="1380" w:dyaOrig="420" w14:anchorId="3D6E78F6">
          <v:shape id="_x0000_i1185" type="#_x0000_t75" style="width:69pt;height:20.25pt" o:ole="" o:preferrelative="f">
            <v:imagedata r:id="rId313" o:title=""/>
            <o:lock v:ext="edit" aspectratio="f"/>
          </v:shape>
          <o:OLEObject Type="Embed" ProgID="Equation.3" ShapeID="_x0000_i1185" DrawAspect="Content" ObjectID="_1519137034" r:id="rId314"/>
        </w:object>
      </w:r>
      <w:r>
        <w:rPr>
          <w:szCs w:val="24"/>
        </w:rPr>
        <w:t xml:space="preserve"> , </w:t>
      </w:r>
      <w:r w:rsidR="00CF7D40" w:rsidRPr="006F489E">
        <w:rPr>
          <w:position w:val="-14"/>
          <w:szCs w:val="24"/>
        </w:rPr>
        <w:object w:dxaOrig="1880" w:dyaOrig="420" w14:anchorId="52234158">
          <v:shape id="_x0000_i1186" type="#_x0000_t75" style="width:93.75pt;height:20.25pt" o:ole="" o:preferrelative="f">
            <v:imagedata r:id="rId315" o:title=""/>
            <o:lock v:ext="edit" aspectratio="f"/>
          </v:shape>
          <o:OLEObject Type="Embed" ProgID="Equation.3" ShapeID="_x0000_i1186" DrawAspect="Content" ObjectID="_1519137035" r:id="rId316"/>
        </w:object>
      </w:r>
      <w:r>
        <w:rPr>
          <w:szCs w:val="24"/>
        </w:rPr>
        <w:t xml:space="preserve">, </w:t>
      </w:r>
      <w:r w:rsidR="00CF7D40" w:rsidRPr="006F489E">
        <w:rPr>
          <w:position w:val="-14"/>
          <w:szCs w:val="24"/>
        </w:rPr>
        <w:object w:dxaOrig="1660" w:dyaOrig="420" w14:anchorId="2D8EADDA">
          <v:shape id="_x0000_i1187" type="#_x0000_t75" style="width:83.25pt;height:20.25pt" o:ole="" o:preferrelative="f">
            <v:imagedata r:id="rId317" o:title=""/>
            <o:lock v:ext="edit" aspectratio="f"/>
          </v:shape>
          <o:OLEObject Type="Embed" ProgID="Equation.3" ShapeID="_x0000_i1187" DrawAspect="Content" ObjectID="_1519137036" r:id="rId318"/>
        </w:object>
      </w:r>
      <w:r>
        <w:rPr>
          <w:szCs w:val="24"/>
        </w:rPr>
        <w:t xml:space="preserve">, and </w:t>
      </w:r>
      <w:r w:rsidR="00CF7D40" w:rsidRPr="00785CBF">
        <w:rPr>
          <w:position w:val="-34"/>
          <w:szCs w:val="24"/>
        </w:rPr>
        <w:object w:dxaOrig="4360" w:dyaOrig="800" w14:anchorId="55B058B7">
          <v:shape id="_x0000_i1188" type="#_x0000_t75" style="width:218.25pt;height:40.5pt" o:ole="" o:preferrelative="f">
            <v:imagedata r:id="rId319" o:title=""/>
            <o:lock v:ext="edit" aspectratio="f"/>
          </v:shape>
          <o:OLEObject Type="Embed" ProgID="Equation.3" ShapeID="_x0000_i1188" DrawAspect="Content" ObjectID="_1519137037" r:id="rId320"/>
        </w:object>
      </w:r>
      <w:r>
        <w:rPr>
          <w:szCs w:val="24"/>
        </w:rPr>
        <w:t xml:space="preserve">, where </w:t>
      </w:r>
      <w:r w:rsidR="00CF7D40" w:rsidRPr="006439B9">
        <w:rPr>
          <w:position w:val="-14"/>
          <w:szCs w:val="24"/>
        </w:rPr>
        <w:object w:dxaOrig="2439" w:dyaOrig="420" w14:anchorId="69483A1F">
          <v:shape id="_x0000_i1189" type="#_x0000_t75" style="width:121.5pt;height:20.25pt" o:ole="" o:preferrelative="f">
            <v:imagedata r:id="rId321" o:title=""/>
            <o:lock v:ext="edit" aspectratio="f"/>
          </v:shape>
          <o:OLEObject Type="Embed" ProgID="Equation.3" ShapeID="_x0000_i1189" DrawAspect="Content" ObjectID="_1519137038" r:id="rId322"/>
        </w:object>
      </w:r>
      <w:r>
        <w:rPr>
          <w:szCs w:val="24"/>
        </w:rPr>
        <w:t xml:space="preserve">, </w:t>
      </w:r>
      <w:r w:rsidR="00CF7D40" w:rsidRPr="006439B9">
        <w:rPr>
          <w:position w:val="-14"/>
          <w:szCs w:val="24"/>
        </w:rPr>
        <w:object w:dxaOrig="2120" w:dyaOrig="420" w14:anchorId="12EAA8B5">
          <v:shape id="_x0000_i1190" type="#_x0000_t75" style="width:103.5pt;height:20.25pt" o:ole="" o:preferrelative="f">
            <v:imagedata r:id="rId323" o:title=""/>
            <o:lock v:ext="edit" aspectratio="f"/>
          </v:shape>
          <o:OLEObject Type="Embed" ProgID="Equation.3" ShapeID="_x0000_i1190" DrawAspect="Content" ObjectID="_1519137039" r:id="rId324"/>
        </w:object>
      </w:r>
      <w:r>
        <w:rPr>
          <w:szCs w:val="24"/>
        </w:rPr>
        <w:t xml:space="preserve">, and </w:t>
      </w:r>
      <w:r w:rsidR="00CF7D40" w:rsidRPr="006439B9">
        <w:rPr>
          <w:position w:val="-14"/>
          <w:szCs w:val="24"/>
        </w:rPr>
        <w:object w:dxaOrig="2480" w:dyaOrig="420" w14:anchorId="4F56DB61">
          <v:shape id="_x0000_i1191" type="#_x0000_t75" style="width:123.75pt;height:20.25pt" o:ole="" o:preferrelative="f">
            <v:imagedata r:id="rId325" o:title=""/>
            <o:lock v:ext="edit" aspectratio="f"/>
          </v:shape>
          <o:OLEObject Type="Embed" ProgID="Equation.3" ShapeID="_x0000_i1191" DrawAspect="Content" ObjectID="_1519137040" r:id="rId326"/>
        </w:object>
      </w:r>
      <w:r>
        <w:rPr>
          <w:szCs w:val="24"/>
        </w:rPr>
        <w:t xml:space="preserve">. Then, the </w:t>
      </w:r>
      <w:r>
        <w:rPr>
          <w:szCs w:val="24"/>
        </w:rPr>
        <w:lastRenderedPageBreak/>
        <w:t xml:space="preserve">likelihood function corresponding to the consumption quantity vector </w:t>
      </w:r>
      <w:r w:rsidR="00861BB6" w:rsidRPr="006C74CE">
        <w:rPr>
          <w:position w:val="-14"/>
          <w:szCs w:val="24"/>
        </w:rPr>
        <w:object w:dxaOrig="300" w:dyaOrig="400" w14:anchorId="522AF7D9">
          <v:shape id="_x0000_i1192" type="#_x0000_t75" style="width:15pt;height:20.25pt" o:ole="" o:preferrelative="f">
            <v:imagedata r:id="rId327" o:title=""/>
            <o:lock v:ext="edit" aspectratio="f"/>
          </v:shape>
          <o:OLEObject Type="Embed" ProgID="Equation.3" ShapeID="_x0000_i1192" DrawAspect="Content" ObjectID="_1519137041" r:id="rId328"/>
        </w:object>
      </w:r>
      <w:r>
        <w:rPr>
          <w:szCs w:val="24"/>
        </w:rPr>
        <w:t xml:space="preserve"> for consumer </w:t>
      </w:r>
      <w:r w:rsidRPr="007D3692">
        <w:rPr>
          <w:i/>
          <w:szCs w:val="24"/>
        </w:rPr>
        <w:t>q</w:t>
      </w:r>
      <w:r>
        <w:rPr>
          <w:szCs w:val="24"/>
        </w:rPr>
        <w:t xml:space="preserve"> may be obtained from the KKT conditions in Equation (6)</w:t>
      </w:r>
      <w:r w:rsidR="00417F18">
        <w:rPr>
          <w:szCs w:val="24"/>
        </w:rPr>
        <w:t>, provided</w:t>
      </w:r>
      <w:r>
        <w:rPr>
          <w:szCs w:val="24"/>
        </w:rPr>
        <w:t xml:space="preserve"> as</w:t>
      </w:r>
      <w:r w:rsidR="000C3BFE">
        <w:rPr>
          <w:szCs w:val="24"/>
        </w:rPr>
        <w:t xml:space="preserve"> Equation (9)</w:t>
      </w:r>
      <w:r>
        <w:rPr>
          <w:szCs w:val="24"/>
        </w:rPr>
        <w:t>:</w:t>
      </w:r>
    </w:p>
    <w:p w:rsidR="00861BB6" w:rsidRDefault="00413833" w:rsidP="00861BB6">
      <w:pPr>
        <w:tabs>
          <w:tab w:val="right" w:pos="9360"/>
        </w:tabs>
        <w:spacing w:line="360" w:lineRule="auto"/>
        <w:rPr>
          <w:szCs w:val="24"/>
        </w:rPr>
      </w:pPr>
      <w:r w:rsidRPr="007D3692">
        <w:rPr>
          <w:position w:val="-36"/>
          <w:szCs w:val="24"/>
        </w:rPr>
        <w:object w:dxaOrig="5080" w:dyaOrig="800">
          <v:shape id="_x0000_i1193" type="#_x0000_t75" style="width:254.25pt;height:40.5pt;mso-position-vertical:absolute" o:ole="" o:preferrelative="f">
            <v:imagedata r:id="rId329" o:title=""/>
            <o:lock v:ext="edit" aspectratio="f"/>
          </v:shape>
          <o:OLEObject Type="Embed" ProgID="Equation.3" ShapeID="_x0000_i1193" DrawAspect="Content" ObjectID="_1519137042" r:id="rId330"/>
        </w:object>
      </w:r>
      <w:r w:rsidR="00861BB6">
        <w:rPr>
          <w:szCs w:val="24"/>
        </w:rPr>
        <w:t xml:space="preserve"> </w:t>
      </w:r>
      <w:r w:rsidR="00861BB6">
        <w:rPr>
          <w:szCs w:val="24"/>
        </w:rPr>
        <w:tab/>
      </w:r>
      <w:r w:rsidR="00861BB6" w:rsidRPr="00CD5C0D">
        <w:rPr>
          <w:szCs w:val="24"/>
        </w:rPr>
        <w:t>(</w:t>
      </w:r>
      <w:r w:rsidR="00861BB6">
        <w:rPr>
          <w:szCs w:val="24"/>
        </w:rPr>
        <w:t>9</w:t>
      </w:r>
      <w:r w:rsidR="00861BB6" w:rsidRPr="00CD5C0D">
        <w:rPr>
          <w:szCs w:val="24"/>
        </w:rPr>
        <w:t>)</w:t>
      </w:r>
    </w:p>
    <w:p w:rsidR="0008331C" w:rsidRDefault="0008331C" w:rsidP="00966971">
      <w:pPr>
        <w:spacing w:line="360" w:lineRule="auto"/>
        <w:rPr>
          <w:rFonts w:ascii="TimesNewRomanPSMT" w:hAnsi="TimesNewRomanPSMT" w:cs="TimesNewRomanPSMT"/>
          <w:szCs w:val="24"/>
        </w:rPr>
      </w:pPr>
      <w:proofErr w:type="gramStart"/>
      <w:r>
        <w:rPr>
          <w:szCs w:val="24"/>
        </w:rPr>
        <w:t>where</w:t>
      </w:r>
      <w:proofErr w:type="gramEnd"/>
      <w:r>
        <w:rPr>
          <w:szCs w:val="24"/>
        </w:rPr>
        <w:t xml:space="preserve"> </w:t>
      </w:r>
      <w:r w:rsidR="00FA27FE" w:rsidRPr="006C60E2">
        <w:rPr>
          <w:position w:val="-14"/>
        </w:rPr>
        <w:object w:dxaOrig="859" w:dyaOrig="380" w14:anchorId="3A5F3C29">
          <v:shape id="_x0000_i1194" type="#_x0000_t75" style="width:43.5pt;height:18.75pt" o:ole="" o:preferrelative="f">
            <v:imagedata r:id="rId331" o:title=""/>
            <o:lock v:ext="edit" aspectratio="f"/>
          </v:shape>
          <o:OLEObject Type="Embed" ProgID="Equation.3" ShapeID="_x0000_i1194" DrawAspect="Content" ObjectID="_1519137043" r:id="rId332"/>
        </w:object>
      </w:r>
      <w:r w:rsidRPr="00D96A4A">
        <w:rPr>
          <w:rFonts w:ascii="TimesNewRomanPS-ItalicMT" w:hAnsi="TimesNewRomanPS-ItalicMT" w:cs="TimesNewRomanPS-ItalicMT"/>
          <w:iCs/>
          <w:szCs w:val="24"/>
        </w:rPr>
        <w:t xml:space="preserve"> </w:t>
      </w:r>
      <w:r>
        <w:rPr>
          <w:rFonts w:ascii="TimesNewRomanPSMT" w:hAnsi="TimesNewRomanPSMT" w:cs="TimesNewRomanPSMT"/>
          <w:szCs w:val="24"/>
        </w:rPr>
        <w:t xml:space="preserve">is the determinant of the Jacobian of the transformation from </w:t>
      </w:r>
      <w:r w:rsidR="00861BB6" w:rsidRPr="00BB027E">
        <w:rPr>
          <w:position w:val="-14"/>
          <w:szCs w:val="24"/>
        </w:rPr>
        <w:object w:dxaOrig="380" w:dyaOrig="400" w14:anchorId="7293B59A">
          <v:shape id="_x0000_i1195" type="#_x0000_t75" style="width:17.25pt;height:20.25pt" o:ole="" o:preferrelative="f">
            <v:imagedata r:id="rId333" o:title=""/>
            <o:lock v:ext="edit" aspectratio="f"/>
          </v:shape>
          <o:OLEObject Type="Embed" ProgID="Equation.3" ShapeID="_x0000_i1195" DrawAspect="Content" ObjectID="_1519137044" r:id="rId334"/>
        </w:object>
      </w:r>
      <w:r>
        <w:rPr>
          <w:rFonts w:ascii="TimesNewRomanPSMT" w:hAnsi="TimesNewRomanPSMT" w:cs="TimesNewRomanPSMT"/>
          <w:szCs w:val="24"/>
        </w:rPr>
        <w:t xml:space="preserve"> to the consumption quantities </w:t>
      </w:r>
      <w:r w:rsidR="00861BB6" w:rsidRPr="006C74CE">
        <w:rPr>
          <w:position w:val="-14"/>
          <w:szCs w:val="24"/>
        </w:rPr>
        <w:object w:dxaOrig="300" w:dyaOrig="400" w14:anchorId="27AAC471">
          <v:shape id="_x0000_i1196" type="#_x0000_t75" style="width:15pt;height:20.25pt" o:ole="" o:preferrelative="f">
            <v:imagedata r:id="rId335" o:title=""/>
            <o:lock v:ext="edit" aspectratio="f"/>
          </v:shape>
          <o:OLEObject Type="Embed" ProgID="Equation.3" ShapeID="_x0000_i1196" DrawAspect="Content" ObjectID="_1519137045" r:id="rId336"/>
        </w:object>
      </w:r>
      <w:r>
        <w:rPr>
          <w:rFonts w:ascii="TimesNewRomanPSMT" w:hAnsi="TimesNewRomanPSMT" w:cs="TimesNewRomanPSMT"/>
          <w:szCs w:val="24"/>
        </w:rPr>
        <w:t xml:space="preserve"> (see Bhat, 2008)</w:t>
      </w:r>
      <w:r w:rsidR="00166389">
        <w:rPr>
          <w:rFonts w:ascii="TimesNewRomanPSMT" w:hAnsi="TimesNewRomanPSMT" w:cs="TimesNewRomanPSMT"/>
          <w:szCs w:val="24"/>
        </w:rPr>
        <w:t>, as</w:t>
      </w:r>
      <w:r w:rsidR="000C3BFE">
        <w:rPr>
          <w:rFonts w:ascii="TimesNewRomanPSMT" w:hAnsi="TimesNewRomanPSMT" w:cs="TimesNewRomanPSMT"/>
          <w:szCs w:val="24"/>
        </w:rPr>
        <w:t xml:space="preserve"> Equation (10)</w:t>
      </w:r>
      <w:r w:rsidR="00166389">
        <w:rPr>
          <w:rFonts w:ascii="TimesNewRomanPSMT" w:hAnsi="TimesNewRomanPSMT" w:cs="TimesNewRomanPSMT"/>
          <w:szCs w:val="24"/>
        </w:rPr>
        <w:t xml:space="preserve"> indicates</w:t>
      </w:r>
      <w:r>
        <w:rPr>
          <w:rFonts w:ascii="TimesNewRomanPSMT" w:hAnsi="TimesNewRomanPSMT" w:cs="TimesNewRomanPSMT"/>
          <w:szCs w:val="24"/>
        </w:rPr>
        <w:t>:</w:t>
      </w:r>
    </w:p>
    <w:p w:rsidR="00861BB6" w:rsidRDefault="00413833" w:rsidP="00467072">
      <w:pPr>
        <w:tabs>
          <w:tab w:val="right" w:pos="9360"/>
        </w:tabs>
        <w:spacing w:line="360" w:lineRule="auto"/>
        <w:rPr>
          <w:szCs w:val="24"/>
        </w:rPr>
      </w:pPr>
      <w:r w:rsidRPr="000E68EB">
        <w:rPr>
          <w:position w:val="-40"/>
          <w:szCs w:val="24"/>
        </w:rPr>
        <w:object w:dxaOrig="5000" w:dyaOrig="920">
          <v:shape id="_x0000_i1197" type="#_x0000_t75" style="width:249.75pt;height:45.75pt" o:ole="" o:preferrelative="f">
            <v:imagedata r:id="rId337" o:title=""/>
            <o:lock v:ext="edit" aspectratio="f"/>
          </v:shape>
          <o:OLEObject Type="Embed" ProgID="Equation.3" ShapeID="_x0000_i1197" DrawAspect="Content" ObjectID="_1519137046" r:id="rId338"/>
        </w:object>
      </w:r>
      <w:r w:rsidR="00861BB6">
        <w:rPr>
          <w:szCs w:val="24"/>
        </w:rPr>
        <w:t xml:space="preserve"> </w:t>
      </w:r>
      <w:r w:rsidR="00467072">
        <w:rPr>
          <w:szCs w:val="24"/>
        </w:rPr>
        <w:tab/>
      </w:r>
      <w:r w:rsidR="00467072" w:rsidRPr="00804F85">
        <w:rPr>
          <w:szCs w:val="24"/>
        </w:rPr>
        <w:t>(</w:t>
      </w:r>
      <w:r w:rsidR="00467072">
        <w:rPr>
          <w:szCs w:val="24"/>
        </w:rPr>
        <w:t>10</w:t>
      </w:r>
      <w:r w:rsidR="00467072" w:rsidRPr="00804F85">
        <w:rPr>
          <w:szCs w:val="24"/>
        </w:rPr>
        <w:t>)</w:t>
      </w:r>
    </w:p>
    <w:p w:rsidR="0008331C" w:rsidRDefault="0008331C" w:rsidP="00966971">
      <w:pPr>
        <w:spacing w:line="360" w:lineRule="auto"/>
        <w:rPr>
          <w:szCs w:val="24"/>
        </w:rPr>
      </w:pPr>
      <w:proofErr w:type="gramStart"/>
      <w:r>
        <w:rPr>
          <w:szCs w:val="24"/>
        </w:rPr>
        <w:t>where</w:t>
      </w:r>
      <w:proofErr w:type="gramEnd"/>
      <w:r>
        <w:rPr>
          <w:szCs w:val="24"/>
        </w:rPr>
        <w:t xml:space="preserve"> </w:t>
      </w:r>
      <w:r w:rsidR="00467072" w:rsidRPr="006C60E2">
        <w:rPr>
          <w:position w:val="-14"/>
          <w:szCs w:val="24"/>
        </w:rPr>
        <w:object w:dxaOrig="320" w:dyaOrig="380" w14:anchorId="5056B817">
          <v:shape id="_x0000_i1198" type="#_x0000_t75" style="width:15.75pt;height:17.25pt" o:ole="" o:preferrelative="f">
            <v:imagedata r:id="rId339" o:title=""/>
            <o:lock v:ext="edit" aspectratio="f"/>
          </v:shape>
          <o:OLEObject Type="Embed" ProgID="Equation.3" ShapeID="_x0000_i1198" DrawAspect="Content" ObjectID="_1519137047" r:id="rId340"/>
        </w:object>
      </w:r>
      <w:r>
        <w:rPr>
          <w:szCs w:val="24"/>
        </w:rPr>
        <w:t xml:space="preserve"> is the set of goods consumed by consumer</w:t>
      </w:r>
      <w:r w:rsidRPr="007D3692">
        <w:rPr>
          <w:szCs w:val="24"/>
        </w:rPr>
        <w:t xml:space="preserve"> </w:t>
      </w:r>
      <w:r w:rsidRPr="007D3692">
        <w:rPr>
          <w:i/>
          <w:szCs w:val="24"/>
        </w:rPr>
        <w:t>q</w:t>
      </w:r>
      <w:r>
        <w:rPr>
          <w:szCs w:val="24"/>
        </w:rPr>
        <w:t xml:space="preserve"> </w:t>
      </w:r>
      <w:r w:rsidRPr="007D3692">
        <w:rPr>
          <w:szCs w:val="24"/>
        </w:rPr>
        <w:t xml:space="preserve">(including good </w:t>
      </w:r>
      <w:r w:rsidR="00467072" w:rsidRPr="00FC3E9B">
        <w:rPr>
          <w:position w:val="-14"/>
          <w:szCs w:val="24"/>
        </w:rPr>
        <w:object w:dxaOrig="320" w:dyaOrig="380" w14:anchorId="29E13821">
          <v:shape id="_x0000_i1199" type="#_x0000_t75" style="width:15.75pt;height:17.25pt" o:ole="" o:preferrelative="f">
            <v:imagedata r:id="rId341" o:title=""/>
            <o:lock v:ext="edit" aspectratio="f"/>
          </v:shape>
          <o:OLEObject Type="Embed" ProgID="Equation.3" ShapeID="_x0000_i1199" DrawAspect="Content" ObjectID="_1519137048" r:id="rId342"/>
        </w:object>
      </w:r>
      <w:r w:rsidRPr="007D3692">
        <w:rPr>
          <w:szCs w:val="24"/>
        </w:rPr>
        <w:t>)</w:t>
      </w:r>
      <w:r>
        <w:rPr>
          <w:szCs w:val="24"/>
        </w:rPr>
        <w:t>.</w:t>
      </w:r>
    </w:p>
    <w:p w:rsidR="0008331C" w:rsidRDefault="0008331C" w:rsidP="00966971">
      <w:pPr>
        <w:spacing w:line="360" w:lineRule="auto"/>
        <w:ind w:firstLine="720"/>
        <w:rPr>
          <w:szCs w:val="24"/>
        </w:rPr>
      </w:pPr>
      <w:r>
        <w:rPr>
          <w:szCs w:val="24"/>
        </w:rPr>
        <w:t>Using the marginal and conditional distribution properties of the multivariate normal distribution, the above likelihood function can be written as</w:t>
      </w:r>
      <w:r w:rsidR="000C3BFE">
        <w:rPr>
          <w:szCs w:val="24"/>
        </w:rPr>
        <w:t xml:space="preserve"> shown in Equation (11)</w:t>
      </w:r>
      <w:r>
        <w:rPr>
          <w:szCs w:val="24"/>
        </w:rPr>
        <w:t>:</w:t>
      </w:r>
    </w:p>
    <w:p w:rsidR="00320DF9" w:rsidRDefault="00413833" w:rsidP="00320DF9">
      <w:pPr>
        <w:tabs>
          <w:tab w:val="right" w:pos="9360"/>
        </w:tabs>
        <w:spacing w:line="360" w:lineRule="auto"/>
        <w:rPr>
          <w:szCs w:val="24"/>
        </w:rPr>
      </w:pPr>
      <w:r w:rsidRPr="00320DF9">
        <w:rPr>
          <w:position w:val="-60"/>
          <w:szCs w:val="24"/>
        </w:rPr>
        <w:object w:dxaOrig="8620" w:dyaOrig="1320">
          <v:shape id="_x0000_i1200" type="#_x0000_t75" style="width:431.25pt;height:66pt" o:ole="" o:preferrelative="f">
            <v:imagedata r:id="rId343" o:title=""/>
            <o:lock v:ext="edit" aspectratio="f"/>
          </v:shape>
          <o:OLEObject Type="Embed" ProgID="Equation.3" ShapeID="_x0000_i1200" DrawAspect="Content" ObjectID="_1519137049" r:id="rId344"/>
        </w:object>
      </w:r>
      <w:r w:rsidR="00320DF9">
        <w:rPr>
          <w:szCs w:val="24"/>
        </w:rPr>
        <w:t xml:space="preserve"> </w:t>
      </w:r>
      <w:r w:rsidR="00320DF9">
        <w:rPr>
          <w:szCs w:val="24"/>
        </w:rPr>
        <w:tab/>
        <w:t>(11)</w:t>
      </w:r>
    </w:p>
    <w:p w:rsidR="0008331C" w:rsidRDefault="00986B71" w:rsidP="00966971">
      <w:pPr>
        <w:spacing w:line="360" w:lineRule="auto"/>
        <w:rPr>
          <w:szCs w:val="24"/>
        </w:rPr>
      </w:pPr>
      <w:proofErr w:type="gramStart"/>
      <w:r>
        <w:rPr>
          <w:szCs w:val="24"/>
        </w:rPr>
        <w:t>where</w:t>
      </w:r>
      <w:proofErr w:type="gramEnd"/>
      <w:r w:rsidR="00413833" w:rsidRPr="001C74FA">
        <w:rPr>
          <w:position w:val="-14"/>
          <w:szCs w:val="24"/>
        </w:rPr>
        <w:object w:dxaOrig="4459" w:dyaOrig="420" w14:anchorId="265B5684">
          <v:shape id="_x0000_i1201" type="#_x0000_t75" style="width:223.5pt;height:21pt" o:ole="" o:preferrelative="f">
            <v:imagedata r:id="rId345" o:title=""/>
            <o:lock v:ext="edit" aspectratio="f"/>
          </v:shape>
          <o:OLEObject Type="Embed" ProgID="Equation.3" ShapeID="_x0000_i1201" DrawAspect="Content" ObjectID="_1519137050" r:id="rId346"/>
        </w:object>
      </w:r>
      <w:r>
        <w:rPr>
          <w:szCs w:val="24"/>
        </w:rPr>
        <w:t>,</w:t>
      </w:r>
      <w:r w:rsidR="00C90A8E" w:rsidRPr="00A43A3B">
        <w:rPr>
          <w:position w:val="-20"/>
          <w:szCs w:val="24"/>
        </w:rPr>
        <w:object w:dxaOrig="2520" w:dyaOrig="480">
          <v:shape id="_x0000_i1202" type="#_x0000_t75" style="width:126.75pt;height:24pt" o:ole="" o:preferrelative="f">
            <v:imagedata r:id="rId347" o:title=""/>
            <o:lock v:ext="edit" aspectratio="f"/>
          </v:shape>
          <o:OLEObject Type="Embed" ProgID="Equation.3" ShapeID="_x0000_i1202" DrawAspect="Content" ObjectID="_1519137051" r:id="rId348"/>
        </w:object>
      </w:r>
      <w:r>
        <w:rPr>
          <w:szCs w:val="24"/>
        </w:rPr>
        <w:t>,</w:t>
      </w:r>
      <w:r w:rsidRPr="001C74FA">
        <w:rPr>
          <w:position w:val="-14"/>
          <w:szCs w:val="24"/>
        </w:rPr>
        <w:object w:dxaOrig="4340" w:dyaOrig="420" w14:anchorId="1912C1D3">
          <v:shape id="_x0000_i1203" type="#_x0000_t75" style="width:217.5pt;height:20.25pt" o:ole="" o:preferrelative="f">
            <v:imagedata r:id="rId349" o:title=""/>
            <o:lock v:ext="edit" aspectratio="f"/>
          </v:shape>
          <o:OLEObject Type="Embed" ProgID="Equation.3" ShapeID="_x0000_i1203" DrawAspect="Content" ObjectID="_1519137052" r:id="rId350"/>
        </w:object>
      </w:r>
      <w:r>
        <w:rPr>
          <w:szCs w:val="24"/>
        </w:rPr>
        <w:t>,</w:t>
      </w:r>
      <w:r w:rsidR="0008331C">
        <w:rPr>
          <w:szCs w:val="24"/>
        </w:rPr>
        <w:t xml:space="preserve"> </w:t>
      </w:r>
      <w:r w:rsidRPr="00646F58">
        <w:rPr>
          <w:position w:val="-18"/>
          <w:szCs w:val="24"/>
        </w:rPr>
        <w:object w:dxaOrig="2900" w:dyaOrig="460" w14:anchorId="164EAE00">
          <v:shape id="_x0000_i1204" type="#_x0000_t75" style="width:145.5pt;height:24pt" o:ole="" o:preferrelative="f">
            <v:imagedata r:id="rId351" o:title=""/>
            <o:lock v:ext="edit" aspectratio="f"/>
          </v:shape>
          <o:OLEObject Type="Embed" ProgID="Equation.3" ShapeID="_x0000_i1204" DrawAspect="Content" ObjectID="_1519137053" r:id="rId352"/>
        </w:object>
      </w:r>
      <w:r w:rsidR="0041704A">
        <w:rPr>
          <w:szCs w:val="24"/>
        </w:rPr>
        <w:t>, and</w:t>
      </w:r>
      <w:r w:rsidR="00C90A8E">
        <w:rPr>
          <w:szCs w:val="24"/>
        </w:rPr>
        <w:t xml:space="preserve"> </w:t>
      </w:r>
      <w:r w:rsidR="00C90A8E" w:rsidRPr="00C90A8E">
        <w:rPr>
          <w:position w:val="-10"/>
        </w:rPr>
        <w:object w:dxaOrig="360" w:dyaOrig="340">
          <v:shape id="_x0000_i1205" type="#_x0000_t75" style="width:18.75pt;height:17.25pt" o:ole="">
            <v:imagedata r:id="rId353" o:title=""/>
          </v:shape>
          <o:OLEObject Type="Embed" ProgID="Equation.3" ShapeID="_x0000_i1205" DrawAspect="Content" ObjectID="_1519137054" r:id="rId354"/>
        </w:object>
      </w:r>
      <w:r w:rsidR="0041704A">
        <w:rPr>
          <w:szCs w:val="24"/>
        </w:rPr>
        <w:t xml:space="preserve"> represents the diagonal matrix of standard errors corresponding to matrix</w:t>
      </w:r>
      <w:r w:rsidR="00C90A8E">
        <w:rPr>
          <w:szCs w:val="24"/>
        </w:rPr>
        <w:t xml:space="preserve"> </w:t>
      </w:r>
      <w:r w:rsidR="00C90A8E" w:rsidRPr="00C90A8E">
        <w:rPr>
          <w:position w:val="-4"/>
        </w:rPr>
        <w:object w:dxaOrig="220" w:dyaOrig="260">
          <v:shape id="_x0000_i1206" type="#_x0000_t75" style="width:11.25pt;height:12.75pt" o:ole="">
            <v:imagedata r:id="rId355" o:title=""/>
          </v:shape>
          <o:OLEObject Type="Embed" ProgID="Equation.3" ShapeID="_x0000_i1206" DrawAspect="Content" ObjectID="_1519137055" r:id="rId356"/>
        </w:object>
      </w:r>
      <w:r w:rsidR="0008331C">
        <w:rPr>
          <w:szCs w:val="24"/>
        </w:rPr>
        <w:t>.</w:t>
      </w:r>
    </w:p>
    <w:p w:rsidR="0008331C" w:rsidRDefault="0008331C" w:rsidP="00A3732E">
      <w:pPr>
        <w:spacing w:line="360" w:lineRule="auto"/>
        <w:ind w:firstLine="720"/>
        <w:rPr>
          <w:szCs w:val="24"/>
        </w:rPr>
      </w:pPr>
      <w:r>
        <w:rPr>
          <w:szCs w:val="24"/>
        </w:rPr>
        <w:t>T</w:t>
      </w:r>
      <w:r w:rsidRPr="00987197">
        <w:rPr>
          <w:szCs w:val="24"/>
        </w:rPr>
        <w:t>hen</w:t>
      </w:r>
      <w:r w:rsidR="008421F3">
        <w:rPr>
          <w:szCs w:val="24"/>
        </w:rPr>
        <w:t xml:space="preserve">, </w:t>
      </w:r>
      <w:r w:rsidRPr="00987197">
        <w:rPr>
          <w:szCs w:val="24"/>
        </w:rPr>
        <w:t xml:space="preserve">the likelihood function for observation </w:t>
      </w:r>
      <w:r w:rsidRPr="00987197">
        <w:rPr>
          <w:i/>
          <w:szCs w:val="24"/>
        </w:rPr>
        <w:t>q</w:t>
      </w:r>
      <w:r w:rsidRPr="00987197">
        <w:rPr>
          <w:szCs w:val="24"/>
        </w:rPr>
        <w:t xml:space="preserve"> </w:t>
      </w:r>
      <w:r w:rsidR="008421F3">
        <w:rPr>
          <w:szCs w:val="24"/>
        </w:rPr>
        <w:t>i</w:t>
      </w:r>
      <w:r w:rsidRPr="00987197">
        <w:rPr>
          <w:szCs w:val="24"/>
        </w:rPr>
        <w:t>s:</w:t>
      </w:r>
    </w:p>
    <w:p w:rsidR="00A3732E" w:rsidRDefault="00FA27FE" w:rsidP="00A3732E">
      <w:pPr>
        <w:tabs>
          <w:tab w:val="right" w:pos="9360"/>
        </w:tabs>
        <w:spacing w:line="360" w:lineRule="auto"/>
        <w:rPr>
          <w:szCs w:val="24"/>
        </w:rPr>
      </w:pPr>
      <w:r w:rsidRPr="0000215C">
        <w:rPr>
          <w:position w:val="-30"/>
          <w:szCs w:val="24"/>
        </w:rPr>
        <w:object w:dxaOrig="2100" w:dyaOrig="700">
          <v:shape id="_x0000_i1207" type="#_x0000_t75" style="width:105pt;height:35.25pt" o:ole="" o:preferrelative="f">
            <v:imagedata r:id="rId357" o:title=""/>
            <o:lock v:ext="edit" aspectratio="f"/>
          </v:shape>
          <o:OLEObject Type="Embed" ProgID="Equation.3" ShapeID="_x0000_i1207" DrawAspect="Content" ObjectID="_1519137056" r:id="rId358"/>
        </w:object>
      </w:r>
      <w:r w:rsidR="00A3732E">
        <w:rPr>
          <w:szCs w:val="24"/>
        </w:rPr>
        <w:t xml:space="preserve"> </w:t>
      </w:r>
      <w:r w:rsidR="00A3732E">
        <w:rPr>
          <w:szCs w:val="24"/>
        </w:rPr>
        <w:tab/>
      </w:r>
      <w:r w:rsidR="00A3732E" w:rsidRPr="0000215C">
        <w:rPr>
          <w:szCs w:val="24"/>
        </w:rPr>
        <w:t>(1</w:t>
      </w:r>
      <w:r w:rsidR="00A3732E">
        <w:rPr>
          <w:szCs w:val="24"/>
        </w:rPr>
        <w:t>2</w:t>
      </w:r>
      <w:r w:rsidR="00A3732E" w:rsidRPr="0000215C">
        <w:rPr>
          <w:szCs w:val="24"/>
        </w:rPr>
        <w:t>)</w:t>
      </w:r>
    </w:p>
    <w:p w:rsidR="00A3732E" w:rsidRDefault="008421F3" w:rsidP="008421F3">
      <w:pPr>
        <w:spacing w:line="360" w:lineRule="auto"/>
        <w:rPr>
          <w:szCs w:val="24"/>
        </w:rPr>
      </w:pPr>
      <w:proofErr w:type="gramStart"/>
      <w:r>
        <w:rPr>
          <w:szCs w:val="24"/>
        </w:rPr>
        <w:t>and</w:t>
      </w:r>
      <w:proofErr w:type="gramEnd"/>
      <w:r>
        <w:rPr>
          <w:szCs w:val="24"/>
        </w:rPr>
        <w:t xml:space="preserve"> t</w:t>
      </w:r>
      <w:r w:rsidR="0008331C" w:rsidRPr="0000215C">
        <w:rPr>
          <w:szCs w:val="24"/>
        </w:rPr>
        <w:t>he likelihood function is then given</w:t>
      </w:r>
      <w:r w:rsidR="00A3732E">
        <w:rPr>
          <w:szCs w:val="24"/>
        </w:rPr>
        <w:t xml:space="preserve"> as:</w:t>
      </w:r>
    </w:p>
    <w:p w:rsidR="0008331C" w:rsidRPr="0000215C" w:rsidRDefault="00413833" w:rsidP="00A3732E">
      <w:pPr>
        <w:tabs>
          <w:tab w:val="right" w:pos="9360"/>
        </w:tabs>
        <w:spacing w:line="360" w:lineRule="auto"/>
        <w:rPr>
          <w:szCs w:val="24"/>
        </w:rPr>
      </w:pPr>
      <w:r w:rsidRPr="00A3732E">
        <w:rPr>
          <w:position w:val="-32"/>
          <w:szCs w:val="24"/>
        </w:rPr>
        <w:object w:dxaOrig="1660" w:dyaOrig="580">
          <v:shape id="_x0000_i1208" type="#_x0000_t75" style="width:83.25pt;height:28.5pt" o:ole="" o:preferrelative="f">
            <v:imagedata r:id="rId359" o:title=""/>
            <o:lock v:ext="edit" aspectratio="f"/>
          </v:shape>
          <o:OLEObject Type="Embed" ProgID="Equation.3" ShapeID="_x0000_i1208" DrawAspect="Content" ObjectID="_1519137057" r:id="rId360"/>
        </w:object>
      </w:r>
      <w:r w:rsidR="0008331C" w:rsidRPr="0000215C">
        <w:rPr>
          <w:szCs w:val="24"/>
        </w:rPr>
        <w:t xml:space="preserve"> </w:t>
      </w:r>
      <w:r w:rsidR="00A3732E">
        <w:rPr>
          <w:szCs w:val="24"/>
        </w:rPr>
        <w:t xml:space="preserve"> </w:t>
      </w:r>
      <w:r w:rsidR="00A3732E">
        <w:rPr>
          <w:szCs w:val="24"/>
        </w:rPr>
        <w:tab/>
      </w:r>
      <w:r w:rsidR="00A3732E" w:rsidRPr="0000215C">
        <w:rPr>
          <w:szCs w:val="24"/>
        </w:rPr>
        <w:t>(1</w:t>
      </w:r>
      <w:r w:rsidR="00A3732E">
        <w:rPr>
          <w:szCs w:val="24"/>
        </w:rPr>
        <w:t>3</w:t>
      </w:r>
      <w:r w:rsidR="00A3732E" w:rsidRPr="0000215C">
        <w:rPr>
          <w:szCs w:val="24"/>
        </w:rPr>
        <w:t>)</w:t>
      </w:r>
    </w:p>
    <w:p w:rsidR="0008331C" w:rsidRDefault="0008331C" w:rsidP="00966971">
      <w:pPr>
        <w:spacing w:line="360" w:lineRule="auto"/>
        <w:ind w:firstLine="720"/>
        <w:rPr>
          <w:szCs w:val="24"/>
        </w:rPr>
      </w:pPr>
      <w:r w:rsidRPr="004A4B45">
        <w:rPr>
          <w:szCs w:val="24"/>
        </w:rPr>
        <w:t>The multivariate normal cumulative distribution (MVNCD) function in Equation (1</w:t>
      </w:r>
      <w:r w:rsidR="00451361">
        <w:rPr>
          <w:szCs w:val="24"/>
        </w:rPr>
        <w:t>1</w:t>
      </w:r>
      <w:r w:rsidRPr="004A4B45">
        <w:rPr>
          <w:szCs w:val="24"/>
        </w:rPr>
        <w:t xml:space="preserve">) is of </w:t>
      </w:r>
      <w:proofErr w:type="gramStart"/>
      <w:r w:rsidRPr="004A4B45">
        <w:rPr>
          <w:szCs w:val="24"/>
        </w:rPr>
        <w:t xml:space="preserve">dimension </w:t>
      </w:r>
      <w:proofErr w:type="gramEnd"/>
      <w:r w:rsidR="00FA27FE" w:rsidRPr="004A4B45">
        <w:rPr>
          <w:position w:val="-14"/>
          <w:szCs w:val="24"/>
        </w:rPr>
        <w:object w:dxaOrig="540" w:dyaOrig="380" w14:anchorId="65A61740">
          <v:shape id="_x0000_i1209" type="#_x0000_t75" style="width:27pt;height:18.75pt" o:ole="" o:preferrelative="f">
            <v:imagedata r:id="rId361" o:title=""/>
            <o:lock v:ext="edit" aspectratio="f"/>
          </v:shape>
          <o:OLEObject Type="Embed" ProgID="Equation.3" ShapeID="_x0000_i1209" DrawAspect="Content" ObjectID="_1519137058" r:id="rId362"/>
        </w:object>
      </w:r>
      <w:r w:rsidRPr="004A4B45">
        <w:rPr>
          <w:szCs w:val="24"/>
        </w:rPr>
        <w:t>, which can have a dimensionality of up to (</w:t>
      </w:r>
      <w:r w:rsidRPr="004A4B45">
        <w:rPr>
          <w:i/>
          <w:szCs w:val="24"/>
        </w:rPr>
        <w:t>K</w:t>
      </w:r>
      <w:r w:rsidRPr="004A4B45">
        <w:rPr>
          <w:szCs w:val="24"/>
        </w:rPr>
        <w:t xml:space="preserve">–1). As indicated in Section 1, typical simulation-based methods to approximate this MVNCD function can </w:t>
      </w:r>
      <w:r w:rsidR="003D3C1B" w:rsidRPr="004A4B45">
        <w:rPr>
          <w:szCs w:val="24"/>
        </w:rPr>
        <w:t xml:space="preserve">become </w:t>
      </w:r>
      <w:r w:rsidRPr="004A4B45">
        <w:rPr>
          <w:szCs w:val="24"/>
        </w:rPr>
        <w:t xml:space="preserve">inaccurate and time-consuming as </w:t>
      </w:r>
      <w:r w:rsidRPr="004A4B45">
        <w:rPr>
          <w:i/>
          <w:szCs w:val="24"/>
        </w:rPr>
        <w:t>K</w:t>
      </w:r>
      <w:r w:rsidRPr="004A4B45">
        <w:rPr>
          <w:szCs w:val="24"/>
        </w:rPr>
        <w:t xml:space="preserve"> increases. An alternative is to use the MACML approach (Bhat, 2011), </w:t>
      </w:r>
      <w:r w:rsidRPr="004A4B45">
        <w:rPr>
          <w:szCs w:val="24"/>
        </w:rPr>
        <w:lastRenderedPageBreak/>
        <w:t>in which the multiple integrals are evaluated using a fast analytic approximation method</w:t>
      </w:r>
      <w:r w:rsidR="00EB18A3">
        <w:rPr>
          <w:szCs w:val="24"/>
        </w:rPr>
        <w:t>.</w:t>
      </w:r>
      <w:r w:rsidR="00451361">
        <w:rPr>
          <w:rStyle w:val="FootnoteReference"/>
          <w:szCs w:val="24"/>
        </w:rPr>
        <w:footnoteReference w:id="5"/>
      </w:r>
      <w:r w:rsidR="00EB18A3" w:rsidRPr="004A4B45">
        <w:rPr>
          <w:szCs w:val="24"/>
        </w:rPr>
        <w:t xml:space="preserve"> </w:t>
      </w:r>
      <w:r w:rsidRPr="004A4B45">
        <w:rPr>
          <w:szCs w:val="24"/>
        </w:rPr>
        <w:t>The MACML estimator is based solely on univariate and bivariate cumulative normal distribution evaluations, regardless of the dimensionality of integration, which considerably reduces computation time compared to other simulation techniques</w:t>
      </w:r>
      <w:r w:rsidR="00D92F19" w:rsidRPr="004A4B45">
        <w:rPr>
          <w:szCs w:val="24"/>
        </w:rPr>
        <w:t xml:space="preserve"> used</w:t>
      </w:r>
      <w:r w:rsidRPr="004A4B45">
        <w:rPr>
          <w:szCs w:val="24"/>
        </w:rPr>
        <w:t xml:space="preserve"> to evaluate multidimensional integrals (see Bhat </w:t>
      </w:r>
      <w:r w:rsidR="000C5BB0" w:rsidRPr="00320DF9">
        <w:rPr>
          <w:i/>
          <w:szCs w:val="24"/>
        </w:rPr>
        <w:t>et al</w:t>
      </w:r>
      <w:r w:rsidR="00624EC4">
        <w:rPr>
          <w:szCs w:val="24"/>
        </w:rPr>
        <w:t>.</w:t>
      </w:r>
      <w:r w:rsidR="00D92F19" w:rsidRPr="004A4B45">
        <w:rPr>
          <w:szCs w:val="24"/>
        </w:rPr>
        <w:t>,</w:t>
      </w:r>
      <w:r w:rsidRPr="004A4B45">
        <w:rPr>
          <w:szCs w:val="24"/>
        </w:rPr>
        <w:t xml:space="preserve"> </w:t>
      </w:r>
      <w:r w:rsidR="00624EC4">
        <w:rPr>
          <w:szCs w:val="24"/>
        </w:rPr>
        <w:t>201</w:t>
      </w:r>
      <w:r w:rsidR="00DD258D">
        <w:rPr>
          <w:szCs w:val="24"/>
        </w:rPr>
        <w:t>3</w:t>
      </w:r>
      <w:r w:rsidR="00624EC4">
        <w:rPr>
          <w:szCs w:val="24"/>
        </w:rPr>
        <w:t xml:space="preserve"> </w:t>
      </w:r>
      <w:r w:rsidRPr="004A4B45">
        <w:rPr>
          <w:szCs w:val="24"/>
        </w:rPr>
        <w:t>for an extended simulation analysis of the ability of the MACML method to recover parameters</w:t>
      </w:r>
      <w:r w:rsidR="000C5BB0">
        <w:rPr>
          <w:szCs w:val="24"/>
        </w:rPr>
        <w:t xml:space="preserve"> in the simple MDCP model</w:t>
      </w:r>
      <w:r w:rsidRPr="004A4B45">
        <w:rPr>
          <w:szCs w:val="24"/>
        </w:rPr>
        <w:t xml:space="preserve">). </w:t>
      </w:r>
    </w:p>
    <w:p w:rsidR="00A43422" w:rsidRDefault="00D92F19" w:rsidP="00413833">
      <w:pPr>
        <w:spacing w:line="360" w:lineRule="auto"/>
        <w:ind w:firstLine="720"/>
        <w:rPr>
          <w:szCs w:val="24"/>
        </w:rPr>
      </w:pPr>
      <w:r>
        <w:rPr>
          <w:szCs w:val="24"/>
        </w:rPr>
        <w:t>O</w:t>
      </w:r>
      <w:r w:rsidR="0008331C" w:rsidRPr="00E57471">
        <w:rPr>
          <w:szCs w:val="24"/>
        </w:rPr>
        <w:t>ne very important issue still needs to be dealt with</w:t>
      </w:r>
      <w:r>
        <w:rPr>
          <w:szCs w:val="24"/>
        </w:rPr>
        <w:t>:</w:t>
      </w:r>
      <w:r w:rsidRPr="00E57471">
        <w:rPr>
          <w:szCs w:val="24"/>
        </w:rPr>
        <w:t xml:space="preserve"> </w:t>
      </w:r>
      <w:r w:rsidR="0008331C" w:rsidRPr="00E57471">
        <w:rPr>
          <w:szCs w:val="24"/>
        </w:rPr>
        <w:t xml:space="preserve">the positive definiteness of </w:t>
      </w:r>
      <w:r w:rsidR="0008331C">
        <w:rPr>
          <w:szCs w:val="24"/>
        </w:rPr>
        <w:t xml:space="preserve">covariance </w:t>
      </w:r>
      <w:r w:rsidR="0008331C" w:rsidRPr="00E57471">
        <w:rPr>
          <w:szCs w:val="24"/>
        </w:rPr>
        <w:t>matrices. The</w:t>
      </w:r>
      <w:r w:rsidR="0008331C" w:rsidRPr="00FB03EE">
        <w:rPr>
          <w:szCs w:val="24"/>
        </w:rPr>
        <w:t xml:space="preserve"> positive-definiteness of </w:t>
      </w:r>
      <w:r w:rsidR="00AC5778" w:rsidRPr="00FB03EE">
        <w:rPr>
          <w:position w:val="-14"/>
          <w:szCs w:val="24"/>
        </w:rPr>
        <w:object w:dxaOrig="440" w:dyaOrig="420" w14:anchorId="2FD6E57E">
          <v:shape id="_x0000_i1210" type="#_x0000_t75" style="width:22.5pt;height:20.25pt" o:ole="" o:preferrelative="f">
            <v:imagedata r:id="rId363" o:title=""/>
            <o:lock v:ext="edit" aspectratio="f"/>
          </v:shape>
          <o:OLEObject Type="Embed" ProgID="Equation.3" ShapeID="_x0000_i1210" DrawAspect="Content" ObjectID="_1519137059" r:id="rId364"/>
        </w:object>
      </w:r>
      <w:r w:rsidR="0008331C" w:rsidRPr="00FB03EE">
        <w:rPr>
          <w:szCs w:val="24"/>
        </w:rPr>
        <w:t xml:space="preserve"> in the likelihood function can be ensured by </w:t>
      </w:r>
      <w:r w:rsidR="00C964A9">
        <w:rPr>
          <w:szCs w:val="24"/>
        </w:rPr>
        <w:t xml:space="preserve">applying a </w:t>
      </w:r>
      <w:proofErr w:type="spellStart"/>
      <w:r w:rsidR="0008331C" w:rsidRPr="00FB03EE">
        <w:rPr>
          <w:szCs w:val="24"/>
        </w:rPr>
        <w:t>Cholesky</w:t>
      </w:r>
      <w:proofErr w:type="spellEnd"/>
      <w:r w:rsidR="00F6425C">
        <w:rPr>
          <w:szCs w:val="24"/>
        </w:rPr>
        <w:t xml:space="preserve"> </w:t>
      </w:r>
      <w:r w:rsidR="0008331C" w:rsidRPr="00FB03EE">
        <w:rPr>
          <w:szCs w:val="24"/>
        </w:rPr>
        <w:t xml:space="preserve">decomposition </w:t>
      </w:r>
      <w:r w:rsidR="00C964A9">
        <w:rPr>
          <w:szCs w:val="24"/>
        </w:rPr>
        <w:t xml:space="preserve">to </w:t>
      </w:r>
      <w:r w:rsidR="0008331C" w:rsidRPr="00FB03EE">
        <w:rPr>
          <w:szCs w:val="24"/>
        </w:rPr>
        <w:t>the</w:t>
      </w:r>
      <w:r w:rsidR="00A11DF3">
        <w:rPr>
          <w:szCs w:val="24"/>
        </w:rPr>
        <w:t xml:space="preserve"> matrices</w:t>
      </w:r>
      <w:r w:rsidR="0008331C" w:rsidRPr="00FB03EE">
        <w:rPr>
          <w:szCs w:val="24"/>
        </w:rPr>
        <w:t xml:space="preserve"> </w:t>
      </w:r>
      <w:r w:rsidR="00A3732E" w:rsidRPr="00A11DF3">
        <w:rPr>
          <w:position w:val="-14"/>
          <w:szCs w:val="24"/>
        </w:rPr>
        <w:object w:dxaOrig="380" w:dyaOrig="380" w14:anchorId="622ED42F">
          <v:shape id="_x0000_i1211" type="#_x0000_t75" style="width:17.25pt;height:17.25pt" o:ole="" o:preferrelative="f">
            <v:imagedata r:id="rId365" o:title=""/>
            <o:lock v:ext="edit" aspectratio="f"/>
          </v:shape>
          <o:OLEObject Type="Embed" ProgID="Equation.3" ShapeID="_x0000_i1211" DrawAspect="Content" ObjectID="_1519137060" r:id="rId366"/>
        </w:object>
      </w:r>
      <w:r w:rsidR="00A11DF3">
        <w:rPr>
          <w:szCs w:val="24"/>
        </w:rPr>
        <w:t>(</w:t>
      </w:r>
      <w:r w:rsidR="00A11DF3">
        <w:rPr>
          <w:i/>
          <w:szCs w:val="24"/>
        </w:rPr>
        <w:t>g</w:t>
      </w:r>
      <w:r w:rsidR="00A3732E">
        <w:rPr>
          <w:szCs w:val="24"/>
        </w:rPr>
        <w:t xml:space="preserve"> = 1, 2</w:t>
      </w:r>
      <w:proofErr w:type="gramStart"/>
      <w:r w:rsidR="00A3732E">
        <w:rPr>
          <w:szCs w:val="24"/>
        </w:rPr>
        <w:t>,</w:t>
      </w:r>
      <w:r w:rsidR="00A11DF3">
        <w:rPr>
          <w:szCs w:val="24"/>
        </w:rPr>
        <w:t>…,</w:t>
      </w:r>
      <w:proofErr w:type="gramEnd"/>
      <w:r w:rsidR="00A11DF3">
        <w:rPr>
          <w:szCs w:val="24"/>
        </w:rPr>
        <w:t xml:space="preserve"> </w:t>
      </w:r>
      <w:r w:rsidR="00A11DF3">
        <w:rPr>
          <w:i/>
          <w:szCs w:val="24"/>
        </w:rPr>
        <w:t>G</w:t>
      </w:r>
      <w:r w:rsidR="00A11DF3">
        <w:rPr>
          <w:szCs w:val="24"/>
        </w:rPr>
        <w:t>)</w:t>
      </w:r>
      <w:r w:rsidR="0008331C" w:rsidRPr="00FB03EE">
        <w:rPr>
          <w:szCs w:val="24"/>
        </w:rPr>
        <w:t xml:space="preserve">, and estimating these </w:t>
      </w:r>
      <w:proofErr w:type="spellStart"/>
      <w:r w:rsidR="0008331C" w:rsidRPr="00FB03EE">
        <w:rPr>
          <w:szCs w:val="24"/>
        </w:rPr>
        <w:t>Cholesky</w:t>
      </w:r>
      <w:proofErr w:type="spellEnd"/>
      <w:r w:rsidR="0008331C" w:rsidRPr="00FB03EE">
        <w:rPr>
          <w:szCs w:val="24"/>
        </w:rPr>
        <w:t>-decomposed parameters</w:t>
      </w:r>
      <w:r w:rsidR="0008331C">
        <w:rPr>
          <w:szCs w:val="24"/>
        </w:rPr>
        <w:t>.</w:t>
      </w:r>
      <w:r w:rsidR="00C90A8E">
        <w:rPr>
          <w:rStyle w:val="FootnoteReference"/>
          <w:szCs w:val="24"/>
        </w:rPr>
        <w:footnoteReference w:id="6"/>
      </w:r>
    </w:p>
    <w:p w:rsidR="00726FED" w:rsidRDefault="00726FED" w:rsidP="00413833">
      <w:pPr>
        <w:spacing w:line="360" w:lineRule="auto"/>
        <w:ind w:firstLine="720"/>
        <w:rPr>
          <w:szCs w:val="24"/>
        </w:rPr>
      </w:pPr>
    </w:p>
    <w:p w:rsidR="0008331C" w:rsidRPr="00FD53C4" w:rsidRDefault="0008331C" w:rsidP="00966971">
      <w:pPr>
        <w:spacing w:line="360" w:lineRule="auto"/>
        <w:rPr>
          <w:b/>
          <w:caps/>
          <w:szCs w:val="24"/>
        </w:rPr>
      </w:pPr>
      <w:r>
        <w:rPr>
          <w:b/>
          <w:caps/>
          <w:szCs w:val="24"/>
        </w:rPr>
        <w:t>3. Simulation Evaluation</w:t>
      </w:r>
    </w:p>
    <w:p w:rsidR="0008331C" w:rsidRDefault="0008331C" w:rsidP="00966971">
      <w:pPr>
        <w:spacing w:line="360" w:lineRule="auto"/>
        <w:rPr>
          <w:szCs w:val="24"/>
        </w:rPr>
      </w:pPr>
      <w:r>
        <w:rPr>
          <w:szCs w:val="24"/>
        </w:rPr>
        <w:t>The simulation exercises undertaken in this section examine the ability of the MACML estimator to recover parameters from finite samples in a</w:t>
      </w:r>
      <w:r w:rsidR="00E10104">
        <w:rPr>
          <w:szCs w:val="24"/>
        </w:rPr>
        <w:t>n</w:t>
      </w:r>
      <w:r>
        <w:rPr>
          <w:szCs w:val="24"/>
        </w:rPr>
        <w:t xml:space="preserve"> </w:t>
      </w:r>
      <w:r w:rsidR="00575CD1">
        <w:rPr>
          <w:szCs w:val="24"/>
        </w:rPr>
        <w:t xml:space="preserve">FDMN </w:t>
      </w:r>
      <w:r>
        <w:rPr>
          <w:szCs w:val="24"/>
        </w:rPr>
        <w:t>MDCP model by generating simulated data sets with kn</w:t>
      </w:r>
      <w:r w:rsidR="003B3894">
        <w:rPr>
          <w:szCs w:val="24"/>
        </w:rPr>
        <w:t>own underlying model parameters</w:t>
      </w:r>
      <w:r>
        <w:rPr>
          <w:szCs w:val="24"/>
        </w:rPr>
        <w:t xml:space="preserve">. To examine the robustness of the MACML approach </w:t>
      </w:r>
      <w:r w:rsidR="00D92F19">
        <w:rPr>
          <w:szCs w:val="24"/>
        </w:rPr>
        <w:t xml:space="preserve">when applied </w:t>
      </w:r>
      <w:r>
        <w:rPr>
          <w:szCs w:val="24"/>
        </w:rPr>
        <w:t>to different numbers of mixtures, we consider both two- and three-</w:t>
      </w:r>
      <w:r>
        <w:rPr>
          <w:szCs w:val="24"/>
        </w:rPr>
        <w:lastRenderedPageBreak/>
        <w:t xml:space="preserve">mixture models. In addition, we examine the effects of (a) </w:t>
      </w:r>
      <w:r w:rsidR="009044EF">
        <w:rPr>
          <w:szCs w:val="24"/>
        </w:rPr>
        <w:t xml:space="preserve">assuming that coefficients are fixed and not stochastic within each segment (that is, using the LC-MDCP model), </w:t>
      </w:r>
      <w:r w:rsidR="00D92F19">
        <w:rPr>
          <w:szCs w:val="24"/>
        </w:rPr>
        <w:t xml:space="preserve">and </w:t>
      </w:r>
      <w:r>
        <w:rPr>
          <w:szCs w:val="24"/>
        </w:rPr>
        <w:t xml:space="preserve">(b) assuming normality of the response coefficient when non-normality is present </w:t>
      </w:r>
      <w:r w:rsidR="00D92F19">
        <w:rPr>
          <w:szCs w:val="24"/>
        </w:rPr>
        <w:t xml:space="preserve">and thus </w:t>
      </w:r>
      <w:r>
        <w:rPr>
          <w:szCs w:val="24"/>
        </w:rPr>
        <w:t xml:space="preserve">using a single </w:t>
      </w:r>
      <w:r w:rsidR="00575CD1">
        <w:rPr>
          <w:szCs w:val="24"/>
        </w:rPr>
        <w:t>segment</w:t>
      </w:r>
      <w:r>
        <w:rPr>
          <w:szCs w:val="24"/>
        </w:rPr>
        <w:t xml:space="preserve"> when multiple </w:t>
      </w:r>
      <w:r w:rsidR="00575CD1">
        <w:rPr>
          <w:szCs w:val="24"/>
        </w:rPr>
        <w:t>segments</w:t>
      </w:r>
      <w:r>
        <w:rPr>
          <w:szCs w:val="24"/>
        </w:rPr>
        <w:t xml:space="preserve"> are present</w:t>
      </w:r>
      <w:r w:rsidR="00B1435A">
        <w:rPr>
          <w:szCs w:val="24"/>
        </w:rPr>
        <w:t xml:space="preserve"> (that is, using the RC-MDCP model)</w:t>
      </w:r>
      <w:r>
        <w:rPr>
          <w:szCs w:val="24"/>
        </w:rPr>
        <w:t>.</w:t>
      </w:r>
    </w:p>
    <w:p w:rsidR="0008331C" w:rsidRDefault="0008331C" w:rsidP="00966971">
      <w:pPr>
        <w:spacing w:line="360" w:lineRule="auto"/>
        <w:rPr>
          <w:b/>
          <w:szCs w:val="24"/>
        </w:rPr>
      </w:pPr>
    </w:p>
    <w:p w:rsidR="0008331C" w:rsidRDefault="0008331C" w:rsidP="00966971">
      <w:pPr>
        <w:spacing w:line="360" w:lineRule="auto"/>
        <w:rPr>
          <w:szCs w:val="24"/>
        </w:rPr>
      </w:pPr>
      <w:r>
        <w:rPr>
          <w:b/>
          <w:szCs w:val="24"/>
        </w:rPr>
        <w:t>3.1 Experimental Design</w:t>
      </w:r>
    </w:p>
    <w:p w:rsidR="0008331C" w:rsidRDefault="007D39F1" w:rsidP="007D39F1">
      <w:pPr>
        <w:tabs>
          <w:tab w:val="right" w:pos="9360"/>
        </w:tabs>
        <w:spacing w:line="360" w:lineRule="auto"/>
        <w:rPr>
          <w:szCs w:val="24"/>
        </w:rPr>
      </w:pPr>
      <w:r>
        <w:rPr>
          <w:szCs w:val="24"/>
        </w:rPr>
        <w:t xml:space="preserve">In the design, we consider the case with three alternatives. </w:t>
      </w:r>
      <w:r w:rsidR="0008331C">
        <w:rPr>
          <w:szCs w:val="24"/>
        </w:rPr>
        <w:t xml:space="preserve">In each of the </w:t>
      </w:r>
      <w:r w:rsidR="003B3894">
        <w:rPr>
          <w:szCs w:val="24"/>
        </w:rPr>
        <w:t>two- and three-mixture case</w:t>
      </w:r>
      <w:r w:rsidR="002D01AC">
        <w:rPr>
          <w:szCs w:val="24"/>
        </w:rPr>
        <w:t>s,</w:t>
      </w:r>
      <w:r w:rsidR="0008331C">
        <w:rPr>
          <w:szCs w:val="24"/>
        </w:rPr>
        <w:t xml:space="preserve"> we consider </w:t>
      </w:r>
      <w:r w:rsidR="001E02A0">
        <w:rPr>
          <w:szCs w:val="24"/>
        </w:rPr>
        <w:t>two</w:t>
      </w:r>
      <w:r w:rsidR="0008331C">
        <w:rPr>
          <w:szCs w:val="24"/>
        </w:rPr>
        <w:t xml:space="preserve"> independent variables in the </w:t>
      </w:r>
      <w:r w:rsidR="00A3732E" w:rsidRPr="00295746">
        <w:rPr>
          <w:position w:val="-14"/>
          <w:szCs w:val="24"/>
        </w:rPr>
        <w:object w:dxaOrig="330" w:dyaOrig="390" w14:anchorId="398EFEDE">
          <v:shape id="_x0000_i1212" type="#_x0000_t75" style="width:17.25pt;height:17.25pt" o:ole="" o:preferrelative="f">
            <v:imagedata r:id="rId367" o:title=""/>
            <o:lock v:ext="edit" aspectratio="f"/>
          </v:shape>
          <o:OLEObject Type="Embed" ProgID="Equation.3" ShapeID="_x0000_i1212" DrawAspect="Content" ObjectID="_1519137061" r:id="rId368"/>
        </w:object>
      </w:r>
      <w:r w:rsidR="0008331C">
        <w:rPr>
          <w:szCs w:val="24"/>
        </w:rPr>
        <w:t xml:space="preserve"> vector in the baseline util</w:t>
      </w:r>
      <w:r w:rsidR="000F619F">
        <w:rPr>
          <w:szCs w:val="24"/>
        </w:rPr>
        <w:t>ity</w:t>
      </w:r>
      <w:r>
        <w:rPr>
          <w:szCs w:val="24"/>
        </w:rPr>
        <w:t xml:space="preserve"> for each alternative</w:t>
      </w:r>
      <w:r w:rsidR="000F619F">
        <w:rPr>
          <w:szCs w:val="24"/>
        </w:rPr>
        <w:t xml:space="preserve">. </w:t>
      </w:r>
      <w:r w:rsidR="000042F0">
        <w:rPr>
          <w:szCs w:val="24"/>
        </w:rPr>
        <w:t xml:space="preserve">That is, consider the following for the </w:t>
      </w:r>
      <w:r w:rsidR="00A3732E" w:rsidRPr="00295746">
        <w:rPr>
          <w:position w:val="-14"/>
          <w:szCs w:val="24"/>
        </w:rPr>
        <w:object w:dxaOrig="330" w:dyaOrig="390">
          <v:shape id="_x0000_i1213" type="#_x0000_t75" style="width:17.25pt;height:17.25pt" o:ole="" o:preferrelative="f">
            <v:imagedata r:id="rId367" o:title=""/>
            <o:lock v:ext="edit" aspectratio="f"/>
          </v:shape>
          <o:OLEObject Type="Embed" ProgID="Equation.3" ShapeID="_x0000_i1213" DrawAspect="Content" ObjectID="_1519137062" r:id="rId369"/>
        </w:object>
      </w:r>
      <w:r w:rsidR="000042F0">
        <w:rPr>
          <w:szCs w:val="24"/>
        </w:rPr>
        <w:t xml:space="preserve"> vectors:</w:t>
      </w:r>
    </w:p>
    <w:p w:rsidR="00A3732E" w:rsidRDefault="00413833" w:rsidP="00F72D8B">
      <w:pPr>
        <w:tabs>
          <w:tab w:val="right" w:pos="9360"/>
        </w:tabs>
        <w:spacing w:line="360" w:lineRule="auto"/>
        <w:rPr>
          <w:szCs w:val="24"/>
        </w:rPr>
      </w:pPr>
      <w:r w:rsidRPr="00A3732E">
        <w:rPr>
          <w:position w:val="-14"/>
          <w:szCs w:val="24"/>
        </w:rPr>
        <w:object w:dxaOrig="6420" w:dyaOrig="420">
          <v:shape id="_x0000_i1214" type="#_x0000_t75" style="width:321pt;height:21pt" o:ole="" o:preferrelative="f">
            <v:imagedata r:id="rId370" o:title=""/>
            <o:lock v:ext="edit" aspectratio="f"/>
          </v:shape>
          <o:OLEObject Type="Embed" ProgID="Equation.3" ShapeID="_x0000_i1214" DrawAspect="Content" ObjectID="_1519137063" r:id="rId371"/>
        </w:object>
      </w:r>
      <w:r w:rsidR="00A3732E">
        <w:rPr>
          <w:szCs w:val="24"/>
        </w:rPr>
        <w:tab/>
        <w:t>(14)</w:t>
      </w:r>
    </w:p>
    <w:p w:rsidR="00AC74D4" w:rsidRDefault="0051500F" w:rsidP="00B72A05">
      <w:pPr>
        <w:pStyle w:val="CM3"/>
        <w:widowControl/>
        <w:spacing w:line="360" w:lineRule="auto"/>
        <w:jc w:val="both"/>
      </w:pPr>
      <w:proofErr w:type="gramStart"/>
      <w:r>
        <w:t>where</w:t>
      </w:r>
      <w:proofErr w:type="gramEnd"/>
      <w:r>
        <w:t xml:space="preserve"> the last two variables in each </w:t>
      </w:r>
      <w:r w:rsidR="00A3732E" w:rsidRPr="00295746">
        <w:rPr>
          <w:position w:val="-14"/>
        </w:rPr>
        <w:object w:dxaOrig="330" w:dyaOrig="390" w14:anchorId="6587B7DB">
          <v:shape id="_x0000_i1215" type="#_x0000_t75" style="width:17.25pt;height:17.25pt;mso-position-vertical:absolute" o:ole="" o:preferrelative="f">
            <v:imagedata r:id="rId367" o:title=""/>
            <o:lock v:ext="edit" aspectratio="f"/>
          </v:shape>
          <o:OLEObject Type="Embed" ProgID="Equation.3" ShapeID="_x0000_i1215" DrawAspect="Content" ObjectID="_1519137064" r:id="rId372"/>
        </w:object>
      </w:r>
      <w:r>
        <w:t xml:space="preserve"> (</w:t>
      </w:r>
      <w:r w:rsidRPr="0051500F">
        <w:rPr>
          <w:i/>
        </w:rPr>
        <w:t>k=</w:t>
      </w:r>
      <w:r w:rsidRPr="0051500F">
        <w:t>1,2,3</w:t>
      </w:r>
      <w:r>
        <w:t>) correspond to the two independent variables.</w:t>
      </w:r>
      <w:r w:rsidR="005D41A5">
        <w:t xml:space="preserve"> The first variable in</w:t>
      </w:r>
      <w:r w:rsidR="00A3732E">
        <w:t xml:space="preserve"> </w:t>
      </w:r>
      <w:r w:rsidR="002A363E" w:rsidRPr="00A3732E">
        <w:rPr>
          <w:position w:val="-14"/>
        </w:rPr>
        <w:object w:dxaOrig="340" w:dyaOrig="380">
          <v:shape id="_x0000_i1216" type="#_x0000_t75" style="width:17.25pt;height:17.25pt" o:ole="">
            <v:imagedata r:id="rId373" o:title=""/>
          </v:shape>
          <o:OLEObject Type="Embed" ProgID="Equation.3" ShapeID="_x0000_i1216" DrawAspect="Content" ObjectID="_1519137065" r:id="rId374"/>
        </w:object>
      </w:r>
      <w:r w:rsidR="00A3732E">
        <w:t xml:space="preserve"> </w:t>
      </w:r>
      <w:r w:rsidR="005D41A5">
        <w:t>is the constant specific to alternative 2, while the second variable in</w:t>
      </w:r>
      <w:r w:rsidR="0069522D">
        <w:t xml:space="preserve"> </w:t>
      </w:r>
      <w:r w:rsidR="00A3732E" w:rsidRPr="00A3732E">
        <w:rPr>
          <w:position w:val="-14"/>
        </w:rPr>
        <w:object w:dxaOrig="320" w:dyaOrig="380">
          <v:shape id="_x0000_i1217" type="#_x0000_t75" style="width:15.75pt;height:17.25pt" o:ole="">
            <v:imagedata r:id="rId375" o:title=""/>
          </v:shape>
          <o:OLEObject Type="Embed" ProgID="Equation.3" ShapeID="_x0000_i1217" DrawAspect="Content" ObjectID="_1519137066" r:id="rId376"/>
        </w:object>
      </w:r>
      <w:r w:rsidR="0069522D">
        <w:t xml:space="preserve"> </w:t>
      </w:r>
      <w:r w:rsidR="005D41A5">
        <w:t xml:space="preserve"> is the constant specific to alternative 3. The values of the two independent variables for each alternative (</w:t>
      </w:r>
      <w:r w:rsidR="0069522D" w:rsidRPr="0069522D">
        <w:rPr>
          <w:i/>
        </w:rPr>
        <w:t>i.e.</w:t>
      </w:r>
      <w:r w:rsidR="0069522D">
        <w:t>,</w:t>
      </w:r>
      <w:r w:rsidR="00A3732E">
        <w:t xml:space="preserve"> </w:t>
      </w:r>
      <w:r w:rsidR="002A363E" w:rsidRPr="00A3732E">
        <w:rPr>
          <w:position w:val="-14"/>
        </w:rPr>
        <w:object w:dxaOrig="400" w:dyaOrig="380">
          <v:shape id="_x0000_i1218" type="#_x0000_t75" style="width:20.25pt;height:17.25pt" o:ole="">
            <v:imagedata r:id="rId377" o:title=""/>
          </v:shape>
          <o:OLEObject Type="Embed" ProgID="Equation.3" ShapeID="_x0000_i1218" DrawAspect="Content" ObjectID="_1519137067" r:id="rId378"/>
        </w:object>
      </w:r>
      <w:r w:rsidR="0069522D">
        <w:t xml:space="preserve"> and</w:t>
      </w:r>
      <w:r w:rsidR="002A363E">
        <w:t xml:space="preserve"> </w:t>
      </w:r>
      <w:r w:rsidR="002A363E" w:rsidRPr="00A3732E">
        <w:rPr>
          <w:position w:val="-14"/>
        </w:rPr>
        <w:object w:dxaOrig="440" w:dyaOrig="380">
          <v:shape id="_x0000_i1219" type="#_x0000_t75" style="width:21.75pt;height:17.25pt" o:ole="">
            <v:imagedata r:id="rId379" o:title=""/>
          </v:shape>
          <o:OLEObject Type="Embed" ProgID="Equation.3" ShapeID="_x0000_i1219" DrawAspect="Content" ObjectID="_1519137068" r:id="rId380"/>
        </w:object>
      </w:r>
      <w:r w:rsidR="002A363E">
        <w:t xml:space="preserve"> </w:t>
      </w:r>
      <w:r w:rsidR="0069522D">
        <w:t>for the first alternative;</w:t>
      </w:r>
      <w:r w:rsidR="002A363E">
        <w:t xml:space="preserve"> </w:t>
      </w:r>
      <w:r w:rsidR="002A363E" w:rsidRPr="00A3732E">
        <w:rPr>
          <w:position w:val="-14"/>
        </w:rPr>
        <w:object w:dxaOrig="440" w:dyaOrig="380">
          <v:shape id="_x0000_i1220" type="#_x0000_t75" style="width:21.75pt;height:17.25pt" o:ole="">
            <v:imagedata r:id="rId381" o:title=""/>
          </v:shape>
          <o:OLEObject Type="Embed" ProgID="Equation.3" ShapeID="_x0000_i1220" DrawAspect="Content" ObjectID="_1519137069" r:id="rId382"/>
        </w:object>
      </w:r>
      <w:r w:rsidR="0069522D">
        <w:t xml:space="preserve"> and</w:t>
      </w:r>
      <w:r w:rsidR="002A363E">
        <w:t xml:space="preserve"> </w:t>
      </w:r>
      <w:r w:rsidR="002A363E" w:rsidRPr="00A3732E">
        <w:rPr>
          <w:position w:val="-14"/>
        </w:rPr>
        <w:object w:dxaOrig="460" w:dyaOrig="380">
          <v:shape id="_x0000_i1221" type="#_x0000_t75" style="width:24pt;height:17.25pt" o:ole="">
            <v:imagedata r:id="rId383" o:title=""/>
          </v:shape>
          <o:OLEObject Type="Embed" ProgID="Equation.3" ShapeID="_x0000_i1221" DrawAspect="Content" ObjectID="_1519137070" r:id="rId384"/>
        </w:object>
      </w:r>
      <w:r w:rsidR="0069522D">
        <w:t xml:space="preserve"> for the second alternative; and</w:t>
      </w:r>
      <w:r w:rsidR="002A363E">
        <w:t xml:space="preserve"> </w:t>
      </w:r>
      <w:r w:rsidR="002A363E" w:rsidRPr="00A3732E">
        <w:rPr>
          <w:position w:val="-14"/>
        </w:rPr>
        <w:object w:dxaOrig="420" w:dyaOrig="380">
          <v:shape id="_x0000_i1222" type="#_x0000_t75" style="width:21.75pt;height:17.25pt" o:ole="">
            <v:imagedata r:id="rId385" o:title=""/>
          </v:shape>
          <o:OLEObject Type="Embed" ProgID="Equation.3" ShapeID="_x0000_i1222" DrawAspect="Content" ObjectID="_1519137071" r:id="rId386"/>
        </w:object>
      </w:r>
      <w:r w:rsidR="0069522D">
        <w:t xml:space="preserve"> </w:t>
      </w:r>
      <w:proofErr w:type="spellStart"/>
      <w:r w:rsidR="0069522D">
        <w:t>and</w:t>
      </w:r>
      <w:proofErr w:type="spellEnd"/>
      <w:r w:rsidR="002A363E">
        <w:t xml:space="preserve"> </w:t>
      </w:r>
      <w:r w:rsidR="002A363E" w:rsidRPr="00A3732E">
        <w:rPr>
          <w:position w:val="-14"/>
        </w:rPr>
        <w:object w:dxaOrig="460" w:dyaOrig="380">
          <v:shape id="_x0000_i1223" type="#_x0000_t75" style="width:24pt;height:17.25pt" o:ole="">
            <v:imagedata r:id="rId387" o:title=""/>
          </v:shape>
          <o:OLEObject Type="Embed" ProgID="Equation.3" ShapeID="_x0000_i1223" DrawAspect="Content" ObjectID="_1519137072" r:id="rId388"/>
        </w:object>
      </w:r>
      <w:r w:rsidR="0069522D">
        <w:t xml:space="preserve"> for the third alternative</w:t>
      </w:r>
      <w:r w:rsidR="005D41A5">
        <w:t>) are</w:t>
      </w:r>
      <w:r w:rsidR="0069522D">
        <w:t xml:space="preserve"> drawn from standard univariate normal distributions. In particular, a synthetic sample of 5000 realizations of the exogenous variables is generated corresponding to </w:t>
      </w:r>
      <w:r w:rsidR="0069522D" w:rsidRPr="0069522D">
        <w:rPr>
          <w:i/>
        </w:rPr>
        <w:t>Q</w:t>
      </w:r>
      <w:r w:rsidR="0069522D">
        <w:t>=5000 consumers</w:t>
      </w:r>
      <w:r w:rsidR="005D41A5">
        <w:t>.</w:t>
      </w:r>
      <w:r>
        <w:t xml:space="preserve"> </w:t>
      </w:r>
      <w:r w:rsidR="005E7BC0">
        <w:t xml:space="preserve">Additionally, we generate budget amounts </w:t>
      </w:r>
      <w:r w:rsidR="00A3732E" w:rsidRPr="00295746">
        <w:rPr>
          <w:position w:val="-14"/>
        </w:rPr>
        <w:object w:dxaOrig="315" w:dyaOrig="375" w14:anchorId="5171A953">
          <v:shape id="_x0000_i1224" type="#_x0000_t75" style="width:15.75pt;height:18.75pt" o:ole="" o:preferrelative="f">
            <v:imagedata r:id="rId389" o:title=""/>
            <o:lock v:ext="edit" aspectratio="f"/>
          </v:shape>
          <o:OLEObject Type="Embed" ProgID="Equation.3" ShapeID="_x0000_i1224" DrawAspect="Content" ObjectID="_1519137073" r:id="rId390"/>
        </w:object>
      </w:r>
      <w:r w:rsidR="005E7BC0">
        <w:t xml:space="preserve"> </w:t>
      </w:r>
      <w:r w:rsidR="00A3732E" w:rsidRPr="00295746">
        <w:rPr>
          <w:position w:val="-10"/>
        </w:rPr>
        <w:object w:dxaOrig="1359" w:dyaOrig="320" w14:anchorId="1079B5F7">
          <v:shape id="_x0000_i1225" type="#_x0000_t75" style="width:67.5pt;height:15.75pt" o:ole="" o:preferrelative="f">
            <v:imagedata r:id="rId391" o:title=""/>
            <o:lock v:ext="edit" aspectratio="f"/>
          </v:shape>
          <o:OLEObject Type="Embed" ProgID="Equation.3" ShapeID="_x0000_i1225" DrawAspect="Content" ObjectID="_1519137074" r:id="rId392"/>
        </w:object>
      </w:r>
      <w:r w:rsidR="005E7BC0">
        <w:rPr>
          <w:position w:val="-10"/>
        </w:rPr>
        <w:t xml:space="preserve"> </w:t>
      </w:r>
      <w:r w:rsidR="005E7BC0">
        <w:t xml:space="preserve">from a univariate normal distribution with a mean of 150, and truncated between the values of 100 and 200 (the prices of all goods are fixed at the value of one across all consumers). Once generated, the independent variable values and the total budget are held fixed in the rest of the simulation exercise. </w:t>
      </w:r>
    </w:p>
    <w:p w:rsidR="00A04578" w:rsidRPr="00A04578" w:rsidRDefault="00A04578" w:rsidP="00B72A05">
      <w:pPr>
        <w:pStyle w:val="Default"/>
        <w:spacing w:line="360" w:lineRule="auto"/>
      </w:pPr>
    </w:p>
    <w:p w:rsidR="00AC74D4" w:rsidRPr="0090442A" w:rsidRDefault="00A04578" w:rsidP="00B72A05">
      <w:pPr>
        <w:pStyle w:val="CM3"/>
        <w:widowControl/>
        <w:spacing w:line="360" w:lineRule="auto"/>
        <w:jc w:val="both"/>
      </w:pPr>
      <w:r w:rsidRPr="0090442A">
        <w:rPr>
          <w:i/>
        </w:rPr>
        <w:t>3.1.1 Two-</w:t>
      </w:r>
      <w:r w:rsidR="0090442A">
        <w:rPr>
          <w:i/>
        </w:rPr>
        <w:t>S</w:t>
      </w:r>
      <w:r w:rsidR="00146D29" w:rsidRPr="0090442A">
        <w:rPr>
          <w:i/>
        </w:rPr>
        <w:t>egment</w:t>
      </w:r>
      <w:r w:rsidR="0090442A">
        <w:rPr>
          <w:i/>
        </w:rPr>
        <w:t xml:space="preserve"> C</w:t>
      </w:r>
      <w:r w:rsidRPr="0090442A">
        <w:rPr>
          <w:i/>
        </w:rPr>
        <w:t>ase</w:t>
      </w:r>
    </w:p>
    <w:p w:rsidR="00DC29A9" w:rsidRDefault="00DC29A9" w:rsidP="00B72A05">
      <w:pPr>
        <w:pStyle w:val="CM3"/>
        <w:widowControl/>
        <w:spacing w:line="360" w:lineRule="auto"/>
        <w:jc w:val="both"/>
      </w:pPr>
      <w:r>
        <w:t xml:space="preserve">For the coefficients on the </w:t>
      </w:r>
      <w:r w:rsidR="00655A18" w:rsidRPr="00295746">
        <w:rPr>
          <w:position w:val="-14"/>
        </w:rPr>
        <w:object w:dxaOrig="330" w:dyaOrig="390" w14:anchorId="4A0991D5">
          <v:shape id="_x0000_i1226" type="#_x0000_t75" style="width:17.25pt;height:17.25pt;mso-position-vertical:absolute" o:ole="" o:preferrelative="f">
            <v:imagedata r:id="rId367" o:title=""/>
            <o:lock v:ext="edit" aspectratio="f"/>
          </v:shape>
          <o:OLEObject Type="Embed" ProgID="Equation.3" ShapeID="_x0000_i1226" DrawAspect="Content" ObjectID="_1519137075" r:id="rId393"/>
        </w:object>
      </w:r>
      <w:r>
        <w:t xml:space="preserve"> variables, we assume hybrid coefficients as follows:</w:t>
      </w:r>
    </w:p>
    <w:p w:rsidR="005E7BC0" w:rsidRPr="00C16963" w:rsidRDefault="00093013" w:rsidP="00F72D8B">
      <w:pPr>
        <w:tabs>
          <w:tab w:val="right" w:pos="9360"/>
        </w:tabs>
        <w:spacing w:line="360" w:lineRule="auto"/>
        <w:rPr>
          <w:szCs w:val="24"/>
        </w:rPr>
      </w:pPr>
      <w:r w:rsidRPr="005E7BC0">
        <w:rPr>
          <w:position w:val="-14"/>
          <w:szCs w:val="24"/>
        </w:rPr>
        <w:object w:dxaOrig="4760" w:dyaOrig="380" w14:anchorId="42A59BFF">
          <v:shape id="_x0000_i1227" type="#_x0000_t75" style="width:237.75pt;height:18.75pt" o:ole="" o:preferrelative="f">
            <v:imagedata r:id="rId394" o:title=""/>
            <o:lock v:ext="edit" aspectratio="f"/>
          </v:shape>
          <o:OLEObject Type="Embed" ProgID="Equation.3" ShapeID="_x0000_i1227" DrawAspect="Content" ObjectID="_1519137076" r:id="rId395"/>
        </w:object>
      </w:r>
      <w:r w:rsidR="005E7BC0">
        <w:rPr>
          <w:szCs w:val="24"/>
        </w:rPr>
        <w:t xml:space="preserve">   </w:t>
      </w:r>
      <w:r w:rsidR="00D06A04">
        <w:rPr>
          <w:szCs w:val="24"/>
        </w:rPr>
        <w:t xml:space="preserve">                                                            </w:t>
      </w:r>
      <w:r w:rsidR="00320DF9">
        <w:rPr>
          <w:szCs w:val="24"/>
        </w:rPr>
        <w:tab/>
      </w:r>
      <w:r w:rsidR="005E7BC0">
        <w:rPr>
          <w:szCs w:val="24"/>
        </w:rPr>
        <w:t>(15)</w:t>
      </w:r>
    </w:p>
    <w:p w:rsidR="00E22682" w:rsidRDefault="00093013" w:rsidP="00FF0C53">
      <w:pPr>
        <w:pStyle w:val="CM3"/>
        <w:widowControl/>
        <w:spacing w:line="360" w:lineRule="auto"/>
        <w:jc w:val="both"/>
      </w:pPr>
      <w:proofErr w:type="gramStart"/>
      <w:r>
        <w:t>w</w:t>
      </w:r>
      <w:r w:rsidR="00184DFD">
        <w:t>here</w:t>
      </w:r>
      <w:proofErr w:type="gramEnd"/>
      <w:r>
        <w:t xml:space="preserve"> </w:t>
      </w:r>
      <w:r w:rsidR="00887124" w:rsidRPr="005E7BC0">
        <w:rPr>
          <w:position w:val="-14"/>
        </w:rPr>
        <w:object w:dxaOrig="3940" w:dyaOrig="420" w14:anchorId="1CD660B2">
          <v:shape id="_x0000_i1228" type="#_x0000_t75" style="width:197.25pt;height:21pt" o:ole="" o:preferrelative="f">
            <v:imagedata r:id="rId396" o:title=""/>
            <o:lock v:ext="edit" aspectratio="f"/>
          </v:shape>
          <o:OLEObject Type="Embed" ProgID="Equation.3" ShapeID="_x0000_i1228" DrawAspect="Content" ObjectID="_1519137077" r:id="rId397"/>
        </w:object>
      </w:r>
      <w:r w:rsidR="00184DFD">
        <w:t xml:space="preserve"> </w:t>
      </w:r>
      <w:r w:rsidR="005E7BC0">
        <w:t>for segment 1, and</w:t>
      </w:r>
      <w:r w:rsidR="00FA27FE">
        <w:t xml:space="preserve"> </w:t>
      </w:r>
      <w:r w:rsidR="00887124" w:rsidRPr="005E7BC0">
        <w:rPr>
          <w:position w:val="-14"/>
        </w:rPr>
        <w:object w:dxaOrig="3940" w:dyaOrig="420" w14:anchorId="4A923FFD">
          <v:shape id="_x0000_i1229" type="#_x0000_t75" style="width:197.25pt;height:21pt" o:ole="" o:preferrelative="f">
            <v:imagedata r:id="rId398" o:title=""/>
            <o:lock v:ext="edit" aspectratio="f"/>
          </v:shape>
          <o:OLEObject Type="Embed" ProgID="Equation.3" ShapeID="_x0000_i1229" DrawAspect="Content" ObjectID="_1519137078" r:id="rId399"/>
        </w:object>
      </w:r>
      <w:r w:rsidR="00CA1114">
        <w:t xml:space="preserve"> for segment 2.</w:t>
      </w:r>
      <w:r w:rsidR="00E809E8">
        <w:t xml:space="preserve"> </w:t>
      </w:r>
      <w:r w:rsidR="001B1C63">
        <w:t xml:space="preserve">Note that the dimension of </w:t>
      </w:r>
      <w:r w:rsidR="001B1C63" w:rsidRPr="001B1C63">
        <w:rPr>
          <w:i/>
        </w:rPr>
        <w:t>b</w:t>
      </w:r>
      <w:r w:rsidR="001B1C63" w:rsidRPr="00655A18">
        <w:rPr>
          <w:vertAlign w:val="subscript"/>
        </w:rPr>
        <w:t>1</w:t>
      </w:r>
      <w:r w:rsidR="001B1C63" w:rsidRPr="00655A18">
        <w:t xml:space="preserve"> </w:t>
      </w:r>
      <w:r w:rsidR="001B1C63">
        <w:t xml:space="preserve">and </w:t>
      </w:r>
      <w:r w:rsidR="001B1C63" w:rsidRPr="001B1C63">
        <w:rPr>
          <w:i/>
        </w:rPr>
        <w:t>b</w:t>
      </w:r>
      <w:r w:rsidR="001B1C63" w:rsidRPr="00655A18">
        <w:rPr>
          <w:vertAlign w:val="subscript"/>
        </w:rPr>
        <w:t>2</w:t>
      </w:r>
      <w:r w:rsidR="001B1C63" w:rsidRPr="00655A18">
        <w:t xml:space="preserve"> </w:t>
      </w:r>
      <w:r w:rsidR="001B1C63">
        <w:t xml:space="preserve">are the same as </w:t>
      </w:r>
      <w:r w:rsidR="001B1C63" w:rsidRPr="00655A18">
        <w:rPr>
          <w:i/>
        </w:rPr>
        <w:t>z</w:t>
      </w:r>
      <w:r w:rsidR="001B1C63" w:rsidRPr="001B1C63">
        <w:rPr>
          <w:i/>
          <w:vertAlign w:val="subscript"/>
        </w:rPr>
        <w:t>q</w:t>
      </w:r>
      <w:r w:rsidR="001B1C63" w:rsidRPr="00655A18">
        <w:rPr>
          <w:vertAlign w:val="subscript"/>
        </w:rPr>
        <w:t>1</w:t>
      </w:r>
      <w:r w:rsidR="001B1C63">
        <w:t xml:space="preserve">, </w:t>
      </w:r>
      <w:r w:rsidR="001B1C63" w:rsidRPr="001B1C63">
        <w:rPr>
          <w:i/>
        </w:rPr>
        <w:t>z</w:t>
      </w:r>
      <w:r w:rsidR="001B1C63" w:rsidRPr="001B1C63">
        <w:rPr>
          <w:i/>
          <w:vertAlign w:val="subscript"/>
        </w:rPr>
        <w:t>q</w:t>
      </w:r>
      <w:r w:rsidR="001B1C63" w:rsidRPr="00655A18">
        <w:rPr>
          <w:vertAlign w:val="subscript"/>
        </w:rPr>
        <w:t>2</w:t>
      </w:r>
      <w:r w:rsidR="001B1C63">
        <w:t xml:space="preserve">, and </w:t>
      </w:r>
      <w:r w:rsidR="001B1C63" w:rsidRPr="001B1C63">
        <w:rPr>
          <w:i/>
        </w:rPr>
        <w:t>z</w:t>
      </w:r>
      <w:r w:rsidR="001B1C63" w:rsidRPr="001B1C63">
        <w:rPr>
          <w:i/>
          <w:vertAlign w:val="subscript"/>
        </w:rPr>
        <w:t>q</w:t>
      </w:r>
      <w:r w:rsidR="001B1C63" w:rsidRPr="00655A18">
        <w:rPr>
          <w:vertAlign w:val="subscript"/>
        </w:rPr>
        <w:t>3</w:t>
      </w:r>
      <w:r w:rsidR="001B1C63" w:rsidRPr="00655A18">
        <w:t xml:space="preserve"> </w:t>
      </w:r>
      <w:r w:rsidR="001B1C63">
        <w:t>(all of these are 4</w:t>
      </w:r>
      <w:r w:rsidR="00655A18">
        <w:t>×</w:t>
      </w:r>
      <w:r w:rsidR="001B1C63">
        <w:t xml:space="preserve">1 vectors). That is, </w:t>
      </w:r>
      <w:r w:rsidR="001B1C63" w:rsidRPr="001B1C63">
        <w:rPr>
          <w:i/>
        </w:rPr>
        <w:t>b</w:t>
      </w:r>
      <w:r w:rsidR="001B1C63" w:rsidRPr="00655A18">
        <w:rPr>
          <w:vertAlign w:val="subscript"/>
        </w:rPr>
        <w:t>11</w:t>
      </w:r>
      <w:r w:rsidR="001B1C63">
        <w:t xml:space="preserve"> is the mean constant </w:t>
      </w:r>
      <w:r w:rsidR="001B1C63">
        <w:lastRenderedPageBreak/>
        <w:t xml:space="preserve">coefficient on the second alternative in segment 1, </w:t>
      </w:r>
      <w:r w:rsidR="001B1C63" w:rsidRPr="001B1C63">
        <w:rPr>
          <w:i/>
        </w:rPr>
        <w:t>b</w:t>
      </w:r>
      <w:r w:rsidR="001B1C63" w:rsidRPr="00655A18">
        <w:rPr>
          <w:vertAlign w:val="subscript"/>
        </w:rPr>
        <w:t>12</w:t>
      </w:r>
      <w:r w:rsidR="001B1C63" w:rsidRPr="00655A18">
        <w:t xml:space="preserve"> </w:t>
      </w:r>
      <w:r w:rsidR="001B1C63">
        <w:t xml:space="preserve">is the mean constant coefficient on the third alternative in segment 1, </w:t>
      </w:r>
      <w:r w:rsidR="001B1C63" w:rsidRPr="001B1C63">
        <w:rPr>
          <w:i/>
        </w:rPr>
        <w:t>b</w:t>
      </w:r>
      <w:r w:rsidR="001B1C63" w:rsidRPr="00655A18">
        <w:rPr>
          <w:vertAlign w:val="subscript"/>
        </w:rPr>
        <w:t>13</w:t>
      </w:r>
      <w:r w:rsidR="001B1C63">
        <w:t xml:space="preserve"> is the mean coefficient on the first independent variable in the first segment, and </w:t>
      </w:r>
      <w:r w:rsidR="00655A18" w:rsidRPr="00564039">
        <w:rPr>
          <w:position w:val="-6"/>
        </w:rPr>
        <w:object w:dxaOrig="220" w:dyaOrig="340" w14:anchorId="3DE329BA">
          <v:shape id="_x0000_i1230" type="#_x0000_t75" style="width:11.25pt;height:17.25pt" o:ole="" o:preferrelative="f">
            <v:imagedata r:id="rId400" o:title=""/>
            <o:lock v:ext="edit" aspectratio="f"/>
          </v:shape>
          <o:OLEObject Type="Embed" ProgID="Equation.3" ShapeID="_x0000_i1230" DrawAspect="Content" ObjectID="_1519137079" r:id="rId401"/>
        </w:object>
      </w:r>
      <w:r w:rsidR="001B1C63">
        <w:t xml:space="preserve"> is the mean coefficient on the second independent variable in the first segment.</w:t>
      </w:r>
      <w:r w:rsidR="00E809E8">
        <w:t xml:space="preserve"> </w:t>
      </w:r>
      <w:proofErr w:type="gramStart"/>
      <w:r w:rsidR="00F8242C" w:rsidRPr="00F8242C">
        <w:rPr>
          <w:i/>
        </w:rPr>
        <w:t>b</w:t>
      </w:r>
      <w:r w:rsidR="00F8242C" w:rsidRPr="00655A18">
        <w:rPr>
          <w:vertAlign w:val="subscript"/>
        </w:rPr>
        <w:t>21</w:t>
      </w:r>
      <w:proofErr w:type="gramEnd"/>
      <w:r w:rsidR="00F8242C">
        <w:t xml:space="preserve"> through </w:t>
      </w:r>
      <w:r w:rsidR="00F8242C" w:rsidRPr="00F8242C">
        <w:rPr>
          <w:i/>
        </w:rPr>
        <w:t>b</w:t>
      </w:r>
      <w:r w:rsidR="00F8242C" w:rsidRPr="00655A18">
        <w:rPr>
          <w:vertAlign w:val="subscript"/>
        </w:rPr>
        <w:t>23</w:t>
      </w:r>
      <w:r w:rsidR="00F8242C">
        <w:t xml:space="preserve"> are similar to </w:t>
      </w:r>
      <w:r w:rsidR="00F8242C" w:rsidRPr="00F8242C">
        <w:rPr>
          <w:i/>
        </w:rPr>
        <w:t>b</w:t>
      </w:r>
      <w:r w:rsidR="00F8242C" w:rsidRPr="00655A18">
        <w:rPr>
          <w:vertAlign w:val="subscript"/>
        </w:rPr>
        <w:t>11</w:t>
      </w:r>
      <w:r w:rsidR="00F8242C">
        <w:t xml:space="preserve"> through </w:t>
      </w:r>
      <w:r w:rsidR="00F8242C" w:rsidRPr="00F8242C">
        <w:rPr>
          <w:i/>
        </w:rPr>
        <w:t>b</w:t>
      </w:r>
      <w:r w:rsidR="00F8242C" w:rsidRPr="00655A18">
        <w:rPr>
          <w:vertAlign w:val="subscript"/>
        </w:rPr>
        <w:t>13</w:t>
      </w:r>
      <w:r w:rsidR="00F8242C">
        <w:t xml:space="preserve"> but for the second segment, and we maintain the same coefficient </w:t>
      </w:r>
      <w:r w:rsidR="00655A18" w:rsidRPr="00564039">
        <w:rPr>
          <w:position w:val="-6"/>
        </w:rPr>
        <w:object w:dxaOrig="220" w:dyaOrig="340" w14:anchorId="7BDE0EE8">
          <v:shape id="_x0000_i1231" type="#_x0000_t75" style="width:11.25pt;height:17.25pt" o:ole="" o:preferrelative="f">
            <v:imagedata r:id="rId402" o:title=""/>
            <o:lock v:ext="edit" aspectratio="f"/>
          </v:shape>
          <o:OLEObject Type="Embed" ProgID="Equation.3" ShapeID="_x0000_i1231" DrawAspect="Content" ObjectID="_1519137080" r:id="rId403"/>
        </w:object>
      </w:r>
      <w:r w:rsidR="00F8242C">
        <w:t xml:space="preserve"> in both segments for the second independent variable. For the covariance matrices </w:t>
      </w:r>
      <w:r w:rsidR="00655A18" w:rsidRPr="00F8242C">
        <w:rPr>
          <w:position w:val="-10"/>
        </w:rPr>
        <w:object w:dxaOrig="320" w:dyaOrig="340" w14:anchorId="34567185">
          <v:shape id="_x0000_i1232" type="#_x0000_t75" style="width:15.75pt;height:17.25pt" o:ole="" o:preferrelative="f">
            <v:imagedata r:id="rId404" o:title=""/>
            <o:lock v:ext="edit" aspectratio="f"/>
          </v:shape>
          <o:OLEObject Type="Embed" ProgID="Equation.3" ShapeID="_x0000_i1232" DrawAspect="Content" ObjectID="_1519137081" r:id="rId405"/>
        </w:object>
      </w:r>
      <w:r w:rsidR="00F8242C">
        <w:t xml:space="preserve"> and </w:t>
      </w:r>
      <w:r w:rsidR="00655A18" w:rsidRPr="00F8242C">
        <w:rPr>
          <w:position w:val="-10"/>
        </w:rPr>
        <w:object w:dxaOrig="340" w:dyaOrig="340" w14:anchorId="44CCD55F">
          <v:shape id="_x0000_i1233" type="#_x0000_t75" style="width:17.25pt;height:17.25pt" o:ole="" o:preferrelative="f">
            <v:imagedata r:id="rId406" o:title=""/>
            <o:lock v:ext="edit" aspectratio="f"/>
          </v:shape>
          <o:OLEObject Type="Embed" ProgID="Equation.3" ShapeID="_x0000_i1233" DrawAspect="Content" ObjectID="_1519137082" r:id="rId407"/>
        </w:object>
      </w:r>
      <w:r w:rsidR="00F8242C">
        <w:t xml:space="preserve"> of the coefficients we assume</w:t>
      </w:r>
      <w:r w:rsidR="0008331C">
        <w:t>:</w:t>
      </w:r>
      <w:r w:rsidR="0008331C">
        <w:tab/>
      </w:r>
    </w:p>
    <w:p w:rsidR="00FF0C53" w:rsidRDefault="00887124" w:rsidP="00F8242C">
      <w:pPr>
        <w:tabs>
          <w:tab w:val="right" w:pos="9360"/>
        </w:tabs>
        <w:spacing w:after="120" w:line="360" w:lineRule="auto"/>
        <w:rPr>
          <w:sz w:val="20"/>
          <w:szCs w:val="20"/>
        </w:rPr>
      </w:pPr>
      <w:r w:rsidRPr="00E22682">
        <w:rPr>
          <w:position w:val="-66"/>
          <w:sz w:val="20"/>
          <w:szCs w:val="20"/>
        </w:rPr>
        <w:object w:dxaOrig="8300" w:dyaOrig="1440" w14:anchorId="0025C573">
          <v:shape id="_x0000_i1234" type="#_x0000_t75" style="width:414.75pt;height:1in" o:ole="" o:preferrelative="f">
            <v:imagedata r:id="rId408" o:title=""/>
            <o:lock v:ext="edit" aspectratio="f"/>
          </v:shape>
          <o:OLEObject Type="Embed" ProgID="Equation.3" ShapeID="_x0000_i1234" DrawAspect="Content" ObjectID="_1519137083" r:id="rId409"/>
        </w:object>
      </w:r>
    </w:p>
    <w:p w:rsidR="00DE03A1" w:rsidRDefault="00887124" w:rsidP="00F8242C">
      <w:pPr>
        <w:tabs>
          <w:tab w:val="right" w:pos="9360"/>
        </w:tabs>
        <w:spacing w:after="120" w:line="360" w:lineRule="auto"/>
        <w:rPr>
          <w:szCs w:val="24"/>
        </w:rPr>
      </w:pPr>
      <w:r w:rsidRPr="00E22682">
        <w:rPr>
          <w:position w:val="-66"/>
          <w:sz w:val="20"/>
          <w:szCs w:val="20"/>
        </w:rPr>
        <w:object w:dxaOrig="8020" w:dyaOrig="1440" w14:anchorId="32FECE47">
          <v:shape id="_x0000_i1235" type="#_x0000_t75" style="width:401.25pt;height:1in" o:ole="" o:preferrelative="f">
            <v:imagedata r:id="rId410" o:title=""/>
            <o:lock v:ext="edit" aspectratio="f"/>
          </v:shape>
          <o:OLEObject Type="Embed" ProgID="Equation.3" ShapeID="_x0000_i1235" DrawAspect="Content" ObjectID="_1519137084" r:id="rId411"/>
        </w:object>
      </w:r>
      <w:r w:rsidR="00DE03A1">
        <w:tab/>
      </w:r>
      <w:r w:rsidR="004B4392">
        <w:t xml:space="preserve">   </w:t>
      </w:r>
    </w:p>
    <w:p w:rsidR="0008331C" w:rsidRDefault="0008331C" w:rsidP="00B72A05">
      <w:pPr>
        <w:spacing w:line="360" w:lineRule="auto"/>
        <w:rPr>
          <w:szCs w:val="24"/>
        </w:rPr>
      </w:pPr>
      <w:r>
        <w:rPr>
          <w:szCs w:val="24"/>
        </w:rPr>
        <w:t>As indicated earlier, the positive definiteness of the</w:t>
      </w:r>
      <w:r w:rsidR="00E22682">
        <w:rPr>
          <w:szCs w:val="24"/>
        </w:rPr>
        <w:t xml:space="preserve"> </w:t>
      </w:r>
      <w:r w:rsidR="00655A18" w:rsidRPr="00F8242C">
        <w:rPr>
          <w:position w:val="-10"/>
        </w:rPr>
        <w:object w:dxaOrig="320" w:dyaOrig="340">
          <v:shape id="_x0000_i1236" type="#_x0000_t75" style="width:15.75pt;height:17.25pt" o:ole="" o:preferrelative="f">
            <v:imagedata r:id="rId404" o:title=""/>
            <o:lock v:ext="edit" aspectratio="f"/>
          </v:shape>
          <o:OLEObject Type="Embed" ProgID="Equation.3" ShapeID="_x0000_i1236" DrawAspect="Content" ObjectID="_1519137085" r:id="rId412"/>
        </w:object>
      </w:r>
      <w:r w:rsidR="00E22682">
        <w:t xml:space="preserve"> and </w:t>
      </w:r>
      <w:r w:rsidR="00655A18" w:rsidRPr="00F8242C">
        <w:rPr>
          <w:position w:val="-10"/>
        </w:rPr>
        <w:object w:dxaOrig="340" w:dyaOrig="340">
          <v:shape id="_x0000_i1237" type="#_x0000_t75" style="width:17.25pt;height:17.25pt" o:ole="" o:preferrelative="f">
            <v:imagedata r:id="rId406" o:title=""/>
            <o:lock v:ext="edit" aspectratio="f"/>
          </v:shape>
          <o:OLEObject Type="Embed" ProgID="Equation.3" ShapeID="_x0000_i1237" DrawAspect="Content" ObjectID="_1519137086" r:id="rId413"/>
        </w:object>
      </w:r>
      <w:r>
        <w:rPr>
          <w:szCs w:val="24"/>
        </w:rPr>
        <w:t xml:space="preserve"> matrices is ensured in the estimations by </w:t>
      </w:r>
      <w:proofErr w:type="spellStart"/>
      <w:r>
        <w:rPr>
          <w:szCs w:val="24"/>
        </w:rPr>
        <w:t>reparameterizing</w:t>
      </w:r>
      <w:proofErr w:type="spellEnd"/>
      <w:r>
        <w:rPr>
          <w:szCs w:val="24"/>
        </w:rPr>
        <w:t xml:space="preserve"> the likelihood function in terms of the lower </w:t>
      </w:r>
      <w:proofErr w:type="spellStart"/>
      <w:r>
        <w:rPr>
          <w:szCs w:val="24"/>
        </w:rPr>
        <w:t>Cholesky</w:t>
      </w:r>
      <w:proofErr w:type="spellEnd"/>
      <w:r>
        <w:rPr>
          <w:szCs w:val="24"/>
        </w:rPr>
        <w:t xml:space="preserve"> factor matrices </w:t>
      </w:r>
      <w:r w:rsidR="00655A18" w:rsidRPr="00564039">
        <w:rPr>
          <w:position w:val="-14"/>
          <w:szCs w:val="24"/>
        </w:rPr>
        <w:object w:dxaOrig="420" w:dyaOrig="380" w14:anchorId="145519BE">
          <v:shape id="_x0000_i1238" type="#_x0000_t75" style="width:21.75pt;height:17.25pt" o:ole="" o:preferrelative="f">
            <v:imagedata r:id="rId414" o:title=""/>
            <o:lock v:ext="edit" aspectratio="f"/>
          </v:shape>
          <o:OLEObject Type="Embed" ProgID="Equation.3" ShapeID="_x0000_i1238" DrawAspect="Content" ObjectID="_1519137087" r:id="rId415"/>
        </w:object>
      </w:r>
      <w:r w:rsidR="00564039">
        <w:rPr>
          <w:szCs w:val="24"/>
        </w:rPr>
        <w:t xml:space="preserve"> </w:t>
      </w:r>
      <w:proofErr w:type="gramStart"/>
      <w:r w:rsidR="00564039">
        <w:rPr>
          <w:szCs w:val="24"/>
        </w:rPr>
        <w:t xml:space="preserve">and </w:t>
      </w:r>
      <w:proofErr w:type="gramEnd"/>
      <w:r w:rsidR="00655A18" w:rsidRPr="00564039">
        <w:rPr>
          <w:position w:val="-14"/>
          <w:szCs w:val="24"/>
        </w:rPr>
        <w:object w:dxaOrig="440" w:dyaOrig="380" w14:anchorId="19D0A224">
          <v:shape id="_x0000_i1239" type="#_x0000_t75" style="width:22.5pt;height:17.25pt" o:ole="" o:preferrelative="f">
            <v:imagedata r:id="rId416" o:title=""/>
            <o:lock v:ext="edit" aspectratio="f"/>
          </v:shape>
          <o:OLEObject Type="Embed" ProgID="Equation.3" ShapeID="_x0000_i1239" DrawAspect="Content" ObjectID="_1519137088" r:id="rId417"/>
        </w:object>
      </w:r>
      <w:r>
        <w:rPr>
          <w:szCs w:val="24"/>
        </w:rPr>
        <w:t xml:space="preserve">, and estimating the associated </w:t>
      </w:r>
      <w:proofErr w:type="spellStart"/>
      <w:r>
        <w:rPr>
          <w:szCs w:val="24"/>
        </w:rPr>
        <w:t>Cholesky</w:t>
      </w:r>
      <w:proofErr w:type="spellEnd"/>
      <w:r>
        <w:rPr>
          <w:szCs w:val="24"/>
        </w:rPr>
        <w:t xml:space="preserve"> matrix parameters.</w:t>
      </w:r>
      <w:r w:rsidR="00564039">
        <w:rPr>
          <w:szCs w:val="24"/>
        </w:rPr>
        <w:t xml:space="preserve"> As should be obvious from the specification of </w:t>
      </w:r>
      <w:r w:rsidR="00655A18" w:rsidRPr="00F8242C">
        <w:rPr>
          <w:position w:val="-10"/>
        </w:rPr>
        <w:object w:dxaOrig="320" w:dyaOrig="340">
          <v:shape id="_x0000_i1240" type="#_x0000_t75" style="width:15.75pt;height:17.25pt" o:ole="" o:preferrelative="f">
            <v:imagedata r:id="rId404" o:title=""/>
            <o:lock v:ext="edit" aspectratio="f"/>
          </v:shape>
          <o:OLEObject Type="Embed" ProgID="Equation.3" ShapeID="_x0000_i1240" DrawAspect="Content" ObjectID="_1519137089" r:id="rId418"/>
        </w:object>
      </w:r>
      <w:r w:rsidR="00564039">
        <w:t xml:space="preserve"> </w:t>
      </w:r>
      <w:proofErr w:type="gramStart"/>
      <w:r w:rsidR="00564039">
        <w:t xml:space="preserve">and </w:t>
      </w:r>
      <w:proofErr w:type="gramEnd"/>
      <w:r w:rsidR="00655A18" w:rsidRPr="00F8242C">
        <w:rPr>
          <w:position w:val="-10"/>
        </w:rPr>
        <w:object w:dxaOrig="340" w:dyaOrig="340">
          <v:shape id="_x0000_i1241" type="#_x0000_t75" style="width:17.25pt;height:17.25pt" o:ole="" o:preferrelative="f">
            <v:imagedata r:id="rId406" o:title=""/>
            <o:lock v:ext="edit" aspectratio="f"/>
          </v:shape>
          <o:OLEObject Type="Embed" ProgID="Equation.3" ShapeID="_x0000_i1241" DrawAspect="Content" ObjectID="_1519137090" r:id="rId419"/>
        </w:object>
      </w:r>
      <w:r w:rsidR="00564039">
        <w:rPr>
          <w:szCs w:val="24"/>
        </w:rPr>
        <w:t>, we assume that the coefficient on the second independent variable (</w:t>
      </w:r>
      <w:r w:rsidR="00564039" w:rsidRPr="00184DFD">
        <w:rPr>
          <w:i/>
          <w:szCs w:val="24"/>
        </w:rPr>
        <w:t>i.e.</w:t>
      </w:r>
      <w:r w:rsidR="00564039">
        <w:rPr>
          <w:szCs w:val="24"/>
        </w:rPr>
        <w:t xml:space="preserve">, </w:t>
      </w:r>
      <w:r w:rsidR="00655A18" w:rsidRPr="00564039">
        <w:rPr>
          <w:position w:val="-6"/>
        </w:rPr>
        <w:object w:dxaOrig="220" w:dyaOrig="340" w14:anchorId="7483041E">
          <v:shape id="_x0000_i1242" type="#_x0000_t75" style="width:11.25pt;height:17.25pt" o:ole="" o:preferrelative="f">
            <v:imagedata r:id="rId420" o:title=""/>
            <o:lock v:ext="edit" aspectratio="f"/>
          </v:shape>
          <o:OLEObject Type="Embed" ProgID="Equation.3" ShapeID="_x0000_i1242" DrawAspect="Content" ObjectID="_1519137091" r:id="rId421"/>
        </w:object>
      </w:r>
      <w:r w:rsidR="00564039">
        <w:rPr>
          <w:szCs w:val="24"/>
        </w:rPr>
        <w:t xml:space="preserve">) is fixed in the simulations (note the zero entries in the last row and column of </w:t>
      </w:r>
      <w:r w:rsidR="00655A18" w:rsidRPr="00F8242C">
        <w:rPr>
          <w:position w:val="-10"/>
        </w:rPr>
        <w:object w:dxaOrig="320" w:dyaOrig="340">
          <v:shape id="_x0000_i1243" type="#_x0000_t75" style="width:15.75pt;height:17.25pt" o:ole="" o:preferrelative="f">
            <v:imagedata r:id="rId404" o:title=""/>
            <o:lock v:ext="edit" aspectratio="f"/>
          </v:shape>
          <o:OLEObject Type="Embed" ProgID="Equation.3" ShapeID="_x0000_i1243" DrawAspect="Content" ObjectID="_1519137092" r:id="rId422"/>
        </w:object>
      </w:r>
      <w:r w:rsidR="00564039">
        <w:t xml:space="preserve"> and </w:t>
      </w:r>
      <w:r w:rsidR="00655A18" w:rsidRPr="00F8242C">
        <w:rPr>
          <w:position w:val="-10"/>
        </w:rPr>
        <w:object w:dxaOrig="340" w:dyaOrig="340">
          <v:shape id="_x0000_i1244" type="#_x0000_t75" style="width:17.25pt;height:17.25pt" o:ole="" o:preferrelative="f">
            <v:imagedata r:id="rId406" o:title=""/>
            <o:lock v:ext="edit" aspectratio="f"/>
          </v:shape>
          <o:OLEObject Type="Embed" ProgID="Equation.3" ShapeID="_x0000_i1244" DrawAspect="Content" ObjectID="_1519137093" r:id="rId423"/>
        </w:object>
      </w:r>
      <w:r w:rsidR="00564039">
        <w:rPr>
          <w:szCs w:val="24"/>
        </w:rPr>
        <w:t>)</w:t>
      </w:r>
      <w:r w:rsidR="00887124">
        <w:rPr>
          <w:szCs w:val="24"/>
        </w:rPr>
        <w:t>.</w:t>
      </w:r>
      <w:r>
        <w:rPr>
          <w:rStyle w:val="FootnoteReference"/>
          <w:szCs w:val="24"/>
        </w:rPr>
        <w:footnoteReference w:id="7"/>
      </w:r>
      <w:r>
        <w:rPr>
          <w:szCs w:val="24"/>
        </w:rPr>
        <w:t xml:space="preserve"> </w:t>
      </w:r>
      <w:r w:rsidR="00564039">
        <w:rPr>
          <w:szCs w:val="24"/>
        </w:rPr>
        <w:t>Then, in the two-mixture case, there are</w:t>
      </w:r>
      <w:r>
        <w:rPr>
          <w:szCs w:val="24"/>
        </w:rPr>
        <w:t xml:space="preserve"> </w:t>
      </w:r>
      <w:r w:rsidR="00564039">
        <w:rPr>
          <w:szCs w:val="24"/>
        </w:rPr>
        <w:t>11</w:t>
      </w:r>
      <w:r>
        <w:rPr>
          <w:szCs w:val="24"/>
        </w:rPr>
        <w:t xml:space="preserve"> </w:t>
      </w:r>
      <w:proofErr w:type="spellStart"/>
      <w:r>
        <w:rPr>
          <w:szCs w:val="24"/>
        </w:rPr>
        <w:t>Cholesky</w:t>
      </w:r>
      <w:proofErr w:type="spellEnd"/>
      <w:r>
        <w:rPr>
          <w:szCs w:val="24"/>
        </w:rPr>
        <w:t xml:space="preserve"> parameters </w:t>
      </w:r>
      <w:r w:rsidR="00564039">
        <w:rPr>
          <w:szCs w:val="24"/>
        </w:rPr>
        <w:t>to be estimated:</w:t>
      </w:r>
      <w:r>
        <w:rPr>
          <w:szCs w:val="24"/>
        </w:rPr>
        <w:t xml:space="preserve"> </w:t>
      </w:r>
      <w:r w:rsidR="00093013" w:rsidRPr="006C6D2A">
        <w:rPr>
          <w:position w:val="-14"/>
          <w:szCs w:val="24"/>
        </w:rPr>
        <w:object w:dxaOrig="980" w:dyaOrig="380" w14:anchorId="1FC95AD4">
          <v:shape id="_x0000_i1245" type="#_x0000_t75" style="width:48.75pt;height:18.75pt" o:ole="" o:preferrelative="f">
            <v:imagedata r:id="rId424" o:title=""/>
            <o:lock v:ext="edit" aspectratio="f"/>
          </v:shape>
          <o:OLEObject Type="Embed" ProgID="Equation.3" ShapeID="_x0000_i1245" DrawAspect="Content" ObjectID="_1519137094" r:id="rId425"/>
        </w:object>
      </w:r>
      <w:r>
        <w:rPr>
          <w:szCs w:val="24"/>
        </w:rPr>
        <w:t xml:space="preserve">, </w:t>
      </w:r>
      <w:r w:rsidR="00093013" w:rsidRPr="006C6D2A">
        <w:rPr>
          <w:position w:val="-14"/>
          <w:szCs w:val="24"/>
        </w:rPr>
        <w:object w:dxaOrig="1219" w:dyaOrig="380" w14:anchorId="0AAE3177">
          <v:shape id="_x0000_i1246" type="#_x0000_t75" style="width:60.75pt;height:18.75pt" o:ole="" o:preferrelative="f">
            <v:imagedata r:id="rId426" o:title=""/>
            <o:lock v:ext="edit" aspectratio="f"/>
          </v:shape>
          <o:OLEObject Type="Embed" ProgID="Equation.3" ShapeID="_x0000_i1246" DrawAspect="Content" ObjectID="_1519137095" r:id="rId427"/>
        </w:object>
      </w:r>
      <w:r>
        <w:rPr>
          <w:szCs w:val="24"/>
        </w:rPr>
        <w:t>,</w:t>
      </w:r>
      <w:r w:rsidR="008705BD">
        <w:rPr>
          <w:szCs w:val="24"/>
        </w:rPr>
        <w:t xml:space="preserve"> </w:t>
      </w:r>
      <w:r w:rsidR="00093013" w:rsidRPr="006C6D2A">
        <w:rPr>
          <w:position w:val="-14"/>
          <w:szCs w:val="24"/>
        </w:rPr>
        <w:object w:dxaOrig="999" w:dyaOrig="380" w14:anchorId="57AC496B">
          <v:shape id="_x0000_i1247" type="#_x0000_t75" style="width:49.5pt;height:18.75pt" o:ole="" o:preferrelative="f">
            <v:imagedata r:id="rId428" o:title=""/>
            <o:lock v:ext="edit" aspectratio="f"/>
          </v:shape>
          <o:OLEObject Type="Embed" ProgID="Equation.3" ShapeID="_x0000_i1247" DrawAspect="Content" ObjectID="_1519137096" r:id="rId429"/>
        </w:object>
      </w:r>
      <w:r w:rsidR="008705BD">
        <w:rPr>
          <w:szCs w:val="24"/>
        </w:rPr>
        <w:t>,</w:t>
      </w:r>
      <w:r>
        <w:rPr>
          <w:szCs w:val="24"/>
        </w:rPr>
        <w:t xml:space="preserve"> </w:t>
      </w:r>
      <w:r w:rsidR="00093013" w:rsidRPr="006C6D2A">
        <w:rPr>
          <w:position w:val="-14"/>
          <w:szCs w:val="24"/>
        </w:rPr>
        <w:object w:dxaOrig="1219" w:dyaOrig="380" w14:anchorId="078967A4">
          <v:shape id="_x0000_i1248" type="#_x0000_t75" style="width:60.75pt;height:18.75pt" o:ole="" o:preferrelative="f">
            <v:imagedata r:id="rId430" o:title=""/>
            <o:lock v:ext="edit" aspectratio="f"/>
          </v:shape>
          <o:OLEObject Type="Embed" ProgID="Equation.3" ShapeID="_x0000_i1248" DrawAspect="Content" ObjectID="_1519137097" r:id="rId431"/>
        </w:object>
      </w:r>
      <w:r w:rsidR="008705BD">
        <w:rPr>
          <w:szCs w:val="24"/>
        </w:rPr>
        <w:t xml:space="preserve">, </w:t>
      </w:r>
      <w:r w:rsidR="00093013" w:rsidRPr="006C6D2A">
        <w:rPr>
          <w:position w:val="-14"/>
          <w:szCs w:val="24"/>
        </w:rPr>
        <w:object w:dxaOrig="1260" w:dyaOrig="380" w14:anchorId="3D59A2EB">
          <v:shape id="_x0000_i1249" type="#_x0000_t75" style="width:63.75pt;height:18.75pt" o:ole="" o:preferrelative="f">
            <v:imagedata r:id="rId432" o:title=""/>
            <o:lock v:ext="edit" aspectratio="f"/>
          </v:shape>
          <o:OLEObject Type="Embed" ProgID="Equation.3" ShapeID="_x0000_i1249" DrawAspect="Content" ObjectID="_1519137098" r:id="rId433"/>
        </w:object>
      </w:r>
      <w:r w:rsidR="008705BD">
        <w:rPr>
          <w:szCs w:val="24"/>
        </w:rPr>
        <w:t xml:space="preserve">, </w:t>
      </w:r>
      <w:r w:rsidR="00093013" w:rsidRPr="006C6D2A">
        <w:rPr>
          <w:position w:val="-14"/>
          <w:szCs w:val="24"/>
        </w:rPr>
        <w:object w:dxaOrig="980" w:dyaOrig="380" w14:anchorId="32CBEEE2">
          <v:shape id="_x0000_i1250" type="#_x0000_t75" style="width:48.75pt;height:18.75pt" o:ole="" o:preferrelative="f">
            <v:imagedata r:id="rId434" o:title=""/>
            <o:lock v:ext="edit" aspectratio="f"/>
          </v:shape>
          <o:OLEObject Type="Embed" ProgID="Equation.3" ShapeID="_x0000_i1250" DrawAspect="Content" ObjectID="_1519137099" r:id="rId435"/>
        </w:object>
      </w:r>
      <w:r w:rsidR="008705BD">
        <w:rPr>
          <w:szCs w:val="24"/>
        </w:rPr>
        <w:t xml:space="preserve">, </w:t>
      </w:r>
      <w:r w:rsidR="00093013" w:rsidRPr="006C6D2A">
        <w:rPr>
          <w:position w:val="-14"/>
          <w:szCs w:val="24"/>
        </w:rPr>
        <w:object w:dxaOrig="999" w:dyaOrig="380" w14:anchorId="549821F3">
          <v:shape id="_x0000_i1251" type="#_x0000_t75" style="width:49.5pt;height:18.75pt" o:ole="" o:preferrelative="f">
            <v:imagedata r:id="rId436" o:title=""/>
            <o:lock v:ext="edit" aspectratio="f"/>
          </v:shape>
          <o:OLEObject Type="Embed" ProgID="Equation.3" ShapeID="_x0000_i1251" DrawAspect="Content" ObjectID="_1519137100" r:id="rId437"/>
        </w:object>
      </w:r>
      <w:r w:rsidR="008705BD">
        <w:rPr>
          <w:szCs w:val="24"/>
        </w:rPr>
        <w:t xml:space="preserve">, </w:t>
      </w:r>
      <w:r w:rsidR="00093013" w:rsidRPr="006C6D2A">
        <w:rPr>
          <w:position w:val="-14"/>
          <w:szCs w:val="24"/>
        </w:rPr>
        <w:object w:dxaOrig="980" w:dyaOrig="380" w14:anchorId="6B5B5CEA">
          <v:shape id="_x0000_i1252" type="#_x0000_t75" style="width:48.75pt;height:18.75pt" o:ole="" o:preferrelative="f">
            <v:imagedata r:id="rId438" o:title=""/>
            <o:lock v:ext="edit" aspectratio="f"/>
          </v:shape>
          <o:OLEObject Type="Embed" ProgID="Equation.3" ShapeID="_x0000_i1252" DrawAspect="Content" ObjectID="_1519137101" r:id="rId439"/>
        </w:object>
      </w:r>
      <w:r w:rsidR="0098011B">
        <w:rPr>
          <w:szCs w:val="24"/>
        </w:rPr>
        <w:t xml:space="preserve">, </w:t>
      </w:r>
      <w:r w:rsidR="00093013" w:rsidRPr="006C6D2A">
        <w:rPr>
          <w:position w:val="-14"/>
          <w:szCs w:val="24"/>
        </w:rPr>
        <w:object w:dxaOrig="999" w:dyaOrig="380" w14:anchorId="2B085D98">
          <v:shape id="_x0000_i1253" type="#_x0000_t75" style="width:49.5pt;height:18.75pt" o:ole="" o:preferrelative="f">
            <v:imagedata r:id="rId440" o:title=""/>
            <o:lock v:ext="edit" aspectratio="f"/>
          </v:shape>
          <o:OLEObject Type="Embed" ProgID="Equation.3" ShapeID="_x0000_i1253" DrawAspect="Content" ObjectID="_1519137102" r:id="rId441"/>
        </w:object>
      </w:r>
      <w:r w:rsidR="0098011B">
        <w:rPr>
          <w:szCs w:val="24"/>
        </w:rPr>
        <w:t xml:space="preserve">, </w:t>
      </w:r>
      <w:r w:rsidR="00093013" w:rsidRPr="006C6D2A">
        <w:rPr>
          <w:position w:val="-14"/>
          <w:szCs w:val="24"/>
        </w:rPr>
        <w:object w:dxaOrig="999" w:dyaOrig="380" w14:anchorId="7AFB48F0">
          <v:shape id="_x0000_i1254" type="#_x0000_t75" style="width:49.5pt;height:18.75pt" o:ole="" o:preferrelative="f">
            <v:imagedata r:id="rId442" o:title=""/>
            <o:lock v:ext="edit" aspectratio="f"/>
          </v:shape>
          <o:OLEObject Type="Embed" ProgID="Equation.3" ShapeID="_x0000_i1254" DrawAspect="Content" ObjectID="_1519137103" r:id="rId443"/>
        </w:object>
      </w:r>
      <w:r w:rsidR="00C13080">
        <w:rPr>
          <w:szCs w:val="24"/>
        </w:rPr>
        <w:t xml:space="preserve">, and </w:t>
      </w:r>
      <w:r w:rsidR="00093013" w:rsidRPr="006C6D2A">
        <w:rPr>
          <w:position w:val="-14"/>
          <w:szCs w:val="24"/>
        </w:rPr>
        <w:object w:dxaOrig="999" w:dyaOrig="380" w14:anchorId="181CA681">
          <v:shape id="_x0000_i1255" type="#_x0000_t75" style="width:49.5pt;height:18.75pt" o:ole="" o:preferrelative="f">
            <v:imagedata r:id="rId444" o:title=""/>
            <o:lock v:ext="edit" aspectratio="f"/>
          </v:shape>
          <o:OLEObject Type="Embed" ProgID="Equation.3" ShapeID="_x0000_i1255" DrawAspect="Content" ObjectID="_1519137104" r:id="rId445"/>
        </w:object>
      </w:r>
      <w:r w:rsidR="00564039">
        <w:rPr>
          <w:szCs w:val="24"/>
        </w:rPr>
        <w:t>.</w:t>
      </w:r>
    </w:p>
    <w:p w:rsidR="00D85E8C" w:rsidRPr="00D85E8C" w:rsidRDefault="00FF0C53" w:rsidP="00B72A05">
      <w:pPr>
        <w:pStyle w:val="CM3"/>
        <w:widowControl/>
        <w:spacing w:line="360" w:lineRule="auto"/>
        <w:ind w:firstLine="720"/>
        <w:jc w:val="both"/>
      </w:pPr>
      <w:r>
        <w:t>T</w:t>
      </w:r>
      <w:r w:rsidR="00D85E8C">
        <w:t>he weight mixture values</w:t>
      </w:r>
      <w:r>
        <w:t xml:space="preserve"> </w:t>
      </w:r>
      <w:r w:rsidR="00655A18" w:rsidRPr="00D85E8C">
        <w:rPr>
          <w:position w:val="-10"/>
        </w:rPr>
        <w:object w:dxaOrig="260" w:dyaOrig="340" w14:anchorId="4D07F6C6">
          <v:shape id="_x0000_i1256" type="#_x0000_t75" style="width:12.75pt;height:17.25pt" o:ole="" o:preferrelative="f">
            <v:imagedata r:id="rId446" o:title=""/>
            <o:lock v:ext="edit" aspectratio="f"/>
          </v:shape>
          <o:OLEObject Type="Embed" ProgID="Equation.3" ShapeID="_x0000_i1256" DrawAspect="Content" ObjectID="_1519137105" r:id="rId447"/>
        </w:object>
      </w:r>
      <w:r>
        <w:t xml:space="preserve"> </w:t>
      </w:r>
      <w:r w:rsidR="00D85E8C">
        <w:t xml:space="preserve">and </w:t>
      </w:r>
      <w:r w:rsidR="00655A18" w:rsidRPr="00D85E8C">
        <w:rPr>
          <w:position w:val="-10"/>
        </w:rPr>
        <w:object w:dxaOrig="300" w:dyaOrig="340" w14:anchorId="735E9714">
          <v:shape id="_x0000_i1257" type="#_x0000_t75" style="width:15pt;height:17.25pt" o:ole="" o:preferrelative="f">
            <v:imagedata r:id="rId448" o:title=""/>
            <o:lock v:ext="edit" aspectratio="f"/>
          </v:shape>
          <o:OLEObject Type="Embed" ProgID="Equation.3" ShapeID="_x0000_i1257" DrawAspect="Content" ObjectID="_1519137106" r:id="rId449"/>
        </w:object>
      </w:r>
      <w:r w:rsidR="00D85E8C">
        <w:t xml:space="preserve"> </w:t>
      </w:r>
      <w:r>
        <w:t>are set by specifying the</w:t>
      </w:r>
      <w:r w:rsidR="00D85E8C">
        <w:t xml:space="preserve"> vector </w:t>
      </w:r>
      <w:r w:rsidR="00655A18" w:rsidRPr="00D85E8C">
        <w:rPr>
          <w:position w:val="-14"/>
        </w:rPr>
        <w:object w:dxaOrig="320" w:dyaOrig="380" w14:anchorId="1F81D6C0">
          <v:shape id="_x0000_i1258" type="#_x0000_t75" style="width:15.75pt;height:17.25pt" o:ole="" o:preferrelative="f">
            <v:imagedata r:id="rId450" o:title=""/>
            <o:lock v:ext="edit" aspectratio="f"/>
          </v:shape>
          <o:OLEObject Type="Embed" ProgID="Equation.3" ShapeID="_x0000_i1258" DrawAspect="Content" ObjectID="_1519137107" r:id="rId451"/>
        </w:object>
      </w:r>
      <w:r w:rsidR="00D85E8C">
        <w:t xml:space="preserve"> to include a constant and an independent variable </w:t>
      </w:r>
      <w:r w:rsidR="00093013" w:rsidRPr="00A142C3">
        <w:rPr>
          <w:position w:val="-14"/>
        </w:rPr>
        <w:object w:dxaOrig="360" w:dyaOrig="380" w14:anchorId="29B5B012">
          <v:shape id="_x0000_i1259" type="#_x0000_t75" style="width:18.75pt;height:18.75pt" o:ole="" o:preferrelative="f">
            <v:imagedata r:id="rId452" o:title=""/>
            <o:lock v:ext="edit" aspectratio="f"/>
          </v:shape>
          <o:OLEObject Type="Embed" ProgID="Equation.3" ShapeID="_x0000_i1259" DrawAspect="Content" ObjectID="_1519137108" r:id="rId453"/>
        </w:object>
      </w:r>
      <w:r w:rsidR="00D85E8C">
        <w:t xml:space="preserve"> drawn from </w:t>
      </w:r>
      <w:r w:rsidR="00EF658C">
        <w:t xml:space="preserve">a </w:t>
      </w:r>
      <w:r w:rsidR="00D85E8C">
        <w:t>standard univariate normal distribution. That is</w:t>
      </w:r>
      <w:proofErr w:type="gramStart"/>
      <w:r w:rsidR="00D85E8C">
        <w:t xml:space="preserve">, </w:t>
      </w:r>
      <w:proofErr w:type="gramEnd"/>
      <w:r w:rsidR="00093013" w:rsidRPr="00D85E8C">
        <w:rPr>
          <w:position w:val="-14"/>
        </w:rPr>
        <w:object w:dxaOrig="1240" w:dyaOrig="480" w14:anchorId="7D7EB42A">
          <v:shape id="_x0000_i1260" type="#_x0000_t75" style="width:62.25pt;height:23.25pt" o:ole="" o:preferrelative="f">
            <v:imagedata r:id="rId454" o:title=""/>
            <o:lock v:ext="edit" aspectratio="f"/>
          </v:shape>
          <o:OLEObject Type="Embed" ProgID="Equation.3" ShapeID="_x0000_i1260" DrawAspect="Content" ObjectID="_1519137109" r:id="rId455"/>
        </w:object>
      </w:r>
      <w:r w:rsidR="00D85E8C">
        <w:t xml:space="preserve">. Also we specify </w:t>
      </w:r>
      <w:r w:rsidR="00655A18" w:rsidRPr="00D85E8C">
        <w:rPr>
          <w:position w:val="-10"/>
        </w:rPr>
        <w:object w:dxaOrig="999" w:dyaOrig="440" w14:anchorId="64816056">
          <v:shape id="_x0000_i1261" type="#_x0000_t75" style="width:49.5pt;height:22.5pt" o:ole="" o:preferrelative="f">
            <v:imagedata r:id="rId456" o:title=""/>
            <o:lock v:ext="edit" aspectratio="f"/>
          </v:shape>
          <o:OLEObject Type="Embed" ProgID="Equation.3" ShapeID="_x0000_i1261" DrawAspect="Content" ObjectID="_1519137110" r:id="rId457"/>
        </w:object>
      </w:r>
      <w:r w:rsidR="00D85E8C">
        <w:t xml:space="preserve"> for normalization and </w:t>
      </w:r>
      <w:r w:rsidR="00655A18" w:rsidRPr="00D85E8C">
        <w:rPr>
          <w:position w:val="-10"/>
        </w:rPr>
        <w:object w:dxaOrig="1380" w:dyaOrig="440" w14:anchorId="3723101D">
          <v:shape id="_x0000_i1262" type="#_x0000_t75" style="width:69pt;height:22.5pt" o:ole="" o:preferrelative="f">
            <v:imagedata r:id="rId458" o:title=""/>
            <o:lock v:ext="edit" aspectratio="f"/>
          </v:shape>
          <o:OLEObject Type="Embed" ProgID="Equation.3" ShapeID="_x0000_i1262" DrawAspect="Content" ObjectID="_1519137111" r:id="rId459"/>
        </w:object>
      </w:r>
      <w:r w:rsidR="00D85E8C">
        <w:t xml:space="preserve"> for the </w:t>
      </w:r>
      <w:r w:rsidR="00D85E8C">
        <w:lastRenderedPageBreak/>
        <w:t xml:space="preserve">second segment. Finally, we use a </w:t>
      </w:r>
      <w:r w:rsidR="00655A18" w:rsidRPr="00D85E8C">
        <w:rPr>
          <w:position w:val="-10"/>
        </w:rPr>
        <w:object w:dxaOrig="200" w:dyaOrig="260" w14:anchorId="7FABBF6D">
          <v:shape id="_x0000_i1263" type="#_x0000_t75" style="width:9.75pt;height:12.75pt" o:ole="" o:preferrelative="f">
            <v:imagedata r:id="rId460" o:title=""/>
            <o:lock v:ext="edit" aspectratio="f"/>
          </v:shape>
          <o:OLEObject Type="Embed" ProgID="Equation.3" ShapeID="_x0000_i1263" DrawAspect="Content" ObjectID="_1519137112" r:id="rId461"/>
        </w:object>
      </w:r>
      <w:r w:rsidR="00D85E8C">
        <w:t>-profile in our estimations, and set the satiations parameters for all three alternatives to 1</w:t>
      </w:r>
      <w:r w:rsidR="00416849">
        <w:t xml:space="preserve"> in both segments</w:t>
      </w:r>
      <w:r w:rsidR="00D85E8C">
        <w:t xml:space="preserve">. That is, </w:t>
      </w:r>
      <w:r w:rsidR="00655A18" w:rsidRPr="00D85E8C">
        <w:rPr>
          <w:position w:val="-12"/>
        </w:rPr>
        <w:object w:dxaOrig="1760" w:dyaOrig="360" w14:anchorId="50FD87E9">
          <v:shape id="_x0000_i1264" type="#_x0000_t75" style="width:87.75pt;height:18.75pt" o:ole="" o:preferrelative="f">
            <v:imagedata r:id="rId462" o:title=""/>
            <o:lock v:ext="edit" aspectratio="f"/>
          </v:shape>
          <o:OLEObject Type="Embed" ProgID="Equation.3" ShapeID="_x0000_i1264" DrawAspect="Content" ObjectID="_1519137113" r:id="rId463"/>
        </w:object>
      </w:r>
      <w:r w:rsidR="00416849">
        <w:t xml:space="preserve"> for the first segment, and </w:t>
      </w:r>
      <w:r w:rsidR="00655A18" w:rsidRPr="00D85E8C">
        <w:rPr>
          <w:position w:val="-12"/>
        </w:rPr>
        <w:object w:dxaOrig="1800" w:dyaOrig="360" w14:anchorId="1C7A00DC">
          <v:shape id="_x0000_i1265" type="#_x0000_t75" style="width:90pt;height:18.75pt" o:ole="" o:preferrelative="f">
            <v:imagedata r:id="rId464" o:title=""/>
            <o:lock v:ext="edit" aspectratio="f"/>
          </v:shape>
          <o:OLEObject Type="Embed" ProgID="Equation.3" ShapeID="_x0000_i1265" DrawAspect="Content" ObjectID="_1519137114" r:id="rId465"/>
        </w:object>
      </w:r>
      <w:r w:rsidR="00416849">
        <w:t xml:space="preserve"> for the second segment. </w:t>
      </w:r>
    </w:p>
    <w:p w:rsidR="00FF0C53" w:rsidRDefault="00FF0C53" w:rsidP="00B72A05">
      <w:pPr>
        <w:pStyle w:val="CM3"/>
        <w:widowControl/>
        <w:spacing w:line="360" w:lineRule="auto"/>
        <w:ind w:firstLine="720"/>
        <w:jc w:val="both"/>
      </w:pPr>
      <w:r>
        <w:t xml:space="preserve"> </w:t>
      </w:r>
      <w:r w:rsidR="00D85E8C">
        <w:t>Overall, the parameters to be estimated in the two-mixture case include the following:</w:t>
      </w:r>
      <w:r w:rsidR="00D63E4B">
        <w:t xml:space="preserve"> </w:t>
      </w:r>
      <w:r w:rsidR="00D63E4B" w:rsidRPr="00D63E4B">
        <w:rPr>
          <w:i/>
        </w:rPr>
        <w:t>b</w:t>
      </w:r>
      <w:r w:rsidR="00D63E4B" w:rsidRPr="006B556B">
        <w:rPr>
          <w:vertAlign w:val="subscript"/>
        </w:rPr>
        <w:t>11</w:t>
      </w:r>
      <w:r w:rsidR="00D63E4B">
        <w:t xml:space="preserve">=1, </w:t>
      </w:r>
      <w:r w:rsidR="00D63E4B" w:rsidRPr="00D63E4B">
        <w:rPr>
          <w:i/>
        </w:rPr>
        <w:t>b</w:t>
      </w:r>
      <w:r w:rsidR="00D63E4B" w:rsidRPr="006B556B">
        <w:rPr>
          <w:vertAlign w:val="subscript"/>
        </w:rPr>
        <w:t>12</w:t>
      </w:r>
      <w:r w:rsidR="00D63E4B">
        <w:t xml:space="preserve">=2, </w:t>
      </w:r>
      <w:r w:rsidR="00D63E4B" w:rsidRPr="00D63E4B">
        <w:rPr>
          <w:i/>
        </w:rPr>
        <w:t>b</w:t>
      </w:r>
      <w:r w:rsidR="00D63E4B" w:rsidRPr="006B556B">
        <w:rPr>
          <w:vertAlign w:val="subscript"/>
        </w:rPr>
        <w:t>13</w:t>
      </w:r>
      <w:r w:rsidR="00D63E4B">
        <w:t xml:space="preserve">=0.6, </w:t>
      </w:r>
      <w:r w:rsidR="00D63E4B" w:rsidRPr="00D63E4B">
        <w:rPr>
          <w:i/>
        </w:rPr>
        <w:t>b</w:t>
      </w:r>
      <w:r w:rsidR="00D63E4B" w:rsidRPr="006B556B">
        <w:rPr>
          <w:vertAlign w:val="subscript"/>
        </w:rPr>
        <w:t>21</w:t>
      </w:r>
      <w:r w:rsidR="00D63E4B">
        <w:t xml:space="preserve">=2, </w:t>
      </w:r>
      <w:r w:rsidR="00D63E4B" w:rsidRPr="00D63E4B">
        <w:rPr>
          <w:i/>
        </w:rPr>
        <w:t>b</w:t>
      </w:r>
      <w:r w:rsidR="00D63E4B" w:rsidRPr="006B556B">
        <w:rPr>
          <w:vertAlign w:val="subscript"/>
        </w:rPr>
        <w:t>22</w:t>
      </w:r>
      <w:r w:rsidR="00D63E4B">
        <w:t xml:space="preserve">=1.5, </w:t>
      </w:r>
      <w:r w:rsidR="00D63E4B" w:rsidRPr="00D63E4B">
        <w:rPr>
          <w:i/>
        </w:rPr>
        <w:t>b</w:t>
      </w:r>
      <w:r w:rsidR="00D63E4B" w:rsidRPr="006B556B">
        <w:rPr>
          <w:vertAlign w:val="subscript"/>
        </w:rPr>
        <w:t>23</w:t>
      </w:r>
      <w:r w:rsidR="00D63E4B">
        <w:t xml:space="preserve">=0.2, </w:t>
      </w:r>
      <w:r w:rsidR="006B556B" w:rsidRPr="00564039">
        <w:rPr>
          <w:position w:val="-6"/>
        </w:rPr>
        <w:object w:dxaOrig="220" w:dyaOrig="340" w14:anchorId="6E63AB71">
          <v:shape id="_x0000_i1266" type="#_x0000_t75" style="width:11.25pt;height:17.25pt" o:ole="" o:preferrelative="f">
            <v:imagedata r:id="rId420" o:title=""/>
            <o:lock v:ext="edit" aspectratio="f"/>
          </v:shape>
          <o:OLEObject Type="Embed" ProgID="Equation.3" ShapeID="_x0000_i1266" DrawAspect="Content" ObjectID="_1519137115" r:id="rId466"/>
        </w:object>
      </w:r>
      <w:r w:rsidR="00D63E4B">
        <w:t xml:space="preserve">=0.5, </w:t>
      </w:r>
      <w:r w:rsidR="00093013" w:rsidRPr="006C6D2A">
        <w:rPr>
          <w:position w:val="-14"/>
        </w:rPr>
        <w:object w:dxaOrig="980" w:dyaOrig="380" w14:anchorId="54BB9DB4">
          <v:shape id="_x0000_i1267" type="#_x0000_t75" style="width:48.75pt;height:18.75pt" o:ole="" o:preferrelative="f">
            <v:imagedata r:id="rId424" o:title=""/>
            <o:lock v:ext="edit" aspectratio="f"/>
          </v:shape>
          <o:OLEObject Type="Embed" ProgID="Equation.3" ShapeID="_x0000_i1267" DrawAspect="Content" ObjectID="_1519137116" r:id="rId467"/>
        </w:object>
      </w:r>
      <w:r w:rsidR="00D63E4B">
        <w:t xml:space="preserve">, </w:t>
      </w:r>
      <w:r w:rsidR="00093013" w:rsidRPr="006C6D2A">
        <w:rPr>
          <w:position w:val="-14"/>
        </w:rPr>
        <w:object w:dxaOrig="1219" w:dyaOrig="380" w14:anchorId="3C9DDD21">
          <v:shape id="_x0000_i1268" type="#_x0000_t75" style="width:60.75pt;height:18.75pt" o:ole="" o:preferrelative="f">
            <v:imagedata r:id="rId468" o:title=""/>
            <o:lock v:ext="edit" aspectratio="f"/>
          </v:shape>
          <o:OLEObject Type="Embed" ProgID="Equation.3" ShapeID="_x0000_i1268" DrawAspect="Content" ObjectID="_1519137117" r:id="rId469"/>
        </w:object>
      </w:r>
      <w:r w:rsidR="00D63E4B">
        <w:t xml:space="preserve">, </w:t>
      </w:r>
      <w:r w:rsidR="00093013" w:rsidRPr="006C6D2A">
        <w:rPr>
          <w:position w:val="-14"/>
        </w:rPr>
        <w:object w:dxaOrig="980" w:dyaOrig="380" w14:anchorId="0F39138F">
          <v:shape id="_x0000_i1269" type="#_x0000_t75" style="width:48.75pt;height:18.75pt" o:ole="" o:preferrelative="f">
            <v:imagedata r:id="rId470" o:title=""/>
            <o:lock v:ext="edit" aspectratio="f"/>
          </v:shape>
          <o:OLEObject Type="Embed" ProgID="Equation.3" ShapeID="_x0000_i1269" DrawAspect="Content" ObjectID="_1519137118" r:id="rId471"/>
        </w:object>
      </w:r>
      <w:r w:rsidR="00D63E4B">
        <w:t xml:space="preserve">, </w:t>
      </w:r>
      <w:r w:rsidR="00093013" w:rsidRPr="006C6D2A">
        <w:rPr>
          <w:position w:val="-14"/>
        </w:rPr>
        <w:object w:dxaOrig="1219" w:dyaOrig="380" w14:anchorId="1BAFFCE3">
          <v:shape id="_x0000_i1270" type="#_x0000_t75" style="width:60.75pt;height:18.75pt" o:ole="" o:preferrelative="f">
            <v:imagedata r:id="rId430" o:title=""/>
            <o:lock v:ext="edit" aspectratio="f"/>
          </v:shape>
          <o:OLEObject Type="Embed" ProgID="Equation.3" ShapeID="_x0000_i1270" DrawAspect="Content" ObjectID="_1519137119" r:id="rId472"/>
        </w:object>
      </w:r>
      <w:r w:rsidR="00D63E4B">
        <w:t xml:space="preserve">, </w:t>
      </w:r>
      <w:r w:rsidR="00093013" w:rsidRPr="006C6D2A">
        <w:rPr>
          <w:position w:val="-14"/>
        </w:rPr>
        <w:object w:dxaOrig="1260" w:dyaOrig="380" w14:anchorId="4985632F">
          <v:shape id="_x0000_i1271" type="#_x0000_t75" style="width:63.75pt;height:18.75pt" o:ole="" o:preferrelative="f">
            <v:imagedata r:id="rId432" o:title=""/>
            <o:lock v:ext="edit" aspectratio="f"/>
          </v:shape>
          <o:OLEObject Type="Embed" ProgID="Equation.3" ShapeID="_x0000_i1271" DrawAspect="Content" ObjectID="_1519137120" r:id="rId473"/>
        </w:object>
      </w:r>
      <w:r w:rsidR="00D63E4B">
        <w:t xml:space="preserve">, </w:t>
      </w:r>
      <w:r w:rsidR="00093013" w:rsidRPr="006C6D2A">
        <w:rPr>
          <w:position w:val="-14"/>
        </w:rPr>
        <w:object w:dxaOrig="980" w:dyaOrig="380" w14:anchorId="1D3AF04C">
          <v:shape id="_x0000_i1272" type="#_x0000_t75" style="width:48.75pt;height:18.75pt" o:ole="" o:preferrelative="f">
            <v:imagedata r:id="rId474" o:title=""/>
            <o:lock v:ext="edit" aspectratio="f"/>
          </v:shape>
          <o:OLEObject Type="Embed" ProgID="Equation.3" ShapeID="_x0000_i1272" DrawAspect="Content" ObjectID="_1519137121" r:id="rId475"/>
        </w:object>
      </w:r>
      <w:r w:rsidR="00D63E4B">
        <w:t xml:space="preserve">, </w:t>
      </w:r>
      <w:r w:rsidR="00093013" w:rsidRPr="006C6D2A">
        <w:rPr>
          <w:position w:val="-14"/>
        </w:rPr>
        <w:object w:dxaOrig="999" w:dyaOrig="380" w14:anchorId="79214E80">
          <v:shape id="_x0000_i1273" type="#_x0000_t75" style="width:49.5pt;height:18.75pt" o:ole="" o:preferrelative="f">
            <v:imagedata r:id="rId476" o:title=""/>
            <o:lock v:ext="edit" aspectratio="f"/>
          </v:shape>
          <o:OLEObject Type="Embed" ProgID="Equation.3" ShapeID="_x0000_i1273" DrawAspect="Content" ObjectID="_1519137122" r:id="rId477"/>
        </w:object>
      </w:r>
      <w:r w:rsidR="00D63E4B">
        <w:t xml:space="preserve">, </w:t>
      </w:r>
      <w:r w:rsidR="00093013" w:rsidRPr="006C6D2A">
        <w:rPr>
          <w:position w:val="-14"/>
        </w:rPr>
        <w:object w:dxaOrig="999" w:dyaOrig="380" w14:anchorId="0DCD7BDD">
          <v:shape id="_x0000_i1274" type="#_x0000_t75" style="width:49.5pt;height:18.75pt" o:ole="" o:preferrelative="f">
            <v:imagedata r:id="rId478" o:title=""/>
            <o:lock v:ext="edit" aspectratio="f"/>
          </v:shape>
          <o:OLEObject Type="Embed" ProgID="Equation.3" ShapeID="_x0000_i1274" DrawAspect="Content" ObjectID="_1519137123" r:id="rId479"/>
        </w:object>
      </w:r>
      <w:r w:rsidR="00D63E4B">
        <w:t xml:space="preserve">, </w:t>
      </w:r>
      <w:r w:rsidR="00093013" w:rsidRPr="006C6D2A">
        <w:rPr>
          <w:position w:val="-14"/>
        </w:rPr>
        <w:object w:dxaOrig="999" w:dyaOrig="380" w14:anchorId="1F158E66">
          <v:shape id="_x0000_i1275" type="#_x0000_t75" style="width:49.5pt;height:18.75pt" o:ole="" o:preferrelative="f">
            <v:imagedata r:id="rId480" o:title=""/>
            <o:lock v:ext="edit" aspectratio="f"/>
          </v:shape>
          <o:OLEObject Type="Embed" ProgID="Equation.3" ShapeID="_x0000_i1275" DrawAspect="Content" ObjectID="_1519137124" r:id="rId481"/>
        </w:object>
      </w:r>
      <w:r w:rsidR="00D63E4B">
        <w:t xml:space="preserve">, </w:t>
      </w:r>
      <w:r w:rsidR="00093013" w:rsidRPr="006C6D2A">
        <w:rPr>
          <w:position w:val="-14"/>
        </w:rPr>
        <w:object w:dxaOrig="999" w:dyaOrig="380" w14:anchorId="1904B2FA">
          <v:shape id="_x0000_i1276" type="#_x0000_t75" style="width:49.5pt;height:18.75pt" o:ole="" o:preferrelative="f">
            <v:imagedata r:id="rId482" o:title=""/>
            <o:lock v:ext="edit" aspectratio="f"/>
          </v:shape>
          <o:OLEObject Type="Embed" ProgID="Equation.3" ShapeID="_x0000_i1276" DrawAspect="Content" ObjectID="_1519137125" r:id="rId483"/>
        </w:object>
      </w:r>
      <w:r w:rsidR="00D63E4B">
        <w:t xml:space="preserve">, and </w:t>
      </w:r>
      <w:r w:rsidR="00093013" w:rsidRPr="006C6D2A">
        <w:rPr>
          <w:position w:val="-14"/>
        </w:rPr>
        <w:object w:dxaOrig="980" w:dyaOrig="380" w14:anchorId="6452E514">
          <v:shape id="_x0000_i1277" type="#_x0000_t75" style="width:48.75pt;height:18.75pt" o:ole="" o:preferrelative="f">
            <v:imagedata r:id="rId484" o:title=""/>
            <o:lock v:ext="edit" aspectratio="f"/>
          </v:shape>
          <o:OLEObject Type="Embed" ProgID="Equation.3" ShapeID="_x0000_i1277" DrawAspect="Content" ObjectID="_1519137126" r:id="rId485"/>
        </w:object>
      </w:r>
      <w:r w:rsidR="00D63E4B">
        <w:t xml:space="preserve">, </w:t>
      </w:r>
      <w:r w:rsidR="006B556B" w:rsidRPr="00D85E8C">
        <w:rPr>
          <w:position w:val="-10"/>
        </w:rPr>
        <w:object w:dxaOrig="920" w:dyaOrig="340" w14:anchorId="0A93A826">
          <v:shape id="_x0000_i1278" type="#_x0000_t75" style="width:47.25pt;height:17.25pt" o:ole="" o:preferrelative="f">
            <v:imagedata r:id="rId486" o:title=""/>
            <o:lock v:ext="edit" aspectratio="f"/>
          </v:shape>
          <o:OLEObject Type="Embed" ProgID="Equation.3" ShapeID="_x0000_i1278" DrawAspect="Content" ObjectID="_1519137127" r:id="rId487"/>
        </w:object>
      </w:r>
      <w:r w:rsidR="00D63E4B">
        <w:t xml:space="preserve">, </w:t>
      </w:r>
      <w:r w:rsidR="006B556B" w:rsidRPr="00D85E8C">
        <w:rPr>
          <w:position w:val="-10"/>
        </w:rPr>
        <w:object w:dxaOrig="920" w:dyaOrig="340" w14:anchorId="53CEA245">
          <v:shape id="_x0000_i1279" type="#_x0000_t75" style="width:47.25pt;height:17.25pt" o:ole="" o:preferrelative="f">
            <v:imagedata r:id="rId488" o:title=""/>
            <o:lock v:ext="edit" aspectratio="f"/>
          </v:shape>
          <o:OLEObject Type="Embed" ProgID="Equation.3" ShapeID="_x0000_i1279" DrawAspect="Content" ObjectID="_1519137128" r:id="rId489"/>
        </w:object>
      </w:r>
      <w:r w:rsidR="00D63E4B">
        <w:t xml:space="preserve">, </w:t>
      </w:r>
      <w:r w:rsidR="006B556B" w:rsidRPr="00D85E8C">
        <w:rPr>
          <w:position w:val="-10"/>
        </w:rPr>
        <w:object w:dxaOrig="680" w:dyaOrig="340" w14:anchorId="3CE529A3">
          <v:shape id="_x0000_i1280" type="#_x0000_t75" style="width:33pt;height:17.25pt" o:ole="" o:preferrelative="f">
            <v:imagedata r:id="rId490" o:title=""/>
            <o:lock v:ext="edit" aspectratio="f"/>
          </v:shape>
          <o:OLEObject Type="Embed" ProgID="Equation.3" ShapeID="_x0000_i1280" DrawAspect="Content" ObjectID="_1519137129" r:id="rId491"/>
        </w:object>
      </w:r>
      <w:r w:rsidR="00D63E4B">
        <w:t xml:space="preserve">, </w:t>
      </w:r>
      <w:r w:rsidR="006B556B" w:rsidRPr="00D85E8C">
        <w:rPr>
          <w:position w:val="-10"/>
        </w:rPr>
        <w:object w:dxaOrig="680" w:dyaOrig="340" w14:anchorId="60F446A0">
          <v:shape id="_x0000_i1281" type="#_x0000_t75" style="width:33pt;height:17.25pt" o:ole="" o:preferrelative="f">
            <v:imagedata r:id="rId492" o:title=""/>
            <o:lock v:ext="edit" aspectratio="f"/>
          </v:shape>
          <o:OLEObject Type="Embed" ProgID="Equation.3" ShapeID="_x0000_i1281" DrawAspect="Content" ObjectID="_1519137130" r:id="rId493"/>
        </w:object>
      </w:r>
      <w:r w:rsidR="00D63E4B">
        <w:t xml:space="preserve">, </w:t>
      </w:r>
      <w:r w:rsidR="006B556B" w:rsidRPr="00D63E4B">
        <w:rPr>
          <w:position w:val="-12"/>
        </w:rPr>
        <w:object w:dxaOrig="680" w:dyaOrig="360" w14:anchorId="5193987A">
          <v:shape id="_x0000_i1282" type="#_x0000_t75" style="width:33pt;height:18.75pt" o:ole="" o:preferrelative="f">
            <v:imagedata r:id="rId494" o:title=""/>
            <o:lock v:ext="edit" aspectratio="f"/>
          </v:shape>
          <o:OLEObject Type="Embed" ProgID="Equation.3" ShapeID="_x0000_i1282" DrawAspect="Content" ObjectID="_1519137131" r:id="rId495"/>
        </w:object>
      </w:r>
      <w:r w:rsidR="00416849">
        <w:t xml:space="preserve">, </w:t>
      </w:r>
      <w:r w:rsidR="006B556B" w:rsidRPr="00D85E8C">
        <w:rPr>
          <w:position w:val="-10"/>
        </w:rPr>
        <w:object w:dxaOrig="680" w:dyaOrig="340" w14:anchorId="219CDC02">
          <v:shape id="_x0000_i1283" type="#_x0000_t75" style="width:33pt;height:17.25pt" o:ole="" o:preferrelative="f">
            <v:imagedata r:id="rId496" o:title=""/>
            <o:lock v:ext="edit" aspectratio="f"/>
          </v:shape>
          <o:OLEObject Type="Embed" ProgID="Equation.3" ShapeID="_x0000_i1283" DrawAspect="Content" ObjectID="_1519137132" r:id="rId497"/>
        </w:object>
      </w:r>
      <w:r w:rsidR="00416849">
        <w:t xml:space="preserve">, </w:t>
      </w:r>
      <w:r w:rsidR="006B556B" w:rsidRPr="00D85E8C">
        <w:rPr>
          <w:position w:val="-10"/>
        </w:rPr>
        <w:object w:dxaOrig="700" w:dyaOrig="340" w14:anchorId="19B0FD4A">
          <v:shape id="_x0000_i1284" type="#_x0000_t75" style="width:35.25pt;height:17.25pt" o:ole="" o:preferrelative="f">
            <v:imagedata r:id="rId498" o:title=""/>
            <o:lock v:ext="edit" aspectratio="f"/>
          </v:shape>
          <o:OLEObject Type="Embed" ProgID="Equation.3" ShapeID="_x0000_i1284" DrawAspect="Content" ObjectID="_1519137133" r:id="rId499"/>
        </w:object>
      </w:r>
      <w:r w:rsidR="00416849">
        <w:t xml:space="preserve">, and </w:t>
      </w:r>
      <w:r w:rsidR="006B556B" w:rsidRPr="00D63E4B">
        <w:rPr>
          <w:position w:val="-12"/>
        </w:rPr>
        <w:object w:dxaOrig="700" w:dyaOrig="360" w14:anchorId="35F1BB14">
          <v:shape id="_x0000_i1285" type="#_x0000_t75" style="width:35.25pt;height:18.75pt" o:ole="" o:preferrelative="f">
            <v:imagedata r:id="rId500" o:title=""/>
            <o:lock v:ext="edit" aspectratio="f"/>
          </v:shape>
          <o:OLEObject Type="Embed" ProgID="Equation.3" ShapeID="_x0000_i1285" DrawAspect="Content" ObjectID="_1519137134" r:id="rId501"/>
        </w:object>
      </w:r>
      <w:r w:rsidR="00416849">
        <w:t>.</w:t>
      </w:r>
    </w:p>
    <w:p w:rsidR="00D63E4B" w:rsidRPr="00D63E4B" w:rsidRDefault="00D63E4B" w:rsidP="00B72A05">
      <w:pPr>
        <w:pStyle w:val="Default"/>
        <w:spacing w:line="360" w:lineRule="auto"/>
      </w:pPr>
    </w:p>
    <w:p w:rsidR="00D63E4B" w:rsidRPr="0090442A" w:rsidRDefault="00D63E4B" w:rsidP="00B72A05">
      <w:pPr>
        <w:pStyle w:val="CM3"/>
        <w:widowControl/>
        <w:spacing w:line="360" w:lineRule="auto"/>
        <w:jc w:val="both"/>
      </w:pPr>
      <w:r w:rsidRPr="0090442A">
        <w:rPr>
          <w:i/>
        </w:rPr>
        <w:t>3.1.2 Three-</w:t>
      </w:r>
      <w:r w:rsidR="0090442A" w:rsidRPr="0090442A">
        <w:rPr>
          <w:i/>
        </w:rPr>
        <w:t>S</w:t>
      </w:r>
      <w:r w:rsidR="00146D29" w:rsidRPr="0090442A">
        <w:rPr>
          <w:i/>
        </w:rPr>
        <w:t xml:space="preserve">egment </w:t>
      </w:r>
      <w:r w:rsidR="0090442A" w:rsidRPr="0090442A">
        <w:rPr>
          <w:i/>
        </w:rPr>
        <w:t>C</w:t>
      </w:r>
      <w:r w:rsidRPr="0090442A">
        <w:rPr>
          <w:i/>
        </w:rPr>
        <w:t>ase</w:t>
      </w:r>
    </w:p>
    <w:p w:rsidR="00D63E4B" w:rsidRDefault="00D63E4B" w:rsidP="00D63E4B">
      <w:pPr>
        <w:pStyle w:val="CM3"/>
        <w:widowControl/>
        <w:spacing w:line="360" w:lineRule="auto"/>
        <w:jc w:val="both"/>
      </w:pPr>
      <w:r>
        <w:t>In this case, we assume the hybrid coefficients as follows:</w:t>
      </w:r>
    </w:p>
    <w:p w:rsidR="00FF0C53" w:rsidRDefault="00ED7A8D" w:rsidP="00D63E4B">
      <w:pPr>
        <w:tabs>
          <w:tab w:val="right" w:pos="9360"/>
        </w:tabs>
        <w:spacing w:before="120" w:after="120" w:line="360" w:lineRule="auto"/>
        <w:rPr>
          <w:szCs w:val="24"/>
        </w:rPr>
      </w:pPr>
      <w:r w:rsidRPr="005E7BC0">
        <w:rPr>
          <w:position w:val="-14"/>
          <w:szCs w:val="24"/>
        </w:rPr>
        <w:object w:dxaOrig="6720" w:dyaOrig="400" w14:anchorId="33310ABB">
          <v:shape id="_x0000_i1286" type="#_x0000_t75" style="width:336pt;height:20.25pt" o:ole="" o:preferrelative="f">
            <v:imagedata r:id="rId502" o:title=""/>
            <o:lock v:ext="edit" aspectratio="f"/>
          </v:shape>
          <o:OLEObject Type="Embed" ProgID="Equation.3" ShapeID="_x0000_i1286" DrawAspect="Content" ObjectID="_1519137135" r:id="rId503"/>
        </w:object>
      </w:r>
      <w:r w:rsidR="00D63E4B">
        <w:rPr>
          <w:szCs w:val="24"/>
        </w:rPr>
        <w:t xml:space="preserve">   </w:t>
      </w:r>
      <w:r w:rsidR="00D06A04">
        <w:rPr>
          <w:szCs w:val="24"/>
        </w:rPr>
        <w:t xml:space="preserve">                             </w:t>
      </w:r>
      <w:r w:rsidR="00320DF9">
        <w:rPr>
          <w:szCs w:val="24"/>
        </w:rPr>
        <w:tab/>
      </w:r>
      <w:r w:rsidR="00D06A04">
        <w:rPr>
          <w:szCs w:val="24"/>
        </w:rPr>
        <w:t xml:space="preserve"> </w:t>
      </w:r>
      <w:r w:rsidR="00D63E4B">
        <w:rPr>
          <w:szCs w:val="24"/>
        </w:rPr>
        <w:t>(1</w:t>
      </w:r>
      <w:r w:rsidR="008B1E86">
        <w:rPr>
          <w:szCs w:val="24"/>
        </w:rPr>
        <w:t>6</w:t>
      </w:r>
      <w:r w:rsidR="00D63E4B">
        <w:rPr>
          <w:szCs w:val="24"/>
        </w:rPr>
        <w:t>)</w:t>
      </w:r>
    </w:p>
    <w:p w:rsidR="004D4345" w:rsidRDefault="00D63E4B" w:rsidP="00D63E4B">
      <w:pPr>
        <w:spacing w:line="360" w:lineRule="auto"/>
        <w:rPr>
          <w:szCs w:val="24"/>
        </w:rPr>
      </w:pPr>
      <w:proofErr w:type="gramStart"/>
      <w:r>
        <w:t xml:space="preserve">where </w:t>
      </w:r>
      <w:proofErr w:type="gramEnd"/>
      <w:r w:rsidR="00ED7A8D" w:rsidRPr="00D63E4B">
        <w:rPr>
          <w:position w:val="-10"/>
        </w:rPr>
        <w:object w:dxaOrig="720" w:dyaOrig="360" w14:anchorId="49C316BF">
          <v:shape id="_x0000_i1287" type="#_x0000_t75" style="width:36pt;height:18.75pt" o:ole="" o:preferrelative="f">
            <v:imagedata r:id="rId504" o:title=""/>
            <o:lock v:ext="edit" aspectratio="f"/>
          </v:shape>
          <o:OLEObject Type="Embed" ProgID="Equation.3" ShapeID="_x0000_i1287" DrawAspect="Content" ObjectID="_1519137136" r:id="rId505"/>
        </w:object>
      </w:r>
      <w:r>
        <w:t>,</w:t>
      </w:r>
      <w:r w:rsidR="00ED7A8D" w:rsidRPr="00AE371A">
        <w:rPr>
          <w:position w:val="-10"/>
        </w:rPr>
        <w:object w:dxaOrig="740" w:dyaOrig="360" w14:anchorId="78358D8B">
          <v:shape id="_x0000_i1288" type="#_x0000_t75" style="width:36.75pt;height:18.75pt" o:ole="" o:preferrelative="f">
            <v:imagedata r:id="rId506" o:title=""/>
            <o:lock v:ext="edit" aspectratio="f"/>
          </v:shape>
          <o:OLEObject Type="Embed" ProgID="Equation.3" ShapeID="_x0000_i1288" DrawAspect="Content" ObjectID="_1519137137" r:id="rId507"/>
        </w:object>
      </w:r>
      <w:r w:rsidR="00AE371A">
        <w:t>,</w:t>
      </w:r>
      <w:r>
        <w:t xml:space="preserve"> and </w:t>
      </w:r>
      <w:r w:rsidR="00ED7A8D" w:rsidRPr="00AE371A">
        <w:rPr>
          <w:position w:val="-12"/>
        </w:rPr>
        <w:object w:dxaOrig="2160" w:dyaOrig="380" w14:anchorId="5C4C786C">
          <v:shape id="_x0000_i1289" type="#_x0000_t75" style="width:108pt;height:18.75pt" o:ole="" o:preferrelative="f">
            <v:imagedata r:id="rId508" o:title=""/>
            <o:lock v:ext="edit" aspectratio="f"/>
          </v:shape>
          <o:OLEObject Type="Embed" ProgID="Equation.3" ShapeID="_x0000_i1289" DrawAspect="Content" ObjectID="_1519137138" r:id="rId509"/>
        </w:object>
      </w:r>
      <w:r w:rsidR="00AE371A">
        <w:t xml:space="preserve">, </w:t>
      </w:r>
      <w:r w:rsidR="00093013" w:rsidRPr="00F8242C">
        <w:rPr>
          <w:position w:val="-10"/>
        </w:rPr>
        <w:object w:dxaOrig="880" w:dyaOrig="360" w14:anchorId="12EFC9F8">
          <v:shape id="_x0000_i1290" type="#_x0000_t75" style="width:44.25pt;height:18.75pt" o:ole="" o:preferrelative="f">
            <v:imagedata r:id="rId510" o:title=""/>
            <o:lock v:ext="edit" aspectratio="f"/>
          </v:shape>
          <o:OLEObject Type="Embed" ProgID="Equation.3" ShapeID="_x0000_i1290" DrawAspect="Content" ObjectID="_1519137139" r:id="rId511"/>
        </w:object>
      </w:r>
      <w:r w:rsidR="004D4345">
        <w:rPr>
          <w:szCs w:val="24"/>
        </w:rPr>
        <w:t>,</w:t>
      </w:r>
      <w:r w:rsidR="00093013" w:rsidRPr="00F8242C">
        <w:rPr>
          <w:position w:val="-10"/>
        </w:rPr>
        <w:object w:dxaOrig="900" w:dyaOrig="360" w14:anchorId="08F7014C">
          <v:shape id="_x0000_i1291" type="#_x0000_t75" style="width:45pt;height:18.75pt" o:ole="" o:preferrelative="f">
            <v:imagedata r:id="rId512" o:title=""/>
            <o:lock v:ext="edit" aspectratio="f"/>
          </v:shape>
          <o:OLEObject Type="Embed" ProgID="Equation.3" ShapeID="_x0000_i1291" DrawAspect="Content" ObjectID="_1519137140" r:id="rId513"/>
        </w:object>
      </w:r>
      <w:r w:rsidR="004D4345">
        <w:rPr>
          <w:szCs w:val="24"/>
        </w:rPr>
        <w:t>, and</w:t>
      </w:r>
    </w:p>
    <w:p w:rsidR="00D63E4B" w:rsidRDefault="00C9001E" w:rsidP="00D63E4B">
      <w:pPr>
        <w:spacing w:line="360" w:lineRule="auto"/>
        <w:rPr>
          <w:szCs w:val="24"/>
        </w:rPr>
      </w:pPr>
      <w:r w:rsidRPr="004D4345">
        <w:rPr>
          <w:position w:val="-66"/>
          <w:sz w:val="20"/>
          <w:szCs w:val="20"/>
        </w:rPr>
        <w:object w:dxaOrig="7699" w:dyaOrig="1440" w14:anchorId="1589350E">
          <v:shape id="_x0000_i1292" type="#_x0000_t75" style="width:384pt;height:1in" o:ole="" o:preferrelative="f">
            <v:imagedata r:id="rId514" o:title=""/>
            <o:lock v:ext="edit" aspectratio="f"/>
          </v:shape>
          <o:OLEObject Type="Embed" ProgID="Equation.3" ShapeID="_x0000_i1292" DrawAspect="Content" ObjectID="_1519137141" r:id="rId515"/>
        </w:object>
      </w:r>
      <w:r w:rsidR="004D4345">
        <w:t>.</w:t>
      </w:r>
    </w:p>
    <w:p w:rsidR="00416849" w:rsidRDefault="004D4345" w:rsidP="00B72A05">
      <w:pPr>
        <w:pStyle w:val="CM3"/>
        <w:widowControl/>
        <w:spacing w:line="360" w:lineRule="auto"/>
        <w:ind w:firstLine="720"/>
        <w:jc w:val="both"/>
      </w:pPr>
      <w:r>
        <w:t xml:space="preserve">The </w:t>
      </w:r>
      <w:r w:rsidR="00F750B6">
        <w:t xml:space="preserve">mixture </w:t>
      </w:r>
      <w:proofErr w:type="gramStart"/>
      <w:r w:rsidR="00F750B6">
        <w:t xml:space="preserve">weights </w:t>
      </w:r>
      <w:proofErr w:type="gramEnd"/>
      <w:r w:rsidR="00ED7A8D" w:rsidRPr="00AE3249">
        <w:rPr>
          <w:position w:val="-10"/>
        </w:rPr>
        <w:object w:dxaOrig="300" w:dyaOrig="360" w14:anchorId="168E31DE">
          <v:shape id="_x0000_i1293" type="#_x0000_t75" style="width:15pt;height:18.75pt;mso-position-vertical:absolute" o:ole="" o:preferrelative="f">
            <v:imagedata r:id="rId516" o:title=""/>
            <o:lock v:ext="edit" aspectratio="f"/>
          </v:shape>
          <o:OLEObject Type="Embed" ProgID="Equation.3" ShapeID="_x0000_i1293" DrawAspect="Content" ObjectID="_1519137142" r:id="rId517"/>
        </w:object>
      </w:r>
      <w:r>
        <w:t xml:space="preserve">, </w:t>
      </w:r>
      <w:r w:rsidR="00ED7A8D" w:rsidRPr="00AE3249">
        <w:rPr>
          <w:position w:val="-10"/>
        </w:rPr>
        <w:object w:dxaOrig="300" w:dyaOrig="360" w14:anchorId="0745BDE2">
          <v:shape id="_x0000_i1294" type="#_x0000_t75" style="width:15pt;height:18.75pt;mso-position-vertical:absolute" o:ole="" o:preferrelative="f">
            <v:imagedata r:id="rId518" o:title=""/>
            <o:lock v:ext="edit" aspectratio="f"/>
          </v:shape>
          <o:OLEObject Type="Embed" ProgID="Equation.3" ShapeID="_x0000_i1294" DrawAspect="Content" ObjectID="_1519137143" r:id="rId519"/>
        </w:object>
      </w:r>
      <w:r>
        <w:t xml:space="preserve">, and </w:t>
      </w:r>
      <w:r w:rsidR="00ED7A8D" w:rsidRPr="00AE3249">
        <w:rPr>
          <w:position w:val="-12"/>
        </w:rPr>
        <w:object w:dxaOrig="300" w:dyaOrig="380" w14:anchorId="12CA13B9">
          <v:shape id="_x0000_i1295" type="#_x0000_t75" style="width:15pt;height:18.75pt" o:ole="" o:preferrelative="f">
            <v:imagedata r:id="rId520" o:title=""/>
            <o:lock v:ext="edit" aspectratio="f"/>
          </v:shape>
          <o:OLEObject Type="Embed" ProgID="Equation.3" ShapeID="_x0000_i1295" DrawAspect="Content" ObjectID="_1519137144" r:id="rId521"/>
        </w:object>
      </w:r>
      <w:r>
        <w:t xml:space="preserve"> are set by specifying</w:t>
      </w:r>
      <w:r w:rsidR="00AE3249">
        <w:t xml:space="preserve"> </w:t>
      </w:r>
      <w:r w:rsidR="00413833" w:rsidRPr="00AE3249">
        <w:rPr>
          <w:position w:val="-10"/>
        </w:rPr>
        <w:object w:dxaOrig="800" w:dyaOrig="360" w14:anchorId="6204E0F3">
          <v:shape id="_x0000_i1296" type="#_x0000_t75" style="width:40.5pt;height:18.75pt" o:ole="" o:preferrelative="f">
            <v:imagedata r:id="rId522" o:title=""/>
            <o:lock v:ext="edit" aspectratio="f"/>
          </v:shape>
          <o:OLEObject Type="Embed" ProgID="Equation.3" ShapeID="_x0000_i1296" DrawAspect="Content" ObjectID="_1519137145" r:id="rId523"/>
        </w:object>
      </w:r>
      <w:r w:rsidR="00AE3249">
        <w:t xml:space="preserve">, </w:t>
      </w:r>
      <w:r w:rsidR="00413833" w:rsidRPr="00AE3249">
        <w:rPr>
          <w:position w:val="-10"/>
        </w:rPr>
        <w:object w:dxaOrig="820" w:dyaOrig="360" w14:anchorId="4EFF0C66">
          <v:shape id="_x0000_i1297" type="#_x0000_t75" style="width:41.25pt;height:18.75pt" o:ole="" o:preferrelative="f">
            <v:imagedata r:id="rId524" o:title=""/>
            <o:lock v:ext="edit" aspectratio="f"/>
          </v:shape>
          <o:OLEObject Type="Embed" ProgID="Equation.3" ShapeID="_x0000_i1297" DrawAspect="Content" ObjectID="_1519137146" r:id="rId525"/>
        </w:object>
      </w:r>
      <w:r>
        <w:t>, and</w:t>
      </w:r>
      <w:r w:rsidR="00AE3249">
        <w:t xml:space="preserve"> </w:t>
      </w:r>
      <w:r w:rsidR="00413833" w:rsidRPr="00AE3249">
        <w:rPr>
          <w:position w:val="-12"/>
        </w:rPr>
        <w:object w:dxaOrig="1219" w:dyaOrig="460" w14:anchorId="2F8EF0C9">
          <v:shape id="_x0000_i1298" type="#_x0000_t75" style="width:60.75pt;height:23.25pt" o:ole="" o:preferrelative="f">
            <v:imagedata r:id="rId526" o:title=""/>
            <o:lock v:ext="edit" aspectratio="f"/>
          </v:shape>
          <o:OLEObject Type="Embed" ProgID="Equation.3" ShapeID="_x0000_i1298" DrawAspect="Content" ObjectID="_1519137147" r:id="rId527"/>
        </w:object>
      </w:r>
      <w:r>
        <w:t>. Then,</w:t>
      </w:r>
      <w:r w:rsidR="00AE3249">
        <w:t xml:space="preserve"> the parameters to be estimated in this three-mixture case include: </w:t>
      </w:r>
      <w:r w:rsidR="00C9001E" w:rsidRPr="00AE3249">
        <w:rPr>
          <w:position w:val="-10"/>
        </w:rPr>
        <w:object w:dxaOrig="620" w:dyaOrig="360" w14:anchorId="31D7691C">
          <v:shape id="_x0000_i1299" type="#_x0000_t75" style="width:31.5pt;height:18.75pt" o:ole="" o:preferrelative="f">
            <v:imagedata r:id="rId528" o:title=""/>
            <o:lock v:ext="edit" aspectratio="f"/>
          </v:shape>
          <o:OLEObject Type="Embed" ProgID="Equation.3" ShapeID="_x0000_i1299" DrawAspect="Content" ObjectID="_1519137148" r:id="rId529"/>
        </w:object>
      </w:r>
      <w:r w:rsidR="00AE3249">
        <w:t xml:space="preserve">, </w:t>
      </w:r>
      <w:r w:rsidR="00C9001E" w:rsidRPr="00AE3249">
        <w:rPr>
          <w:position w:val="-10"/>
        </w:rPr>
        <w:object w:dxaOrig="680" w:dyaOrig="360" w14:anchorId="6EACCE89">
          <v:shape id="_x0000_i1300" type="#_x0000_t75" style="width:34.5pt;height:18.75pt" o:ole="" o:preferrelative="f">
            <v:imagedata r:id="rId530" o:title=""/>
            <o:lock v:ext="edit" aspectratio="f"/>
          </v:shape>
          <o:OLEObject Type="Embed" ProgID="Equation.3" ShapeID="_x0000_i1300" DrawAspect="Content" ObjectID="_1519137149" r:id="rId531"/>
        </w:object>
      </w:r>
      <w:r w:rsidR="00C9001E">
        <w:t>,</w:t>
      </w:r>
      <w:r w:rsidR="00AE3249">
        <w:t xml:space="preserve"> </w:t>
      </w:r>
      <w:r w:rsidR="00ED7A8D" w:rsidRPr="000F7E85">
        <w:rPr>
          <w:position w:val="-12"/>
        </w:rPr>
        <w:object w:dxaOrig="880" w:dyaOrig="380" w14:anchorId="16694EDC">
          <v:shape id="_x0000_i1301" type="#_x0000_t75" style="width:44.25pt;height:18.75pt" o:ole="" o:preferrelative="f">
            <v:imagedata r:id="rId532" o:title=""/>
            <o:lock v:ext="edit" aspectratio="f"/>
          </v:shape>
          <o:OLEObject Type="Embed" ProgID="Equation.3" ShapeID="_x0000_i1301" DrawAspect="Content" ObjectID="_1519137150" r:id="rId533"/>
        </w:object>
      </w:r>
      <w:r w:rsidR="00AE3249">
        <w:t xml:space="preserve">, </w:t>
      </w:r>
      <w:r w:rsidR="00C9001E" w:rsidRPr="00AE3249">
        <w:rPr>
          <w:position w:val="-10"/>
        </w:rPr>
        <w:object w:dxaOrig="680" w:dyaOrig="360" w14:anchorId="4FB36CC8">
          <v:shape id="_x0000_i1302" type="#_x0000_t75" style="width:33pt;height:18.75pt" o:ole="" o:preferrelative="f">
            <v:imagedata r:id="rId534" o:title=""/>
            <o:lock v:ext="edit" aspectratio="f"/>
          </v:shape>
          <o:OLEObject Type="Embed" ProgID="Equation.3" ShapeID="_x0000_i1302" DrawAspect="Content" ObjectID="_1519137151" r:id="rId535"/>
        </w:object>
      </w:r>
      <w:r w:rsidR="00AE3249">
        <w:t xml:space="preserve">, </w:t>
      </w:r>
      <w:r w:rsidR="00C9001E" w:rsidRPr="00AE3249">
        <w:rPr>
          <w:position w:val="-10"/>
        </w:rPr>
        <w:object w:dxaOrig="840" w:dyaOrig="360" w14:anchorId="4823877B">
          <v:shape id="_x0000_i1303" type="#_x0000_t75" style="width:42pt;height:18.75pt" o:ole="" o:preferrelative="f">
            <v:imagedata r:id="rId536" o:title=""/>
            <o:lock v:ext="edit" aspectratio="f"/>
          </v:shape>
          <o:OLEObject Type="Embed" ProgID="Equation.3" ShapeID="_x0000_i1303" DrawAspect="Content" ObjectID="_1519137152" r:id="rId537"/>
        </w:object>
      </w:r>
      <w:r w:rsidR="00AE3249">
        <w:t xml:space="preserve">, </w:t>
      </w:r>
      <w:r w:rsidR="00ED7A8D" w:rsidRPr="000F7E85">
        <w:rPr>
          <w:position w:val="-12"/>
        </w:rPr>
        <w:object w:dxaOrig="859" w:dyaOrig="380" w14:anchorId="0408A1EF">
          <v:shape id="_x0000_i1304" type="#_x0000_t75" style="width:42.75pt;height:18.75pt" o:ole="" o:preferrelative="f">
            <v:imagedata r:id="rId538" o:title=""/>
            <o:lock v:ext="edit" aspectratio="f"/>
          </v:shape>
          <o:OLEObject Type="Embed" ProgID="Equation.3" ShapeID="_x0000_i1304" DrawAspect="Content" ObjectID="_1519137153" r:id="rId539"/>
        </w:object>
      </w:r>
      <w:r w:rsidR="00AE3249">
        <w:t>,</w:t>
      </w:r>
      <w:r w:rsidR="000F7E85">
        <w:t xml:space="preserve"> </w:t>
      </w:r>
      <w:r w:rsidR="00ED7A8D" w:rsidRPr="000F7E85">
        <w:rPr>
          <w:position w:val="-12"/>
        </w:rPr>
        <w:object w:dxaOrig="680" w:dyaOrig="380" w14:anchorId="61459480">
          <v:shape id="_x0000_i1305" type="#_x0000_t75" style="width:33.75pt;height:18.75pt" o:ole="" o:preferrelative="f">
            <v:imagedata r:id="rId540" o:title=""/>
            <o:lock v:ext="edit" aspectratio="f"/>
          </v:shape>
          <o:OLEObject Type="Embed" ProgID="Equation.3" ShapeID="_x0000_i1305" DrawAspect="Content" ObjectID="_1519137154" r:id="rId541"/>
        </w:object>
      </w:r>
      <w:r w:rsidR="000F7E85">
        <w:t xml:space="preserve">, </w:t>
      </w:r>
      <w:r w:rsidR="00ED7A8D" w:rsidRPr="000F7E85">
        <w:rPr>
          <w:position w:val="-12"/>
        </w:rPr>
        <w:object w:dxaOrig="859" w:dyaOrig="380" w14:anchorId="455ECCB7">
          <v:shape id="_x0000_i1306" type="#_x0000_t75" style="width:42.75pt;height:18.75pt" o:ole="" o:preferrelative="f">
            <v:imagedata r:id="rId542" o:title=""/>
            <o:lock v:ext="edit" aspectratio="f"/>
          </v:shape>
          <o:OLEObject Type="Embed" ProgID="Equation.3" ShapeID="_x0000_i1306" DrawAspect="Content" ObjectID="_1519137155" r:id="rId543"/>
        </w:object>
      </w:r>
      <w:r w:rsidR="000F7E85">
        <w:t xml:space="preserve">, </w:t>
      </w:r>
      <w:r w:rsidR="00ED7A8D" w:rsidRPr="000F7E85">
        <w:rPr>
          <w:position w:val="-12"/>
        </w:rPr>
        <w:object w:dxaOrig="840" w:dyaOrig="380" w14:anchorId="60E056A1">
          <v:shape id="_x0000_i1307" type="#_x0000_t75" style="width:42pt;height:18.75pt" o:ole="" o:preferrelative="f">
            <v:imagedata r:id="rId544" o:title=""/>
            <o:lock v:ext="edit" aspectratio="f"/>
          </v:shape>
          <o:OLEObject Type="Embed" ProgID="Equation.3" ShapeID="_x0000_i1307" DrawAspect="Content" ObjectID="_1519137156" r:id="rId545"/>
        </w:object>
      </w:r>
      <w:r w:rsidR="000F7E85">
        <w:t>,</w:t>
      </w:r>
      <w:r w:rsidR="00AE3249">
        <w:t xml:space="preserve"> </w:t>
      </w:r>
      <w:r w:rsidR="00C9001E" w:rsidRPr="00564039">
        <w:rPr>
          <w:position w:val="-6"/>
        </w:rPr>
        <w:object w:dxaOrig="840" w:dyaOrig="340" w14:anchorId="5CCAC009">
          <v:shape id="_x0000_i1308" type="#_x0000_t75" style="width:42pt;height:17.25pt" o:ole="" o:preferrelative="f">
            <v:imagedata r:id="rId546" o:title=""/>
            <o:lock v:ext="edit" aspectratio="f"/>
          </v:shape>
          <o:OLEObject Type="Embed" ProgID="Equation.3" ShapeID="_x0000_i1308" DrawAspect="Content" ObjectID="_1519137157" r:id="rId547"/>
        </w:object>
      </w:r>
      <w:r w:rsidR="00AE3249">
        <w:t xml:space="preserve">, </w:t>
      </w:r>
      <w:r w:rsidR="00C9001E" w:rsidRPr="000F7E85">
        <w:rPr>
          <w:position w:val="-10"/>
        </w:rPr>
        <w:object w:dxaOrig="1060" w:dyaOrig="360" w14:anchorId="6935EF6F">
          <v:shape id="_x0000_i1309" type="#_x0000_t75" style="width:52.5pt;height:18.75pt" o:ole="" o:preferrelative="f">
            <v:imagedata r:id="rId548" o:title=""/>
            <o:lock v:ext="edit" aspectratio="f"/>
          </v:shape>
          <o:OLEObject Type="Embed" ProgID="Equation.3" ShapeID="_x0000_i1309" DrawAspect="Content" ObjectID="_1519137158" r:id="rId549"/>
        </w:object>
      </w:r>
      <w:r w:rsidR="00AE3249">
        <w:t xml:space="preserve">, </w:t>
      </w:r>
      <w:r w:rsidR="00C9001E" w:rsidRPr="00270711">
        <w:rPr>
          <w:position w:val="-10"/>
        </w:rPr>
        <w:object w:dxaOrig="1320" w:dyaOrig="360" w14:anchorId="552F712E">
          <v:shape id="_x0000_i1310" type="#_x0000_t75" style="width:65.25pt;height:18.75pt" o:ole="" o:preferrelative="f">
            <v:imagedata r:id="rId550" o:title=""/>
            <o:lock v:ext="edit" aspectratio="f"/>
          </v:shape>
          <o:OLEObject Type="Embed" ProgID="Equation.3" ShapeID="_x0000_i1310" DrawAspect="Content" ObjectID="_1519137159" r:id="rId551"/>
        </w:object>
      </w:r>
      <w:r w:rsidR="00AE3249">
        <w:t xml:space="preserve">, </w:t>
      </w:r>
      <w:r w:rsidR="00C9001E" w:rsidRPr="00270711">
        <w:rPr>
          <w:position w:val="-10"/>
        </w:rPr>
        <w:object w:dxaOrig="1080" w:dyaOrig="360" w14:anchorId="1815D538">
          <v:shape id="_x0000_i1311" type="#_x0000_t75" style="width:54.75pt;height:18.75pt" o:ole="" o:preferrelative="f">
            <v:imagedata r:id="rId552" o:title=""/>
            <o:lock v:ext="edit" aspectratio="f"/>
          </v:shape>
          <o:OLEObject Type="Embed" ProgID="Equation.3" ShapeID="_x0000_i1311" DrawAspect="Content" ObjectID="_1519137160" r:id="rId553"/>
        </w:object>
      </w:r>
      <w:r w:rsidR="00AE3249">
        <w:t xml:space="preserve">, </w:t>
      </w:r>
      <w:r w:rsidR="00C9001E" w:rsidRPr="00270711">
        <w:rPr>
          <w:position w:val="-10"/>
        </w:rPr>
        <w:object w:dxaOrig="1320" w:dyaOrig="360" w14:anchorId="18A18137">
          <v:shape id="_x0000_i1312" type="#_x0000_t75" style="width:65.25pt;height:18.75pt" o:ole="" o:preferrelative="f">
            <v:imagedata r:id="rId554" o:title=""/>
            <o:lock v:ext="edit" aspectratio="f"/>
          </v:shape>
          <o:OLEObject Type="Embed" ProgID="Equation.3" ShapeID="_x0000_i1312" DrawAspect="Content" ObjectID="_1519137161" r:id="rId555"/>
        </w:object>
      </w:r>
      <w:r w:rsidR="00AE3249">
        <w:t xml:space="preserve">, </w:t>
      </w:r>
      <w:r w:rsidR="00C9001E" w:rsidRPr="00270711">
        <w:rPr>
          <w:position w:val="-10"/>
        </w:rPr>
        <w:object w:dxaOrig="1340" w:dyaOrig="360" w14:anchorId="06E6D37B">
          <v:shape id="_x0000_i1313" type="#_x0000_t75" style="width:66.75pt;height:18.75pt" o:ole="" o:preferrelative="f">
            <v:imagedata r:id="rId556" o:title=""/>
            <o:lock v:ext="edit" aspectratio="f"/>
          </v:shape>
          <o:OLEObject Type="Embed" ProgID="Equation.3" ShapeID="_x0000_i1313" DrawAspect="Content" ObjectID="_1519137162" r:id="rId557"/>
        </w:object>
      </w:r>
      <w:r w:rsidR="00AE3249">
        <w:t xml:space="preserve">, </w:t>
      </w:r>
      <w:r w:rsidR="00C9001E" w:rsidRPr="00270711">
        <w:rPr>
          <w:position w:val="-10"/>
        </w:rPr>
        <w:object w:dxaOrig="1080" w:dyaOrig="360" w14:anchorId="604BC782">
          <v:shape id="_x0000_i1314" type="#_x0000_t75" style="width:54.75pt;height:18.75pt" o:ole="" o:preferrelative="f">
            <v:imagedata r:id="rId558" o:title=""/>
            <o:lock v:ext="edit" aspectratio="f"/>
          </v:shape>
          <o:OLEObject Type="Embed" ProgID="Equation.3" ShapeID="_x0000_i1314" DrawAspect="Content" ObjectID="_1519137163" r:id="rId559"/>
        </w:object>
      </w:r>
      <w:r w:rsidR="00AE3249">
        <w:t xml:space="preserve">, </w:t>
      </w:r>
      <w:r w:rsidR="00C9001E" w:rsidRPr="00270711">
        <w:rPr>
          <w:position w:val="-10"/>
        </w:rPr>
        <w:object w:dxaOrig="1100" w:dyaOrig="360" w14:anchorId="5631BE69">
          <v:shape id="_x0000_i1315" type="#_x0000_t75" style="width:54.75pt;height:18.75pt" o:ole="" o:preferrelative="f">
            <v:imagedata r:id="rId560" o:title=""/>
            <o:lock v:ext="edit" aspectratio="f"/>
          </v:shape>
          <o:OLEObject Type="Embed" ProgID="Equation.3" ShapeID="_x0000_i1315" DrawAspect="Content" ObjectID="_1519137164" r:id="rId561"/>
        </w:object>
      </w:r>
      <w:r w:rsidR="00AE3249">
        <w:t xml:space="preserve">, </w:t>
      </w:r>
      <w:r w:rsidR="00C9001E" w:rsidRPr="00270711">
        <w:rPr>
          <w:position w:val="-10"/>
        </w:rPr>
        <w:object w:dxaOrig="1080" w:dyaOrig="360" w14:anchorId="4D62A978">
          <v:shape id="_x0000_i1316" type="#_x0000_t75" style="width:54.75pt;height:18.75pt" o:ole="" o:preferrelative="f">
            <v:imagedata r:id="rId562" o:title=""/>
            <o:lock v:ext="edit" aspectratio="f"/>
          </v:shape>
          <o:OLEObject Type="Embed" ProgID="Equation.3" ShapeID="_x0000_i1316" DrawAspect="Content" ObjectID="_1519137165" r:id="rId563"/>
        </w:object>
      </w:r>
      <w:r w:rsidR="00AE3249">
        <w:t xml:space="preserve">, </w:t>
      </w:r>
      <w:r w:rsidR="00C9001E" w:rsidRPr="00270711">
        <w:rPr>
          <w:position w:val="-10"/>
        </w:rPr>
        <w:object w:dxaOrig="1100" w:dyaOrig="360" w14:anchorId="5D0C4CF0">
          <v:shape id="_x0000_i1317" type="#_x0000_t75" style="width:54.75pt;height:18.75pt" o:ole="" o:preferrelative="f">
            <v:imagedata r:id="rId564" o:title=""/>
            <o:lock v:ext="edit" aspectratio="f"/>
          </v:shape>
          <o:OLEObject Type="Embed" ProgID="Equation.3" ShapeID="_x0000_i1317" DrawAspect="Content" ObjectID="_1519137166" r:id="rId565"/>
        </w:object>
      </w:r>
      <w:r w:rsidR="00AE3249">
        <w:t xml:space="preserve">, </w:t>
      </w:r>
      <w:r w:rsidR="00C9001E" w:rsidRPr="00270711">
        <w:rPr>
          <w:position w:val="-10"/>
        </w:rPr>
        <w:object w:dxaOrig="1100" w:dyaOrig="360" w14:anchorId="3BF0860E">
          <v:shape id="_x0000_i1318" type="#_x0000_t75" style="width:54.75pt;height:18.75pt" o:ole="" o:preferrelative="f">
            <v:imagedata r:id="rId566" o:title=""/>
            <o:lock v:ext="edit" aspectratio="f"/>
          </v:shape>
          <o:OLEObject Type="Embed" ProgID="Equation.3" ShapeID="_x0000_i1318" DrawAspect="Content" ObjectID="_1519137167" r:id="rId567"/>
        </w:object>
      </w:r>
      <w:r w:rsidR="00ED7A8D">
        <w:t xml:space="preserve">, </w:t>
      </w:r>
      <w:r w:rsidR="00C9001E" w:rsidRPr="00270711">
        <w:rPr>
          <w:position w:val="-10"/>
        </w:rPr>
        <w:object w:dxaOrig="1100" w:dyaOrig="360" w14:anchorId="15538C06">
          <v:shape id="_x0000_i1319" type="#_x0000_t75" style="width:54.75pt;height:18.75pt" o:ole="" o:preferrelative="f">
            <v:imagedata r:id="rId568" o:title=""/>
            <o:lock v:ext="edit" aspectratio="f"/>
          </v:shape>
          <o:OLEObject Type="Embed" ProgID="Equation.3" ShapeID="_x0000_i1319" DrawAspect="Content" ObjectID="_1519137168" r:id="rId569"/>
        </w:object>
      </w:r>
      <w:r w:rsidR="00AE3249">
        <w:t xml:space="preserve">, </w:t>
      </w:r>
      <w:r w:rsidR="00C9001E" w:rsidRPr="00270711">
        <w:rPr>
          <w:position w:val="-10"/>
        </w:rPr>
        <w:object w:dxaOrig="900" w:dyaOrig="360" w14:anchorId="4801E0BD">
          <v:shape id="_x0000_i1320" type="#_x0000_t75" style="width:45pt;height:18.75pt" o:ole="" o:preferrelative="f">
            <v:imagedata r:id="rId570" o:title=""/>
            <o:lock v:ext="edit" aspectratio="f"/>
          </v:shape>
          <o:OLEObject Type="Embed" ProgID="Equation.3" ShapeID="_x0000_i1320" DrawAspect="Content" ObjectID="_1519137169" r:id="rId571"/>
        </w:object>
      </w:r>
      <w:r w:rsidR="00270711">
        <w:t xml:space="preserve">, </w:t>
      </w:r>
      <w:r w:rsidR="00C9001E" w:rsidRPr="00270711">
        <w:rPr>
          <w:position w:val="-10"/>
        </w:rPr>
        <w:object w:dxaOrig="1100" w:dyaOrig="360" w14:anchorId="0B178A08">
          <v:shape id="_x0000_i1321" type="#_x0000_t75" style="width:54.75pt;height:18.75pt" o:ole="" o:preferrelative="f">
            <v:imagedata r:id="rId572" o:title=""/>
            <o:lock v:ext="edit" aspectratio="f"/>
          </v:shape>
          <o:OLEObject Type="Embed" ProgID="Equation.3" ShapeID="_x0000_i1321" DrawAspect="Content" ObjectID="_1519137170" r:id="rId573"/>
        </w:object>
      </w:r>
      <w:r w:rsidR="00270711">
        <w:t xml:space="preserve">, </w:t>
      </w:r>
      <w:r w:rsidR="00C9001E" w:rsidRPr="00270711">
        <w:rPr>
          <w:position w:val="-10"/>
        </w:rPr>
        <w:object w:dxaOrig="1060" w:dyaOrig="360" w14:anchorId="21170071">
          <v:shape id="_x0000_i1322" type="#_x0000_t75" style="width:54.75pt;height:18.75pt" o:ole="" o:preferrelative="f">
            <v:imagedata r:id="rId574" o:title=""/>
            <o:lock v:ext="edit" aspectratio="f"/>
          </v:shape>
          <o:OLEObject Type="Embed" ProgID="Equation.3" ShapeID="_x0000_i1322" DrawAspect="Content" ObjectID="_1519137171" r:id="rId575"/>
        </w:object>
      </w:r>
      <w:r w:rsidR="00270711">
        <w:t xml:space="preserve">, </w:t>
      </w:r>
      <w:r w:rsidR="00C9001E" w:rsidRPr="00270711">
        <w:rPr>
          <w:position w:val="-10"/>
        </w:rPr>
        <w:object w:dxaOrig="1100" w:dyaOrig="360" w14:anchorId="0A78B6FC">
          <v:shape id="_x0000_i1323" type="#_x0000_t75" style="width:54.75pt;height:18.75pt" o:ole="" o:preferrelative="f">
            <v:imagedata r:id="rId576" o:title=""/>
            <o:lock v:ext="edit" aspectratio="f"/>
          </v:shape>
          <o:OLEObject Type="Embed" ProgID="Equation.3" ShapeID="_x0000_i1323" DrawAspect="Content" ObjectID="_1519137172" r:id="rId577"/>
        </w:object>
      </w:r>
      <w:r w:rsidR="00270711">
        <w:t xml:space="preserve">, </w:t>
      </w:r>
      <w:r w:rsidR="00C9001E" w:rsidRPr="00270711">
        <w:rPr>
          <w:position w:val="-10"/>
        </w:rPr>
        <w:object w:dxaOrig="1080" w:dyaOrig="360" w14:anchorId="5410A368">
          <v:shape id="_x0000_i1324" type="#_x0000_t75" style="width:54.75pt;height:18.75pt" o:ole="" o:preferrelative="f">
            <v:imagedata r:id="rId578" o:title=""/>
            <o:lock v:ext="edit" aspectratio="f"/>
          </v:shape>
          <o:OLEObject Type="Embed" ProgID="Equation.3" ShapeID="_x0000_i1324" DrawAspect="Content" ObjectID="_1519137173" r:id="rId579"/>
        </w:object>
      </w:r>
      <w:r w:rsidR="00270711">
        <w:t xml:space="preserve">,  </w:t>
      </w:r>
      <w:r w:rsidR="00C9001E" w:rsidRPr="00270711">
        <w:rPr>
          <w:position w:val="-10"/>
        </w:rPr>
        <w:object w:dxaOrig="1100" w:dyaOrig="360" w14:anchorId="1D59C006">
          <v:shape id="_x0000_i1325" type="#_x0000_t75" style="width:54.75pt;height:18.75pt" o:ole="" o:preferrelative="f">
            <v:imagedata r:id="rId580" o:title=""/>
            <o:lock v:ext="edit" aspectratio="f"/>
          </v:shape>
          <o:OLEObject Type="Embed" ProgID="Equation.3" ShapeID="_x0000_i1325" DrawAspect="Content" ObjectID="_1519137174" r:id="rId581"/>
        </w:object>
      </w:r>
      <w:r w:rsidR="00270711">
        <w:t xml:space="preserve">, </w:t>
      </w:r>
      <w:r w:rsidR="00C9001E" w:rsidRPr="000F7E85">
        <w:rPr>
          <w:position w:val="-10"/>
        </w:rPr>
        <w:object w:dxaOrig="920" w:dyaOrig="360" w14:anchorId="412F79DA">
          <v:shape id="_x0000_i1326" type="#_x0000_t75" style="width:47.25pt;height:18.75pt" o:ole="" o:preferrelative="f">
            <v:imagedata r:id="rId582" o:title=""/>
            <o:lock v:ext="edit" aspectratio="f"/>
          </v:shape>
          <o:OLEObject Type="Embed" ProgID="Equation.3" ShapeID="_x0000_i1326" DrawAspect="Content" ObjectID="_1519137175" r:id="rId583"/>
        </w:object>
      </w:r>
      <w:r w:rsidR="00AE3249">
        <w:t xml:space="preserve">, </w:t>
      </w:r>
      <w:r w:rsidR="00C9001E" w:rsidRPr="00D85E8C">
        <w:rPr>
          <w:position w:val="-10"/>
        </w:rPr>
        <w:object w:dxaOrig="920" w:dyaOrig="360" w14:anchorId="55627876">
          <v:shape id="_x0000_i1327" type="#_x0000_t75" style="width:47.25pt;height:18.75pt" o:ole="" o:preferrelative="f">
            <v:imagedata r:id="rId584" o:title=""/>
            <o:lock v:ext="edit" aspectratio="f"/>
          </v:shape>
          <o:OLEObject Type="Embed" ProgID="Equation.3" ShapeID="_x0000_i1327" DrawAspect="Content" ObjectID="_1519137176" r:id="rId585"/>
        </w:object>
      </w:r>
      <w:r w:rsidR="00AE3249">
        <w:t>,</w:t>
      </w:r>
      <w:r w:rsidR="000F7E85">
        <w:t xml:space="preserve"> </w:t>
      </w:r>
      <w:r w:rsidR="00ED7A8D" w:rsidRPr="000F7E85">
        <w:rPr>
          <w:position w:val="-12"/>
        </w:rPr>
        <w:object w:dxaOrig="920" w:dyaOrig="380" w14:anchorId="335D7DF1">
          <v:shape id="_x0000_i1328" type="#_x0000_t75" style="width:45.75pt;height:18.75pt" o:ole="" o:preferrelative="f">
            <v:imagedata r:id="rId586" o:title=""/>
            <o:lock v:ext="edit" aspectratio="f"/>
          </v:shape>
          <o:OLEObject Type="Embed" ProgID="Equation.3" ShapeID="_x0000_i1328" DrawAspect="Content" ObjectID="_1519137177" r:id="rId587"/>
        </w:object>
      </w:r>
      <w:r w:rsidR="000F7E85">
        <w:t>,</w:t>
      </w:r>
      <w:r w:rsidR="00451361">
        <w:t xml:space="preserve"> </w:t>
      </w:r>
      <w:r w:rsidR="00ED7A8D" w:rsidRPr="000F7E85">
        <w:rPr>
          <w:position w:val="-12"/>
        </w:rPr>
        <w:object w:dxaOrig="940" w:dyaOrig="380">
          <v:shape id="_x0000_i1329" type="#_x0000_t75" style="width:47.25pt;height:18.75pt" o:ole="" o:preferrelative="f">
            <v:imagedata r:id="rId588" o:title=""/>
            <o:lock v:ext="edit" aspectratio="f"/>
          </v:shape>
          <o:OLEObject Type="Embed" ProgID="Equation.3" ShapeID="_x0000_i1329" DrawAspect="Content" ObjectID="_1519137178" r:id="rId589"/>
        </w:object>
      </w:r>
      <w:r w:rsidR="00AE3249">
        <w:t xml:space="preserve"> </w:t>
      </w:r>
      <w:r w:rsidR="00C9001E" w:rsidRPr="00416849">
        <w:rPr>
          <w:position w:val="-10"/>
        </w:rPr>
        <w:object w:dxaOrig="680" w:dyaOrig="360" w14:anchorId="24AAF60C">
          <v:shape id="_x0000_i1330" type="#_x0000_t75" style="width:33pt;height:18.75pt" o:ole="" o:preferrelative="f">
            <v:imagedata r:id="rId590" o:title=""/>
            <o:lock v:ext="edit" aspectratio="f"/>
          </v:shape>
          <o:OLEObject Type="Embed" ProgID="Equation.3" ShapeID="_x0000_i1330" DrawAspect="Content" ObjectID="_1519137179" r:id="rId591"/>
        </w:object>
      </w:r>
      <w:r w:rsidR="00416849">
        <w:t xml:space="preserve">, </w:t>
      </w:r>
      <w:r w:rsidR="00C9001E" w:rsidRPr="00D85E8C">
        <w:rPr>
          <w:position w:val="-10"/>
        </w:rPr>
        <w:object w:dxaOrig="680" w:dyaOrig="360" w14:anchorId="4DADF5D0">
          <v:shape id="_x0000_i1331" type="#_x0000_t75" style="width:33pt;height:18.75pt" o:ole="" o:preferrelative="f">
            <v:imagedata r:id="rId592" o:title=""/>
            <o:lock v:ext="edit" aspectratio="f"/>
          </v:shape>
          <o:OLEObject Type="Embed" ProgID="Equation.3" ShapeID="_x0000_i1331" DrawAspect="Content" ObjectID="_1519137180" r:id="rId593"/>
        </w:object>
      </w:r>
      <w:r w:rsidR="00416849">
        <w:t xml:space="preserve">, </w:t>
      </w:r>
      <w:r w:rsidR="00ED7A8D" w:rsidRPr="00416849">
        <w:rPr>
          <w:position w:val="-12"/>
        </w:rPr>
        <w:object w:dxaOrig="680" w:dyaOrig="380" w14:anchorId="25BC0308">
          <v:shape id="_x0000_i1332" type="#_x0000_t75" style="width:33.75pt;height:18.75pt" o:ole="" o:preferrelative="f">
            <v:imagedata r:id="rId594" o:title=""/>
            <o:lock v:ext="edit" aspectratio="f"/>
          </v:shape>
          <o:OLEObject Type="Embed" ProgID="Equation.3" ShapeID="_x0000_i1332" DrawAspect="Content" ObjectID="_1519137181" r:id="rId595"/>
        </w:object>
      </w:r>
      <w:r w:rsidR="00416849">
        <w:t xml:space="preserve">, </w:t>
      </w:r>
      <w:r w:rsidR="00C9001E" w:rsidRPr="00D85E8C">
        <w:rPr>
          <w:position w:val="-10"/>
        </w:rPr>
        <w:object w:dxaOrig="680" w:dyaOrig="360" w14:anchorId="38CD14E9">
          <v:shape id="_x0000_i1333" type="#_x0000_t75" style="width:33pt;height:18.75pt" o:ole="" o:preferrelative="f">
            <v:imagedata r:id="rId596" o:title=""/>
            <o:lock v:ext="edit" aspectratio="f"/>
          </v:shape>
          <o:OLEObject Type="Embed" ProgID="Equation.3" ShapeID="_x0000_i1333" DrawAspect="Content" ObjectID="_1519137182" r:id="rId597"/>
        </w:object>
      </w:r>
      <w:r w:rsidR="00416849">
        <w:t xml:space="preserve">, </w:t>
      </w:r>
      <w:r w:rsidR="00C9001E" w:rsidRPr="00416849">
        <w:rPr>
          <w:position w:val="-10"/>
        </w:rPr>
        <w:object w:dxaOrig="680" w:dyaOrig="360" w14:anchorId="2EA801AB">
          <v:shape id="_x0000_i1334" type="#_x0000_t75" style="width:33pt;height:18.75pt" o:ole="" o:preferrelative="f">
            <v:imagedata r:id="rId598" o:title=""/>
            <o:lock v:ext="edit" aspectratio="f"/>
          </v:shape>
          <o:OLEObject Type="Embed" ProgID="Equation.3" ShapeID="_x0000_i1334" DrawAspect="Content" ObjectID="_1519137183" r:id="rId599"/>
        </w:object>
      </w:r>
      <w:r w:rsidR="00416849">
        <w:t xml:space="preserve">, </w:t>
      </w:r>
      <w:r w:rsidR="00ED7A8D" w:rsidRPr="00416849">
        <w:rPr>
          <w:position w:val="-12"/>
        </w:rPr>
        <w:object w:dxaOrig="700" w:dyaOrig="380" w14:anchorId="7E54BA7C">
          <v:shape id="_x0000_i1335" type="#_x0000_t75" style="width:35.25pt;height:18.75pt" o:ole="" o:preferrelative="f">
            <v:imagedata r:id="rId600" o:title=""/>
            <o:lock v:ext="edit" aspectratio="f"/>
          </v:shape>
          <o:OLEObject Type="Embed" ProgID="Equation.3" ShapeID="_x0000_i1335" DrawAspect="Content" ObjectID="_1519137184" r:id="rId601"/>
        </w:object>
      </w:r>
      <w:r w:rsidR="00416849">
        <w:t xml:space="preserve">, </w:t>
      </w:r>
      <w:r w:rsidR="00ED7A8D" w:rsidRPr="00416849">
        <w:rPr>
          <w:position w:val="-12"/>
        </w:rPr>
        <w:object w:dxaOrig="680" w:dyaOrig="380" w14:anchorId="73F268C7">
          <v:shape id="_x0000_i1336" type="#_x0000_t75" style="width:33.75pt;height:18.75pt" o:ole="" o:preferrelative="f">
            <v:imagedata r:id="rId602" o:title=""/>
            <o:lock v:ext="edit" aspectratio="f"/>
          </v:shape>
          <o:OLEObject Type="Embed" ProgID="Equation.3" ShapeID="_x0000_i1336" DrawAspect="Content" ObjectID="_1519137185" r:id="rId603"/>
        </w:object>
      </w:r>
      <w:r w:rsidR="00416849">
        <w:t xml:space="preserve">, </w:t>
      </w:r>
      <w:r w:rsidR="00ED7A8D" w:rsidRPr="00416849">
        <w:rPr>
          <w:position w:val="-12"/>
        </w:rPr>
        <w:object w:dxaOrig="680" w:dyaOrig="380" w14:anchorId="35AA9746">
          <v:shape id="_x0000_i1337" type="#_x0000_t75" style="width:33.75pt;height:18.75pt" o:ole="" o:preferrelative="f">
            <v:imagedata r:id="rId604" o:title=""/>
            <o:lock v:ext="edit" aspectratio="f"/>
          </v:shape>
          <o:OLEObject Type="Embed" ProgID="Equation.3" ShapeID="_x0000_i1337" DrawAspect="Content" ObjectID="_1519137186" r:id="rId605"/>
        </w:object>
      </w:r>
      <w:r w:rsidR="00416849">
        <w:t xml:space="preserve">, </w:t>
      </w:r>
      <w:r w:rsidR="00ED7A8D" w:rsidRPr="00416849">
        <w:rPr>
          <w:position w:val="-12"/>
        </w:rPr>
        <w:object w:dxaOrig="680" w:dyaOrig="380" w14:anchorId="6C7A315E">
          <v:shape id="_x0000_i1338" type="#_x0000_t75" style="width:33.75pt;height:18.75pt" o:ole="" o:preferrelative="f">
            <v:imagedata r:id="rId606" o:title=""/>
            <o:lock v:ext="edit" aspectratio="f"/>
          </v:shape>
          <o:OLEObject Type="Embed" ProgID="Equation.3" ShapeID="_x0000_i1338" DrawAspect="Content" ObjectID="_1519137187" r:id="rId607"/>
        </w:object>
      </w:r>
      <w:r w:rsidR="00416849">
        <w:t>.</w:t>
      </w:r>
    </w:p>
    <w:p w:rsidR="00451361" w:rsidRPr="00451361" w:rsidRDefault="00451361" w:rsidP="00B72A05">
      <w:pPr>
        <w:pStyle w:val="Default"/>
        <w:spacing w:line="360" w:lineRule="auto"/>
      </w:pPr>
    </w:p>
    <w:p w:rsidR="00952E27" w:rsidRPr="0090442A" w:rsidRDefault="00952E27" w:rsidP="00726FED">
      <w:pPr>
        <w:pStyle w:val="CM3"/>
        <w:keepNext/>
        <w:keepLines/>
        <w:widowControl/>
        <w:spacing w:line="360" w:lineRule="auto"/>
        <w:jc w:val="both"/>
      </w:pPr>
      <w:r w:rsidRPr="0090442A">
        <w:rPr>
          <w:i/>
        </w:rPr>
        <w:lastRenderedPageBreak/>
        <w:t xml:space="preserve">3.1.3 </w:t>
      </w:r>
      <w:r w:rsidR="0090442A">
        <w:rPr>
          <w:i/>
        </w:rPr>
        <w:t>Data G</w:t>
      </w:r>
      <w:r w:rsidRPr="0090442A">
        <w:rPr>
          <w:i/>
        </w:rPr>
        <w:t>eneration</w:t>
      </w:r>
    </w:p>
    <w:p w:rsidR="0008331C" w:rsidRDefault="00952E27" w:rsidP="00726FED">
      <w:pPr>
        <w:keepNext/>
        <w:keepLines/>
        <w:spacing w:line="360" w:lineRule="auto"/>
        <w:rPr>
          <w:szCs w:val="24"/>
        </w:rPr>
      </w:pPr>
      <w:r>
        <w:rPr>
          <w:szCs w:val="24"/>
        </w:rPr>
        <w:t>Using the design presented in the previous sections, we</w:t>
      </w:r>
      <w:r w:rsidR="0008331C">
        <w:rPr>
          <w:szCs w:val="24"/>
        </w:rPr>
        <w:t xml:space="preserve"> generate the consumption quantity vector </w:t>
      </w:r>
      <w:r w:rsidR="00C9001E" w:rsidRPr="00295746">
        <w:rPr>
          <w:position w:val="-14"/>
          <w:szCs w:val="24"/>
        </w:rPr>
        <w:object w:dxaOrig="300" w:dyaOrig="405" w14:anchorId="07775D39">
          <v:shape id="_x0000_i1339" type="#_x0000_t75" style="width:15pt;height:20.25pt" o:ole="" o:preferrelative="f">
            <v:imagedata r:id="rId608" o:title=""/>
            <o:lock v:ext="edit" aspectratio="f"/>
          </v:shape>
          <o:OLEObject Type="Embed" ProgID="Equation.3" ShapeID="_x0000_i1339" DrawAspect="Content" ObjectID="_1519137188" r:id="rId609"/>
        </w:object>
      </w:r>
      <w:r>
        <w:rPr>
          <w:szCs w:val="24"/>
        </w:rPr>
        <w:t xml:space="preserve"> for each individual</w:t>
      </w:r>
      <w:r w:rsidR="0008331C">
        <w:rPr>
          <w:szCs w:val="24"/>
        </w:rPr>
        <w:t xml:space="preserve"> using the forecasting algorithm proposed by Pinjari and Bhat (2011). The above data generation process is undertaken </w:t>
      </w:r>
      <w:r w:rsidR="002C3C15">
        <w:rPr>
          <w:szCs w:val="24"/>
        </w:rPr>
        <w:t>10</w:t>
      </w:r>
      <w:r w:rsidR="0008331C">
        <w:rPr>
          <w:szCs w:val="24"/>
        </w:rPr>
        <w:t xml:space="preserve">0 times with different realizations of the </w:t>
      </w:r>
      <w:r w:rsidR="00ED7A8D" w:rsidRPr="00295746">
        <w:rPr>
          <w:position w:val="-14"/>
          <w:szCs w:val="24"/>
        </w:rPr>
        <w:object w:dxaOrig="300" w:dyaOrig="380" w14:anchorId="09400756">
          <v:shape id="_x0000_i1340" type="#_x0000_t75" style="width:15pt;height:18.75pt" o:ole="" o:preferrelative="f">
            <v:imagedata r:id="rId610" o:title=""/>
            <o:lock v:ext="edit" aspectratio="f"/>
          </v:shape>
          <o:OLEObject Type="Embed" ProgID="Equation.3" ShapeID="_x0000_i1340" DrawAspect="Content" ObjectID="_1519137189" r:id="rId611"/>
        </w:object>
      </w:r>
      <w:r w:rsidR="0008331C">
        <w:rPr>
          <w:szCs w:val="24"/>
        </w:rPr>
        <w:t xml:space="preserve"> vector to generate </w:t>
      </w:r>
      <w:r w:rsidR="002C3C15">
        <w:rPr>
          <w:szCs w:val="24"/>
        </w:rPr>
        <w:t>10</w:t>
      </w:r>
      <w:r w:rsidR="0008331C">
        <w:rPr>
          <w:szCs w:val="24"/>
        </w:rPr>
        <w:t xml:space="preserve">0 different data sets each for </w:t>
      </w:r>
      <w:r w:rsidR="000D78E1">
        <w:rPr>
          <w:szCs w:val="24"/>
        </w:rPr>
        <w:t>the two-</w:t>
      </w:r>
      <w:r w:rsidR="0008331C">
        <w:rPr>
          <w:szCs w:val="24"/>
        </w:rPr>
        <w:t xml:space="preserve"> and </w:t>
      </w:r>
      <w:r w:rsidR="000D78E1">
        <w:rPr>
          <w:szCs w:val="24"/>
        </w:rPr>
        <w:t>three-mixture</w:t>
      </w:r>
      <w:r w:rsidR="0008331C">
        <w:rPr>
          <w:szCs w:val="24"/>
        </w:rPr>
        <w:t xml:space="preserve"> case</w:t>
      </w:r>
      <w:r w:rsidR="00A97526">
        <w:rPr>
          <w:szCs w:val="24"/>
        </w:rPr>
        <w:t>s</w:t>
      </w:r>
      <w:r w:rsidR="0008331C">
        <w:rPr>
          <w:szCs w:val="24"/>
        </w:rPr>
        <w:t xml:space="preserve">. </w:t>
      </w:r>
    </w:p>
    <w:p w:rsidR="00F33E49" w:rsidRDefault="003B3894" w:rsidP="00B72A05">
      <w:pPr>
        <w:spacing w:line="360" w:lineRule="auto"/>
        <w:ind w:firstLine="720"/>
        <w:rPr>
          <w:szCs w:val="24"/>
        </w:rPr>
      </w:pPr>
      <w:r>
        <w:rPr>
          <w:szCs w:val="24"/>
        </w:rPr>
        <w:t>We</w:t>
      </w:r>
      <w:r w:rsidR="0008331C">
        <w:rPr>
          <w:szCs w:val="24"/>
        </w:rPr>
        <w:t xml:space="preserve"> estimate two additional models on each of the </w:t>
      </w:r>
      <w:r w:rsidR="002C3C15">
        <w:rPr>
          <w:szCs w:val="24"/>
        </w:rPr>
        <w:t>10</w:t>
      </w:r>
      <w:r w:rsidR="0008331C">
        <w:rPr>
          <w:szCs w:val="24"/>
        </w:rPr>
        <w:t>0 generated data sets</w:t>
      </w:r>
      <w:r w:rsidR="00F33E49">
        <w:rPr>
          <w:szCs w:val="24"/>
        </w:rPr>
        <w:t xml:space="preserve"> for each of the two- and three-mixture cases</w:t>
      </w:r>
      <w:r w:rsidR="0008331C">
        <w:rPr>
          <w:szCs w:val="24"/>
        </w:rPr>
        <w:t>. The first model ignores</w:t>
      </w:r>
      <w:r w:rsidR="00F33E49">
        <w:rPr>
          <w:szCs w:val="24"/>
        </w:rPr>
        <w:t xml:space="preserve"> random coefficients on the independent variables</w:t>
      </w:r>
      <w:r w:rsidR="007A5134">
        <w:rPr>
          <w:szCs w:val="24"/>
        </w:rPr>
        <w:t xml:space="preserve"> in each mixture (latent segment)</w:t>
      </w:r>
      <w:r w:rsidR="00F33E49">
        <w:rPr>
          <w:szCs w:val="24"/>
        </w:rPr>
        <w:t xml:space="preserve">, allowing </w:t>
      </w:r>
      <w:r w:rsidR="00F33E49">
        <w:t xml:space="preserve">random coefficients only on the constants. This corresponds to the Latent Class-MCDP (or LC-MDCP) model. Thus, the only </w:t>
      </w:r>
      <w:proofErr w:type="spellStart"/>
      <w:r w:rsidR="00F33E49">
        <w:t>Cholesky</w:t>
      </w:r>
      <w:proofErr w:type="spellEnd"/>
      <w:r w:rsidR="00F33E49">
        <w:t xml:space="preserve"> parameters estimated for the two-mixture case </w:t>
      </w:r>
      <w:proofErr w:type="gramStart"/>
      <w:r w:rsidR="00F33E49">
        <w:t>are</w:t>
      </w:r>
      <w:r w:rsidR="00C9001E">
        <w:t xml:space="preserve"> </w:t>
      </w:r>
      <w:proofErr w:type="gramEnd"/>
      <w:r w:rsidR="00ED7A8D" w:rsidRPr="006C6D2A">
        <w:rPr>
          <w:position w:val="-14"/>
          <w:szCs w:val="24"/>
        </w:rPr>
        <w:object w:dxaOrig="980" w:dyaOrig="380" w14:anchorId="17C12E4E">
          <v:shape id="_x0000_i1341" type="#_x0000_t75" style="width:48.75pt;height:18.75pt" o:ole="" o:preferrelative="f">
            <v:imagedata r:id="rId424" o:title=""/>
            <o:lock v:ext="edit" aspectratio="f"/>
          </v:shape>
          <o:OLEObject Type="Embed" ProgID="Equation.3" ShapeID="_x0000_i1341" DrawAspect="Content" ObjectID="_1519137190" r:id="rId612"/>
        </w:object>
      </w:r>
      <w:r w:rsidR="00F33E49">
        <w:rPr>
          <w:szCs w:val="24"/>
        </w:rPr>
        <w:t xml:space="preserve">, </w:t>
      </w:r>
      <w:r w:rsidR="00ED7A8D" w:rsidRPr="006C6D2A">
        <w:rPr>
          <w:position w:val="-14"/>
          <w:szCs w:val="24"/>
        </w:rPr>
        <w:object w:dxaOrig="1219" w:dyaOrig="380" w14:anchorId="691A2067">
          <v:shape id="_x0000_i1342" type="#_x0000_t75" style="width:60.75pt;height:18.75pt" o:ole="" o:preferrelative="f">
            <v:imagedata r:id="rId613" o:title=""/>
            <o:lock v:ext="edit" aspectratio="f"/>
          </v:shape>
          <o:OLEObject Type="Embed" ProgID="Equation.3" ShapeID="_x0000_i1342" DrawAspect="Content" ObjectID="_1519137191" r:id="rId614"/>
        </w:object>
      </w:r>
      <w:r w:rsidR="00776EEF">
        <w:rPr>
          <w:szCs w:val="24"/>
        </w:rPr>
        <w:t>,</w:t>
      </w:r>
      <w:r w:rsidR="00F33E49">
        <w:rPr>
          <w:szCs w:val="24"/>
        </w:rPr>
        <w:t xml:space="preserve"> </w:t>
      </w:r>
      <w:r w:rsidR="00ED7A8D" w:rsidRPr="006C6D2A">
        <w:rPr>
          <w:position w:val="-14"/>
          <w:szCs w:val="24"/>
        </w:rPr>
        <w:object w:dxaOrig="980" w:dyaOrig="380" w14:anchorId="5AC5C790">
          <v:shape id="_x0000_i1343" type="#_x0000_t75" style="width:48.75pt;height:18.75pt" o:ole="" o:preferrelative="f">
            <v:imagedata r:id="rId615" o:title=""/>
            <o:lock v:ext="edit" aspectratio="f"/>
          </v:shape>
          <o:OLEObject Type="Embed" ProgID="Equation.3" ShapeID="_x0000_i1343" DrawAspect="Content" ObjectID="_1519137192" r:id="rId616"/>
        </w:object>
      </w:r>
      <w:r w:rsidR="00F33E49">
        <w:rPr>
          <w:szCs w:val="24"/>
        </w:rPr>
        <w:t xml:space="preserve">, </w:t>
      </w:r>
      <w:r w:rsidR="00ED7A8D" w:rsidRPr="006C6D2A">
        <w:rPr>
          <w:position w:val="-14"/>
          <w:szCs w:val="24"/>
        </w:rPr>
        <w:object w:dxaOrig="999" w:dyaOrig="380" w14:anchorId="7085CE81">
          <v:shape id="_x0000_i1344" type="#_x0000_t75" style="width:49.5pt;height:18.75pt" o:ole="" o:preferrelative="f">
            <v:imagedata r:id="rId617" o:title=""/>
            <o:lock v:ext="edit" aspectratio="f"/>
          </v:shape>
          <o:OLEObject Type="Embed" ProgID="Equation.3" ShapeID="_x0000_i1344" DrawAspect="Content" ObjectID="_1519137193" r:id="rId618"/>
        </w:object>
      </w:r>
      <w:r w:rsidR="00F33E49">
        <w:rPr>
          <w:szCs w:val="24"/>
        </w:rPr>
        <w:t xml:space="preserve">, and </w:t>
      </w:r>
      <w:r w:rsidR="00ED7A8D" w:rsidRPr="006C6D2A">
        <w:rPr>
          <w:position w:val="-14"/>
          <w:szCs w:val="24"/>
        </w:rPr>
        <w:object w:dxaOrig="999" w:dyaOrig="380" w14:anchorId="585019FB">
          <v:shape id="_x0000_i1345" type="#_x0000_t75" style="width:49.5pt;height:18.75pt" o:ole="" o:preferrelative="f">
            <v:imagedata r:id="rId619" o:title=""/>
            <o:lock v:ext="edit" aspectratio="f"/>
          </v:shape>
          <o:OLEObject Type="Embed" ProgID="Equation.3" ShapeID="_x0000_i1345" DrawAspect="Content" ObjectID="_1519137194" r:id="rId620"/>
        </w:object>
      </w:r>
      <w:r w:rsidR="00F33E49">
        <w:rPr>
          <w:szCs w:val="24"/>
        </w:rPr>
        <w:t xml:space="preserve">. All other </w:t>
      </w:r>
      <w:proofErr w:type="spellStart"/>
      <w:r w:rsidR="00F33E49">
        <w:rPr>
          <w:szCs w:val="24"/>
        </w:rPr>
        <w:t>Cholesky</w:t>
      </w:r>
      <w:proofErr w:type="spellEnd"/>
      <w:r w:rsidR="00F33E49">
        <w:rPr>
          <w:szCs w:val="24"/>
        </w:rPr>
        <w:t xml:space="preserve"> parameters are effectively held to the value of zero. In Table 2b, for the LC-MDCP model, the only </w:t>
      </w:r>
      <w:proofErr w:type="spellStart"/>
      <w:r w:rsidR="00F33E49">
        <w:rPr>
          <w:szCs w:val="24"/>
        </w:rPr>
        <w:t>Cholesky</w:t>
      </w:r>
      <w:proofErr w:type="spellEnd"/>
      <w:r w:rsidR="00F33E49">
        <w:rPr>
          <w:szCs w:val="24"/>
        </w:rPr>
        <w:t xml:space="preserve"> parameters estimated </w:t>
      </w:r>
      <w:proofErr w:type="gramStart"/>
      <w:r w:rsidR="00F33E49">
        <w:rPr>
          <w:szCs w:val="24"/>
        </w:rPr>
        <w:t xml:space="preserve">are </w:t>
      </w:r>
      <w:proofErr w:type="gramEnd"/>
      <w:r w:rsidR="00046372" w:rsidRPr="000F7E85">
        <w:rPr>
          <w:position w:val="-10"/>
        </w:rPr>
        <w:object w:dxaOrig="1100" w:dyaOrig="360" w14:anchorId="3329E91A">
          <v:shape id="_x0000_i1346" type="#_x0000_t75" style="width:54.75pt;height:18.75pt" o:ole="" o:preferrelative="f">
            <v:imagedata r:id="rId621" o:title=""/>
            <o:lock v:ext="edit" aspectratio="f"/>
          </v:shape>
          <o:OLEObject Type="Embed" ProgID="Equation.3" ShapeID="_x0000_i1346" DrawAspect="Content" ObjectID="_1519137195" r:id="rId622"/>
        </w:object>
      </w:r>
      <w:r w:rsidR="00F33E49">
        <w:t xml:space="preserve">, </w:t>
      </w:r>
      <w:r w:rsidR="00046372" w:rsidRPr="00270711">
        <w:rPr>
          <w:position w:val="-10"/>
        </w:rPr>
        <w:object w:dxaOrig="1320" w:dyaOrig="360" w14:anchorId="69E054FF">
          <v:shape id="_x0000_i1347" type="#_x0000_t75" style="width:65.25pt;height:18.75pt" o:ole="" o:preferrelative="f">
            <v:imagedata r:id="rId623" o:title=""/>
            <o:lock v:ext="edit" aspectratio="f"/>
          </v:shape>
          <o:OLEObject Type="Embed" ProgID="Equation.3" ShapeID="_x0000_i1347" DrawAspect="Content" ObjectID="_1519137196" r:id="rId624"/>
        </w:object>
      </w:r>
      <w:r w:rsidR="00F33E49">
        <w:t xml:space="preserve">,  </w:t>
      </w:r>
      <w:r w:rsidR="00046372" w:rsidRPr="00270711">
        <w:rPr>
          <w:position w:val="-10"/>
        </w:rPr>
        <w:object w:dxaOrig="1080" w:dyaOrig="360" w14:anchorId="1653EE06">
          <v:shape id="_x0000_i1348" type="#_x0000_t75" style="width:54.75pt;height:18.75pt" o:ole="" o:preferrelative="f">
            <v:imagedata r:id="rId558" o:title=""/>
            <o:lock v:ext="edit" aspectratio="f"/>
          </v:shape>
          <o:OLEObject Type="Embed" ProgID="Equation.3" ShapeID="_x0000_i1348" DrawAspect="Content" ObjectID="_1519137197" r:id="rId625"/>
        </w:object>
      </w:r>
      <w:r w:rsidR="00F33E49">
        <w:t xml:space="preserve">, </w:t>
      </w:r>
      <w:r w:rsidR="00046372" w:rsidRPr="00270711">
        <w:rPr>
          <w:position w:val="-10"/>
        </w:rPr>
        <w:object w:dxaOrig="1100" w:dyaOrig="360" w14:anchorId="2CDF260F">
          <v:shape id="_x0000_i1349" type="#_x0000_t75" style="width:54.75pt;height:18.75pt" o:ole="" o:preferrelative="f">
            <v:imagedata r:id="rId560" o:title=""/>
            <o:lock v:ext="edit" aspectratio="f"/>
          </v:shape>
          <o:OLEObject Type="Embed" ProgID="Equation.3" ShapeID="_x0000_i1349" DrawAspect="Content" ObjectID="_1519137198" r:id="rId626"/>
        </w:object>
      </w:r>
      <w:r w:rsidR="00F33E49">
        <w:t xml:space="preserve">, </w:t>
      </w:r>
      <w:r w:rsidR="00046372" w:rsidRPr="00270711">
        <w:rPr>
          <w:position w:val="-10"/>
        </w:rPr>
        <w:object w:dxaOrig="1080" w:dyaOrig="360" w14:anchorId="07C3EB0A">
          <v:shape id="_x0000_i1350" type="#_x0000_t75" style="width:54.75pt;height:18.75pt" o:ole="" o:preferrelative="f">
            <v:imagedata r:id="rId562" o:title=""/>
            <o:lock v:ext="edit" aspectratio="f"/>
          </v:shape>
          <o:OLEObject Type="Embed" ProgID="Equation.3" ShapeID="_x0000_i1350" DrawAspect="Content" ObjectID="_1519137199" r:id="rId627"/>
        </w:object>
      </w:r>
      <w:r w:rsidR="00F33E49">
        <w:t xml:space="preserve">, </w:t>
      </w:r>
      <w:r w:rsidR="00046372" w:rsidRPr="00270711">
        <w:rPr>
          <w:position w:val="-10"/>
        </w:rPr>
        <w:object w:dxaOrig="900" w:dyaOrig="360" w14:anchorId="12FD0F91">
          <v:shape id="_x0000_i1351" type="#_x0000_t75" style="width:45pt;height:18.75pt" o:ole="" o:preferrelative="f">
            <v:imagedata r:id="rId570" o:title=""/>
            <o:lock v:ext="edit" aspectratio="f"/>
          </v:shape>
          <o:OLEObject Type="Embed" ProgID="Equation.3" ShapeID="_x0000_i1351" DrawAspect="Content" ObjectID="_1519137200" r:id="rId628"/>
        </w:object>
      </w:r>
      <w:r w:rsidR="00F33E49">
        <w:t xml:space="preserve">, </w:t>
      </w:r>
      <w:r w:rsidR="00046372" w:rsidRPr="00270711">
        <w:rPr>
          <w:position w:val="-10"/>
        </w:rPr>
        <w:object w:dxaOrig="1100" w:dyaOrig="360" w14:anchorId="114AF622">
          <v:shape id="_x0000_i1352" type="#_x0000_t75" style="width:54.75pt;height:18.75pt" o:ole="" o:preferrelative="f">
            <v:imagedata r:id="rId572" o:title=""/>
            <o:lock v:ext="edit" aspectratio="f"/>
          </v:shape>
          <o:OLEObject Type="Embed" ProgID="Equation.3" ShapeID="_x0000_i1352" DrawAspect="Content" ObjectID="_1519137201" r:id="rId629"/>
        </w:object>
      </w:r>
      <w:r w:rsidR="00F33E49">
        <w:t xml:space="preserve">, and </w:t>
      </w:r>
      <w:r w:rsidR="00046372" w:rsidRPr="00270711">
        <w:rPr>
          <w:position w:val="-10"/>
        </w:rPr>
        <w:object w:dxaOrig="1060" w:dyaOrig="360" w14:anchorId="03D142A2">
          <v:shape id="_x0000_i1353" type="#_x0000_t75" style="width:54.75pt;height:18.75pt" o:ole="" o:preferrelative="f">
            <v:imagedata r:id="rId630" o:title=""/>
            <o:lock v:ext="edit" aspectratio="f"/>
          </v:shape>
          <o:OLEObject Type="Embed" ProgID="Equation.3" ShapeID="_x0000_i1353" DrawAspect="Content" ObjectID="_1519137202" r:id="rId631"/>
        </w:object>
      </w:r>
      <w:r w:rsidR="00F33E49">
        <w:t xml:space="preserve">. </w:t>
      </w:r>
    </w:p>
    <w:p w:rsidR="00F33E49" w:rsidRDefault="0008331C" w:rsidP="000C5BB0">
      <w:pPr>
        <w:pStyle w:val="CM3"/>
        <w:widowControl/>
        <w:spacing w:line="360" w:lineRule="auto"/>
        <w:ind w:firstLine="720"/>
        <w:jc w:val="both"/>
      </w:pPr>
      <w:r>
        <w:t xml:space="preserve">The second model assumes away non-normality by using a single </w:t>
      </w:r>
      <w:r w:rsidR="00A87CE4">
        <w:t>segment</w:t>
      </w:r>
      <w:r>
        <w:t xml:space="preserve"> for the entire sample (that is, assumes that </w:t>
      </w:r>
      <w:r w:rsidR="00ED7A8D" w:rsidRPr="00BB341D">
        <w:rPr>
          <w:position w:val="-10"/>
        </w:rPr>
        <w:object w:dxaOrig="360" w:dyaOrig="340" w14:anchorId="581972E9">
          <v:shape id="_x0000_i1354" type="#_x0000_t75" style="width:18.75pt;height:17.25pt" o:ole="" o:preferrelative="f">
            <v:imagedata r:id="rId632" o:title=""/>
            <o:lock v:ext="edit" aspectratio="f"/>
          </v:shape>
          <o:OLEObject Type="Embed" ProgID="Equation.3" ShapeID="_x0000_i1354" DrawAspect="Content" ObjectID="_1519137203" r:id="rId633"/>
        </w:object>
      </w:r>
      <w:r>
        <w:t xml:space="preserve"> in the two-mixture case, and </w:t>
      </w:r>
      <w:r w:rsidR="00ED7A8D" w:rsidRPr="00CE2C5D">
        <w:rPr>
          <w:position w:val="-10"/>
        </w:rPr>
        <w:object w:dxaOrig="360" w:dyaOrig="360" w14:anchorId="635A2DBC">
          <v:shape id="_x0000_i1355" type="#_x0000_t75" style="width:18.75pt;height:18.75pt" o:ole="" o:preferrelative="f">
            <v:imagedata r:id="rId634" o:title=""/>
            <o:lock v:ext="edit" aspectratio="f"/>
          </v:shape>
          <o:OLEObject Type="Embed" ProgID="Equation.3" ShapeID="_x0000_i1355" DrawAspect="Content" ObjectID="_1519137204" r:id="rId635"/>
        </w:object>
      </w:r>
      <w:r>
        <w:t xml:space="preserve"> </w:t>
      </w:r>
      <w:proofErr w:type="spellStart"/>
      <w:r>
        <w:t>and</w:t>
      </w:r>
      <w:proofErr w:type="spellEnd"/>
      <w:r>
        <w:t xml:space="preserve"> </w:t>
      </w:r>
      <w:r w:rsidR="00ED7A8D" w:rsidRPr="00CE2C5D">
        <w:rPr>
          <w:position w:val="-12"/>
        </w:rPr>
        <w:object w:dxaOrig="360" w:dyaOrig="380" w14:anchorId="15995E04">
          <v:shape id="_x0000_i1356" type="#_x0000_t75" style="width:18.75pt;height:17.25pt" o:ole="" o:preferrelative="f">
            <v:imagedata r:id="rId636" o:title=""/>
            <o:lock v:ext="edit" aspectratio="f"/>
          </v:shape>
          <o:OLEObject Type="Embed" ProgID="Equation.3" ShapeID="_x0000_i1356" DrawAspect="Content" ObjectID="_1519137205" r:id="rId637"/>
        </w:object>
      </w:r>
      <w:r>
        <w:t xml:space="preserve"> in the three-</w:t>
      </w:r>
      <w:r w:rsidR="00A87CE4">
        <w:t>segments</w:t>
      </w:r>
      <w:r>
        <w:t xml:space="preserve"> case, all go to the value </w:t>
      </w:r>
      <w:proofErr w:type="gramStart"/>
      <w:r>
        <w:t xml:space="preserve">of </w:t>
      </w:r>
      <w:proofErr w:type="gramEnd"/>
      <w:r w:rsidR="00046372" w:rsidRPr="00BB341D">
        <w:rPr>
          <w:position w:val="-10"/>
        </w:rPr>
        <w:object w:dxaOrig="520" w:dyaOrig="320" w14:anchorId="37B87554">
          <v:shape id="_x0000_i1357" type="#_x0000_t75" style="width:24.75pt;height:15.75pt" o:ole="" o:preferrelative="f">
            <v:imagedata r:id="rId638" o:title=""/>
            <o:lock v:ext="edit" aspectratio="f"/>
          </v:shape>
          <o:OLEObject Type="Embed" ProgID="Equation.3" ShapeID="_x0000_i1357" DrawAspect="Content" ObjectID="_1519137206" r:id="rId639"/>
        </w:object>
      </w:r>
      <w:r>
        <w:t xml:space="preserve">. </w:t>
      </w:r>
      <w:r w:rsidR="00F33E49">
        <w:t xml:space="preserve">This is the traditional normally-distributed random-coefficients MDCP (or RC-MDCP) model. </w:t>
      </w:r>
      <w:r w:rsidR="00EB2769">
        <w:t xml:space="preserve">Also, in this case </w:t>
      </w:r>
      <w:r w:rsidR="00ED7A8D" w:rsidRPr="006C6D2A">
        <w:rPr>
          <w:position w:val="-14"/>
        </w:rPr>
        <w:object w:dxaOrig="980" w:dyaOrig="380" w14:anchorId="085AC99F">
          <v:shape id="_x0000_i1358" type="#_x0000_t75" style="width:48.75pt;height:18.75pt" o:ole="" o:preferrelative="f">
            <v:imagedata r:id="rId640" o:title=""/>
            <o:lock v:ext="edit" aspectratio="f"/>
          </v:shape>
          <o:OLEObject Type="Embed" ProgID="Equation.3" ShapeID="_x0000_i1358" DrawAspect="Content" ObjectID="_1519137207" r:id="rId641"/>
        </w:object>
      </w:r>
      <w:r w:rsidR="00416849">
        <w:t xml:space="preserve"> in the two-segment case, and </w:t>
      </w:r>
      <w:r w:rsidR="00ED7A8D" w:rsidRPr="00270711">
        <w:rPr>
          <w:position w:val="-10"/>
        </w:rPr>
        <w:object w:dxaOrig="1080" w:dyaOrig="360" w14:anchorId="03F6451F">
          <v:shape id="_x0000_i1359" type="#_x0000_t75" style="width:54.75pt;height:18.75pt" o:ole="" o:preferrelative="f">
            <v:imagedata r:id="rId558" o:title=""/>
            <o:lock v:ext="edit" aspectratio="f"/>
          </v:shape>
          <o:OLEObject Type="Embed" ProgID="Equation.3" ShapeID="_x0000_i1359" DrawAspect="Content" ObjectID="_1519137208" r:id="rId642"/>
        </w:object>
      </w:r>
      <w:r w:rsidR="00416849">
        <w:t xml:space="preserve"> </w:t>
      </w:r>
      <w:proofErr w:type="spellStart"/>
      <w:r w:rsidR="00416849">
        <w:t>and</w:t>
      </w:r>
      <w:proofErr w:type="spellEnd"/>
      <w:r w:rsidR="00416849">
        <w:t xml:space="preserve"> </w:t>
      </w:r>
      <w:r w:rsidR="00ED7A8D" w:rsidRPr="00270711">
        <w:rPr>
          <w:position w:val="-10"/>
        </w:rPr>
        <w:object w:dxaOrig="900" w:dyaOrig="360" w14:anchorId="6045E49D">
          <v:shape id="_x0000_i1360" type="#_x0000_t75" style="width:45pt;height:18.75pt" o:ole="" o:preferrelative="f">
            <v:imagedata r:id="rId570" o:title=""/>
            <o:lock v:ext="edit" aspectratio="f"/>
          </v:shape>
          <o:OLEObject Type="Embed" ProgID="Equation.3" ShapeID="_x0000_i1360" DrawAspect="Content" ObjectID="_1519137209" r:id="rId643"/>
        </w:object>
      </w:r>
      <w:r w:rsidR="00416849">
        <w:t xml:space="preserve"> in the three-segment case, are not estimable</w:t>
      </w:r>
      <w:r w:rsidR="00FA7228">
        <w:t xml:space="preserve"> and fixed at 1.0</w:t>
      </w:r>
      <w:r w:rsidR="00416849">
        <w:t xml:space="preserve">. </w:t>
      </w:r>
      <w:r w:rsidR="00776EEF">
        <w:t xml:space="preserve">Additionally, in the two segment case, the following constraints are imposed: </w:t>
      </w:r>
      <w:r w:rsidR="006020FB" w:rsidRPr="00D63E4B">
        <w:rPr>
          <w:i/>
        </w:rPr>
        <w:t>b</w:t>
      </w:r>
      <w:r w:rsidR="006020FB" w:rsidRPr="00046372">
        <w:rPr>
          <w:vertAlign w:val="subscript"/>
        </w:rPr>
        <w:t>11</w:t>
      </w:r>
      <w:r w:rsidR="006020FB">
        <w:t>=</w:t>
      </w:r>
      <w:r w:rsidR="006020FB" w:rsidRPr="006020FB">
        <w:rPr>
          <w:i/>
        </w:rPr>
        <w:t xml:space="preserve"> </w:t>
      </w:r>
      <w:r w:rsidR="006020FB" w:rsidRPr="00D63E4B">
        <w:rPr>
          <w:i/>
        </w:rPr>
        <w:t>b</w:t>
      </w:r>
      <w:r w:rsidR="006020FB" w:rsidRPr="00046372">
        <w:rPr>
          <w:vertAlign w:val="subscript"/>
        </w:rPr>
        <w:t>21</w:t>
      </w:r>
      <w:r w:rsidR="006020FB" w:rsidRPr="00046372">
        <w:t xml:space="preserve">, </w:t>
      </w:r>
      <w:r w:rsidR="006020FB" w:rsidRPr="00D63E4B">
        <w:rPr>
          <w:i/>
        </w:rPr>
        <w:t>b</w:t>
      </w:r>
      <w:r w:rsidR="006020FB" w:rsidRPr="00046372">
        <w:rPr>
          <w:vertAlign w:val="subscript"/>
        </w:rPr>
        <w:t>12</w:t>
      </w:r>
      <w:r w:rsidR="00943AE6">
        <w:t>=</w:t>
      </w:r>
      <w:r w:rsidR="00943AE6" w:rsidRPr="00943AE6">
        <w:rPr>
          <w:i/>
        </w:rPr>
        <w:t xml:space="preserve"> </w:t>
      </w:r>
      <w:r w:rsidR="00943AE6" w:rsidRPr="00D63E4B">
        <w:rPr>
          <w:i/>
        </w:rPr>
        <w:t>b</w:t>
      </w:r>
      <w:r w:rsidR="00943AE6" w:rsidRPr="00046372">
        <w:rPr>
          <w:vertAlign w:val="subscript"/>
        </w:rPr>
        <w:t>22</w:t>
      </w:r>
      <w:r w:rsidR="006020FB">
        <w:t xml:space="preserve">, </w:t>
      </w:r>
      <w:r w:rsidR="006020FB" w:rsidRPr="00D63E4B">
        <w:rPr>
          <w:i/>
        </w:rPr>
        <w:t>b</w:t>
      </w:r>
      <w:r w:rsidR="006020FB" w:rsidRPr="00046372">
        <w:rPr>
          <w:vertAlign w:val="subscript"/>
        </w:rPr>
        <w:t>13</w:t>
      </w:r>
      <w:r w:rsidR="00943AE6">
        <w:t>=</w:t>
      </w:r>
      <w:r w:rsidR="00943AE6" w:rsidRPr="00943AE6">
        <w:rPr>
          <w:i/>
        </w:rPr>
        <w:t xml:space="preserve"> </w:t>
      </w:r>
      <w:r w:rsidR="00943AE6" w:rsidRPr="00D63E4B">
        <w:rPr>
          <w:i/>
        </w:rPr>
        <w:t>b</w:t>
      </w:r>
      <w:r w:rsidR="00943AE6" w:rsidRPr="00046372">
        <w:rPr>
          <w:vertAlign w:val="subscript"/>
        </w:rPr>
        <w:t>23</w:t>
      </w:r>
      <w:r w:rsidR="006020FB">
        <w:t xml:space="preserve">, </w:t>
      </w:r>
      <w:r w:rsidR="00ED7A8D" w:rsidRPr="006C6D2A">
        <w:rPr>
          <w:position w:val="-14"/>
        </w:rPr>
        <w:object w:dxaOrig="1080" w:dyaOrig="380" w14:anchorId="179F4008">
          <v:shape id="_x0000_i1361" type="#_x0000_t75" style="width:54.75pt;height:18.75pt" o:ole="" o:preferrelative="f">
            <v:imagedata r:id="rId644" o:title=""/>
            <o:lock v:ext="edit" aspectratio="f"/>
          </v:shape>
          <o:OLEObject Type="Embed" ProgID="Equation.3" ShapeID="_x0000_i1361" DrawAspect="Content" ObjectID="_1519137210" r:id="rId645"/>
        </w:object>
      </w:r>
      <w:r w:rsidR="00776EEF">
        <w:t xml:space="preserve">, </w:t>
      </w:r>
      <w:r w:rsidR="00ED7A8D" w:rsidRPr="006C6D2A">
        <w:rPr>
          <w:position w:val="-14"/>
        </w:rPr>
        <w:object w:dxaOrig="1060" w:dyaOrig="380" w14:anchorId="536822AC">
          <v:shape id="_x0000_i1362" type="#_x0000_t75" style="width:53.25pt;height:18.75pt" o:ole="" o:preferrelative="f">
            <v:imagedata r:id="rId646" o:title=""/>
            <o:lock v:ext="edit" aspectratio="f"/>
          </v:shape>
          <o:OLEObject Type="Embed" ProgID="Equation.3" ShapeID="_x0000_i1362" DrawAspect="Content" ObjectID="_1519137211" r:id="rId647"/>
        </w:object>
      </w:r>
      <w:r w:rsidR="00776EEF">
        <w:t xml:space="preserve">, </w:t>
      </w:r>
      <w:r w:rsidR="00ED7A8D" w:rsidRPr="006C6D2A">
        <w:rPr>
          <w:position w:val="-14"/>
        </w:rPr>
        <w:object w:dxaOrig="1080" w:dyaOrig="380" w14:anchorId="5D0705AC">
          <v:shape id="_x0000_i1363" type="#_x0000_t75" style="width:54.75pt;height:18.75pt" o:ole="" o:preferrelative="f">
            <v:imagedata r:id="rId648" o:title=""/>
            <o:lock v:ext="edit" aspectratio="f"/>
          </v:shape>
          <o:OLEObject Type="Embed" ProgID="Equation.3" ShapeID="_x0000_i1363" DrawAspect="Content" ObjectID="_1519137212" r:id="rId649"/>
        </w:object>
      </w:r>
      <w:r w:rsidR="00776EEF">
        <w:t xml:space="preserve">, </w:t>
      </w:r>
      <w:r w:rsidR="00ED7A8D" w:rsidRPr="006C6D2A">
        <w:rPr>
          <w:position w:val="-14"/>
        </w:rPr>
        <w:object w:dxaOrig="1060" w:dyaOrig="380" w14:anchorId="71719044">
          <v:shape id="_x0000_i1364" type="#_x0000_t75" style="width:53.25pt;height:18.75pt" o:ole="" o:preferrelative="f">
            <v:imagedata r:id="rId650" o:title=""/>
            <o:lock v:ext="edit" aspectratio="f"/>
          </v:shape>
          <o:OLEObject Type="Embed" ProgID="Equation.3" ShapeID="_x0000_i1364" DrawAspect="Content" ObjectID="_1519137213" r:id="rId651"/>
        </w:object>
      </w:r>
      <w:r w:rsidR="00776EEF">
        <w:t xml:space="preserve">, </w:t>
      </w:r>
      <w:r w:rsidR="00ED7A8D" w:rsidRPr="006C6D2A">
        <w:rPr>
          <w:position w:val="-14"/>
        </w:rPr>
        <w:object w:dxaOrig="1060" w:dyaOrig="380" w14:anchorId="2CB8796A">
          <v:shape id="_x0000_i1365" type="#_x0000_t75" style="width:53.25pt;height:18.75pt" o:ole="" o:preferrelative="f">
            <v:imagedata r:id="rId652" o:title=""/>
            <o:lock v:ext="edit" aspectratio="f"/>
          </v:shape>
          <o:OLEObject Type="Embed" ProgID="Equation.3" ShapeID="_x0000_i1365" DrawAspect="Content" ObjectID="_1519137214" r:id="rId653"/>
        </w:object>
      </w:r>
      <w:r w:rsidR="00776EEF">
        <w:t xml:space="preserve">, </w:t>
      </w:r>
      <w:r w:rsidR="00ED7A8D" w:rsidRPr="00776EEF">
        <w:rPr>
          <w:position w:val="-14"/>
        </w:rPr>
        <w:object w:dxaOrig="900" w:dyaOrig="380" w14:anchorId="0CB4EC31">
          <v:shape id="_x0000_i1366" type="#_x0000_t75" style="width:45pt;height:18.75pt" o:ole="" o:preferrelative="f">
            <v:imagedata r:id="rId654" o:title=""/>
            <o:lock v:ext="edit" aspectratio="f"/>
          </v:shape>
          <o:OLEObject Type="Embed" ProgID="Equation.3" ShapeID="_x0000_i1366" DrawAspect="Content" ObjectID="_1519137215" r:id="rId655"/>
        </w:object>
      </w:r>
      <w:r w:rsidR="00776EEF">
        <w:t xml:space="preserve">, </w:t>
      </w:r>
      <w:r w:rsidR="00ED7A8D" w:rsidRPr="00D85E8C">
        <w:rPr>
          <w:position w:val="-10"/>
        </w:rPr>
        <w:object w:dxaOrig="940" w:dyaOrig="340" w14:anchorId="417E3733">
          <v:shape id="_x0000_i1367" type="#_x0000_t75" style="width:47.25pt;height:17.25pt" o:ole="" o:preferrelative="f">
            <v:imagedata r:id="rId656" o:title=""/>
            <o:lock v:ext="edit" aspectratio="f"/>
          </v:shape>
          <o:OLEObject Type="Embed" ProgID="Equation.3" ShapeID="_x0000_i1367" DrawAspect="Content" ObjectID="_1519137216" r:id="rId657"/>
        </w:object>
      </w:r>
      <w:r w:rsidR="00776EEF">
        <w:t xml:space="preserve">and </w:t>
      </w:r>
      <w:r w:rsidR="00ED7A8D" w:rsidRPr="00D63E4B">
        <w:rPr>
          <w:position w:val="-12"/>
        </w:rPr>
        <w:object w:dxaOrig="940" w:dyaOrig="360" w14:anchorId="3A84EA88">
          <v:shape id="_x0000_i1368" type="#_x0000_t75" style="width:47.25pt;height:18.75pt" o:ole="" o:preferrelative="f">
            <v:imagedata r:id="rId658" o:title=""/>
            <o:lock v:ext="edit" aspectratio="f"/>
          </v:shape>
          <o:OLEObject Type="Embed" ProgID="Equation.3" ShapeID="_x0000_i1368" DrawAspect="Content" ObjectID="_1519137217" r:id="rId659"/>
        </w:object>
      </w:r>
      <w:r w:rsidR="00ED7A8D">
        <w:t xml:space="preserve"> </w:t>
      </w:r>
      <w:r w:rsidR="00776EEF">
        <w:t>In the three-segment case, the fol</w:t>
      </w:r>
      <w:r w:rsidR="00046372">
        <w:t xml:space="preserve">lowing constraints are imposed: </w:t>
      </w:r>
      <w:r w:rsidR="00ED7A8D" w:rsidRPr="00943AE6">
        <w:rPr>
          <w:position w:val="-12"/>
        </w:rPr>
        <w:object w:dxaOrig="1260" w:dyaOrig="380" w14:anchorId="0AB15AF3">
          <v:shape id="_x0000_i1369" type="#_x0000_t75" style="width:63.75pt;height:18.75pt" o:ole="" o:preferrelative="f">
            <v:imagedata r:id="rId660" o:title=""/>
            <o:lock v:ext="edit" aspectratio="f"/>
          </v:shape>
          <o:OLEObject Type="Embed" ProgID="Equation.3" ShapeID="_x0000_i1369" DrawAspect="Content" ObjectID="_1519137218" r:id="rId661"/>
        </w:object>
      </w:r>
      <w:r w:rsidR="00943AE6">
        <w:t xml:space="preserve">, </w:t>
      </w:r>
      <w:r w:rsidR="00ED7A8D" w:rsidRPr="00943AE6">
        <w:rPr>
          <w:position w:val="-12"/>
        </w:rPr>
        <w:object w:dxaOrig="1359" w:dyaOrig="380" w14:anchorId="4C943BD3">
          <v:shape id="_x0000_i1370" type="#_x0000_t75" style="width:67.5pt;height:18.75pt" o:ole="" o:preferrelative="f">
            <v:imagedata r:id="rId662" o:title=""/>
            <o:lock v:ext="edit" aspectratio="f"/>
          </v:shape>
          <o:OLEObject Type="Embed" ProgID="Equation.3" ShapeID="_x0000_i1370" DrawAspect="Content" ObjectID="_1519137219" r:id="rId663"/>
        </w:object>
      </w:r>
      <w:r w:rsidR="00943AE6">
        <w:t xml:space="preserve">, </w:t>
      </w:r>
      <w:r w:rsidR="00ED7A8D" w:rsidRPr="00943AE6">
        <w:rPr>
          <w:position w:val="-12"/>
        </w:rPr>
        <w:object w:dxaOrig="1340" w:dyaOrig="380" w14:anchorId="10C8A6AA">
          <v:shape id="_x0000_i1371" type="#_x0000_t75" style="width:66.75pt;height:18.75pt" o:ole="" o:preferrelative="f">
            <v:imagedata r:id="rId664" o:title=""/>
            <o:lock v:ext="edit" aspectratio="f"/>
          </v:shape>
          <o:OLEObject Type="Embed" ProgID="Equation.3" ShapeID="_x0000_i1371" DrawAspect="Content" ObjectID="_1519137220" r:id="rId665"/>
        </w:object>
      </w:r>
      <w:r w:rsidR="00943AE6">
        <w:t xml:space="preserve">, </w:t>
      </w:r>
      <w:r w:rsidR="00ED7A8D" w:rsidRPr="000F7E85">
        <w:rPr>
          <w:position w:val="-10"/>
        </w:rPr>
        <w:object w:dxaOrig="2100" w:dyaOrig="360" w14:anchorId="51129518">
          <v:shape id="_x0000_i1372" type="#_x0000_t75" style="width:105pt;height:18.75pt" o:ole="" o:preferrelative="f">
            <v:imagedata r:id="rId666" o:title=""/>
            <o:lock v:ext="edit" aspectratio="f"/>
          </v:shape>
          <o:OLEObject Type="Embed" ProgID="Equation.3" ShapeID="_x0000_i1372" DrawAspect="Content" ObjectID="_1519137221" r:id="rId667"/>
        </w:object>
      </w:r>
      <w:r w:rsidR="00ED7A8D" w:rsidRPr="000F7E85">
        <w:rPr>
          <w:position w:val="-10"/>
        </w:rPr>
        <w:object w:dxaOrig="2060" w:dyaOrig="360" w14:anchorId="4CEDD5C2">
          <v:shape id="_x0000_i1373" type="#_x0000_t75" style="width:102.75pt;height:18.75pt" o:ole="" o:preferrelative="f">
            <v:imagedata r:id="rId668" o:title=""/>
            <o:lock v:ext="edit" aspectratio="f"/>
          </v:shape>
          <o:OLEObject Type="Embed" ProgID="Equation.3" ShapeID="_x0000_i1373" DrawAspect="Content" ObjectID="_1519137222" r:id="rId669"/>
        </w:object>
      </w:r>
      <w:r w:rsidR="00ED7A8D" w:rsidRPr="000F7E85">
        <w:rPr>
          <w:position w:val="-10"/>
        </w:rPr>
        <w:object w:dxaOrig="2100" w:dyaOrig="360" w14:anchorId="260E7697">
          <v:shape id="_x0000_i1374" type="#_x0000_t75" style="width:105pt;height:18.75pt" o:ole="" o:preferrelative="f">
            <v:imagedata r:id="rId670" o:title=""/>
            <o:lock v:ext="edit" aspectratio="f"/>
          </v:shape>
          <o:OLEObject Type="Embed" ProgID="Equation.3" ShapeID="_x0000_i1374" DrawAspect="Content" ObjectID="_1519137223" r:id="rId671"/>
        </w:object>
      </w:r>
      <w:r w:rsidR="00ED7A8D" w:rsidRPr="000F7E85">
        <w:rPr>
          <w:position w:val="-10"/>
        </w:rPr>
        <w:object w:dxaOrig="2060" w:dyaOrig="360" w14:anchorId="5977022C">
          <v:shape id="_x0000_i1375" type="#_x0000_t75" style="width:102.75pt;height:18.75pt" o:ole="" o:preferrelative="f">
            <v:imagedata r:id="rId672" o:title=""/>
            <o:lock v:ext="edit" aspectratio="f"/>
          </v:shape>
          <o:OLEObject Type="Embed" ProgID="Equation.3" ShapeID="_x0000_i1375" DrawAspect="Content" ObjectID="_1519137224" r:id="rId673"/>
        </w:object>
      </w:r>
      <w:r w:rsidR="00ED7A8D" w:rsidRPr="000F7E85">
        <w:rPr>
          <w:position w:val="-10"/>
        </w:rPr>
        <w:object w:dxaOrig="2079" w:dyaOrig="360" w14:anchorId="0FDA3D0A">
          <v:shape id="_x0000_i1376" type="#_x0000_t75" style="width:103.5pt;height:18.75pt" o:ole="" o:preferrelative="f">
            <v:imagedata r:id="rId674" o:title=""/>
            <o:lock v:ext="edit" aspectratio="f"/>
          </v:shape>
          <o:OLEObject Type="Embed" ProgID="Equation.3" ShapeID="_x0000_i1376" DrawAspect="Content" ObjectID="_1519137225" r:id="rId675"/>
        </w:object>
      </w:r>
      <w:r w:rsidR="00ED7A8D" w:rsidRPr="00EC0809">
        <w:rPr>
          <w:position w:val="-12"/>
        </w:rPr>
        <w:object w:dxaOrig="1460" w:dyaOrig="380" w14:anchorId="662FC7D2">
          <v:shape id="_x0000_i1377" type="#_x0000_t75" style="width:72.75pt;height:18.75pt" o:ole="" o:preferrelative="f">
            <v:imagedata r:id="rId676" o:title=""/>
            <o:lock v:ext="edit" aspectratio="f"/>
          </v:shape>
          <o:OLEObject Type="Embed" ProgID="Equation.3" ShapeID="_x0000_i1377" DrawAspect="Content" ObjectID="_1519137226" r:id="rId677"/>
        </w:object>
      </w:r>
      <w:r w:rsidR="00ED7A8D" w:rsidRPr="00EC0809">
        <w:rPr>
          <w:position w:val="-12"/>
        </w:rPr>
        <w:object w:dxaOrig="1500" w:dyaOrig="380" w14:anchorId="3C1C4951">
          <v:shape id="_x0000_i1378" type="#_x0000_t75" style="width:75pt;height:18.75pt" o:ole="" o:preferrelative="f">
            <v:imagedata r:id="rId678" o:title=""/>
            <o:lock v:ext="edit" aspectratio="f"/>
          </v:shape>
          <o:OLEObject Type="Embed" ProgID="Equation.3" ShapeID="_x0000_i1378" DrawAspect="Content" ObjectID="_1519137227" r:id="rId679"/>
        </w:object>
      </w:r>
      <w:r w:rsidR="00EC0809">
        <w:t xml:space="preserve"> and </w:t>
      </w:r>
      <w:r w:rsidR="00ED7A8D" w:rsidRPr="00EC0809">
        <w:rPr>
          <w:position w:val="-12"/>
        </w:rPr>
        <w:object w:dxaOrig="1460" w:dyaOrig="380" w14:anchorId="49A674C2">
          <v:shape id="_x0000_i1379" type="#_x0000_t75" style="width:72.75pt;height:18.75pt" o:ole="" o:preferrelative="f">
            <v:imagedata r:id="rId680" o:title=""/>
            <o:lock v:ext="edit" aspectratio="f"/>
          </v:shape>
          <o:OLEObject Type="Embed" ProgID="Equation.3" ShapeID="_x0000_i1379" DrawAspect="Content" ObjectID="_1519137228" r:id="rId681"/>
        </w:object>
      </w:r>
    </w:p>
    <w:p w:rsidR="0008331C" w:rsidRDefault="00BF35C3" w:rsidP="00A97526">
      <w:pPr>
        <w:spacing w:line="360" w:lineRule="auto"/>
        <w:ind w:firstLine="720"/>
      </w:pPr>
      <w:r>
        <w:t xml:space="preserve">We make the comparison between </w:t>
      </w:r>
      <w:r w:rsidR="000C5BB0">
        <w:t>the proposed FDMN-MDCP model and the two restrictive formulations above (that is, the LC-MDCP and the RC-MDCP</w:t>
      </w:r>
      <w:r>
        <w:t xml:space="preserve"> based on the </w:t>
      </w:r>
      <w:r w:rsidR="000C5BB0">
        <w:t>ability to accurately recover model parameters as well as</w:t>
      </w:r>
      <w:r>
        <w:t xml:space="preserve"> </w:t>
      </w:r>
      <w:r w:rsidR="000C5BB0">
        <w:t>usual nested likelihood ratio tes</w:t>
      </w:r>
      <w:r w:rsidR="00D205C5">
        <w:t>ts)</w:t>
      </w:r>
      <w:r w:rsidR="00EB18A3">
        <w:t>.</w:t>
      </w:r>
      <w:r>
        <w:t xml:space="preserve"> </w:t>
      </w:r>
    </w:p>
    <w:p w:rsidR="0008331C" w:rsidRPr="003F7228" w:rsidRDefault="003F7228" w:rsidP="003F7228">
      <w:pPr>
        <w:tabs>
          <w:tab w:val="right" w:pos="9360"/>
        </w:tabs>
        <w:spacing w:line="360" w:lineRule="auto"/>
        <w:ind w:firstLine="720"/>
      </w:pPr>
      <w:r>
        <w:lastRenderedPageBreak/>
        <w:t xml:space="preserve">The </w:t>
      </w:r>
      <w:r w:rsidR="00EB18A3">
        <w:t xml:space="preserve">analytic approximation embedded in the </w:t>
      </w:r>
      <w:r w:rsidR="00713400">
        <w:t xml:space="preserve">MACML </w:t>
      </w:r>
      <w:r>
        <w:t xml:space="preserve">estimator </w:t>
      </w:r>
      <w:r w:rsidRPr="00910617">
        <w:t xml:space="preserve">is applied </w:t>
      </w:r>
      <w:r w:rsidR="00713400">
        <w:t>to two of the</w:t>
      </w:r>
      <w:r w:rsidRPr="00910617">
        <w:t xml:space="preserve"> dataset</w:t>
      </w:r>
      <w:r w:rsidR="00713400">
        <w:t>s</w:t>
      </w:r>
      <w:r w:rsidRPr="00910617">
        <w:t xml:space="preserve"> 10 times with different permutations to </w:t>
      </w:r>
      <w:r>
        <w:t>obtain the approximation error</w:t>
      </w:r>
      <w:r w:rsidR="00713400">
        <w:t>. The approximation error is negligible</w:t>
      </w:r>
      <w:r w:rsidR="00AB033B">
        <w:t>,</w:t>
      </w:r>
      <w:r w:rsidR="00713400">
        <w:t xml:space="preserve"> so only one set of permutations for computing the approximation will be considered in each of the 100 datasets</w:t>
      </w:r>
      <w:r>
        <w:t xml:space="preserve">. </w:t>
      </w:r>
      <w:r w:rsidR="0008331C">
        <w:rPr>
          <w:szCs w:val="24"/>
        </w:rPr>
        <w:t>The performance of the MACML inference approach in estimating the parameters of the MDCP model and their standard errors is evaluated as follows:</w:t>
      </w:r>
    </w:p>
    <w:p w:rsidR="0008331C" w:rsidRDefault="0008331C" w:rsidP="00966971">
      <w:pPr>
        <w:numPr>
          <w:ilvl w:val="0"/>
          <w:numId w:val="1"/>
        </w:numPr>
        <w:spacing w:line="360" w:lineRule="auto"/>
        <w:ind w:left="360"/>
        <w:rPr>
          <w:b/>
          <w:szCs w:val="24"/>
        </w:rPr>
      </w:pPr>
      <w:r>
        <w:rPr>
          <w:szCs w:val="24"/>
        </w:rPr>
        <w:t xml:space="preserve">Estimate the parameters </w:t>
      </w:r>
      <w:r w:rsidR="00EB18A3">
        <w:rPr>
          <w:szCs w:val="24"/>
        </w:rPr>
        <w:t xml:space="preserve">using the analytic approximation in the MACML </w:t>
      </w:r>
      <w:r>
        <w:rPr>
          <w:szCs w:val="24"/>
        </w:rPr>
        <w:t xml:space="preserve">for each data set </w:t>
      </w:r>
      <w:r>
        <w:rPr>
          <w:i/>
          <w:szCs w:val="24"/>
        </w:rPr>
        <w:t>s</w:t>
      </w:r>
      <w:r>
        <w:rPr>
          <w:szCs w:val="24"/>
        </w:rPr>
        <w:t xml:space="preserve">. Estimate the standard errors using the </w:t>
      </w:r>
      <w:proofErr w:type="spellStart"/>
      <w:r>
        <w:rPr>
          <w:szCs w:val="24"/>
        </w:rPr>
        <w:t>Godambe</w:t>
      </w:r>
      <w:proofErr w:type="spellEnd"/>
      <w:r>
        <w:rPr>
          <w:szCs w:val="24"/>
        </w:rPr>
        <w:t xml:space="preserve"> (sandwich) estimator. </w:t>
      </w:r>
    </w:p>
    <w:p w:rsidR="0008331C" w:rsidRDefault="00F72A59" w:rsidP="00966971">
      <w:pPr>
        <w:numPr>
          <w:ilvl w:val="0"/>
          <w:numId w:val="1"/>
        </w:numPr>
        <w:spacing w:line="360" w:lineRule="auto"/>
        <w:ind w:left="360"/>
        <w:rPr>
          <w:b/>
          <w:szCs w:val="24"/>
        </w:rPr>
      </w:pPr>
      <w:r>
        <w:rPr>
          <w:szCs w:val="24"/>
        </w:rPr>
        <w:t>Compute</w:t>
      </w:r>
      <w:r w:rsidR="0008331C">
        <w:rPr>
          <w:szCs w:val="24"/>
        </w:rPr>
        <w:t xml:space="preserve"> the mean estimate for each model parameter across the data sets to obtain </w:t>
      </w:r>
      <w:r w:rsidR="0008331C">
        <w:rPr>
          <w:b/>
          <w:szCs w:val="24"/>
        </w:rPr>
        <w:t xml:space="preserve">a </w:t>
      </w:r>
      <w:r w:rsidR="0008331C">
        <w:rPr>
          <w:b/>
          <w:bCs/>
          <w:szCs w:val="24"/>
        </w:rPr>
        <w:t>mean estimate</w:t>
      </w:r>
      <w:r w:rsidR="0008331C">
        <w:rPr>
          <w:bCs/>
          <w:szCs w:val="24"/>
        </w:rPr>
        <w:t>.</w:t>
      </w:r>
      <w:r w:rsidR="0008331C">
        <w:rPr>
          <w:szCs w:val="24"/>
        </w:rPr>
        <w:t xml:space="preserve"> Compute the </w:t>
      </w:r>
      <w:r w:rsidR="0008331C">
        <w:rPr>
          <w:b/>
          <w:bCs/>
          <w:szCs w:val="24"/>
        </w:rPr>
        <w:t>absolute percentage (finite sample) bias</w:t>
      </w:r>
      <w:r w:rsidR="0008331C">
        <w:rPr>
          <w:szCs w:val="24"/>
        </w:rPr>
        <w:t xml:space="preserve"> (APB) of the estimator as:</w:t>
      </w:r>
    </w:p>
    <w:p w:rsidR="0008331C" w:rsidRDefault="005E6D8E" w:rsidP="00966971">
      <w:pPr>
        <w:spacing w:line="360" w:lineRule="auto"/>
        <w:ind w:left="360"/>
        <w:rPr>
          <w:b/>
          <w:szCs w:val="24"/>
        </w:rPr>
      </w:pPr>
      <w:r w:rsidRPr="00F41AF3">
        <w:rPr>
          <w:position w:val="-28"/>
          <w:szCs w:val="24"/>
        </w:rPr>
        <w:object w:dxaOrig="4420" w:dyaOrig="680" w14:anchorId="3A79E1FF">
          <v:shape id="_x0000_i1380" type="#_x0000_t75" style="width:221.25pt;height:33pt" o:ole="" o:preferrelative="f">
            <v:imagedata r:id="rId682" o:title=""/>
            <o:lock v:ext="edit" aspectratio="f"/>
          </v:shape>
          <o:OLEObject Type="Embed" ProgID="Equation.3" ShapeID="_x0000_i1380" DrawAspect="Content" ObjectID="_1519137229" r:id="rId683"/>
        </w:object>
      </w:r>
      <w:r w:rsidR="00363D20">
        <w:rPr>
          <w:rStyle w:val="FootnoteReference"/>
          <w:szCs w:val="24"/>
        </w:rPr>
        <w:footnoteReference w:id="8"/>
      </w:r>
    </w:p>
    <w:p w:rsidR="0008331C" w:rsidRDefault="0008331C" w:rsidP="00966971">
      <w:pPr>
        <w:numPr>
          <w:ilvl w:val="0"/>
          <w:numId w:val="1"/>
        </w:numPr>
        <w:spacing w:line="360" w:lineRule="auto"/>
        <w:ind w:left="360"/>
        <w:rPr>
          <w:b/>
          <w:szCs w:val="24"/>
        </w:rPr>
      </w:pPr>
      <w:r>
        <w:rPr>
          <w:szCs w:val="24"/>
        </w:rPr>
        <w:t xml:space="preserve">Compute the standard deviation for each model parameter across the data sets, and label this as the </w:t>
      </w:r>
      <w:r>
        <w:rPr>
          <w:b/>
          <w:szCs w:val="24"/>
        </w:rPr>
        <w:t>finite sample standard error or FS</w:t>
      </w:r>
      <w:r w:rsidR="00F72D8B">
        <w:rPr>
          <w:b/>
          <w:szCs w:val="24"/>
        </w:rPr>
        <w:t>S</w:t>
      </w:r>
      <w:r>
        <w:rPr>
          <w:b/>
          <w:szCs w:val="24"/>
        </w:rPr>
        <w:t xml:space="preserve">E </w:t>
      </w:r>
      <w:r>
        <w:rPr>
          <w:szCs w:val="24"/>
        </w:rPr>
        <w:t>(essentially, this is the empirical standard error).</w:t>
      </w:r>
    </w:p>
    <w:p w:rsidR="0008331C" w:rsidRDefault="00713400" w:rsidP="00966971">
      <w:pPr>
        <w:numPr>
          <w:ilvl w:val="0"/>
          <w:numId w:val="1"/>
        </w:numPr>
        <w:spacing w:line="360" w:lineRule="auto"/>
        <w:ind w:left="360"/>
        <w:rPr>
          <w:b/>
          <w:szCs w:val="24"/>
        </w:rPr>
      </w:pPr>
      <w:r>
        <w:rPr>
          <w:szCs w:val="24"/>
        </w:rPr>
        <w:t>Compute</w:t>
      </w:r>
      <w:r w:rsidR="0008331C">
        <w:rPr>
          <w:szCs w:val="24"/>
        </w:rPr>
        <w:t xml:space="preserve"> the median </w:t>
      </w:r>
      <w:r w:rsidR="00F6425C">
        <w:rPr>
          <w:szCs w:val="24"/>
        </w:rPr>
        <w:t>standard error</w:t>
      </w:r>
      <w:r w:rsidR="00F6425C" w:rsidDel="00F6425C">
        <w:rPr>
          <w:szCs w:val="24"/>
        </w:rPr>
        <w:t xml:space="preserve"> </w:t>
      </w:r>
      <w:r w:rsidR="0008331C">
        <w:rPr>
          <w:szCs w:val="24"/>
        </w:rPr>
        <w:t xml:space="preserve">for each model parameter across the data sets and label this as </w:t>
      </w:r>
      <w:r w:rsidR="0008331C">
        <w:rPr>
          <w:b/>
          <w:szCs w:val="24"/>
        </w:rPr>
        <w:t>the asymptotic</w:t>
      </w:r>
      <w:r w:rsidR="0008331C">
        <w:rPr>
          <w:szCs w:val="24"/>
        </w:rPr>
        <w:t xml:space="preserve"> </w:t>
      </w:r>
      <w:r w:rsidR="0008331C">
        <w:rPr>
          <w:b/>
          <w:bCs/>
          <w:szCs w:val="24"/>
        </w:rPr>
        <w:t xml:space="preserve">standard error or ASE </w:t>
      </w:r>
      <w:r w:rsidR="0008331C">
        <w:rPr>
          <w:bCs/>
          <w:szCs w:val="24"/>
        </w:rPr>
        <w:t>(essentially</w:t>
      </w:r>
      <w:r w:rsidR="00C72CA8">
        <w:rPr>
          <w:bCs/>
          <w:szCs w:val="24"/>
        </w:rPr>
        <w:t>,</w:t>
      </w:r>
      <w:r w:rsidR="0008331C">
        <w:rPr>
          <w:bCs/>
          <w:szCs w:val="24"/>
        </w:rPr>
        <w:t xml:space="preserve"> this is the standard error of the distribution of the estimator as the sample size </w:t>
      </w:r>
      <w:r w:rsidR="00C72CA8">
        <w:rPr>
          <w:bCs/>
          <w:szCs w:val="24"/>
        </w:rPr>
        <w:t>increases</w:t>
      </w:r>
      <w:r w:rsidR="0008331C">
        <w:rPr>
          <w:bCs/>
          <w:szCs w:val="24"/>
        </w:rPr>
        <w:t>).</w:t>
      </w:r>
    </w:p>
    <w:p w:rsidR="0008331C" w:rsidRDefault="0008331C" w:rsidP="00966971">
      <w:pPr>
        <w:numPr>
          <w:ilvl w:val="0"/>
          <w:numId w:val="1"/>
        </w:numPr>
        <w:spacing w:line="360" w:lineRule="auto"/>
        <w:ind w:left="360"/>
        <w:rPr>
          <w:b/>
          <w:szCs w:val="24"/>
        </w:rPr>
      </w:pPr>
      <w:r>
        <w:rPr>
          <w:szCs w:val="24"/>
        </w:rPr>
        <w:t>Next, to evaluate the accuracy of the asymptotic standard error formula as computed using the MACML inference approach for the finite sample size used, compute the APB associated with the ASE of the estimator as:</w:t>
      </w:r>
    </w:p>
    <w:p w:rsidR="0008331C" w:rsidRPr="00576B3A" w:rsidRDefault="005E6D8E" w:rsidP="00966971">
      <w:pPr>
        <w:spacing w:line="360" w:lineRule="auto"/>
        <w:ind w:left="360"/>
        <w:rPr>
          <w:b/>
          <w:szCs w:val="24"/>
        </w:rPr>
      </w:pPr>
      <w:r w:rsidRPr="00295746">
        <w:rPr>
          <w:position w:val="-28"/>
          <w:szCs w:val="24"/>
        </w:rPr>
        <w:object w:dxaOrig="3400" w:dyaOrig="680" w14:anchorId="70DFBC3D">
          <v:shape id="_x0000_i1381" type="#_x0000_t75" style="width:169.5pt;height:33pt" o:ole="" o:preferrelative="f">
            <v:imagedata r:id="rId684" o:title=""/>
            <o:lock v:ext="edit" aspectratio="f"/>
          </v:shape>
          <o:OLEObject Type="Embed" ProgID="Equation.3" ShapeID="_x0000_i1381" DrawAspect="Content" ObjectID="_1519137230" r:id="rId685"/>
        </w:object>
      </w:r>
    </w:p>
    <w:p w:rsidR="0008331C" w:rsidRPr="005D706C" w:rsidRDefault="0008331C" w:rsidP="00966971">
      <w:pPr>
        <w:spacing w:line="360" w:lineRule="auto"/>
        <w:rPr>
          <w:szCs w:val="24"/>
        </w:rPr>
      </w:pPr>
    </w:p>
    <w:p w:rsidR="0008331C" w:rsidRDefault="00354D79" w:rsidP="00966971">
      <w:pPr>
        <w:spacing w:line="360" w:lineRule="auto"/>
        <w:rPr>
          <w:b/>
          <w:szCs w:val="24"/>
        </w:rPr>
      </w:pPr>
      <w:r>
        <w:rPr>
          <w:b/>
          <w:szCs w:val="24"/>
        </w:rPr>
        <w:t>3</w:t>
      </w:r>
      <w:r w:rsidR="0008331C">
        <w:rPr>
          <w:b/>
          <w:szCs w:val="24"/>
        </w:rPr>
        <w:t>.2 Simulation Results</w:t>
      </w:r>
    </w:p>
    <w:p w:rsidR="009E6273" w:rsidRPr="0090442A" w:rsidRDefault="009E6273" w:rsidP="00966971">
      <w:pPr>
        <w:spacing w:line="360" w:lineRule="auto"/>
        <w:rPr>
          <w:i/>
          <w:szCs w:val="24"/>
        </w:rPr>
      </w:pPr>
      <w:r w:rsidRPr="0090442A">
        <w:rPr>
          <w:i/>
          <w:szCs w:val="24"/>
        </w:rPr>
        <w:t xml:space="preserve">3.2.1 Recoverability of </w:t>
      </w:r>
      <w:r w:rsidR="0090442A">
        <w:rPr>
          <w:i/>
          <w:szCs w:val="24"/>
        </w:rPr>
        <w:t>P</w:t>
      </w:r>
      <w:r w:rsidRPr="0090442A">
        <w:rPr>
          <w:i/>
          <w:szCs w:val="24"/>
        </w:rPr>
        <w:t xml:space="preserve">arameters in the MDCP </w:t>
      </w:r>
      <w:r w:rsidR="003807CE" w:rsidRPr="0090442A">
        <w:rPr>
          <w:i/>
          <w:szCs w:val="24"/>
        </w:rPr>
        <w:t>with the</w:t>
      </w:r>
      <w:r w:rsidRPr="0090442A">
        <w:rPr>
          <w:i/>
          <w:szCs w:val="24"/>
        </w:rPr>
        <w:t xml:space="preserve"> </w:t>
      </w:r>
      <w:r w:rsidR="0090442A">
        <w:rPr>
          <w:i/>
          <w:szCs w:val="24"/>
        </w:rPr>
        <w:t>M</w:t>
      </w:r>
      <w:r w:rsidR="00BA7148" w:rsidRPr="0090442A">
        <w:rPr>
          <w:i/>
          <w:szCs w:val="24"/>
        </w:rPr>
        <w:t xml:space="preserve">ixture </w:t>
      </w:r>
      <w:r w:rsidR="0090442A">
        <w:rPr>
          <w:i/>
          <w:szCs w:val="24"/>
        </w:rPr>
        <w:t>M</w:t>
      </w:r>
      <w:r w:rsidRPr="0090442A">
        <w:rPr>
          <w:i/>
          <w:szCs w:val="24"/>
        </w:rPr>
        <w:t>odel</w:t>
      </w:r>
    </w:p>
    <w:p w:rsidR="00FA7228" w:rsidRDefault="00B6554D" w:rsidP="00966971">
      <w:pPr>
        <w:spacing w:line="360" w:lineRule="auto"/>
        <w:rPr>
          <w:szCs w:val="24"/>
        </w:rPr>
      </w:pPr>
      <w:r>
        <w:rPr>
          <w:szCs w:val="24"/>
        </w:rPr>
        <w:t xml:space="preserve">Tables 1a and 1b present the results for the simulation. Table 1a corresponds to the </w:t>
      </w:r>
      <w:r w:rsidR="00BA7148">
        <w:rPr>
          <w:szCs w:val="24"/>
        </w:rPr>
        <w:t>two-</w:t>
      </w:r>
      <w:r>
        <w:rPr>
          <w:szCs w:val="24"/>
        </w:rPr>
        <w:t xml:space="preserve">segment case, while Table 1b corresponds to the </w:t>
      </w:r>
      <w:r w:rsidR="00BA7148">
        <w:rPr>
          <w:szCs w:val="24"/>
        </w:rPr>
        <w:t>three-</w:t>
      </w:r>
      <w:r>
        <w:rPr>
          <w:szCs w:val="24"/>
        </w:rPr>
        <w:t xml:space="preserve">segment case. </w:t>
      </w:r>
      <w:r w:rsidR="0038786E">
        <w:rPr>
          <w:szCs w:val="24"/>
        </w:rPr>
        <w:t xml:space="preserve">The second column presents the true values used in generating the data samples. </w:t>
      </w:r>
      <w:r>
        <w:rPr>
          <w:szCs w:val="24"/>
        </w:rPr>
        <w:t xml:space="preserve">The </w:t>
      </w:r>
      <w:r w:rsidR="0038786E">
        <w:rPr>
          <w:szCs w:val="24"/>
        </w:rPr>
        <w:t xml:space="preserve">third column labeled “Parameter </w:t>
      </w:r>
      <w:r w:rsidR="004A1087">
        <w:rPr>
          <w:szCs w:val="24"/>
        </w:rPr>
        <w:t xml:space="preserve">Estimates” provides the mean value (across the data sets) of each parameter as well as the corresponding </w:t>
      </w:r>
      <w:r w:rsidR="004A1087">
        <w:rPr>
          <w:szCs w:val="24"/>
        </w:rPr>
        <w:lastRenderedPageBreak/>
        <w:t>APB measure, while the fourth broad column labeled “Standard Error Estimates” provides the ASE, FS</w:t>
      </w:r>
      <w:r w:rsidR="00F72D8B">
        <w:rPr>
          <w:szCs w:val="24"/>
        </w:rPr>
        <w:t>S</w:t>
      </w:r>
      <w:r w:rsidR="004A1087">
        <w:rPr>
          <w:szCs w:val="24"/>
        </w:rPr>
        <w:t xml:space="preserve">E, and the APBASE values for the parameter standard errors. </w:t>
      </w:r>
    </w:p>
    <w:p w:rsidR="009E6273" w:rsidRDefault="004A1087" w:rsidP="00FA7228">
      <w:pPr>
        <w:spacing w:line="360" w:lineRule="auto"/>
        <w:ind w:firstLine="720"/>
        <w:rPr>
          <w:szCs w:val="24"/>
        </w:rPr>
      </w:pPr>
      <w:r>
        <w:rPr>
          <w:szCs w:val="24"/>
        </w:rPr>
        <w:t xml:space="preserve">The APB values for the parameter estimates (third column) </w:t>
      </w:r>
      <w:r w:rsidR="00B6554D">
        <w:rPr>
          <w:szCs w:val="24"/>
        </w:rPr>
        <w:t xml:space="preserve">show that the MACML method does very well in recovering </w:t>
      </w:r>
      <w:r>
        <w:rPr>
          <w:szCs w:val="24"/>
        </w:rPr>
        <w:t xml:space="preserve">the parameters. </w:t>
      </w:r>
      <w:r w:rsidR="00100B66">
        <w:rPr>
          <w:szCs w:val="24"/>
        </w:rPr>
        <w:t xml:space="preserve">The overall mean </w:t>
      </w:r>
      <w:r w:rsidR="00EB2769">
        <w:rPr>
          <w:szCs w:val="24"/>
        </w:rPr>
        <w:t xml:space="preserve">APB </w:t>
      </w:r>
      <w:r w:rsidR="00100B66">
        <w:rPr>
          <w:szCs w:val="24"/>
        </w:rPr>
        <w:t xml:space="preserve">value across </w:t>
      </w:r>
      <w:r w:rsidR="00EB2769">
        <w:rPr>
          <w:szCs w:val="24"/>
        </w:rPr>
        <w:t xml:space="preserve">all </w:t>
      </w:r>
      <w:r w:rsidR="00100B66">
        <w:rPr>
          <w:szCs w:val="24"/>
        </w:rPr>
        <w:t>parameters</w:t>
      </w:r>
      <w:r w:rsidR="00EB2769">
        <w:rPr>
          <w:szCs w:val="24"/>
        </w:rPr>
        <w:t xml:space="preserve"> </w:t>
      </w:r>
      <w:r w:rsidR="00100B66">
        <w:rPr>
          <w:szCs w:val="24"/>
        </w:rPr>
        <w:t xml:space="preserve">is 3.2% in the </w:t>
      </w:r>
      <w:r w:rsidR="00BA7148">
        <w:rPr>
          <w:szCs w:val="24"/>
        </w:rPr>
        <w:t>two-</w:t>
      </w:r>
      <w:r w:rsidR="00100B66">
        <w:rPr>
          <w:szCs w:val="24"/>
        </w:rPr>
        <w:t>segment case</w:t>
      </w:r>
      <w:r>
        <w:rPr>
          <w:szCs w:val="24"/>
        </w:rPr>
        <w:t xml:space="preserve"> (see the last row of the column labeled “APB” in Table 1a)</w:t>
      </w:r>
      <w:r w:rsidR="00100B66">
        <w:rPr>
          <w:szCs w:val="24"/>
        </w:rPr>
        <w:t xml:space="preserve">. The APB values are in general higher for the </w:t>
      </w:r>
      <w:r w:rsidR="00BA7148">
        <w:rPr>
          <w:szCs w:val="24"/>
        </w:rPr>
        <w:t>three-</w:t>
      </w:r>
      <w:r w:rsidR="00100B66">
        <w:rPr>
          <w:szCs w:val="24"/>
        </w:rPr>
        <w:t xml:space="preserve">segment case (Table 1b), with an overall mean value of </w:t>
      </w:r>
      <w:r w:rsidR="000E408C">
        <w:rPr>
          <w:szCs w:val="24"/>
        </w:rPr>
        <w:t>6.</w:t>
      </w:r>
      <w:r w:rsidR="00D0065F">
        <w:rPr>
          <w:szCs w:val="24"/>
        </w:rPr>
        <w:t>4</w:t>
      </w:r>
      <w:r w:rsidR="000E408C">
        <w:rPr>
          <w:szCs w:val="24"/>
        </w:rPr>
        <w:t xml:space="preserve">% across all parameters, probably due to the </w:t>
      </w:r>
      <w:r w:rsidR="003807CE">
        <w:rPr>
          <w:szCs w:val="24"/>
        </w:rPr>
        <w:t>many</w:t>
      </w:r>
      <w:r w:rsidR="000E408C">
        <w:rPr>
          <w:szCs w:val="24"/>
        </w:rPr>
        <w:t xml:space="preserve"> additional parameters that </w:t>
      </w:r>
      <w:r w:rsidR="003807CE">
        <w:rPr>
          <w:szCs w:val="24"/>
        </w:rPr>
        <w:t xml:space="preserve">have </w:t>
      </w:r>
      <w:r w:rsidR="000E408C">
        <w:rPr>
          <w:szCs w:val="24"/>
        </w:rPr>
        <w:t xml:space="preserve">to be estimated </w:t>
      </w:r>
      <w:r w:rsidR="00EB2769">
        <w:rPr>
          <w:szCs w:val="24"/>
        </w:rPr>
        <w:t xml:space="preserve">relative to </w:t>
      </w:r>
      <w:r w:rsidR="000E408C">
        <w:rPr>
          <w:szCs w:val="24"/>
        </w:rPr>
        <w:t xml:space="preserve">the </w:t>
      </w:r>
      <w:r w:rsidR="00BA7148">
        <w:rPr>
          <w:szCs w:val="24"/>
        </w:rPr>
        <w:t>two-</w:t>
      </w:r>
      <w:r w:rsidR="000E408C">
        <w:rPr>
          <w:szCs w:val="24"/>
        </w:rPr>
        <w:t xml:space="preserve">segment model. </w:t>
      </w:r>
      <w:r w:rsidR="000C5BB0">
        <w:rPr>
          <w:szCs w:val="24"/>
        </w:rPr>
        <w:t>In general, across the parameters, t</w:t>
      </w:r>
      <w:r w:rsidR="0028225D">
        <w:rPr>
          <w:szCs w:val="24"/>
        </w:rPr>
        <w:t xml:space="preserve">he APB values are relatively high for the </w:t>
      </w:r>
      <w:r w:rsidR="0028225D" w:rsidRPr="0028225D">
        <w:rPr>
          <w:b/>
          <w:i/>
          <w:szCs w:val="24"/>
        </w:rPr>
        <w:t>γ</w:t>
      </w:r>
      <w:r w:rsidR="0028225D">
        <w:rPr>
          <w:szCs w:val="24"/>
        </w:rPr>
        <w:t xml:space="preserve"> </w:t>
      </w:r>
      <w:r>
        <w:rPr>
          <w:szCs w:val="24"/>
        </w:rPr>
        <w:t xml:space="preserve">satiation parameters </w:t>
      </w:r>
      <w:r w:rsidR="0028225D">
        <w:rPr>
          <w:szCs w:val="24"/>
        </w:rPr>
        <w:t xml:space="preserve">in </w:t>
      </w:r>
      <w:r w:rsidR="000C5BB0">
        <w:rPr>
          <w:szCs w:val="24"/>
        </w:rPr>
        <w:t xml:space="preserve">both </w:t>
      </w:r>
      <w:r w:rsidR="0028225D">
        <w:rPr>
          <w:szCs w:val="24"/>
        </w:rPr>
        <w:t>the two</w:t>
      </w:r>
      <w:r w:rsidR="00BA7148">
        <w:rPr>
          <w:szCs w:val="24"/>
        </w:rPr>
        <w:t>-</w:t>
      </w:r>
      <w:r w:rsidR="0028225D">
        <w:rPr>
          <w:szCs w:val="24"/>
        </w:rPr>
        <w:t xml:space="preserve"> and </w:t>
      </w:r>
      <w:r w:rsidR="00BA7148">
        <w:rPr>
          <w:szCs w:val="24"/>
        </w:rPr>
        <w:t>three-</w:t>
      </w:r>
      <w:r w:rsidR="0028225D">
        <w:rPr>
          <w:szCs w:val="24"/>
        </w:rPr>
        <w:t>segment case</w:t>
      </w:r>
      <w:r w:rsidR="00BA7148">
        <w:rPr>
          <w:szCs w:val="24"/>
        </w:rPr>
        <w:t>s</w:t>
      </w:r>
      <w:r w:rsidR="0028225D">
        <w:rPr>
          <w:szCs w:val="24"/>
        </w:rPr>
        <w:t xml:space="preserve">. The satiation parameters </w:t>
      </w:r>
      <w:r w:rsidR="000C5BB0">
        <w:rPr>
          <w:szCs w:val="24"/>
        </w:rPr>
        <w:t xml:space="preserve">are an important source of </w:t>
      </w:r>
      <w:r w:rsidR="0028225D">
        <w:rPr>
          <w:szCs w:val="24"/>
        </w:rPr>
        <w:t xml:space="preserve">non-linearity </w:t>
      </w:r>
      <w:r w:rsidR="000C5BB0">
        <w:rPr>
          <w:szCs w:val="24"/>
        </w:rPr>
        <w:t>i</w:t>
      </w:r>
      <w:r w:rsidR="0028225D">
        <w:rPr>
          <w:szCs w:val="24"/>
        </w:rPr>
        <w:t>n the overall utility function (see Equation 1)</w:t>
      </w:r>
      <w:r w:rsidR="000C5BB0">
        <w:rPr>
          <w:szCs w:val="24"/>
        </w:rPr>
        <w:t>, and make the likelihood surface more difficult to track</w:t>
      </w:r>
      <w:r>
        <w:rPr>
          <w:szCs w:val="24"/>
        </w:rPr>
        <w:t xml:space="preserve"> computationally</w:t>
      </w:r>
      <w:r w:rsidR="0028225D">
        <w:rPr>
          <w:szCs w:val="24"/>
        </w:rPr>
        <w:t xml:space="preserve">. </w:t>
      </w:r>
      <w:r w:rsidR="00F87E19">
        <w:rPr>
          <w:szCs w:val="24"/>
        </w:rPr>
        <w:t xml:space="preserve">The APB values of the </w:t>
      </w:r>
      <w:r w:rsidR="00F87E19" w:rsidRPr="00853489">
        <w:rPr>
          <w:b/>
          <w:i/>
          <w:szCs w:val="24"/>
        </w:rPr>
        <w:t>µ</w:t>
      </w:r>
      <w:r w:rsidR="00F87E19">
        <w:rPr>
          <w:i/>
          <w:szCs w:val="24"/>
        </w:rPr>
        <w:t xml:space="preserve"> </w:t>
      </w:r>
      <w:r w:rsidR="00F87E19">
        <w:rPr>
          <w:szCs w:val="24"/>
        </w:rPr>
        <w:t>parameters are also</w:t>
      </w:r>
      <w:r w:rsidR="0038786E">
        <w:rPr>
          <w:szCs w:val="24"/>
        </w:rPr>
        <w:t xml:space="preserve"> relatively</w:t>
      </w:r>
      <w:r w:rsidR="00F87E19">
        <w:rPr>
          <w:szCs w:val="24"/>
        </w:rPr>
        <w:t xml:space="preserve"> high in both cases (two and three segments) relative to the APB values of the rest of the parameters. </w:t>
      </w:r>
      <w:r w:rsidR="0038786E">
        <w:rPr>
          <w:szCs w:val="24"/>
        </w:rPr>
        <w:t xml:space="preserve">These </w:t>
      </w:r>
      <w:r w:rsidR="0038786E" w:rsidRPr="00853489">
        <w:rPr>
          <w:b/>
          <w:i/>
          <w:szCs w:val="24"/>
        </w:rPr>
        <w:t>µ</w:t>
      </w:r>
      <w:r w:rsidR="0038786E">
        <w:rPr>
          <w:i/>
          <w:szCs w:val="24"/>
        </w:rPr>
        <w:t xml:space="preserve"> </w:t>
      </w:r>
      <w:r w:rsidR="0038786E">
        <w:rPr>
          <w:szCs w:val="24"/>
        </w:rPr>
        <w:t>parameters appear in the likelihood function through the mixture</w:t>
      </w:r>
      <w:r w:rsidR="0032667E">
        <w:rPr>
          <w:szCs w:val="24"/>
        </w:rPr>
        <w:t xml:space="preserve"> </w:t>
      </w:r>
      <w:r w:rsidR="0038786E">
        <w:rPr>
          <w:szCs w:val="24"/>
        </w:rPr>
        <w:t>(</w:t>
      </w:r>
      <w:r w:rsidR="0032667E" w:rsidRPr="0032667E">
        <w:rPr>
          <w:i/>
          <w:szCs w:val="24"/>
        </w:rPr>
        <w:t>π</w:t>
      </w:r>
      <w:r w:rsidR="0038786E">
        <w:rPr>
          <w:szCs w:val="24"/>
        </w:rPr>
        <w:t xml:space="preserve">) </w:t>
      </w:r>
      <w:r w:rsidR="0032667E">
        <w:rPr>
          <w:szCs w:val="24"/>
        </w:rPr>
        <w:t>probabilities</w:t>
      </w:r>
      <w:r w:rsidR="0038786E">
        <w:rPr>
          <w:szCs w:val="24"/>
        </w:rPr>
        <w:t xml:space="preserve">, and it is well established in the literature (see, for example, </w:t>
      </w:r>
      <w:proofErr w:type="spellStart"/>
      <w:r w:rsidR="00C47E15">
        <w:rPr>
          <w:szCs w:val="24"/>
        </w:rPr>
        <w:t>Sobhani</w:t>
      </w:r>
      <w:proofErr w:type="spellEnd"/>
      <w:r w:rsidR="00C47E15">
        <w:rPr>
          <w:szCs w:val="24"/>
        </w:rPr>
        <w:t xml:space="preserve"> </w:t>
      </w:r>
      <w:r w:rsidR="00C47E15" w:rsidRPr="00320DF9">
        <w:rPr>
          <w:i/>
          <w:szCs w:val="24"/>
        </w:rPr>
        <w:t>et al</w:t>
      </w:r>
      <w:r w:rsidR="00C47E15">
        <w:rPr>
          <w:szCs w:val="24"/>
        </w:rPr>
        <w:t>., 2013</w:t>
      </w:r>
      <w:r w:rsidR="0038786E">
        <w:rPr>
          <w:szCs w:val="24"/>
        </w:rPr>
        <w:t>) that these mixture probabilities are difficult to pin down because the likelihood surface can be relatively flat for a number of different combinations of the mixture probabilities near the likelihood optim</w:t>
      </w:r>
      <w:r>
        <w:rPr>
          <w:szCs w:val="24"/>
        </w:rPr>
        <w:t>al</w:t>
      </w:r>
      <w:r w:rsidR="0038786E">
        <w:rPr>
          <w:szCs w:val="24"/>
        </w:rPr>
        <w:t xml:space="preserve"> point.</w:t>
      </w:r>
      <w:r w:rsidR="00F87E19">
        <w:rPr>
          <w:szCs w:val="24"/>
        </w:rPr>
        <w:t xml:space="preserve"> </w:t>
      </w:r>
    </w:p>
    <w:p w:rsidR="003E099F" w:rsidRDefault="003E099F" w:rsidP="003E099F">
      <w:pPr>
        <w:spacing w:line="360" w:lineRule="auto"/>
        <w:ind w:firstLine="720"/>
        <w:rPr>
          <w:szCs w:val="24"/>
        </w:rPr>
      </w:pPr>
      <w:r>
        <w:rPr>
          <w:szCs w:val="24"/>
        </w:rPr>
        <w:t xml:space="preserve">The finite sample standard errors and the asymptotic standard errors </w:t>
      </w:r>
      <w:r w:rsidR="004A1087">
        <w:rPr>
          <w:szCs w:val="24"/>
        </w:rPr>
        <w:t xml:space="preserve">(in the fourth broad column of Tables 1a and 1b) </w:t>
      </w:r>
      <w:r>
        <w:rPr>
          <w:szCs w:val="24"/>
        </w:rPr>
        <w:t>are close</w:t>
      </w:r>
      <w:r w:rsidR="00A12085">
        <w:rPr>
          <w:szCs w:val="24"/>
        </w:rPr>
        <w:t xml:space="preserve">; </w:t>
      </w:r>
      <w:r>
        <w:rPr>
          <w:szCs w:val="24"/>
        </w:rPr>
        <w:t xml:space="preserve">the average absolute difference </w:t>
      </w:r>
      <w:r w:rsidR="004A1087">
        <w:rPr>
          <w:szCs w:val="24"/>
        </w:rPr>
        <w:t xml:space="preserve">is </w:t>
      </w:r>
      <w:r>
        <w:rPr>
          <w:szCs w:val="24"/>
        </w:rPr>
        <w:t xml:space="preserve">0.007 and </w:t>
      </w:r>
      <w:r w:rsidR="00853489">
        <w:rPr>
          <w:szCs w:val="24"/>
        </w:rPr>
        <w:t>0.01</w:t>
      </w:r>
      <w:r w:rsidR="0018749F">
        <w:rPr>
          <w:szCs w:val="24"/>
        </w:rPr>
        <w:t>3</w:t>
      </w:r>
      <w:r w:rsidR="00853489">
        <w:rPr>
          <w:szCs w:val="24"/>
        </w:rPr>
        <w:t xml:space="preserve"> for the two</w:t>
      </w:r>
      <w:r w:rsidR="00E81837">
        <w:rPr>
          <w:szCs w:val="24"/>
        </w:rPr>
        <w:t>-</w:t>
      </w:r>
      <w:r w:rsidR="00853489">
        <w:rPr>
          <w:szCs w:val="24"/>
        </w:rPr>
        <w:t xml:space="preserve"> and </w:t>
      </w:r>
      <w:r w:rsidR="00E81837">
        <w:rPr>
          <w:szCs w:val="24"/>
        </w:rPr>
        <w:t>three-</w:t>
      </w:r>
      <w:r w:rsidR="00853489">
        <w:rPr>
          <w:szCs w:val="24"/>
        </w:rPr>
        <w:t>segment case</w:t>
      </w:r>
      <w:r w:rsidR="00E81837">
        <w:rPr>
          <w:szCs w:val="24"/>
        </w:rPr>
        <w:t>s</w:t>
      </w:r>
      <w:r w:rsidR="00A12085">
        <w:rPr>
          <w:szCs w:val="24"/>
        </w:rPr>
        <w:t>,</w:t>
      </w:r>
      <w:r w:rsidR="00853489">
        <w:rPr>
          <w:szCs w:val="24"/>
        </w:rPr>
        <w:t xml:space="preserve"> respectively. The mean APBASE value across all parameters is 7.8% for the </w:t>
      </w:r>
      <w:r w:rsidR="00E81837">
        <w:rPr>
          <w:szCs w:val="24"/>
        </w:rPr>
        <w:t>two-</w:t>
      </w:r>
      <w:r w:rsidR="00853489">
        <w:rPr>
          <w:szCs w:val="24"/>
        </w:rPr>
        <w:t xml:space="preserve">segment case and </w:t>
      </w:r>
      <w:r w:rsidR="004A1087">
        <w:rPr>
          <w:szCs w:val="24"/>
        </w:rPr>
        <w:t>8.</w:t>
      </w:r>
      <w:r w:rsidR="00D0065F">
        <w:rPr>
          <w:szCs w:val="24"/>
        </w:rPr>
        <w:t>7</w:t>
      </w:r>
      <w:r w:rsidR="004A1087">
        <w:rPr>
          <w:szCs w:val="24"/>
        </w:rPr>
        <w:t xml:space="preserve">% for </w:t>
      </w:r>
      <w:r w:rsidR="00853489">
        <w:rPr>
          <w:szCs w:val="24"/>
        </w:rPr>
        <w:t xml:space="preserve">the </w:t>
      </w:r>
      <w:r w:rsidR="00B51B8B">
        <w:rPr>
          <w:szCs w:val="24"/>
        </w:rPr>
        <w:t>three-</w:t>
      </w:r>
      <w:r w:rsidR="00853489">
        <w:rPr>
          <w:szCs w:val="24"/>
        </w:rPr>
        <w:t xml:space="preserve">segment case. </w:t>
      </w:r>
      <w:r w:rsidR="00F87E19">
        <w:rPr>
          <w:szCs w:val="24"/>
        </w:rPr>
        <w:t xml:space="preserve">In both </w:t>
      </w:r>
      <w:r w:rsidR="00B51B8B">
        <w:rPr>
          <w:szCs w:val="24"/>
        </w:rPr>
        <w:t xml:space="preserve">the </w:t>
      </w:r>
      <w:r w:rsidR="00F87E19">
        <w:rPr>
          <w:szCs w:val="24"/>
        </w:rPr>
        <w:t>two</w:t>
      </w:r>
      <w:r w:rsidR="00E81837">
        <w:rPr>
          <w:szCs w:val="24"/>
        </w:rPr>
        <w:t>-</w:t>
      </w:r>
      <w:r w:rsidR="00F87E19">
        <w:rPr>
          <w:szCs w:val="24"/>
        </w:rPr>
        <w:t xml:space="preserve"> and </w:t>
      </w:r>
      <w:r w:rsidR="00E81837">
        <w:rPr>
          <w:szCs w:val="24"/>
        </w:rPr>
        <w:t>three-</w:t>
      </w:r>
      <w:r w:rsidR="00F87E19">
        <w:rPr>
          <w:szCs w:val="24"/>
        </w:rPr>
        <w:t>segment cases, t</w:t>
      </w:r>
      <w:r w:rsidR="00853489">
        <w:rPr>
          <w:szCs w:val="24"/>
        </w:rPr>
        <w:t xml:space="preserve">he finite sample standard error estimates are generally higher (as a percentage of the mean estimates) for the </w:t>
      </w:r>
      <w:r w:rsidR="00853489" w:rsidRPr="0028225D">
        <w:rPr>
          <w:b/>
          <w:i/>
          <w:szCs w:val="24"/>
        </w:rPr>
        <w:t>γ</w:t>
      </w:r>
      <w:r w:rsidR="00853489">
        <w:rPr>
          <w:szCs w:val="24"/>
        </w:rPr>
        <w:t xml:space="preserve"> and </w:t>
      </w:r>
      <w:r w:rsidR="00853489" w:rsidRPr="00853489">
        <w:rPr>
          <w:b/>
          <w:i/>
          <w:szCs w:val="24"/>
        </w:rPr>
        <w:t>µ</w:t>
      </w:r>
      <w:r w:rsidR="00853489">
        <w:rPr>
          <w:szCs w:val="24"/>
        </w:rPr>
        <w:t xml:space="preserve"> parameters relative to other </w:t>
      </w:r>
      <w:r w:rsidR="00FA7228">
        <w:rPr>
          <w:szCs w:val="24"/>
        </w:rPr>
        <w:t xml:space="preserve">sets of </w:t>
      </w:r>
      <w:r w:rsidR="00853489">
        <w:rPr>
          <w:szCs w:val="24"/>
        </w:rPr>
        <w:t xml:space="preserve">parameters, reinforcing the finding earlier that the </w:t>
      </w:r>
      <w:r w:rsidR="00853489" w:rsidRPr="0028225D">
        <w:rPr>
          <w:b/>
          <w:i/>
          <w:szCs w:val="24"/>
        </w:rPr>
        <w:t>γ</w:t>
      </w:r>
      <w:r w:rsidR="00853489">
        <w:rPr>
          <w:szCs w:val="24"/>
        </w:rPr>
        <w:t xml:space="preserve"> and </w:t>
      </w:r>
      <w:r w:rsidR="00F87E19" w:rsidRPr="00853489">
        <w:rPr>
          <w:b/>
          <w:i/>
          <w:szCs w:val="24"/>
        </w:rPr>
        <w:t>µ</w:t>
      </w:r>
      <w:r w:rsidR="00F87E19">
        <w:rPr>
          <w:i/>
          <w:szCs w:val="24"/>
        </w:rPr>
        <w:t xml:space="preserve"> </w:t>
      </w:r>
      <w:r w:rsidR="00F87E19">
        <w:rPr>
          <w:szCs w:val="24"/>
        </w:rPr>
        <w:t>parameters</w:t>
      </w:r>
      <w:r w:rsidR="00853489">
        <w:rPr>
          <w:szCs w:val="24"/>
        </w:rPr>
        <w:t xml:space="preserve"> are more difficult to recover than other parameters.</w:t>
      </w:r>
      <w:r w:rsidR="00FA7228">
        <w:rPr>
          <w:szCs w:val="24"/>
        </w:rPr>
        <w:t xml:space="preserve"> Some elements of the </w:t>
      </w:r>
      <w:proofErr w:type="spellStart"/>
      <w:r w:rsidR="00FA7228">
        <w:rPr>
          <w:szCs w:val="24"/>
        </w:rPr>
        <w:t>Cholesky</w:t>
      </w:r>
      <w:proofErr w:type="spellEnd"/>
      <w:r w:rsidR="00FA7228">
        <w:rPr>
          <w:szCs w:val="24"/>
        </w:rPr>
        <w:t xml:space="preserve"> matrix also are difficult to pin down, again because the </w:t>
      </w:r>
      <w:proofErr w:type="spellStart"/>
      <w:r w:rsidR="00FA7228">
        <w:rPr>
          <w:szCs w:val="24"/>
        </w:rPr>
        <w:t>Cholesky</w:t>
      </w:r>
      <w:proofErr w:type="spellEnd"/>
      <w:r w:rsidR="00FA7228">
        <w:rPr>
          <w:szCs w:val="24"/>
        </w:rPr>
        <w:t xml:space="preserve"> elements enter the likelihood function in a very non-linear fashion as part of the evaluation of the cumulative multivariate normal density and distribution functions. </w:t>
      </w:r>
    </w:p>
    <w:p w:rsidR="009E6273" w:rsidRDefault="00876A89" w:rsidP="00966971">
      <w:pPr>
        <w:spacing w:line="360" w:lineRule="auto"/>
        <w:rPr>
          <w:szCs w:val="24"/>
        </w:rPr>
      </w:pPr>
      <w:r>
        <w:rPr>
          <w:szCs w:val="24"/>
        </w:rPr>
        <w:tab/>
        <w:t xml:space="preserve">Overall, the MACML </w:t>
      </w:r>
      <w:r w:rsidR="002B3AA0">
        <w:rPr>
          <w:szCs w:val="24"/>
        </w:rPr>
        <w:t xml:space="preserve">inference approach does well in accurately and precisely recovering parameters in both the two-segment and three-segment FDMN-MDCP model. </w:t>
      </w:r>
      <w:r w:rsidR="009E786C">
        <w:rPr>
          <w:szCs w:val="24"/>
        </w:rPr>
        <w:t>The reported model estimation times are based on scaling to a d</w:t>
      </w:r>
      <w:r w:rsidR="009E786C" w:rsidRPr="009E786C">
        <w:rPr>
          <w:szCs w:val="24"/>
        </w:rPr>
        <w:t xml:space="preserve">esktop computer with an Intel(R) </w:t>
      </w:r>
      <w:r w:rsidR="009E786C" w:rsidRPr="009E786C">
        <w:rPr>
          <w:szCs w:val="24"/>
        </w:rPr>
        <w:lastRenderedPageBreak/>
        <w:t>Pentium(R) D CPU@3.20GHz processor and 4GB of RAM.</w:t>
      </w:r>
      <w:r w:rsidR="009E786C">
        <w:rPr>
          <w:szCs w:val="24"/>
        </w:rPr>
        <w:t xml:space="preserve"> The statistical software GAUSS was used for all the estimations reported in this paper.</w:t>
      </w:r>
    </w:p>
    <w:p w:rsidR="002B3AA0" w:rsidRPr="009E6273" w:rsidRDefault="002B3AA0" w:rsidP="00966971">
      <w:pPr>
        <w:spacing w:line="360" w:lineRule="auto"/>
        <w:rPr>
          <w:szCs w:val="24"/>
        </w:rPr>
      </w:pPr>
    </w:p>
    <w:p w:rsidR="009E6273" w:rsidRPr="0090442A" w:rsidRDefault="009E6273" w:rsidP="00966971">
      <w:pPr>
        <w:spacing w:line="360" w:lineRule="auto"/>
        <w:rPr>
          <w:i/>
          <w:szCs w:val="24"/>
        </w:rPr>
      </w:pPr>
      <w:r w:rsidRPr="0090442A">
        <w:rPr>
          <w:i/>
          <w:szCs w:val="24"/>
        </w:rPr>
        <w:t xml:space="preserve">3.2.2 Comparison </w:t>
      </w:r>
      <w:r w:rsidR="0090442A">
        <w:rPr>
          <w:i/>
          <w:szCs w:val="24"/>
        </w:rPr>
        <w:t>b</w:t>
      </w:r>
      <w:r w:rsidRPr="0090442A">
        <w:rPr>
          <w:i/>
          <w:szCs w:val="24"/>
        </w:rPr>
        <w:t xml:space="preserve">etween the </w:t>
      </w:r>
      <w:r w:rsidR="0090442A">
        <w:rPr>
          <w:i/>
          <w:szCs w:val="24"/>
        </w:rPr>
        <w:t>P</w:t>
      </w:r>
      <w:r w:rsidR="00B1435A" w:rsidRPr="0090442A">
        <w:rPr>
          <w:i/>
          <w:szCs w:val="24"/>
        </w:rPr>
        <w:t xml:space="preserve">roposed </w:t>
      </w:r>
      <w:r w:rsidR="0090442A">
        <w:rPr>
          <w:i/>
          <w:szCs w:val="24"/>
        </w:rPr>
        <w:t>M</w:t>
      </w:r>
      <w:r w:rsidR="00B1435A" w:rsidRPr="0090442A">
        <w:rPr>
          <w:i/>
          <w:szCs w:val="24"/>
        </w:rPr>
        <w:t xml:space="preserve">odel </w:t>
      </w:r>
      <w:r w:rsidRPr="0090442A">
        <w:rPr>
          <w:i/>
          <w:szCs w:val="24"/>
        </w:rPr>
        <w:t xml:space="preserve">and </w:t>
      </w:r>
      <w:r w:rsidR="0090442A">
        <w:rPr>
          <w:i/>
          <w:szCs w:val="24"/>
        </w:rPr>
        <w:t>M</w:t>
      </w:r>
      <w:r w:rsidR="00D47A2B" w:rsidRPr="0090442A">
        <w:rPr>
          <w:i/>
          <w:szCs w:val="24"/>
        </w:rPr>
        <w:t xml:space="preserve">ore </w:t>
      </w:r>
      <w:r w:rsidR="0090442A">
        <w:rPr>
          <w:i/>
          <w:szCs w:val="24"/>
        </w:rPr>
        <w:t>R</w:t>
      </w:r>
      <w:r w:rsidRPr="0090442A">
        <w:rPr>
          <w:i/>
          <w:szCs w:val="24"/>
        </w:rPr>
        <w:t xml:space="preserve">estrictive </w:t>
      </w:r>
      <w:r w:rsidR="006920DF" w:rsidRPr="0090442A">
        <w:rPr>
          <w:i/>
          <w:szCs w:val="24"/>
        </w:rPr>
        <w:t xml:space="preserve">MDCP </w:t>
      </w:r>
      <w:r w:rsidR="0090442A">
        <w:rPr>
          <w:i/>
          <w:szCs w:val="24"/>
        </w:rPr>
        <w:t>M</w:t>
      </w:r>
      <w:r w:rsidRPr="0090442A">
        <w:rPr>
          <w:i/>
          <w:szCs w:val="24"/>
        </w:rPr>
        <w:t>odels</w:t>
      </w:r>
    </w:p>
    <w:p w:rsidR="00B61F26" w:rsidRDefault="00A87CE4" w:rsidP="00A87CE4">
      <w:pPr>
        <w:spacing w:line="360" w:lineRule="auto"/>
        <w:rPr>
          <w:szCs w:val="24"/>
        </w:rPr>
      </w:pPr>
      <w:r w:rsidRPr="002977E2">
        <w:t xml:space="preserve">Tables 2a and 2b present the results for the simulation exercise focusing on the comparison between the </w:t>
      </w:r>
      <w:r w:rsidR="00B1435A">
        <w:t>proposed FDMN</w:t>
      </w:r>
      <w:r w:rsidR="00B1435A" w:rsidRPr="002977E2">
        <w:t xml:space="preserve"> </w:t>
      </w:r>
      <w:r w:rsidR="00B90C06" w:rsidRPr="002977E2">
        <w:t xml:space="preserve">MDCP </w:t>
      </w:r>
      <w:r w:rsidR="006920DF" w:rsidRPr="002977E2">
        <w:t xml:space="preserve">model </w:t>
      </w:r>
      <w:r w:rsidRPr="002977E2">
        <w:t>and two other</w:t>
      </w:r>
      <w:r w:rsidR="00B90C06" w:rsidRPr="002977E2">
        <w:t>,</w:t>
      </w:r>
      <w:r w:rsidRPr="002977E2">
        <w:t xml:space="preserve"> more restrictive version</w:t>
      </w:r>
      <w:r w:rsidR="00B90C06" w:rsidRPr="002977E2">
        <w:t>s</w:t>
      </w:r>
      <w:r w:rsidRPr="002977E2">
        <w:t xml:space="preserve"> of the model:</w:t>
      </w:r>
      <w:r w:rsidR="00B1435A">
        <w:t xml:space="preserve"> the LC-MDCP and the RC-MDCP models. </w:t>
      </w:r>
      <w:r w:rsidRPr="002977E2">
        <w:t>Table 2a corresponds to the two-segment</w:t>
      </w:r>
      <w:r w:rsidR="00A200BB">
        <w:t xml:space="preserve"> </w:t>
      </w:r>
      <w:r w:rsidRPr="002977E2">
        <w:t xml:space="preserve">case, while Table 2b corresponds to the </w:t>
      </w:r>
      <w:r w:rsidR="005217BF" w:rsidRPr="002977E2">
        <w:t>three-segment</w:t>
      </w:r>
      <w:r w:rsidRPr="002977E2">
        <w:t xml:space="preserve"> case.</w:t>
      </w:r>
      <w:r w:rsidR="005217BF" w:rsidRPr="002977E2">
        <w:t xml:space="preserve"> </w:t>
      </w:r>
      <w:r w:rsidR="005217BF" w:rsidRPr="002977E2">
        <w:rPr>
          <w:szCs w:val="24"/>
        </w:rPr>
        <w:t xml:space="preserve">The APB values of the parameters are </w:t>
      </w:r>
      <w:r w:rsidR="0031352F" w:rsidRPr="002977E2">
        <w:rPr>
          <w:szCs w:val="24"/>
        </w:rPr>
        <w:t>in general</w:t>
      </w:r>
      <w:r w:rsidR="005217BF" w:rsidRPr="002977E2">
        <w:rPr>
          <w:szCs w:val="24"/>
        </w:rPr>
        <w:t xml:space="preserve"> higher in both cases (two and three segments)</w:t>
      </w:r>
      <w:r w:rsidR="0031352F" w:rsidRPr="002977E2">
        <w:rPr>
          <w:szCs w:val="24"/>
        </w:rPr>
        <w:t xml:space="preserve"> and in both alternative models </w:t>
      </w:r>
      <w:r w:rsidR="005217BF" w:rsidRPr="002977E2">
        <w:rPr>
          <w:szCs w:val="24"/>
        </w:rPr>
        <w:t>relati</w:t>
      </w:r>
      <w:r w:rsidR="0031352F" w:rsidRPr="002977E2">
        <w:rPr>
          <w:szCs w:val="24"/>
        </w:rPr>
        <w:t xml:space="preserve">ve to the APB values </w:t>
      </w:r>
      <w:r w:rsidR="005217BF" w:rsidRPr="002977E2">
        <w:rPr>
          <w:szCs w:val="24"/>
        </w:rPr>
        <w:t>of the parameters</w:t>
      </w:r>
      <w:r w:rsidR="0031352F" w:rsidRPr="002977E2">
        <w:rPr>
          <w:szCs w:val="24"/>
        </w:rPr>
        <w:t xml:space="preserve"> in the original model (Tables 1a and 1b)</w:t>
      </w:r>
      <w:r w:rsidR="005217BF" w:rsidRPr="002977E2">
        <w:rPr>
          <w:szCs w:val="24"/>
        </w:rPr>
        <w:t>.</w:t>
      </w:r>
      <w:r w:rsidR="00B765C2" w:rsidRPr="002977E2">
        <w:rPr>
          <w:szCs w:val="24"/>
        </w:rPr>
        <w:t xml:space="preserve"> In the two-segment model, the overall mean APB value</w:t>
      </w:r>
      <w:r w:rsidR="0091309E" w:rsidRPr="002977E2">
        <w:rPr>
          <w:szCs w:val="24"/>
        </w:rPr>
        <w:t>s</w:t>
      </w:r>
      <w:r w:rsidR="00B765C2" w:rsidRPr="002977E2">
        <w:rPr>
          <w:szCs w:val="24"/>
        </w:rPr>
        <w:t xml:space="preserve"> across parameters </w:t>
      </w:r>
      <w:r w:rsidR="0091309E" w:rsidRPr="002977E2">
        <w:rPr>
          <w:szCs w:val="24"/>
        </w:rPr>
        <w:t xml:space="preserve">are </w:t>
      </w:r>
      <w:r w:rsidR="00EA064F" w:rsidRPr="00EA064F">
        <w:rPr>
          <w:szCs w:val="24"/>
        </w:rPr>
        <w:t>28.5</w:t>
      </w:r>
      <w:r w:rsidR="00B765C2" w:rsidRPr="00EA064F">
        <w:rPr>
          <w:szCs w:val="24"/>
        </w:rPr>
        <w:t>%</w:t>
      </w:r>
      <w:r w:rsidR="00B765C2" w:rsidRPr="002977E2">
        <w:rPr>
          <w:szCs w:val="24"/>
        </w:rPr>
        <w:t xml:space="preserve"> and 26.0% for the </w:t>
      </w:r>
      <w:r w:rsidR="00B1435A">
        <w:rPr>
          <w:szCs w:val="24"/>
        </w:rPr>
        <w:t xml:space="preserve">LC-MDCP </w:t>
      </w:r>
      <w:r w:rsidR="00B765C2" w:rsidRPr="002977E2">
        <w:rPr>
          <w:szCs w:val="24"/>
        </w:rPr>
        <w:t xml:space="preserve">and </w:t>
      </w:r>
      <w:r w:rsidR="00B1435A">
        <w:rPr>
          <w:szCs w:val="24"/>
        </w:rPr>
        <w:t xml:space="preserve">RC-MDCP models, </w:t>
      </w:r>
      <w:r w:rsidR="005E3183" w:rsidRPr="002977E2">
        <w:rPr>
          <w:szCs w:val="24"/>
        </w:rPr>
        <w:t>respectively</w:t>
      </w:r>
      <w:r w:rsidR="0091309E" w:rsidRPr="002977E2">
        <w:rPr>
          <w:szCs w:val="24"/>
        </w:rPr>
        <w:t>—</w:t>
      </w:r>
      <w:r w:rsidR="005E3183" w:rsidRPr="002977E2">
        <w:rPr>
          <w:szCs w:val="24"/>
        </w:rPr>
        <w:t xml:space="preserve">significantly higher in comparison with the </w:t>
      </w:r>
      <w:r w:rsidR="00F43745">
        <w:rPr>
          <w:szCs w:val="24"/>
        </w:rPr>
        <w:t xml:space="preserve">mean APB value of </w:t>
      </w:r>
      <w:r w:rsidR="005E3183" w:rsidRPr="002977E2">
        <w:rPr>
          <w:szCs w:val="24"/>
        </w:rPr>
        <w:t>3.2</w:t>
      </w:r>
      <w:r w:rsidR="009D1515">
        <w:rPr>
          <w:szCs w:val="24"/>
        </w:rPr>
        <w:t>%</w:t>
      </w:r>
      <w:r w:rsidR="005E3183" w:rsidRPr="002977E2">
        <w:rPr>
          <w:szCs w:val="24"/>
        </w:rPr>
        <w:t xml:space="preserve"> </w:t>
      </w:r>
      <w:r w:rsidR="00F43745">
        <w:rPr>
          <w:szCs w:val="24"/>
        </w:rPr>
        <w:t>in the proposed model</w:t>
      </w:r>
      <w:r w:rsidR="005E3183" w:rsidRPr="002977E2">
        <w:rPr>
          <w:szCs w:val="24"/>
        </w:rPr>
        <w:t xml:space="preserve">. The difference is even higher in the three-segment model </w:t>
      </w:r>
      <w:r w:rsidR="00F43745">
        <w:rPr>
          <w:szCs w:val="24"/>
        </w:rPr>
        <w:t>with</w:t>
      </w:r>
      <w:r w:rsidR="005E3183" w:rsidRPr="002977E2">
        <w:rPr>
          <w:szCs w:val="24"/>
        </w:rPr>
        <w:t xml:space="preserve"> the overall mean APB value</w:t>
      </w:r>
      <w:r w:rsidR="0091309E" w:rsidRPr="002977E2">
        <w:rPr>
          <w:szCs w:val="24"/>
        </w:rPr>
        <w:t>s</w:t>
      </w:r>
      <w:r w:rsidR="005E3183" w:rsidRPr="002977E2">
        <w:rPr>
          <w:szCs w:val="24"/>
        </w:rPr>
        <w:t xml:space="preserve"> across parameters </w:t>
      </w:r>
      <w:r w:rsidR="00F43745">
        <w:rPr>
          <w:szCs w:val="24"/>
        </w:rPr>
        <w:t xml:space="preserve">being </w:t>
      </w:r>
      <w:r w:rsidR="00A12CE3" w:rsidRPr="00A12CE3">
        <w:rPr>
          <w:szCs w:val="24"/>
        </w:rPr>
        <w:t>3</w:t>
      </w:r>
      <w:r w:rsidR="00391711">
        <w:rPr>
          <w:szCs w:val="24"/>
        </w:rPr>
        <w:t>0.8</w:t>
      </w:r>
      <w:r w:rsidR="005E3183" w:rsidRPr="00A12CE3">
        <w:rPr>
          <w:szCs w:val="24"/>
        </w:rPr>
        <w:t>%</w:t>
      </w:r>
      <w:r w:rsidR="005E3183" w:rsidRPr="002977E2">
        <w:rPr>
          <w:szCs w:val="24"/>
        </w:rPr>
        <w:t xml:space="preserve"> and 82.9%</w:t>
      </w:r>
      <w:r w:rsidR="00B765C2" w:rsidRPr="002977E2">
        <w:rPr>
          <w:szCs w:val="24"/>
        </w:rPr>
        <w:t xml:space="preserve"> </w:t>
      </w:r>
      <w:r w:rsidR="005E3183" w:rsidRPr="002977E2">
        <w:rPr>
          <w:szCs w:val="24"/>
        </w:rPr>
        <w:t xml:space="preserve">for the </w:t>
      </w:r>
      <w:r w:rsidR="00B1435A">
        <w:rPr>
          <w:szCs w:val="24"/>
        </w:rPr>
        <w:t xml:space="preserve">LC-MDCP and RC-MDCP </w:t>
      </w:r>
      <w:r w:rsidR="005E3183" w:rsidRPr="002977E2">
        <w:rPr>
          <w:szCs w:val="24"/>
        </w:rPr>
        <w:t>model</w:t>
      </w:r>
      <w:r w:rsidR="0091309E" w:rsidRPr="002977E2">
        <w:rPr>
          <w:szCs w:val="24"/>
        </w:rPr>
        <w:t>s</w:t>
      </w:r>
      <w:r w:rsidR="00B1435A">
        <w:rPr>
          <w:szCs w:val="24"/>
        </w:rPr>
        <w:t>,</w:t>
      </w:r>
      <w:r w:rsidR="005E3183" w:rsidRPr="002977E2">
        <w:rPr>
          <w:szCs w:val="24"/>
        </w:rPr>
        <w:t xml:space="preserve"> respectively, </w:t>
      </w:r>
      <w:r w:rsidR="00F43745">
        <w:rPr>
          <w:szCs w:val="24"/>
        </w:rPr>
        <w:t xml:space="preserve">relative to the </w:t>
      </w:r>
      <w:r w:rsidR="005E3183" w:rsidRPr="002977E2">
        <w:rPr>
          <w:szCs w:val="24"/>
        </w:rPr>
        <w:t xml:space="preserve">overall mean APB value </w:t>
      </w:r>
      <w:r w:rsidR="00F43745">
        <w:rPr>
          <w:szCs w:val="24"/>
        </w:rPr>
        <w:t xml:space="preserve">of </w:t>
      </w:r>
      <w:r w:rsidR="005E3183" w:rsidRPr="002977E2">
        <w:rPr>
          <w:szCs w:val="24"/>
        </w:rPr>
        <w:t>6.</w:t>
      </w:r>
      <w:r w:rsidR="00391711">
        <w:rPr>
          <w:szCs w:val="24"/>
        </w:rPr>
        <w:t>4</w:t>
      </w:r>
      <w:r w:rsidR="005E3183" w:rsidRPr="002977E2">
        <w:rPr>
          <w:szCs w:val="24"/>
        </w:rPr>
        <w:t>%</w:t>
      </w:r>
      <w:r w:rsidR="00F43745">
        <w:rPr>
          <w:szCs w:val="24"/>
        </w:rPr>
        <w:t xml:space="preserve"> in the original model</w:t>
      </w:r>
      <w:r w:rsidR="005E3183" w:rsidRPr="002977E2">
        <w:rPr>
          <w:szCs w:val="24"/>
        </w:rPr>
        <w:t>.</w:t>
      </w:r>
      <w:r w:rsidR="00F33E49">
        <w:rPr>
          <w:szCs w:val="24"/>
        </w:rPr>
        <w:t xml:space="preserve"> </w:t>
      </w:r>
      <w:r w:rsidR="002B3AA0">
        <w:rPr>
          <w:szCs w:val="24"/>
        </w:rPr>
        <w:t xml:space="preserve">The superior performance of the FDMN-MDCP model is also evidenced in the higher log-likelihood value, on average, for the FDMN-MDCP model across the 100 estimations (on the 100 data sets). In addition, for each of the 100 data sets, a likelihood ratio test comparing the FDMN-MDCP model with the two other models </w:t>
      </w:r>
      <w:r w:rsidR="0011330D">
        <w:rPr>
          <w:szCs w:val="24"/>
        </w:rPr>
        <w:t xml:space="preserve">clearly rejects the other two </w:t>
      </w:r>
      <w:proofErr w:type="gramStart"/>
      <w:r w:rsidR="0011330D">
        <w:rPr>
          <w:szCs w:val="24"/>
        </w:rPr>
        <w:t>model</w:t>
      </w:r>
      <w:proofErr w:type="gramEnd"/>
      <w:r w:rsidR="0011330D">
        <w:rPr>
          <w:szCs w:val="24"/>
        </w:rPr>
        <w:t xml:space="preserve"> in favor of the FDMN-MDCP model (see last row of Tables 2a and 2b). </w:t>
      </w:r>
      <w:r w:rsidR="002B3AA0">
        <w:rPr>
          <w:szCs w:val="24"/>
        </w:rPr>
        <w:t xml:space="preserve"> </w:t>
      </w:r>
    </w:p>
    <w:p w:rsidR="00A87CE4" w:rsidRPr="00A87CE4" w:rsidRDefault="00A87CE4" w:rsidP="00A87CE4">
      <w:pPr>
        <w:spacing w:line="360" w:lineRule="auto"/>
      </w:pPr>
    </w:p>
    <w:p w:rsidR="00B61F26" w:rsidRPr="00B61F26" w:rsidRDefault="00B61F26" w:rsidP="00B61F26">
      <w:pPr>
        <w:pStyle w:val="FirstLevelHeading"/>
        <w:rPr>
          <w:sz w:val="24"/>
          <w:szCs w:val="24"/>
          <w:lang w:val="en-US"/>
        </w:rPr>
      </w:pPr>
      <w:r w:rsidRPr="00B61F26">
        <w:rPr>
          <w:sz w:val="24"/>
          <w:szCs w:val="24"/>
          <w:lang w:val="en-US"/>
        </w:rPr>
        <w:t>4. AN APPLICATION</w:t>
      </w:r>
    </w:p>
    <w:p w:rsidR="00B61F26" w:rsidRDefault="00B61F26" w:rsidP="00B61F26">
      <w:pPr>
        <w:spacing w:line="360" w:lineRule="auto"/>
        <w:rPr>
          <w:color w:val="000000"/>
        </w:rPr>
      </w:pPr>
      <w:r w:rsidRPr="00B61F26">
        <w:t>In this paper, we demonstrate</w:t>
      </w:r>
      <w:r w:rsidRPr="00B61F26">
        <w:rPr>
          <w:b/>
        </w:rPr>
        <w:t xml:space="preserve"> </w:t>
      </w:r>
      <w:r w:rsidR="008A6DA8" w:rsidRPr="00D64D57">
        <w:t>an</w:t>
      </w:r>
      <w:r w:rsidR="008A6DA8">
        <w:rPr>
          <w:b/>
        </w:rPr>
        <w:t xml:space="preserve"> </w:t>
      </w:r>
      <w:r w:rsidRPr="00B61F26">
        <w:rPr>
          <w:color w:val="000000"/>
        </w:rPr>
        <w:t xml:space="preserve">application of the proposed model </w:t>
      </w:r>
      <w:r w:rsidR="008A6DA8">
        <w:rPr>
          <w:color w:val="000000"/>
        </w:rPr>
        <w:t xml:space="preserve">to </w:t>
      </w:r>
      <w:r w:rsidRPr="00B61F26">
        <w:rPr>
          <w:color w:val="000000"/>
        </w:rPr>
        <w:t>analyz</w:t>
      </w:r>
      <w:r w:rsidR="008A6DA8">
        <w:rPr>
          <w:color w:val="000000"/>
        </w:rPr>
        <w:t>e</w:t>
      </w:r>
      <w:r w:rsidRPr="00B61F26">
        <w:rPr>
          <w:color w:val="000000"/>
        </w:rPr>
        <w:t xml:space="preserve"> </w:t>
      </w:r>
      <w:r>
        <w:rPr>
          <w:color w:val="000000"/>
        </w:rPr>
        <w:t>individual</w:t>
      </w:r>
      <w:r w:rsidRPr="00B61F26">
        <w:rPr>
          <w:color w:val="000000"/>
        </w:rPr>
        <w:t xml:space="preserve">-level decisions </w:t>
      </w:r>
      <w:r w:rsidR="00D47A2B">
        <w:rPr>
          <w:color w:val="000000"/>
        </w:rPr>
        <w:t>regarding</w:t>
      </w:r>
      <w:r w:rsidR="00D47A2B" w:rsidRPr="00B61F26">
        <w:rPr>
          <w:color w:val="000000"/>
        </w:rPr>
        <w:t xml:space="preserve"> </w:t>
      </w:r>
      <w:r w:rsidR="00F05E90">
        <w:rPr>
          <w:color w:val="000000"/>
        </w:rPr>
        <w:t>recreational destination locations</w:t>
      </w:r>
      <w:r w:rsidRPr="00B61F26">
        <w:rPr>
          <w:color w:val="000000"/>
        </w:rPr>
        <w:t xml:space="preserve"> </w:t>
      </w:r>
      <w:r w:rsidR="00F05E90">
        <w:rPr>
          <w:color w:val="000000"/>
        </w:rPr>
        <w:t>and the number of trips to each destination, using data drawn from the 2012 New Zealand Domestic Travel Survey (DTS).</w:t>
      </w:r>
    </w:p>
    <w:p w:rsidR="00F05E90" w:rsidRPr="00B61F26" w:rsidRDefault="00F05E90" w:rsidP="00B61F26">
      <w:pPr>
        <w:spacing w:line="360" w:lineRule="auto"/>
        <w:rPr>
          <w:b/>
        </w:rPr>
      </w:pPr>
    </w:p>
    <w:p w:rsidR="00F05E90" w:rsidRPr="00B61F26" w:rsidRDefault="0090442A" w:rsidP="00F05E90">
      <w:pPr>
        <w:spacing w:line="360" w:lineRule="auto"/>
        <w:rPr>
          <w:b/>
          <w:szCs w:val="24"/>
        </w:rPr>
      </w:pPr>
      <w:r>
        <w:rPr>
          <w:b/>
          <w:szCs w:val="24"/>
        </w:rPr>
        <w:t>4.1</w:t>
      </w:r>
      <w:r w:rsidR="00F05E90" w:rsidRPr="00B61F26">
        <w:rPr>
          <w:b/>
          <w:szCs w:val="24"/>
        </w:rPr>
        <w:t xml:space="preserve"> </w:t>
      </w:r>
      <w:r w:rsidR="00F05E90">
        <w:rPr>
          <w:b/>
          <w:szCs w:val="24"/>
        </w:rPr>
        <w:t>Background</w:t>
      </w:r>
    </w:p>
    <w:p w:rsidR="00023558" w:rsidRPr="00E6713B" w:rsidRDefault="00AB7904" w:rsidP="00F05E90">
      <w:pPr>
        <w:pStyle w:val="FirstLevelHeading"/>
        <w:ind w:left="0" w:firstLine="0"/>
        <w:rPr>
          <w:b w:val="0"/>
          <w:sz w:val="24"/>
          <w:szCs w:val="24"/>
          <w:lang w:val="en-US"/>
        </w:rPr>
      </w:pPr>
      <w:r w:rsidRPr="00E6713B">
        <w:rPr>
          <w:b w:val="0"/>
          <w:sz w:val="24"/>
          <w:szCs w:val="24"/>
          <w:lang w:val="en-US"/>
        </w:rPr>
        <w:t xml:space="preserve">Tourism </w:t>
      </w:r>
      <w:r w:rsidR="00D64D57" w:rsidRPr="00E6713B">
        <w:rPr>
          <w:b w:val="0"/>
          <w:sz w:val="24"/>
          <w:szCs w:val="24"/>
          <w:lang w:val="en-US"/>
        </w:rPr>
        <w:t>has been</w:t>
      </w:r>
      <w:r w:rsidRPr="00E6713B">
        <w:rPr>
          <w:b w:val="0"/>
          <w:sz w:val="24"/>
          <w:szCs w:val="24"/>
          <w:lang w:val="en-US"/>
        </w:rPr>
        <w:t xml:space="preserve"> </w:t>
      </w:r>
      <w:r w:rsidR="008A6DA8" w:rsidRPr="00E6713B">
        <w:rPr>
          <w:b w:val="0"/>
          <w:sz w:val="24"/>
          <w:szCs w:val="24"/>
          <w:lang w:val="en-US"/>
        </w:rPr>
        <w:t xml:space="preserve">an </w:t>
      </w:r>
      <w:r w:rsidRPr="00E6713B">
        <w:rPr>
          <w:b w:val="0"/>
          <w:sz w:val="24"/>
          <w:szCs w:val="24"/>
          <w:lang w:val="en-US"/>
        </w:rPr>
        <w:t xml:space="preserve">important </w:t>
      </w:r>
      <w:r w:rsidR="008A6DA8" w:rsidRPr="00E6713B">
        <w:rPr>
          <w:b w:val="0"/>
          <w:sz w:val="24"/>
          <w:szCs w:val="24"/>
          <w:lang w:val="en-US"/>
        </w:rPr>
        <w:t xml:space="preserve">contributor to </w:t>
      </w:r>
      <w:r w:rsidRPr="00E6713B">
        <w:rPr>
          <w:b w:val="0"/>
          <w:sz w:val="24"/>
          <w:szCs w:val="24"/>
          <w:lang w:val="en-US"/>
        </w:rPr>
        <w:t xml:space="preserve">New Zealand’s </w:t>
      </w:r>
      <w:r w:rsidR="008A6DA8" w:rsidRPr="00E6713B">
        <w:rPr>
          <w:b w:val="0"/>
          <w:sz w:val="24"/>
          <w:szCs w:val="24"/>
          <w:lang w:val="en-US"/>
        </w:rPr>
        <w:t xml:space="preserve">economy, thanks to the natural and beautiful landscape of the compact island country that also offers an extensive coastline for </w:t>
      </w:r>
      <w:r w:rsidR="002E275D" w:rsidRPr="00E6713B">
        <w:rPr>
          <w:b w:val="0"/>
          <w:sz w:val="24"/>
          <w:szCs w:val="24"/>
          <w:lang w:val="en-US"/>
        </w:rPr>
        <w:t xml:space="preserve">trekking, swimming, fishing, other </w:t>
      </w:r>
      <w:r w:rsidR="008A6DA8" w:rsidRPr="00E6713B">
        <w:rPr>
          <w:b w:val="0"/>
          <w:sz w:val="24"/>
          <w:szCs w:val="24"/>
          <w:lang w:val="en-US"/>
        </w:rPr>
        <w:t>water-based activities</w:t>
      </w:r>
      <w:r w:rsidR="002E275D" w:rsidRPr="00E6713B">
        <w:rPr>
          <w:b w:val="0"/>
          <w:sz w:val="24"/>
          <w:szCs w:val="24"/>
          <w:lang w:val="en-US"/>
        </w:rPr>
        <w:t>,</w:t>
      </w:r>
      <w:r w:rsidR="008A6DA8" w:rsidRPr="00E6713B">
        <w:rPr>
          <w:b w:val="0"/>
          <w:sz w:val="24"/>
          <w:szCs w:val="24"/>
          <w:lang w:val="en-US"/>
        </w:rPr>
        <w:t xml:space="preserve"> and sports. In addition, New Zealand also boasts of some excellent wine factories</w:t>
      </w:r>
      <w:r w:rsidR="00023558" w:rsidRPr="00E6713B">
        <w:rPr>
          <w:b w:val="0"/>
          <w:sz w:val="24"/>
          <w:szCs w:val="24"/>
          <w:lang w:val="en-US"/>
        </w:rPr>
        <w:t>,</w:t>
      </w:r>
      <w:r w:rsidR="008A6DA8" w:rsidRPr="00E6713B">
        <w:rPr>
          <w:b w:val="0"/>
          <w:sz w:val="24"/>
          <w:szCs w:val="24"/>
          <w:lang w:val="en-US"/>
        </w:rPr>
        <w:t xml:space="preserve"> </w:t>
      </w:r>
      <w:r w:rsidR="002E275D" w:rsidRPr="00E6713B">
        <w:rPr>
          <w:b w:val="0"/>
          <w:sz w:val="24"/>
          <w:szCs w:val="24"/>
          <w:lang w:val="en-US"/>
        </w:rPr>
        <w:t xml:space="preserve">offers volcanic/geothermal excursion opportunities, </w:t>
      </w:r>
      <w:r w:rsidR="008A6DA8" w:rsidRPr="00E6713B">
        <w:rPr>
          <w:b w:val="0"/>
          <w:sz w:val="24"/>
          <w:szCs w:val="24"/>
          <w:lang w:val="en-US"/>
        </w:rPr>
        <w:lastRenderedPageBreak/>
        <w:t xml:space="preserve">and </w:t>
      </w:r>
      <w:r w:rsidR="00023558" w:rsidRPr="00E6713B">
        <w:rPr>
          <w:b w:val="0"/>
          <w:sz w:val="24"/>
          <w:szCs w:val="24"/>
          <w:lang w:val="en-US"/>
        </w:rPr>
        <w:t>its forests and pristine landscape have made it a much sought-after location for mainstream Hollywood movies</w:t>
      </w:r>
      <w:r w:rsidR="001F4C4F" w:rsidRPr="00E6713B">
        <w:rPr>
          <w:b w:val="0"/>
          <w:sz w:val="24"/>
          <w:szCs w:val="24"/>
          <w:lang w:val="en-US"/>
        </w:rPr>
        <w:t xml:space="preserve"> (for example, </w:t>
      </w:r>
      <w:r w:rsidR="001F4C4F" w:rsidRPr="00E6713B">
        <w:rPr>
          <w:b w:val="0"/>
          <w:sz w:val="24"/>
          <w:szCs w:val="24"/>
          <w:lang w:val="en"/>
        </w:rPr>
        <w:t>the Fiordland and Southern Lakes in the southern part of New Zealand were the locations for the mythical Middle Earth in the "Lord of the Rings" trilogy)</w:t>
      </w:r>
      <w:r w:rsidR="00BB6A43" w:rsidRPr="00E6713B">
        <w:rPr>
          <w:b w:val="0"/>
          <w:sz w:val="24"/>
          <w:szCs w:val="24"/>
          <w:lang w:val="en-US"/>
        </w:rPr>
        <w:t xml:space="preserve">. </w:t>
      </w:r>
      <w:r w:rsidR="00023558" w:rsidRPr="00E6713B">
        <w:rPr>
          <w:b w:val="0"/>
          <w:sz w:val="24"/>
          <w:szCs w:val="24"/>
          <w:lang w:val="en-US"/>
        </w:rPr>
        <w:t>Overall, t</w:t>
      </w:r>
      <w:r w:rsidR="005F4F7E" w:rsidRPr="00E6713B">
        <w:rPr>
          <w:b w:val="0"/>
          <w:sz w:val="24"/>
          <w:szCs w:val="24"/>
          <w:lang w:val="en-US"/>
        </w:rPr>
        <w:t>ourism contributes</w:t>
      </w:r>
      <w:r w:rsidRPr="00E6713B">
        <w:rPr>
          <w:b w:val="0"/>
          <w:sz w:val="24"/>
          <w:szCs w:val="24"/>
          <w:lang w:val="en-US"/>
        </w:rPr>
        <w:t xml:space="preserve"> 9% of New Zealand’s gross </w:t>
      </w:r>
      <w:r w:rsidR="00023558" w:rsidRPr="00E6713B">
        <w:rPr>
          <w:b w:val="0"/>
          <w:sz w:val="24"/>
          <w:szCs w:val="24"/>
          <w:lang w:val="en-US"/>
        </w:rPr>
        <w:t xml:space="preserve">domestic </w:t>
      </w:r>
      <w:r w:rsidRPr="00E6713B">
        <w:rPr>
          <w:b w:val="0"/>
          <w:sz w:val="24"/>
          <w:szCs w:val="24"/>
          <w:lang w:val="en-US"/>
        </w:rPr>
        <w:t>product and is also an important source of employm</w:t>
      </w:r>
      <w:r w:rsidR="005F4F7E" w:rsidRPr="00E6713B">
        <w:rPr>
          <w:b w:val="0"/>
          <w:sz w:val="24"/>
          <w:szCs w:val="24"/>
          <w:lang w:val="en-US"/>
        </w:rPr>
        <w:t>ent; 10% of New Zealanders work</w:t>
      </w:r>
      <w:r w:rsidRPr="00E6713B">
        <w:rPr>
          <w:b w:val="0"/>
          <w:sz w:val="24"/>
          <w:szCs w:val="24"/>
          <w:lang w:val="en-US"/>
        </w:rPr>
        <w:t xml:space="preserve"> in the tourism industry (see </w:t>
      </w:r>
      <w:r w:rsidR="00485B1F" w:rsidRPr="00E6713B">
        <w:rPr>
          <w:b w:val="0"/>
          <w:sz w:val="24"/>
          <w:szCs w:val="24"/>
          <w:lang w:val="en-US"/>
        </w:rPr>
        <w:t xml:space="preserve">New Zealand Tourism Strategy </w:t>
      </w:r>
      <w:r w:rsidRPr="00E6713B">
        <w:rPr>
          <w:b w:val="0"/>
          <w:sz w:val="24"/>
          <w:szCs w:val="24"/>
          <w:lang w:val="en-US"/>
        </w:rPr>
        <w:t>2015)</w:t>
      </w:r>
      <w:r w:rsidR="00BB6A43" w:rsidRPr="00E6713B">
        <w:rPr>
          <w:b w:val="0"/>
          <w:sz w:val="24"/>
          <w:szCs w:val="24"/>
          <w:lang w:val="en-US"/>
        </w:rPr>
        <w:t xml:space="preserve">. </w:t>
      </w:r>
    </w:p>
    <w:p w:rsidR="00B61F26" w:rsidRPr="00D64D57" w:rsidRDefault="00BB6A43" w:rsidP="004F3728">
      <w:pPr>
        <w:pStyle w:val="FirstLevelHeading"/>
        <w:ind w:left="0" w:firstLine="720"/>
        <w:rPr>
          <w:b w:val="0"/>
          <w:sz w:val="24"/>
          <w:szCs w:val="24"/>
          <w:lang w:val="en-US"/>
        </w:rPr>
      </w:pPr>
      <w:r>
        <w:rPr>
          <w:b w:val="0"/>
          <w:sz w:val="24"/>
          <w:szCs w:val="24"/>
          <w:lang w:val="en-US"/>
        </w:rPr>
        <w:t xml:space="preserve">Although the international popularity of New Zealand has increased enormously </w:t>
      </w:r>
      <w:r w:rsidR="00023558">
        <w:rPr>
          <w:b w:val="0"/>
          <w:sz w:val="24"/>
          <w:szCs w:val="24"/>
          <w:lang w:val="en-US"/>
        </w:rPr>
        <w:t xml:space="preserve">in the past few </w:t>
      </w:r>
      <w:r>
        <w:rPr>
          <w:b w:val="0"/>
          <w:sz w:val="24"/>
          <w:szCs w:val="24"/>
          <w:lang w:val="en-US"/>
        </w:rPr>
        <w:t xml:space="preserve">years, domestic tourism </w:t>
      </w:r>
      <w:r w:rsidR="00023558">
        <w:rPr>
          <w:b w:val="0"/>
          <w:sz w:val="24"/>
          <w:szCs w:val="24"/>
          <w:lang w:val="en-US"/>
        </w:rPr>
        <w:t xml:space="preserve">continues to </w:t>
      </w:r>
      <w:r w:rsidR="00D64D57">
        <w:rPr>
          <w:b w:val="0"/>
          <w:sz w:val="24"/>
          <w:szCs w:val="24"/>
          <w:lang w:val="en-US"/>
        </w:rPr>
        <w:t>remain a</w:t>
      </w:r>
      <w:r w:rsidR="00E26E68">
        <w:rPr>
          <w:b w:val="0"/>
          <w:sz w:val="24"/>
          <w:szCs w:val="24"/>
          <w:lang w:val="en-US"/>
        </w:rPr>
        <w:t xml:space="preserve"> significant </w:t>
      </w:r>
      <w:r>
        <w:rPr>
          <w:b w:val="0"/>
          <w:sz w:val="24"/>
          <w:szCs w:val="24"/>
          <w:lang w:val="en-US"/>
        </w:rPr>
        <w:t>source of income for the tourism industry</w:t>
      </w:r>
      <w:r w:rsidR="00E26E68">
        <w:rPr>
          <w:b w:val="0"/>
          <w:sz w:val="24"/>
          <w:szCs w:val="24"/>
          <w:lang w:val="en-US"/>
        </w:rPr>
        <w:t xml:space="preserve">. According to </w:t>
      </w:r>
      <w:r w:rsidR="00FA7228">
        <w:rPr>
          <w:b w:val="0"/>
          <w:sz w:val="24"/>
          <w:szCs w:val="24"/>
          <w:lang w:val="en-US"/>
        </w:rPr>
        <w:t xml:space="preserve">the </w:t>
      </w:r>
      <w:r w:rsidR="00E26E68">
        <w:rPr>
          <w:b w:val="0"/>
          <w:sz w:val="24"/>
          <w:szCs w:val="24"/>
          <w:lang w:val="en-US"/>
        </w:rPr>
        <w:t>New Zealand Tourism Industry Association (TIA, 2012), domestic travelers (New Zealand residents traveling within New Zealand) accounted for about 57% of New Zealand’s total tourism industry spend of $23 billion in 2012</w:t>
      </w:r>
      <w:r w:rsidR="002E275D">
        <w:rPr>
          <w:b w:val="0"/>
          <w:sz w:val="24"/>
          <w:szCs w:val="24"/>
          <w:lang w:val="en-US"/>
        </w:rPr>
        <w:t xml:space="preserve"> </w:t>
      </w:r>
      <w:r w:rsidR="00D64D57">
        <w:rPr>
          <w:b w:val="0"/>
          <w:sz w:val="24"/>
          <w:szCs w:val="24"/>
          <w:lang w:val="en-US"/>
        </w:rPr>
        <w:t>(see Statistics New Zealand, 20</w:t>
      </w:r>
      <w:r w:rsidR="00A357BD">
        <w:rPr>
          <w:b w:val="0"/>
          <w:sz w:val="24"/>
          <w:szCs w:val="24"/>
          <w:lang w:val="en-US"/>
        </w:rPr>
        <w:t>13</w:t>
      </w:r>
      <w:r w:rsidR="00D64D57">
        <w:rPr>
          <w:b w:val="0"/>
          <w:sz w:val="24"/>
          <w:szCs w:val="24"/>
          <w:lang w:val="en-US"/>
        </w:rPr>
        <w:t xml:space="preserve">). </w:t>
      </w:r>
      <w:r w:rsidR="00361B0A" w:rsidRPr="00D64D57">
        <w:rPr>
          <w:b w:val="0"/>
          <w:sz w:val="24"/>
          <w:szCs w:val="24"/>
        </w:rPr>
        <w:t>Th</w:t>
      </w:r>
      <w:r w:rsidR="004F3728" w:rsidRPr="00D64D57">
        <w:rPr>
          <w:b w:val="0"/>
          <w:sz w:val="24"/>
          <w:szCs w:val="24"/>
        </w:rPr>
        <w:t xml:space="preserve">e substantial </w:t>
      </w:r>
      <w:r w:rsidR="004F3728" w:rsidRPr="00D64D57">
        <w:rPr>
          <w:b w:val="0"/>
          <w:sz w:val="24"/>
          <w:szCs w:val="24"/>
          <w:lang w:val="en-US"/>
        </w:rPr>
        <w:t>amount</w:t>
      </w:r>
      <w:r w:rsidR="00361B0A" w:rsidRPr="00D64D57">
        <w:rPr>
          <w:b w:val="0"/>
          <w:sz w:val="24"/>
          <w:szCs w:val="24"/>
        </w:rPr>
        <w:t xml:space="preserve"> of domestic tourism</w:t>
      </w:r>
      <w:r w:rsidR="00023558" w:rsidRPr="00D64D57">
        <w:rPr>
          <w:b w:val="0"/>
          <w:sz w:val="24"/>
          <w:szCs w:val="24"/>
          <w:lang w:val="en-US"/>
        </w:rPr>
        <w:t xml:space="preserve"> </w:t>
      </w:r>
      <w:r w:rsidR="004C7635" w:rsidRPr="00D64D57">
        <w:rPr>
          <w:b w:val="0"/>
          <w:sz w:val="24"/>
          <w:szCs w:val="24"/>
        </w:rPr>
        <w:t xml:space="preserve">may be attributed to increased marketing efforts of leisure activity opportunities within the island nation </w:t>
      </w:r>
      <w:r w:rsidR="00361B0A" w:rsidRPr="00D64D57">
        <w:rPr>
          <w:b w:val="0"/>
          <w:sz w:val="24"/>
          <w:szCs w:val="24"/>
        </w:rPr>
        <w:t xml:space="preserve">and more control of the leisure vacation experience through on-line sites. However, it is also a result of a general trend across all countries around the globe of an increasingly compact geographic footprint of </w:t>
      </w:r>
      <w:r w:rsidR="00F66EB9" w:rsidRPr="00D64D57">
        <w:rPr>
          <w:b w:val="0"/>
          <w:sz w:val="24"/>
          <w:szCs w:val="24"/>
        </w:rPr>
        <w:t>leisure</w:t>
      </w:r>
      <w:r w:rsidR="00361B0A" w:rsidRPr="00D64D57">
        <w:rPr>
          <w:b w:val="0"/>
          <w:sz w:val="24"/>
          <w:szCs w:val="24"/>
        </w:rPr>
        <w:t xml:space="preserve"> travel, spurred by a shift from the traditional long period vacations undertaken during holidays or over the s</w:t>
      </w:r>
      <w:r w:rsidR="00F66EB9" w:rsidRPr="00D64D57">
        <w:rPr>
          <w:b w:val="0"/>
          <w:sz w:val="24"/>
          <w:szCs w:val="24"/>
        </w:rPr>
        <w:t>ummer to short period leisure</w:t>
      </w:r>
      <w:r w:rsidR="00361B0A" w:rsidRPr="00D64D57">
        <w:rPr>
          <w:b w:val="0"/>
          <w:sz w:val="24"/>
          <w:szCs w:val="24"/>
        </w:rPr>
        <w:t xml:space="preserve"> travel built around the work weeks (see, for example, White,</w:t>
      </w:r>
      <w:r w:rsidR="00D64D57">
        <w:rPr>
          <w:b w:val="0"/>
          <w:sz w:val="24"/>
          <w:szCs w:val="24"/>
        </w:rPr>
        <w:t xml:space="preserve"> 2011 and LaMondia and Bhat, </w:t>
      </w:r>
      <w:r w:rsidR="00D64D57">
        <w:rPr>
          <w:b w:val="0"/>
          <w:sz w:val="24"/>
          <w:szCs w:val="24"/>
          <w:lang w:val="en-US"/>
        </w:rPr>
        <w:t>2012</w:t>
      </w:r>
      <w:r w:rsidR="00361B0A" w:rsidRPr="00D64D57">
        <w:rPr>
          <w:b w:val="0"/>
          <w:sz w:val="24"/>
          <w:szCs w:val="24"/>
        </w:rPr>
        <w:t xml:space="preserve">). This shift itself may be traced to easier schedule coordination </w:t>
      </w:r>
      <w:r w:rsidR="000454AF" w:rsidRPr="00D64D57">
        <w:rPr>
          <w:b w:val="0"/>
          <w:sz w:val="24"/>
          <w:szCs w:val="24"/>
        </w:rPr>
        <w:t xml:space="preserve">opportunities for short duration leisure pursuits </w:t>
      </w:r>
      <w:r w:rsidR="00361B0A" w:rsidRPr="00D64D57">
        <w:rPr>
          <w:b w:val="0"/>
          <w:sz w:val="24"/>
          <w:szCs w:val="24"/>
        </w:rPr>
        <w:t>around work weeks</w:t>
      </w:r>
      <w:r w:rsidR="000454AF" w:rsidRPr="00D64D57">
        <w:rPr>
          <w:b w:val="0"/>
          <w:sz w:val="24"/>
          <w:szCs w:val="24"/>
        </w:rPr>
        <w:t xml:space="preserve">, especially for the increasing number of families with </w:t>
      </w:r>
      <w:r w:rsidR="00361B0A" w:rsidRPr="00D64D57">
        <w:rPr>
          <w:b w:val="0"/>
          <w:sz w:val="24"/>
          <w:szCs w:val="24"/>
        </w:rPr>
        <w:t xml:space="preserve">multiple working individuals </w:t>
      </w:r>
      <w:r w:rsidR="000454AF" w:rsidRPr="00D64D57">
        <w:rPr>
          <w:b w:val="0"/>
          <w:sz w:val="24"/>
          <w:szCs w:val="24"/>
        </w:rPr>
        <w:t xml:space="preserve">with school-going children. </w:t>
      </w:r>
    </w:p>
    <w:p w:rsidR="00EF658C" w:rsidRDefault="00C26255" w:rsidP="00EF658C">
      <w:pPr>
        <w:spacing w:line="360" w:lineRule="auto"/>
        <w:ind w:firstLine="720"/>
        <w:rPr>
          <w:b/>
          <w:szCs w:val="24"/>
        </w:rPr>
      </w:pPr>
      <w:r w:rsidRPr="008B236B">
        <w:rPr>
          <w:szCs w:val="24"/>
        </w:rPr>
        <w:t xml:space="preserve">The </w:t>
      </w:r>
      <w:r w:rsidR="00F66EB9" w:rsidRPr="008B236B">
        <w:rPr>
          <w:szCs w:val="24"/>
        </w:rPr>
        <w:t xml:space="preserve">growing amount of short distance leisure trips, mostly undertaken using the personal auto mode, has led to increased attention on this leisure travel market among urban transportation planners because of the increased weekend day traffic on city streets and between cities in close proximity, and the concomitant effects </w:t>
      </w:r>
      <w:r w:rsidR="00326225" w:rsidRPr="008B236B">
        <w:rPr>
          <w:szCs w:val="24"/>
        </w:rPr>
        <w:t>on</w:t>
      </w:r>
      <w:r w:rsidR="00F66EB9" w:rsidRPr="008B236B">
        <w:rPr>
          <w:szCs w:val="24"/>
        </w:rPr>
        <w:t xml:space="preserve"> </w:t>
      </w:r>
      <w:r w:rsidR="00326225" w:rsidRPr="008B236B">
        <w:rPr>
          <w:szCs w:val="24"/>
        </w:rPr>
        <w:t>traff</w:t>
      </w:r>
      <w:r w:rsidR="008B236B" w:rsidRPr="008B236B">
        <w:rPr>
          <w:szCs w:val="24"/>
        </w:rPr>
        <w:t>i</w:t>
      </w:r>
      <w:r w:rsidR="00326225" w:rsidRPr="008B236B">
        <w:rPr>
          <w:szCs w:val="24"/>
        </w:rPr>
        <w:t xml:space="preserve">c congestion and </w:t>
      </w:r>
      <w:r w:rsidR="00F66EB9" w:rsidRPr="008B236B">
        <w:rPr>
          <w:szCs w:val="24"/>
        </w:rPr>
        <w:t>air quality.</w:t>
      </w:r>
      <w:r w:rsidR="00F66EB9">
        <w:rPr>
          <w:b/>
          <w:szCs w:val="24"/>
        </w:rPr>
        <w:t xml:space="preserve"> </w:t>
      </w:r>
      <w:r w:rsidR="00F66EB9">
        <w:rPr>
          <w:szCs w:val="24"/>
        </w:rPr>
        <w:t xml:space="preserve">Understanding these </w:t>
      </w:r>
      <w:r w:rsidR="00F66EB9" w:rsidRPr="00677E53">
        <w:rPr>
          <w:szCs w:val="24"/>
        </w:rPr>
        <w:t>travel flow patterns</w:t>
      </w:r>
      <w:r w:rsidR="00F66EB9">
        <w:rPr>
          <w:szCs w:val="24"/>
        </w:rPr>
        <w:t xml:space="preserve"> can help planning and policy efforts </w:t>
      </w:r>
      <w:r w:rsidR="00F66EB9" w:rsidRPr="00677E53">
        <w:rPr>
          <w:szCs w:val="24"/>
        </w:rPr>
        <w:t xml:space="preserve">to reduce the negative externalities of such travel. </w:t>
      </w:r>
      <w:r w:rsidR="00F66EB9">
        <w:rPr>
          <w:szCs w:val="24"/>
        </w:rPr>
        <w:t xml:space="preserve">At the same time, unraveling the “push and pull’ factors associated with </w:t>
      </w:r>
      <w:r w:rsidR="002461B3">
        <w:rPr>
          <w:szCs w:val="24"/>
        </w:rPr>
        <w:t xml:space="preserve">individual and household </w:t>
      </w:r>
      <w:r w:rsidR="00F66EB9">
        <w:rPr>
          <w:szCs w:val="24"/>
        </w:rPr>
        <w:t xml:space="preserve">leisure activity decisions </w:t>
      </w:r>
      <w:r w:rsidR="002461B3">
        <w:rPr>
          <w:szCs w:val="24"/>
        </w:rPr>
        <w:t xml:space="preserve">helps cities and regions </w:t>
      </w:r>
      <w:r w:rsidR="00F66EB9" w:rsidRPr="00677E53">
        <w:rPr>
          <w:szCs w:val="24"/>
        </w:rPr>
        <w:t>position</w:t>
      </w:r>
      <w:r w:rsidR="002461B3">
        <w:rPr>
          <w:szCs w:val="24"/>
        </w:rPr>
        <w:t xml:space="preserve"> themselves as unique and even exotic destinations, with an eye on generating jobs and revenue</w:t>
      </w:r>
      <w:r w:rsidR="00F66EB9">
        <w:rPr>
          <w:szCs w:val="24"/>
        </w:rPr>
        <w:t>.</w:t>
      </w:r>
      <w:r w:rsidR="00326225">
        <w:rPr>
          <w:szCs w:val="24"/>
        </w:rPr>
        <w:t xml:space="preserve"> This confluence of interest on leisure travel from the transportation and tourism domains has led to many studies in this space in the past decade, with a particular emphasis on destination choice for leisure pursuits. </w:t>
      </w:r>
      <w:r w:rsidR="009A052F">
        <w:rPr>
          <w:szCs w:val="24"/>
        </w:rPr>
        <w:t xml:space="preserve">While the early literature </w:t>
      </w:r>
      <w:r w:rsidR="006F49BF">
        <w:rPr>
          <w:szCs w:val="24"/>
        </w:rPr>
        <w:t xml:space="preserve">in the area </w:t>
      </w:r>
      <w:r w:rsidR="009A052F">
        <w:rPr>
          <w:szCs w:val="24"/>
        </w:rPr>
        <w:t xml:space="preserve">considered leisure </w:t>
      </w:r>
      <w:r w:rsidR="009A052F">
        <w:rPr>
          <w:szCs w:val="24"/>
        </w:rPr>
        <w:lastRenderedPageBreak/>
        <w:t xml:space="preserve">destination choices as repeated isolated (and independent) </w:t>
      </w:r>
      <w:r w:rsidR="006F49BF">
        <w:rPr>
          <w:szCs w:val="24"/>
        </w:rPr>
        <w:t xml:space="preserve">decision </w:t>
      </w:r>
      <w:r w:rsidR="009A052F">
        <w:rPr>
          <w:szCs w:val="24"/>
        </w:rPr>
        <w:t xml:space="preserve">events for each leisure trip, the more recent literature has moved toward the more realistic representation of destination choices as inter-related decisions for </w:t>
      </w:r>
      <w:r w:rsidR="00FA7228">
        <w:rPr>
          <w:szCs w:val="24"/>
        </w:rPr>
        <w:t xml:space="preserve">multiple </w:t>
      </w:r>
      <w:r w:rsidR="009A052F">
        <w:rPr>
          <w:szCs w:val="24"/>
        </w:rPr>
        <w:t xml:space="preserve">leisure trips over a longer-term period of a month or even a year. Examples of the latter string of </w:t>
      </w:r>
      <w:r w:rsidR="00EA5F5B">
        <w:rPr>
          <w:szCs w:val="24"/>
        </w:rPr>
        <w:t xml:space="preserve">multiple discrete-continuous (MDC) </w:t>
      </w:r>
      <w:r w:rsidR="009A052F">
        <w:rPr>
          <w:szCs w:val="24"/>
        </w:rPr>
        <w:t xml:space="preserve">studies </w:t>
      </w:r>
      <w:r w:rsidR="00FA7228">
        <w:rPr>
          <w:szCs w:val="24"/>
        </w:rPr>
        <w:t xml:space="preserve">(with the discrete component being the choice of destination region, and the continuous component being the number of trips to each chosen destination region) </w:t>
      </w:r>
      <w:r w:rsidR="0090442A">
        <w:rPr>
          <w:szCs w:val="24"/>
        </w:rPr>
        <w:t xml:space="preserve">include </w:t>
      </w:r>
      <w:proofErr w:type="spellStart"/>
      <w:r w:rsidR="00217D2F">
        <w:rPr>
          <w:szCs w:val="24"/>
        </w:rPr>
        <w:t>Kuriyama</w:t>
      </w:r>
      <w:proofErr w:type="spellEnd"/>
      <w:r w:rsidR="00217D2F">
        <w:rPr>
          <w:szCs w:val="24"/>
        </w:rPr>
        <w:t xml:space="preserve"> </w:t>
      </w:r>
      <w:r w:rsidR="00217D2F" w:rsidRPr="00320DF9">
        <w:rPr>
          <w:i/>
          <w:szCs w:val="24"/>
        </w:rPr>
        <w:t>et al</w:t>
      </w:r>
      <w:r w:rsidR="00217D2F">
        <w:rPr>
          <w:szCs w:val="24"/>
        </w:rPr>
        <w:t>. (</w:t>
      </w:r>
      <w:r w:rsidR="003D2316" w:rsidRPr="008B236B">
        <w:rPr>
          <w:szCs w:val="24"/>
        </w:rPr>
        <w:t>2010</w:t>
      </w:r>
      <w:r w:rsidR="00217D2F">
        <w:rPr>
          <w:szCs w:val="24"/>
        </w:rPr>
        <w:t>)</w:t>
      </w:r>
      <w:r w:rsidR="003D2316" w:rsidRPr="008B236B">
        <w:rPr>
          <w:szCs w:val="24"/>
        </w:rPr>
        <w:t xml:space="preserve">, </w:t>
      </w:r>
      <w:r w:rsidR="00217D2F">
        <w:rPr>
          <w:szCs w:val="24"/>
        </w:rPr>
        <w:t>(</w:t>
      </w:r>
      <w:r w:rsidR="003D2316" w:rsidRPr="008B236B">
        <w:rPr>
          <w:szCs w:val="24"/>
        </w:rPr>
        <w:t>2011</w:t>
      </w:r>
      <w:r w:rsidR="00217D2F">
        <w:rPr>
          <w:szCs w:val="24"/>
        </w:rPr>
        <w:t xml:space="preserve">), Van </w:t>
      </w:r>
      <w:proofErr w:type="spellStart"/>
      <w:r w:rsidR="00217D2F">
        <w:rPr>
          <w:szCs w:val="24"/>
        </w:rPr>
        <w:t>Nostrand</w:t>
      </w:r>
      <w:proofErr w:type="spellEnd"/>
      <w:r w:rsidR="00217D2F">
        <w:rPr>
          <w:szCs w:val="24"/>
        </w:rPr>
        <w:t xml:space="preserve"> </w:t>
      </w:r>
      <w:r w:rsidR="00217D2F" w:rsidRPr="00320DF9">
        <w:rPr>
          <w:i/>
          <w:szCs w:val="24"/>
        </w:rPr>
        <w:t>et al</w:t>
      </w:r>
      <w:r w:rsidR="00217D2F">
        <w:rPr>
          <w:szCs w:val="24"/>
        </w:rPr>
        <w:t>. (</w:t>
      </w:r>
      <w:r w:rsidR="003D2316" w:rsidRPr="008B236B">
        <w:rPr>
          <w:szCs w:val="24"/>
        </w:rPr>
        <w:t>2013</w:t>
      </w:r>
      <w:r w:rsidR="00217D2F">
        <w:rPr>
          <w:szCs w:val="24"/>
        </w:rPr>
        <w:t xml:space="preserve">), von </w:t>
      </w:r>
      <w:proofErr w:type="spellStart"/>
      <w:r w:rsidR="00217D2F">
        <w:rPr>
          <w:szCs w:val="24"/>
        </w:rPr>
        <w:t>Haefen</w:t>
      </w:r>
      <w:proofErr w:type="spellEnd"/>
      <w:r w:rsidR="003D2316" w:rsidRPr="008B236B">
        <w:rPr>
          <w:szCs w:val="24"/>
        </w:rPr>
        <w:t xml:space="preserve"> </w:t>
      </w:r>
      <w:r w:rsidR="00217D2F">
        <w:rPr>
          <w:szCs w:val="24"/>
        </w:rPr>
        <w:t>(</w:t>
      </w:r>
      <w:r w:rsidR="003D2316" w:rsidRPr="008B236B">
        <w:rPr>
          <w:szCs w:val="24"/>
        </w:rPr>
        <w:t>2007</w:t>
      </w:r>
      <w:r w:rsidR="00217D2F">
        <w:rPr>
          <w:szCs w:val="24"/>
        </w:rPr>
        <w:t xml:space="preserve">), Whitehead </w:t>
      </w:r>
      <w:r w:rsidR="00217D2F" w:rsidRPr="00320DF9">
        <w:rPr>
          <w:i/>
          <w:szCs w:val="24"/>
        </w:rPr>
        <w:t>et al</w:t>
      </w:r>
      <w:r w:rsidR="00217D2F">
        <w:rPr>
          <w:szCs w:val="24"/>
        </w:rPr>
        <w:t>.</w:t>
      </w:r>
      <w:r w:rsidR="003D2316" w:rsidRPr="008B236B">
        <w:rPr>
          <w:szCs w:val="24"/>
        </w:rPr>
        <w:t xml:space="preserve"> </w:t>
      </w:r>
      <w:r w:rsidR="00217D2F">
        <w:rPr>
          <w:szCs w:val="24"/>
        </w:rPr>
        <w:t>(</w:t>
      </w:r>
      <w:r w:rsidR="003D2316" w:rsidRPr="008B236B">
        <w:rPr>
          <w:szCs w:val="24"/>
        </w:rPr>
        <w:t>2010</w:t>
      </w:r>
      <w:r w:rsidR="00217D2F">
        <w:rPr>
          <w:szCs w:val="24"/>
        </w:rPr>
        <w:t>)</w:t>
      </w:r>
      <w:r w:rsidR="003D2316" w:rsidRPr="008B236B">
        <w:rPr>
          <w:szCs w:val="24"/>
        </w:rPr>
        <w:t xml:space="preserve">, </w:t>
      </w:r>
      <w:r w:rsidR="00217D2F">
        <w:rPr>
          <w:szCs w:val="24"/>
        </w:rPr>
        <w:t xml:space="preserve">LaMondia </w:t>
      </w:r>
      <w:r w:rsidR="00217D2F" w:rsidRPr="00320DF9">
        <w:rPr>
          <w:i/>
          <w:szCs w:val="24"/>
        </w:rPr>
        <w:t>et al</w:t>
      </w:r>
      <w:r w:rsidR="00217D2F">
        <w:rPr>
          <w:szCs w:val="24"/>
        </w:rPr>
        <w:t>.</w:t>
      </w:r>
      <w:r w:rsidR="006F49BF" w:rsidRPr="008B236B">
        <w:rPr>
          <w:szCs w:val="24"/>
        </w:rPr>
        <w:t xml:space="preserve"> </w:t>
      </w:r>
      <w:r w:rsidR="00217D2F">
        <w:rPr>
          <w:szCs w:val="24"/>
        </w:rPr>
        <w:t>(</w:t>
      </w:r>
      <w:r w:rsidR="006F49BF" w:rsidRPr="008B236B">
        <w:rPr>
          <w:szCs w:val="24"/>
        </w:rPr>
        <w:t>20</w:t>
      </w:r>
      <w:r w:rsidR="00BF3C9B">
        <w:rPr>
          <w:szCs w:val="24"/>
        </w:rPr>
        <w:t>10</w:t>
      </w:r>
      <w:r w:rsidR="00217D2F">
        <w:rPr>
          <w:szCs w:val="24"/>
        </w:rPr>
        <w:t>)</w:t>
      </w:r>
      <w:r w:rsidR="009A052F" w:rsidRPr="008B236B">
        <w:rPr>
          <w:szCs w:val="24"/>
        </w:rPr>
        <w:t xml:space="preserve">, and </w:t>
      </w:r>
      <w:r w:rsidR="00217D2F">
        <w:rPr>
          <w:szCs w:val="24"/>
        </w:rPr>
        <w:t xml:space="preserve">Bhat </w:t>
      </w:r>
      <w:r w:rsidR="00217D2F" w:rsidRPr="00320DF9">
        <w:rPr>
          <w:i/>
          <w:szCs w:val="24"/>
        </w:rPr>
        <w:t>et al</w:t>
      </w:r>
      <w:r w:rsidR="00217D2F">
        <w:rPr>
          <w:szCs w:val="24"/>
        </w:rPr>
        <w:t>.</w:t>
      </w:r>
      <w:r w:rsidR="003D2316" w:rsidRPr="008B236B">
        <w:rPr>
          <w:szCs w:val="24"/>
        </w:rPr>
        <w:t xml:space="preserve"> </w:t>
      </w:r>
      <w:r w:rsidR="00217D2F">
        <w:rPr>
          <w:szCs w:val="24"/>
        </w:rPr>
        <w:t>(</w:t>
      </w:r>
      <w:r w:rsidR="003D2316" w:rsidRPr="008B236B">
        <w:rPr>
          <w:szCs w:val="24"/>
        </w:rPr>
        <w:t xml:space="preserve">2013). </w:t>
      </w:r>
      <w:r w:rsidR="009A052F" w:rsidRPr="008B236B">
        <w:rPr>
          <w:szCs w:val="24"/>
        </w:rPr>
        <w:t>These studies explicitly accommodate variety-seeking and loyalty behavior by considering satiation effects</w:t>
      </w:r>
      <w:r w:rsidR="00F73BD3" w:rsidRPr="008B236B">
        <w:rPr>
          <w:szCs w:val="24"/>
        </w:rPr>
        <w:t xml:space="preserve"> based on</w:t>
      </w:r>
      <w:r w:rsidR="00F73BD3">
        <w:rPr>
          <w:b/>
          <w:szCs w:val="24"/>
        </w:rPr>
        <w:t xml:space="preserve"> </w:t>
      </w:r>
      <w:proofErr w:type="spellStart"/>
      <w:r w:rsidR="00F73BD3">
        <w:t>Iso-Ahola’s</w:t>
      </w:r>
      <w:proofErr w:type="spellEnd"/>
      <w:r w:rsidR="00F73BD3">
        <w:t xml:space="preserve"> (1983) theory of vacation participation in which the individual/family balances needs for familiarity and novelt</w:t>
      </w:r>
      <w:r w:rsidR="006F49BF">
        <w:t xml:space="preserve">y, within long period budget constraints, </w:t>
      </w:r>
      <w:r w:rsidR="00F73BD3">
        <w:t xml:space="preserve">to provide an “optimally arousing experience” (see LaMondia </w:t>
      </w:r>
      <w:r w:rsidR="00F73BD3" w:rsidRPr="00320DF9">
        <w:rPr>
          <w:i/>
        </w:rPr>
        <w:t>et al</w:t>
      </w:r>
      <w:r w:rsidR="00F73BD3">
        <w:t xml:space="preserve">., 2008 for a detailed discussion). </w:t>
      </w:r>
      <w:r w:rsidR="006F49BF">
        <w:t xml:space="preserve">In this paper, we contribute to leisure destination choice modeling using the proposed FDMN </w:t>
      </w:r>
      <w:r w:rsidR="003D2316" w:rsidRPr="008B236B">
        <w:rPr>
          <w:szCs w:val="24"/>
        </w:rPr>
        <w:t>MDCP model</w:t>
      </w:r>
      <w:r w:rsidR="006F49BF" w:rsidRPr="008B236B">
        <w:rPr>
          <w:szCs w:val="24"/>
        </w:rPr>
        <w:t>. To our knowledge, this is the first such application in the leisure travel literature.</w:t>
      </w:r>
      <w:r w:rsidR="00EA5F5B">
        <w:rPr>
          <w:rStyle w:val="FootnoteReference"/>
          <w:color w:val="000000"/>
          <w:szCs w:val="24"/>
        </w:rPr>
        <w:footnoteReference w:id="9"/>
      </w:r>
      <w:r w:rsidR="006F49BF">
        <w:rPr>
          <w:b/>
          <w:szCs w:val="24"/>
        </w:rPr>
        <w:t xml:space="preserve"> </w:t>
      </w:r>
      <w:r w:rsidR="003D2316">
        <w:rPr>
          <w:b/>
          <w:szCs w:val="24"/>
        </w:rPr>
        <w:t xml:space="preserve"> </w:t>
      </w:r>
    </w:p>
    <w:p w:rsidR="00F35AD1" w:rsidRPr="00B61F26" w:rsidRDefault="00F35AD1" w:rsidP="00726FED">
      <w:pPr>
        <w:spacing w:line="360" w:lineRule="auto"/>
      </w:pPr>
    </w:p>
    <w:p w:rsidR="00B61F26" w:rsidRPr="00B61F26" w:rsidRDefault="00E7611B" w:rsidP="00B61F26">
      <w:pPr>
        <w:spacing w:line="360" w:lineRule="auto"/>
        <w:rPr>
          <w:b/>
          <w:szCs w:val="24"/>
        </w:rPr>
      </w:pPr>
      <w:r>
        <w:rPr>
          <w:b/>
          <w:szCs w:val="24"/>
        </w:rPr>
        <w:t>4.2</w:t>
      </w:r>
      <w:r w:rsidR="00B61F26" w:rsidRPr="00B61F26">
        <w:rPr>
          <w:b/>
          <w:szCs w:val="24"/>
        </w:rPr>
        <w:t xml:space="preserve"> The Data</w:t>
      </w:r>
    </w:p>
    <w:p w:rsidR="009966EF" w:rsidRPr="009966EF" w:rsidRDefault="00B61F26" w:rsidP="009966EF">
      <w:pPr>
        <w:pStyle w:val="ListParagraph"/>
        <w:spacing w:line="360" w:lineRule="auto"/>
        <w:ind w:left="0"/>
        <w:jc w:val="both"/>
        <w:rPr>
          <w:rFonts w:ascii="Times New Roman" w:hAnsi="Times New Roman"/>
          <w:sz w:val="24"/>
          <w:szCs w:val="24"/>
        </w:rPr>
      </w:pPr>
      <w:r w:rsidRPr="009966EF">
        <w:rPr>
          <w:rFonts w:ascii="Times New Roman" w:hAnsi="Times New Roman"/>
          <w:sz w:val="24"/>
          <w:szCs w:val="24"/>
        </w:rPr>
        <w:t>The data for this study</w:t>
      </w:r>
      <w:r w:rsidR="007250D3" w:rsidRPr="009966EF">
        <w:rPr>
          <w:rFonts w:ascii="Times New Roman" w:hAnsi="Times New Roman"/>
          <w:sz w:val="24"/>
          <w:szCs w:val="24"/>
        </w:rPr>
        <w:t xml:space="preserve"> </w:t>
      </w:r>
      <w:r w:rsidR="00DC51CB" w:rsidRPr="009966EF">
        <w:rPr>
          <w:rFonts w:ascii="Times New Roman" w:hAnsi="Times New Roman"/>
          <w:sz w:val="24"/>
          <w:szCs w:val="24"/>
        </w:rPr>
        <w:t>is derived</w:t>
      </w:r>
      <w:r w:rsidR="008B236B" w:rsidRPr="009966EF">
        <w:rPr>
          <w:rFonts w:ascii="Times New Roman" w:hAnsi="Times New Roman"/>
          <w:sz w:val="24"/>
          <w:szCs w:val="24"/>
        </w:rPr>
        <w:t xml:space="preserve"> </w:t>
      </w:r>
      <w:r w:rsidR="007250D3" w:rsidRPr="009966EF">
        <w:rPr>
          <w:rFonts w:ascii="Times New Roman" w:hAnsi="Times New Roman"/>
          <w:sz w:val="24"/>
          <w:szCs w:val="24"/>
        </w:rPr>
        <w:t xml:space="preserve">from three sources. The </w:t>
      </w:r>
      <w:r w:rsidR="00DC51CB" w:rsidRPr="009966EF">
        <w:rPr>
          <w:rFonts w:ascii="Times New Roman" w:hAnsi="Times New Roman"/>
          <w:sz w:val="24"/>
          <w:szCs w:val="24"/>
        </w:rPr>
        <w:t>primary source</w:t>
      </w:r>
      <w:r w:rsidR="00600623" w:rsidRPr="009966EF">
        <w:rPr>
          <w:rFonts w:ascii="Times New Roman" w:hAnsi="Times New Roman"/>
          <w:sz w:val="24"/>
          <w:szCs w:val="24"/>
        </w:rPr>
        <w:t>, as mentioned</w:t>
      </w:r>
      <w:r w:rsidR="00DC51CB" w:rsidRPr="009966EF">
        <w:rPr>
          <w:rFonts w:ascii="Times New Roman" w:hAnsi="Times New Roman"/>
          <w:sz w:val="24"/>
          <w:szCs w:val="24"/>
        </w:rPr>
        <w:t xml:space="preserve"> earlier</w:t>
      </w:r>
      <w:r w:rsidR="00600623" w:rsidRPr="009966EF">
        <w:rPr>
          <w:rFonts w:ascii="Times New Roman" w:hAnsi="Times New Roman"/>
          <w:sz w:val="24"/>
          <w:szCs w:val="24"/>
        </w:rPr>
        <w:t>,</w:t>
      </w:r>
      <w:r w:rsidR="007250D3" w:rsidRPr="009966EF">
        <w:rPr>
          <w:rFonts w:ascii="Times New Roman" w:hAnsi="Times New Roman"/>
          <w:sz w:val="24"/>
          <w:szCs w:val="24"/>
        </w:rPr>
        <w:t xml:space="preserve"> is</w:t>
      </w:r>
      <w:r w:rsidR="00600623" w:rsidRPr="009966EF">
        <w:rPr>
          <w:rFonts w:ascii="Times New Roman" w:hAnsi="Times New Roman"/>
          <w:sz w:val="24"/>
          <w:szCs w:val="24"/>
        </w:rPr>
        <w:t xml:space="preserve"> the 2012 New Zealand DTS, which asked survey respondents</w:t>
      </w:r>
      <w:r w:rsidR="00A45FDC" w:rsidRPr="009966EF">
        <w:rPr>
          <w:rFonts w:ascii="Times New Roman" w:hAnsi="Times New Roman"/>
          <w:sz w:val="24"/>
          <w:szCs w:val="24"/>
        </w:rPr>
        <w:t xml:space="preserve"> (New Zealand’s residents)</w:t>
      </w:r>
      <w:r w:rsidR="00600623" w:rsidRPr="009966EF">
        <w:rPr>
          <w:rFonts w:ascii="Times New Roman" w:hAnsi="Times New Roman"/>
          <w:sz w:val="24"/>
          <w:szCs w:val="24"/>
        </w:rPr>
        <w:t xml:space="preserve"> </w:t>
      </w:r>
      <w:r w:rsidR="00DC51CB" w:rsidRPr="009966EF">
        <w:rPr>
          <w:rFonts w:ascii="Times New Roman" w:hAnsi="Times New Roman"/>
          <w:sz w:val="24"/>
          <w:szCs w:val="24"/>
        </w:rPr>
        <w:t xml:space="preserve">to provide information </w:t>
      </w:r>
      <w:r w:rsidR="00600623" w:rsidRPr="009966EF">
        <w:rPr>
          <w:rFonts w:ascii="Times New Roman" w:hAnsi="Times New Roman"/>
          <w:sz w:val="24"/>
          <w:szCs w:val="24"/>
        </w:rPr>
        <w:t xml:space="preserve">on all </w:t>
      </w:r>
      <w:r w:rsidR="00DC51CB" w:rsidRPr="009966EF">
        <w:rPr>
          <w:rFonts w:ascii="Times New Roman" w:hAnsi="Times New Roman"/>
          <w:sz w:val="24"/>
          <w:szCs w:val="24"/>
        </w:rPr>
        <w:t xml:space="preserve">one-way </w:t>
      </w:r>
      <w:r w:rsidR="00600623" w:rsidRPr="009966EF">
        <w:rPr>
          <w:rFonts w:ascii="Times New Roman" w:hAnsi="Times New Roman"/>
          <w:sz w:val="24"/>
          <w:szCs w:val="24"/>
        </w:rPr>
        <w:t>trips 4</w:t>
      </w:r>
      <w:r w:rsidR="00214B15" w:rsidRPr="009966EF">
        <w:rPr>
          <w:rFonts w:ascii="Times New Roman" w:hAnsi="Times New Roman"/>
          <w:sz w:val="24"/>
          <w:szCs w:val="24"/>
        </w:rPr>
        <w:t>0 kilometers or longer</w:t>
      </w:r>
      <w:r w:rsidR="00E02526" w:rsidRPr="009966EF">
        <w:rPr>
          <w:rFonts w:ascii="Times New Roman" w:hAnsi="Times New Roman"/>
          <w:sz w:val="24"/>
          <w:szCs w:val="24"/>
        </w:rPr>
        <w:t xml:space="preserve"> from home</w:t>
      </w:r>
      <w:r w:rsidR="00214B15" w:rsidRPr="009966EF">
        <w:rPr>
          <w:rFonts w:ascii="Times New Roman" w:hAnsi="Times New Roman"/>
          <w:sz w:val="24"/>
          <w:szCs w:val="24"/>
        </w:rPr>
        <w:t>, overnight trips</w:t>
      </w:r>
      <w:r w:rsidR="00E02526" w:rsidRPr="009966EF">
        <w:rPr>
          <w:rFonts w:ascii="Times New Roman" w:hAnsi="Times New Roman"/>
          <w:sz w:val="24"/>
          <w:szCs w:val="24"/>
        </w:rPr>
        <w:t xml:space="preserve"> from home</w:t>
      </w:r>
      <w:r w:rsidR="00214B15" w:rsidRPr="009966EF">
        <w:rPr>
          <w:rFonts w:ascii="Times New Roman" w:hAnsi="Times New Roman"/>
          <w:sz w:val="24"/>
          <w:szCs w:val="24"/>
        </w:rPr>
        <w:t xml:space="preserve">, </w:t>
      </w:r>
      <w:r w:rsidR="00DC51CB" w:rsidRPr="009966EF">
        <w:rPr>
          <w:rFonts w:ascii="Times New Roman" w:hAnsi="Times New Roman"/>
          <w:sz w:val="24"/>
          <w:szCs w:val="24"/>
        </w:rPr>
        <w:t>and</w:t>
      </w:r>
      <w:r w:rsidR="00214B15" w:rsidRPr="009966EF">
        <w:rPr>
          <w:rFonts w:ascii="Times New Roman" w:hAnsi="Times New Roman"/>
          <w:sz w:val="24"/>
          <w:szCs w:val="24"/>
        </w:rPr>
        <w:t xml:space="preserve"> </w:t>
      </w:r>
      <w:r w:rsidR="00DC51CB" w:rsidRPr="009966EF">
        <w:rPr>
          <w:rFonts w:ascii="Times New Roman" w:hAnsi="Times New Roman"/>
          <w:sz w:val="24"/>
          <w:szCs w:val="24"/>
        </w:rPr>
        <w:t>flight or ferry trips</w:t>
      </w:r>
      <w:r w:rsidR="008B236B" w:rsidRPr="009966EF">
        <w:rPr>
          <w:rFonts w:ascii="Times New Roman" w:hAnsi="Times New Roman"/>
          <w:sz w:val="24"/>
          <w:szCs w:val="24"/>
        </w:rPr>
        <w:t xml:space="preserve"> </w:t>
      </w:r>
      <w:r w:rsidR="00E02526" w:rsidRPr="009966EF">
        <w:rPr>
          <w:rFonts w:ascii="Times New Roman" w:hAnsi="Times New Roman"/>
          <w:sz w:val="24"/>
          <w:szCs w:val="24"/>
        </w:rPr>
        <w:t xml:space="preserve">from home </w:t>
      </w:r>
      <w:r w:rsidR="00214B15" w:rsidRPr="009966EF">
        <w:rPr>
          <w:rFonts w:ascii="Times New Roman" w:hAnsi="Times New Roman"/>
          <w:sz w:val="24"/>
          <w:szCs w:val="24"/>
        </w:rPr>
        <w:t>made up to four weeks prior to the survey date</w:t>
      </w:r>
      <w:r w:rsidR="002E275D" w:rsidRPr="009966EF">
        <w:rPr>
          <w:rFonts w:ascii="Times New Roman" w:hAnsi="Times New Roman"/>
          <w:sz w:val="24"/>
          <w:szCs w:val="24"/>
        </w:rPr>
        <w:t xml:space="preserve"> (see </w:t>
      </w:r>
      <w:r w:rsidR="002E275D" w:rsidRPr="009966EF">
        <w:rPr>
          <w:rFonts w:ascii="Times New Roman" w:hAnsi="Times New Roman"/>
          <w:color w:val="000000"/>
          <w:sz w:val="24"/>
          <w:szCs w:val="24"/>
        </w:rPr>
        <w:t xml:space="preserve">Ministry of Business, Innovation </w:t>
      </w:r>
      <w:r w:rsidR="008F1C54">
        <w:rPr>
          <w:rFonts w:ascii="Times New Roman" w:hAnsi="Times New Roman"/>
          <w:color w:val="000000"/>
          <w:sz w:val="24"/>
          <w:szCs w:val="24"/>
        </w:rPr>
        <w:t>and</w:t>
      </w:r>
      <w:r w:rsidR="002E275D" w:rsidRPr="009966EF">
        <w:rPr>
          <w:rFonts w:ascii="Times New Roman" w:hAnsi="Times New Roman"/>
          <w:color w:val="000000"/>
          <w:sz w:val="24"/>
          <w:szCs w:val="24"/>
        </w:rPr>
        <w:t xml:space="preserve"> Employment</w:t>
      </w:r>
      <w:r w:rsidR="008B236B" w:rsidRPr="009966EF">
        <w:rPr>
          <w:rFonts w:ascii="Times New Roman" w:hAnsi="Times New Roman"/>
          <w:color w:val="000000"/>
          <w:sz w:val="24"/>
          <w:szCs w:val="24"/>
        </w:rPr>
        <w:t>,</w:t>
      </w:r>
      <w:r w:rsidR="002E275D" w:rsidRPr="009966EF">
        <w:rPr>
          <w:rFonts w:ascii="Times New Roman" w:hAnsi="Times New Roman"/>
          <w:color w:val="000000"/>
          <w:sz w:val="24"/>
          <w:szCs w:val="24"/>
        </w:rPr>
        <w:t xml:space="preserve"> 2013).</w:t>
      </w:r>
      <w:r w:rsidR="00214B15" w:rsidRPr="009966EF">
        <w:rPr>
          <w:rFonts w:ascii="Times New Roman" w:hAnsi="Times New Roman"/>
          <w:sz w:val="24"/>
          <w:szCs w:val="24"/>
        </w:rPr>
        <w:t xml:space="preserve"> </w:t>
      </w:r>
      <w:r w:rsidR="004F3728" w:rsidRPr="009966EF">
        <w:rPr>
          <w:rFonts w:ascii="Times New Roman" w:hAnsi="Times New Roman"/>
          <w:sz w:val="24"/>
          <w:szCs w:val="24"/>
        </w:rPr>
        <w:t xml:space="preserve">The survey was targeted at </w:t>
      </w:r>
      <w:r w:rsidR="004F3728" w:rsidRPr="009966EF">
        <w:rPr>
          <w:rFonts w:ascii="Times New Roman" w:hAnsi="Times New Roman"/>
          <w:sz w:val="24"/>
          <w:szCs w:val="24"/>
        </w:rPr>
        <w:lastRenderedPageBreak/>
        <w:t xml:space="preserve">individuals and not households in that only one randomly selected individual (over the age of 15 years) from each sampled household was interviewed. </w:t>
      </w:r>
      <w:r w:rsidR="009966EF">
        <w:rPr>
          <w:szCs w:val="24"/>
        </w:rPr>
        <w:t xml:space="preserve"> </w:t>
      </w:r>
      <w:r w:rsidR="009966EF" w:rsidRPr="009966EF">
        <w:rPr>
          <w:rFonts w:ascii="Times New Roman" w:hAnsi="Times New Roman"/>
          <w:sz w:val="24"/>
          <w:szCs w:val="24"/>
        </w:rPr>
        <w:t>Telephone interviewing was used for the D</w:t>
      </w:r>
      <w:r w:rsidR="00FA7228">
        <w:rPr>
          <w:rFonts w:ascii="Times New Roman" w:hAnsi="Times New Roman"/>
          <w:sz w:val="24"/>
          <w:szCs w:val="24"/>
        </w:rPr>
        <w:t xml:space="preserve">TS </w:t>
      </w:r>
      <w:r w:rsidR="009966EF" w:rsidRPr="009966EF">
        <w:rPr>
          <w:rFonts w:ascii="Times New Roman" w:hAnsi="Times New Roman"/>
          <w:sz w:val="24"/>
          <w:szCs w:val="24"/>
        </w:rPr>
        <w:t>and household telephone numbers were randomly selected from the white pages. Interviews were carried out according to pre-specified quotas for age, sex and region of origin.</w:t>
      </w:r>
      <w:r w:rsidR="009966EF">
        <w:rPr>
          <w:szCs w:val="24"/>
        </w:rPr>
        <w:t xml:space="preserve"> </w:t>
      </w:r>
      <w:r w:rsidR="009966EF" w:rsidRPr="009966EF">
        <w:rPr>
          <w:rFonts w:ascii="Times New Roman" w:hAnsi="Times New Roman"/>
          <w:sz w:val="24"/>
          <w:szCs w:val="24"/>
        </w:rPr>
        <w:t>The pro</w:t>
      </w:r>
      <w:r w:rsidR="009966EF">
        <w:rPr>
          <w:rFonts w:ascii="Times New Roman" w:hAnsi="Times New Roman"/>
          <w:sz w:val="24"/>
          <w:szCs w:val="24"/>
        </w:rPr>
        <w:t xml:space="preserve">cess of data collection took </w:t>
      </w:r>
      <w:r w:rsidR="009966EF" w:rsidRPr="009966EF">
        <w:rPr>
          <w:rFonts w:ascii="Times New Roman" w:hAnsi="Times New Roman"/>
          <w:sz w:val="24"/>
          <w:szCs w:val="24"/>
        </w:rPr>
        <w:t>place continuously throughout the year.</w:t>
      </w:r>
    </w:p>
    <w:p w:rsidR="007250D3" w:rsidRPr="00EF658C" w:rsidRDefault="00E02526" w:rsidP="007D2074">
      <w:pPr>
        <w:pStyle w:val="ListParagraph"/>
        <w:spacing w:after="0" w:line="360" w:lineRule="auto"/>
        <w:ind w:left="0" w:firstLine="720"/>
        <w:jc w:val="both"/>
        <w:rPr>
          <w:rFonts w:ascii="Times New Roman" w:hAnsi="Times New Roman"/>
          <w:sz w:val="24"/>
          <w:szCs w:val="24"/>
        </w:rPr>
      </w:pPr>
      <w:r>
        <w:rPr>
          <w:rFonts w:ascii="Times New Roman" w:hAnsi="Times New Roman"/>
          <w:sz w:val="24"/>
          <w:szCs w:val="24"/>
        </w:rPr>
        <w:t xml:space="preserve">The survey obtained </w:t>
      </w:r>
      <w:r w:rsidR="00214B15">
        <w:rPr>
          <w:rFonts w:ascii="Times New Roman" w:hAnsi="Times New Roman"/>
          <w:sz w:val="24"/>
          <w:szCs w:val="24"/>
        </w:rPr>
        <w:t>inform</w:t>
      </w:r>
      <w:r>
        <w:rPr>
          <w:rFonts w:ascii="Times New Roman" w:hAnsi="Times New Roman"/>
          <w:sz w:val="24"/>
          <w:szCs w:val="24"/>
        </w:rPr>
        <w:t xml:space="preserve">ation on </w:t>
      </w:r>
      <w:r w:rsidR="00214B15">
        <w:rPr>
          <w:rFonts w:ascii="Times New Roman" w:hAnsi="Times New Roman"/>
          <w:sz w:val="24"/>
          <w:szCs w:val="24"/>
        </w:rPr>
        <w:t>the resident city of the respondent, the city of destination</w:t>
      </w:r>
      <w:r>
        <w:rPr>
          <w:rFonts w:ascii="Times New Roman" w:hAnsi="Times New Roman"/>
          <w:sz w:val="24"/>
          <w:szCs w:val="24"/>
        </w:rPr>
        <w:t xml:space="preserve"> for each trip</w:t>
      </w:r>
      <w:r w:rsidR="00214B15">
        <w:rPr>
          <w:rFonts w:ascii="Times New Roman" w:hAnsi="Times New Roman"/>
          <w:sz w:val="24"/>
          <w:szCs w:val="24"/>
        </w:rPr>
        <w:t>, the primary reason of each trip, and the primary mode of transportation used to reach the destination. Additionally, the survey also obtained individual and household socio-demographic information.</w:t>
      </w:r>
      <w:r w:rsidR="007221FE">
        <w:rPr>
          <w:rFonts w:ascii="Times New Roman" w:hAnsi="Times New Roman"/>
          <w:sz w:val="24"/>
          <w:szCs w:val="24"/>
        </w:rPr>
        <w:t xml:space="preserve"> </w:t>
      </w:r>
      <w:r w:rsidR="00DC51CB">
        <w:rPr>
          <w:rFonts w:ascii="Times New Roman" w:hAnsi="Times New Roman"/>
          <w:sz w:val="24"/>
          <w:szCs w:val="24"/>
        </w:rPr>
        <w:t>A</w:t>
      </w:r>
      <w:r w:rsidR="007221FE">
        <w:rPr>
          <w:rFonts w:ascii="Times New Roman" w:hAnsi="Times New Roman"/>
          <w:sz w:val="24"/>
          <w:szCs w:val="24"/>
        </w:rPr>
        <w:t xml:space="preserve"> second data source</w:t>
      </w:r>
      <w:r w:rsidR="000A2803">
        <w:rPr>
          <w:rFonts w:ascii="Times New Roman" w:hAnsi="Times New Roman"/>
          <w:sz w:val="24"/>
          <w:szCs w:val="24"/>
        </w:rPr>
        <w:t xml:space="preserve"> is a network level of service file that provided information on </w:t>
      </w:r>
      <w:r w:rsidR="001C6EA0">
        <w:rPr>
          <w:rFonts w:ascii="Times New Roman" w:hAnsi="Times New Roman"/>
          <w:sz w:val="24"/>
          <w:szCs w:val="24"/>
        </w:rPr>
        <w:t xml:space="preserve">land </w:t>
      </w:r>
      <w:r w:rsidR="0051753C">
        <w:rPr>
          <w:rFonts w:ascii="Times New Roman" w:hAnsi="Times New Roman"/>
          <w:sz w:val="24"/>
          <w:szCs w:val="24"/>
        </w:rPr>
        <w:t>travel distance and highway</w:t>
      </w:r>
      <w:r w:rsidR="000A2803">
        <w:rPr>
          <w:rFonts w:ascii="Times New Roman" w:hAnsi="Times New Roman"/>
          <w:sz w:val="24"/>
          <w:szCs w:val="24"/>
        </w:rPr>
        <w:t xml:space="preserve"> travel time between </w:t>
      </w:r>
      <w:r w:rsidR="00DC51CB">
        <w:rPr>
          <w:rFonts w:ascii="Times New Roman" w:hAnsi="Times New Roman"/>
          <w:sz w:val="24"/>
          <w:szCs w:val="24"/>
        </w:rPr>
        <w:t xml:space="preserve">each city pair </w:t>
      </w:r>
      <w:r w:rsidR="000A2803">
        <w:rPr>
          <w:rFonts w:ascii="Times New Roman" w:hAnsi="Times New Roman"/>
          <w:sz w:val="24"/>
          <w:szCs w:val="24"/>
        </w:rPr>
        <w:t>within New Zealand</w:t>
      </w:r>
      <w:r w:rsidR="001C6EA0">
        <w:rPr>
          <w:rFonts w:ascii="Times New Roman" w:hAnsi="Times New Roman"/>
          <w:sz w:val="24"/>
          <w:szCs w:val="24"/>
        </w:rPr>
        <w:t xml:space="preserve"> (see additional details in the next paragraph)</w:t>
      </w:r>
      <w:r w:rsidR="000A2803">
        <w:rPr>
          <w:rFonts w:ascii="Times New Roman" w:hAnsi="Times New Roman"/>
          <w:sz w:val="24"/>
          <w:szCs w:val="24"/>
        </w:rPr>
        <w:t>. The third data source is a disaggregate spatial land-cover characteristics data obtained from the</w:t>
      </w:r>
      <w:r w:rsidR="005827DC">
        <w:rPr>
          <w:rFonts w:ascii="Times New Roman" w:hAnsi="Times New Roman"/>
          <w:sz w:val="24"/>
          <w:szCs w:val="24"/>
        </w:rPr>
        <w:t xml:space="preserve"> 2012 Land Cover Database (LCDB) of the Land Resource Information System (LRIS) of New Zealand</w:t>
      </w:r>
      <w:r w:rsidR="00265393">
        <w:rPr>
          <w:rFonts w:ascii="Times New Roman" w:hAnsi="Times New Roman"/>
          <w:sz w:val="24"/>
          <w:szCs w:val="24"/>
        </w:rPr>
        <w:t>.</w:t>
      </w:r>
      <w:r w:rsidR="00E7611B">
        <w:rPr>
          <w:rFonts w:ascii="Times New Roman" w:hAnsi="Times New Roman"/>
          <w:sz w:val="24"/>
          <w:szCs w:val="24"/>
        </w:rPr>
        <w:t xml:space="preserve"> </w:t>
      </w:r>
      <w:r w:rsidR="00DC51CB">
        <w:rPr>
          <w:rFonts w:ascii="Times New Roman" w:hAnsi="Times New Roman"/>
          <w:sz w:val="24"/>
          <w:szCs w:val="24"/>
        </w:rPr>
        <w:t>Th</w:t>
      </w:r>
      <w:r w:rsidR="00636B42">
        <w:rPr>
          <w:rFonts w:ascii="Times New Roman" w:hAnsi="Times New Roman"/>
          <w:sz w:val="24"/>
          <w:szCs w:val="24"/>
        </w:rPr>
        <w:t xml:space="preserve">e LCDB </w:t>
      </w:r>
      <w:r w:rsidR="00DC51CB">
        <w:rPr>
          <w:rFonts w:ascii="Times New Roman" w:hAnsi="Times New Roman"/>
          <w:sz w:val="24"/>
          <w:szCs w:val="24"/>
        </w:rPr>
        <w:t xml:space="preserve">provides land-cover information </w:t>
      </w:r>
      <w:proofErr w:type="gramStart"/>
      <w:r w:rsidR="00DC51CB">
        <w:rPr>
          <w:rFonts w:ascii="Times New Roman" w:hAnsi="Times New Roman"/>
          <w:sz w:val="24"/>
          <w:szCs w:val="24"/>
        </w:rPr>
        <w:t xml:space="preserve">at </w:t>
      </w:r>
      <w:r w:rsidR="009966EF">
        <w:rPr>
          <w:rFonts w:ascii="Times New Roman" w:hAnsi="Times New Roman"/>
          <w:sz w:val="24"/>
          <w:szCs w:val="24"/>
        </w:rPr>
        <w:t>a</w:t>
      </w:r>
      <w:proofErr w:type="gramEnd"/>
      <w:r w:rsidR="009966EF">
        <w:rPr>
          <w:rFonts w:ascii="Times New Roman" w:hAnsi="Times New Roman"/>
          <w:sz w:val="24"/>
          <w:szCs w:val="24"/>
        </w:rPr>
        <w:t xml:space="preserve"> 30 meter</w:t>
      </w:r>
      <w:r w:rsidR="001C6EA0">
        <w:rPr>
          <w:rFonts w:ascii="Times New Roman" w:hAnsi="Times New Roman"/>
          <w:sz w:val="24"/>
          <w:szCs w:val="24"/>
        </w:rPr>
        <w:t>s</w:t>
      </w:r>
      <w:r w:rsidR="00636B42">
        <w:rPr>
          <w:rFonts w:ascii="Times New Roman" w:hAnsi="Times New Roman"/>
          <w:sz w:val="24"/>
          <w:szCs w:val="24"/>
        </w:rPr>
        <w:t xml:space="preserve"> by 30 meter</w:t>
      </w:r>
      <w:r w:rsidR="009966EF">
        <w:rPr>
          <w:rFonts w:ascii="Times New Roman" w:hAnsi="Times New Roman"/>
          <w:sz w:val="24"/>
          <w:szCs w:val="24"/>
        </w:rPr>
        <w:t xml:space="preserve"> resolution</w:t>
      </w:r>
      <w:r w:rsidR="00DC51CB">
        <w:rPr>
          <w:rFonts w:ascii="Times New Roman" w:hAnsi="Times New Roman"/>
          <w:sz w:val="24"/>
          <w:szCs w:val="24"/>
        </w:rPr>
        <w:t xml:space="preserve">. From this data, using </w:t>
      </w:r>
      <w:r w:rsidR="00E7611B">
        <w:rPr>
          <w:rFonts w:ascii="Times New Roman" w:hAnsi="Times New Roman"/>
          <w:sz w:val="24"/>
          <w:szCs w:val="24"/>
        </w:rPr>
        <w:t>a geographic information system based procedure</w:t>
      </w:r>
      <w:r w:rsidR="00DC51CB">
        <w:rPr>
          <w:rFonts w:ascii="Times New Roman" w:hAnsi="Times New Roman"/>
          <w:sz w:val="24"/>
          <w:szCs w:val="24"/>
        </w:rPr>
        <w:t>, we</w:t>
      </w:r>
      <w:r w:rsidR="00E7611B">
        <w:rPr>
          <w:rFonts w:ascii="Times New Roman" w:hAnsi="Times New Roman"/>
          <w:sz w:val="24"/>
          <w:szCs w:val="24"/>
        </w:rPr>
        <w:t xml:space="preserve"> </w:t>
      </w:r>
      <w:r w:rsidR="00DC51CB">
        <w:rPr>
          <w:rFonts w:ascii="Times New Roman" w:hAnsi="Times New Roman"/>
          <w:sz w:val="24"/>
          <w:szCs w:val="24"/>
        </w:rPr>
        <w:t xml:space="preserve">developed </w:t>
      </w:r>
      <w:r w:rsidR="00E7611B">
        <w:rPr>
          <w:rFonts w:ascii="Times New Roman" w:hAnsi="Times New Roman"/>
          <w:sz w:val="24"/>
          <w:szCs w:val="24"/>
        </w:rPr>
        <w:t xml:space="preserve">total land area and acreage </w:t>
      </w:r>
      <w:r w:rsidR="009966EF">
        <w:rPr>
          <w:rFonts w:ascii="Times New Roman" w:hAnsi="Times New Roman"/>
          <w:sz w:val="24"/>
          <w:szCs w:val="24"/>
        </w:rPr>
        <w:t xml:space="preserve">information </w:t>
      </w:r>
      <w:r w:rsidR="00636B42">
        <w:rPr>
          <w:rFonts w:ascii="Times New Roman" w:hAnsi="Times New Roman"/>
          <w:sz w:val="24"/>
          <w:szCs w:val="24"/>
        </w:rPr>
        <w:t xml:space="preserve">for </w:t>
      </w:r>
      <w:r w:rsidR="00636B42" w:rsidRPr="00EF658C">
        <w:rPr>
          <w:rFonts w:ascii="Times New Roman" w:hAnsi="Times New Roman"/>
          <w:sz w:val="24"/>
          <w:szCs w:val="24"/>
        </w:rPr>
        <w:t xml:space="preserve">each 30x30 </w:t>
      </w:r>
      <w:r w:rsidR="009170D1" w:rsidRPr="00EF658C">
        <w:rPr>
          <w:rFonts w:ascii="Times New Roman" w:hAnsi="Times New Roman"/>
          <w:sz w:val="24"/>
          <w:szCs w:val="24"/>
        </w:rPr>
        <w:t>meter</w:t>
      </w:r>
      <w:r w:rsidR="009170D1" w:rsidRPr="00EF658C">
        <w:rPr>
          <w:rFonts w:ascii="Times New Roman" w:hAnsi="Times New Roman"/>
          <w:sz w:val="24"/>
          <w:szCs w:val="24"/>
          <w:vertAlign w:val="superscript"/>
        </w:rPr>
        <w:t>2</w:t>
      </w:r>
      <w:r w:rsidR="009170D1" w:rsidRPr="00EF658C">
        <w:rPr>
          <w:rFonts w:ascii="Times New Roman" w:hAnsi="Times New Roman"/>
          <w:sz w:val="24"/>
          <w:szCs w:val="24"/>
        </w:rPr>
        <w:t xml:space="preserve"> </w:t>
      </w:r>
      <w:r w:rsidR="00FA7228">
        <w:rPr>
          <w:rFonts w:ascii="Times New Roman" w:hAnsi="Times New Roman"/>
          <w:sz w:val="24"/>
          <w:szCs w:val="24"/>
        </w:rPr>
        <w:t xml:space="preserve">grid </w:t>
      </w:r>
      <w:r w:rsidR="009170D1" w:rsidRPr="00EF658C">
        <w:rPr>
          <w:rFonts w:ascii="Times New Roman" w:hAnsi="Times New Roman"/>
          <w:sz w:val="24"/>
          <w:szCs w:val="24"/>
        </w:rPr>
        <w:t>and</w:t>
      </w:r>
      <w:r w:rsidR="00636B42" w:rsidRPr="00EF658C">
        <w:rPr>
          <w:rFonts w:ascii="Times New Roman" w:hAnsi="Times New Roman"/>
          <w:sz w:val="24"/>
          <w:szCs w:val="24"/>
        </w:rPr>
        <w:t xml:space="preserve"> by</w:t>
      </w:r>
      <w:r w:rsidR="00E7611B" w:rsidRPr="00EF658C">
        <w:rPr>
          <w:rFonts w:ascii="Times New Roman" w:hAnsi="Times New Roman"/>
          <w:sz w:val="24"/>
          <w:szCs w:val="24"/>
        </w:rPr>
        <w:t xml:space="preserve"> </w:t>
      </w:r>
      <w:r w:rsidR="003818D9" w:rsidRPr="00EF658C">
        <w:rPr>
          <w:rFonts w:ascii="Times New Roman" w:hAnsi="Times New Roman"/>
          <w:sz w:val="24"/>
          <w:szCs w:val="24"/>
        </w:rPr>
        <w:t>six</w:t>
      </w:r>
      <w:r w:rsidR="00E7611B" w:rsidRPr="00EF658C">
        <w:rPr>
          <w:rFonts w:ascii="Times New Roman" w:hAnsi="Times New Roman"/>
          <w:sz w:val="24"/>
          <w:szCs w:val="24"/>
        </w:rPr>
        <w:t xml:space="preserve"> </w:t>
      </w:r>
      <w:r w:rsidR="00DC51CB" w:rsidRPr="00EF658C">
        <w:rPr>
          <w:rFonts w:ascii="Times New Roman" w:hAnsi="Times New Roman"/>
          <w:sz w:val="24"/>
          <w:szCs w:val="24"/>
        </w:rPr>
        <w:t xml:space="preserve">broadly defined </w:t>
      </w:r>
      <w:r w:rsidR="00E7611B" w:rsidRPr="00EF658C">
        <w:rPr>
          <w:rFonts w:ascii="Times New Roman" w:hAnsi="Times New Roman"/>
          <w:sz w:val="24"/>
          <w:szCs w:val="24"/>
        </w:rPr>
        <w:t>land-cover categories</w:t>
      </w:r>
      <w:r w:rsidR="00DC51CB" w:rsidRPr="00EF658C">
        <w:rPr>
          <w:rFonts w:ascii="Times New Roman" w:hAnsi="Times New Roman"/>
          <w:sz w:val="24"/>
          <w:szCs w:val="24"/>
        </w:rPr>
        <w:t xml:space="preserve">: </w:t>
      </w:r>
      <w:r w:rsidR="00B1435A" w:rsidRPr="00EF658C">
        <w:rPr>
          <w:rFonts w:ascii="Times New Roman" w:hAnsi="Times New Roman"/>
          <w:sz w:val="24"/>
          <w:szCs w:val="24"/>
        </w:rPr>
        <w:t xml:space="preserve">urban area (including central business districts, commercial and industrial areas, urban parklands, urban dumps, and housing and transportation-related land cover), water area (including rivers, land/ponds, freshwater, </w:t>
      </w:r>
      <w:r w:rsidR="00FA7228">
        <w:rPr>
          <w:rFonts w:ascii="Times New Roman" w:hAnsi="Times New Roman"/>
          <w:sz w:val="24"/>
          <w:szCs w:val="24"/>
        </w:rPr>
        <w:t xml:space="preserve">and </w:t>
      </w:r>
      <w:r w:rsidR="00B1435A" w:rsidRPr="00EF658C">
        <w:rPr>
          <w:rFonts w:ascii="Times New Roman" w:hAnsi="Times New Roman"/>
          <w:sz w:val="24"/>
          <w:szCs w:val="24"/>
        </w:rPr>
        <w:t xml:space="preserve">estuarine open water), wetland area (context-dependent combinations of areas such as herbaceous freshwater vegetation, </w:t>
      </w:r>
      <w:proofErr w:type="spellStart"/>
      <w:r w:rsidR="00B1435A" w:rsidRPr="00EF658C">
        <w:rPr>
          <w:rFonts w:ascii="Times New Roman" w:hAnsi="Times New Roman"/>
          <w:sz w:val="24"/>
          <w:szCs w:val="24"/>
        </w:rPr>
        <w:t>flaxland</w:t>
      </w:r>
      <w:proofErr w:type="spellEnd"/>
      <w:r w:rsidR="00B1435A" w:rsidRPr="00EF658C">
        <w:rPr>
          <w:rFonts w:ascii="Times New Roman" w:hAnsi="Times New Roman"/>
          <w:sz w:val="24"/>
          <w:szCs w:val="24"/>
        </w:rPr>
        <w:t>, and saline vegetation), agricultural area (including vineyards and orchards, perennial crops, short rotation cropland, and grasslands), bare-land area, and forest area (pine forests, mangroves, deciduous hardwoods and other exotic/indigenous forest areas)</w:t>
      </w:r>
      <w:r w:rsidR="00E7611B" w:rsidRPr="00EF658C">
        <w:rPr>
          <w:rFonts w:ascii="Times New Roman" w:hAnsi="Times New Roman"/>
          <w:sz w:val="24"/>
          <w:szCs w:val="24"/>
        </w:rPr>
        <w:t>.</w:t>
      </w:r>
    </w:p>
    <w:p w:rsidR="00176632" w:rsidRDefault="00B61F26" w:rsidP="007D2074">
      <w:pPr>
        <w:spacing w:line="360" w:lineRule="auto"/>
        <w:ind w:firstLine="720"/>
        <w:rPr>
          <w:szCs w:val="24"/>
        </w:rPr>
      </w:pPr>
      <w:r w:rsidRPr="00B61F26">
        <w:rPr>
          <w:szCs w:val="24"/>
        </w:rPr>
        <w:t xml:space="preserve">The sample formation </w:t>
      </w:r>
      <w:r w:rsidR="00190FA4">
        <w:rPr>
          <w:szCs w:val="24"/>
        </w:rPr>
        <w:t xml:space="preserve">comprised </w:t>
      </w:r>
      <w:r w:rsidRPr="00B61F26">
        <w:rPr>
          <w:szCs w:val="24"/>
        </w:rPr>
        <w:t xml:space="preserve">several steps. </w:t>
      </w:r>
      <w:r w:rsidRPr="00B27BFC">
        <w:rPr>
          <w:szCs w:val="24"/>
          <w:u w:val="single"/>
        </w:rPr>
        <w:t>First</w:t>
      </w:r>
      <w:r w:rsidRPr="00B61F26">
        <w:rPr>
          <w:szCs w:val="24"/>
        </w:rPr>
        <w:t xml:space="preserve">, </w:t>
      </w:r>
      <w:r w:rsidR="00FE7EE9">
        <w:rPr>
          <w:szCs w:val="24"/>
        </w:rPr>
        <w:t>we selected only</w:t>
      </w:r>
      <w:r w:rsidR="008C4067">
        <w:rPr>
          <w:szCs w:val="24"/>
        </w:rPr>
        <w:t xml:space="preserve"> </w:t>
      </w:r>
      <w:r w:rsidR="00190FA4">
        <w:rPr>
          <w:szCs w:val="24"/>
        </w:rPr>
        <w:t>leisure</w:t>
      </w:r>
      <w:r w:rsidR="00FE7EE9">
        <w:rPr>
          <w:szCs w:val="24"/>
        </w:rPr>
        <w:t xml:space="preserve"> </w:t>
      </w:r>
      <w:r w:rsidR="008C4067">
        <w:rPr>
          <w:szCs w:val="24"/>
        </w:rPr>
        <w:t xml:space="preserve">trips to primary </w:t>
      </w:r>
      <w:r w:rsidR="00FE7EE9">
        <w:rPr>
          <w:szCs w:val="24"/>
        </w:rPr>
        <w:t>destinations within New Zealand</w:t>
      </w:r>
      <w:r w:rsidR="008C4067">
        <w:rPr>
          <w:szCs w:val="24"/>
        </w:rPr>
        <w:t xml:space="preserve"> undertaken by </w:t>
      </w:r>
      <w:r w:rsidR="00190FA4">
        <w:rPr>
          <w:szCs w:val="24"/>
        </w:rPr>
        <w:t xml:space="preserve">a </w:t>
      </w:r>
      <w:r w:rsidR="008C4067">
        <w:rPr>
          <w:szCs w:val="24"/>
        </w:rPr>
        <w:t>personal auto</w:t>
      </w:r>
      <w:r w:rsidR="003411F7">
        <w:rPr>
          <w:szCs w:val="24"/>
        </w:rPr>
        <w:t xml:space="preserve"> (personal auto trips comp</w:t>
      </w:r>
      <w:r w:rsidR="00C47E15">
        <w:rPr>
          <w:szCs w:val="24"/>
        </w:rPr>
        <w:t>rise</w:t>
      </w:r>
      <w:r w:rsidR="003411F7">
        <w:rPr>
          <w:szCs w:val="24"/>
        </w:rPr>
        <w:t xml:space="preserve"> </w:t>
      </w:r>
      <w:r w:rsidR="00C47E15">
        <w:rPr>
          <w:szCs w:val="24"/>
        </w:rPr>
        <w:t>around 90%</w:t>
      </w:r>
      <w:r w:rsidR="003411F7">
        <w:rPr>
          <w:szCs w:val="24"/>
        </w:rPr>
        <w:t xml:space="preserve"> of all leisure domestic trips within New Zealand</w:t>
      </w:r>
      <w:r w:rsidR="0014616B">
        <w:rPr>
          <w:szCs w:val="24"/>
        </w:rPr>
        <w:t xml:space="preserve">; see </w:t>
      </w:r>
      <w:r w:rsidR="000D69AF" w:rsidRPr="000D69AF">
        <w:rPr>
          <w:szCs w:val="24"/>
        </w:rPr>
        <w:t>Ministry of Business, Innovation and Employment</w:t>
      </w:r>
      <w:r w:rsidR="0073600B">
        <w:rPr>
          <w:szCs w:val="24"/>
        </w:rPr>
        <w:t>, 2008</w:t>
      </w:r>
      <w:r w:rsidR="003411F7">
        <w:rPr>
          <w:szCs w:val="24"/>
        </w:rPr>
        <w:t>)</w:t>
      </w:r>
      <w:r w:rsidR="008C4067">
        <w:rPr>
          <w:szCs w:val="24"/>
        </w:rPr>
        <w:t xml:space="preserve">. </w:t>
      </w:r>
      <w:r w:rsidRPr="00B27BFC">
        <w:rPr>
          <w:szCs w:val="24"/>
          <w:u w:val="single"/>
        </w:rPr>
        <w:t>Second</w:t>
      </w:r>
      <w:r w:rsidRPr="00B61F26">
        <w:rPr>
          <w:szCs w:val="24"/>
        </w:rPr>
        <w:t>,</w:t>
      </w:r>
      <w:r w:rsidR="00F76E06">
        <w:rPr>
          <w:szCs w:val="24"/>
        </w:rPr>
        <w:t xml:space="preserve"> the </w:t>
      </w:r>
      <w:r w:rsidR="00190FA4">
        <w:rPr>
          <w:szCs w:val="24"/>
        </w:rPr>
        <w:t xml:space="preserve">leisure </w:t>
      </w:r>
      <w:r w:rsidR="00F76E06">
        <w:rPr>
          <w:szCs w:val="24"/>
        </w:rPr>
        <w:t xml:space="preserve">destination cities in New Zealand were mapped into one of 16 aggregate destination regions </w:t>
      </w:r>
      <w:r w:rsidR="00DD2F45">
        <w:rPr>
          <w:szCs w:val="24"/>
        </w:rPr>
        <w:t xml:space="preserve">in the current analysis, as identified in Figure 1. Nine regions are in the North Island, while seven are in the South Island. </w:t>
      </w:r>
      <w:r w:rsidR="00F76E06">
        <w:rPr>
          <w:szCs w:val="24"/>
        </w:rPr>
        <w:t xml:space="preserve">This </w:t>
      </w:r>
      <w:r w:rsidR="00DD2F45">
        <w:rPr>
          <w:szCs w:val="24"/>
        </w:rPr>
        <w:t xml:space="preserve">regional </w:t>
      </w:r>
      <w:r w:rsidR="00F76E06">
        <w:rPr>
          <w:szCs w:val="24"/>
        </w:rPr>
        <w:t xml:space="preserve">classification </w:t>
      </w:r>
      <w:r w:rsidR="00DD2F45">
        <w:rPr>
          <w:szCs w:val="24"/>
        </w:rPr>
        <w:t xml:space="preserve">scheme </w:t>
      </w:r>
      <w:r w:rsidR="00F76E06">
        <w:rPr>
          <w:szCs w:val="24"/>
        </w:rPr>
        <w:t xml:space="preserve">is the same as that used </w:t>
      </w:r>
      <w:r w:rsidR="0083608E">
        <w:rPr>
          <w:szCs w:val="24"/>
        </w:rPr>
        <w:t>by</w:t>
      </w:r>
      <w:r w:rsidR="004A1061">
        <w:rPr>
          <w:szCs w:val="24"/>
        </w:rPr>
        <w:t xml:space="preserve"> </w:t>
      </w:r>
      <w:r w:rsidR="00F76E06">
        <w:rPr>
          <w:szCs w:val="24"/>
        </w:rPr>
        <w:t xml:space="preserve">the Department of Tourism of New Zealand </w:t>
      </w:r>
      <w:r w:rsidR="0083608E">
        <w:rPr>
          <w:szCs w:val="24"/>
        </w:rPr>
        <w:t xml:space="preserve">for its </w:t>
      </w:r>
      <w:r w:rsidR="00817337">
        <w:rPr>
          <w:szCs w:val="24"/>
        </w:rPr>
        <w:t>marketing campaigns</w:t>
      </w:r>
      <w:r w:rsidR="0083608E">
        <w:rPr>
          <w:szCs w:val="24"/>
        </w:rPr>
        <w:t xml:space="preserve">, </w:t>
      </w:r>
      <w:r w:rsidR="00F76E06">
        <w:rPr>
          <w:szCs w:val="24"/>
        </w:rPr>
        <w:t xml:space="preserve">and is </w:t>
      </w:r>
      <w:r w:rsidR="0083608E">
        <w:rPr>
          <w:szCs w:val="24"/>
        </w:rPr>
        <w:t xml:space="preserve">also the commonly used geo-political partitioning </w:t>
      </w:r>
      <w:r w:rsidR="00F76E06">
        <w:rPr>
          <w:szCs w:val="24"/>
        </w:rPr>
        <w:t>of the countr</w:t>
      </w:r>
      <w:r w:rsidR="0083608E">
        <w:rPr>
          <w:szCs w:val="24"/>
        </w:rPr>
        <w:t xml:space="preserve">y. </w:t>
      </w:r>
      <w:r w:rsidR="00F76E06" w:rsidRPr="00B27BFC">
        <w:rPr>
          <w:szCs w:val="24"/>
          <w:u w:val="single"/>
        </w:rPr>
        <w:lastRenderedPageBreak/>
        <w:t>Third</w:t>
      </w:r>
      <w:r w:rsidR="00F76E06">
        <w:rPr>
          <w:szCs w:val="24"/>
        </w:rPr>
        <w:t>, the total number of trips made by each individual to each region was obtained by appropriate aggregation</w:t>
      </w:r>
      <w:r w:rsidR="00302361">
        <w:rPr>
          <w:szCs w:val="24"/>
        </w:rPr>
        <w:t xml:space="preserve"> across trips to cities within each region</w:t>
      </w:r>
      <w:r w:rsidR="00817337">
        <w:rPr>
          <w:szCs w:val="24"/>
        </w:rPr>
        <w:t xml:space="preserve">, and </w:t>
      </w:r>
      <w:r w:rsidR="00302361">
        <w:rPr>
          <w:szCs w:val="24"/>
        </w:rPr>
        <w:t xml:space="preserve">the </w:t>
      </w:r>
      <w:r w:rsidR="001C6EA0">
        <w:rPr>
          <w:szCs w:val="24"/>
        </w:rPr>
        <w:t xml:space="preserve">individual-level trip </w:t>
      </w:r>
      <w:r w:rsidR="00302361">
        <w:rPr>
          <w:szCs w:val="24"/>
        </w:rPr>
        <w:t xml:space="preserve">budget is obtained as the total number of trips </w:t>
      </w:r>
      <w:r w:rsidR="001C6EA0">
        <w:rPr>
          <w:szCs w:val="24"/>
        </w:rPr>
        <w:t xml:space="preserve">of the individual </w:t>
      </w:r>
      <w:r w:rsidR="00302361">
        <w:rPr>
          <w:szCs w:val="24"/>
        </w:rPr>
        <w:t>across all regions during the four week period</w:t>
      </w:r>
      <w:r w:rsidR="00F76E06">
        <w:rPr>
          <w:szCs w:val="24"/>
        </w:rPr>
        <w:t>.</w:t>
      </w:r>
      <w:r w:rsidR="004A07EF">
        <w:rPr>
          <w:szCs w:val="24"/>
        </w:rPr>
        <w:t xml:space="preserve"> </w:t>
      </w:r>
      <w:r w:rsidR="00F76E06" w:rsidRPr="00B27BFC">
        <w:rPr>
          <w:szCs w:val="24"/>
          <w:u w:val="single"/>
        </w:rPr>
        <w:t>Fourth</w:t>
      </w:r>
      <w:r w:rsidR="00F76E06">
        <w:rPr>
          <w:szCs w:val="24"/>
        </w:rPr>
        <w:t xml:space="preserve">, </w:t>
      </w:r>
      <w:r w:rsidR="00C2147C">
        <w:rPr>
          <w:szCs w:val="24"/>
        </w:rPr>
        <w:t xml:space="preserve">we identified a </w:t>
      </w:r>
      <w:proofErr w:type="spellStart"/>
      <w:r w:rsidR="00C2147C">
        <w:rPr>
          <w:szCs w:val="24"/>
        </w:rPr>
        <w:t>centroidal</w:t>
      </w:r>
      <w:proofErr w:type="spellEnd"/>
      <w:r w:rsidR="00C2147C">
        <w:rPr>
          <w:szCs w:val="24"/>
        </w:rPr>
        <w:t xml:space="preserve"> city for each of the 16 destination regions</w:t>
      </w:r>
      <w:r w:rsidR="00817337">
        <w:rPr>
          <w:szCs w:val="24"/>
        </w:rPr>
        <w:t xml:space="preserve">, based on the city that attracted the most travelers within each region, </w:t>
      </w:r>
      <w:r w:rsidR="00C2147C">
        <w:rPr>
          <w:szCs w:val="24"/>
        </w:rPr>
        <w:t xml:space="preserve">and converted the city-to-city </w:t>
      </w:r>
      <w:r w:rsidR="001C6EA0">
        <w:rPr>
          <w:szCs w:val="24"/>
        </w:rPr>
        <w:t xml:space="preserve">land-based </w:t>
      </w:r>
      <w:r w:rsidR="00C2147C">
        <w:rPr>
          <w:szCs w:val="24"/>
        </w:rPr>
        <w:t xml:space="preserve">travel distance </w:t>
      </w:r>
      <w:r w:rsidR="00B2779B">
        <w:rPr>
          <w:szCs w:val="24"/>
        </w:rPr>
        <w:t xml:space="preserve">and land-based travel time </w:t>
      </w:r>
      <w:r w:rsidR="00C2147C">
        <w:rPr>
          <w:szCs w:val="24"/>
        </w:rPr>
        <w:t xml:space="preserve">data to corresponding residence city-to-destination region </w:t>
      </w:r>
      <w:r w:rsidR="00817337">
        <w:rPr>
          <w:szCs w:val="24"/>
        </w:rPr>
        <w:t>skims</w:t>
      </w:r>
      <w:r w:rsidR="00F76E06">
        <w:rPr>
          <w:szCs w:val="24"/>
        </w:rPr>
        <w:t>.</w:t>
      </w:r>
      <w:r w:rsidR="00C2147C">
        <w:rPr>
          <w:szCs w:val="24"/>
        </w:rPr>
        <w:t xml:space="preserve"> </w:t>
      </w:r>
      <w:r w:rsidR="00B2779B">
        <w:rPr>
          <w:szCs w:val="24"/>
        </w:rPr>
        <w:t xml:space="preserve">But travel from one region in one island to another region in another island by auto is possible only through the use of a ferry service </w:t>
      </w:r>
      <w:r w:rsidR="0014616B">
        <w:rPr>
          <w:szCs w:val="24"/>
        </w:rPr>
        <w:t xml:space="preserve">(that </w:t>
      </w:r>
      <w:r w:rsidR="0074228B">
        <w:rPr>
          <w:szCs w:val="24"/>
        </w:rPr>
        <w:t>transports</w:t>
      </w:r>
      <w:r w:rsidR="00B2779B">
        <w:rPr>
          <w:szCs w:val="24"/>
        </w:rPr>
        <w:t xml:space="preserve"> vehicles</w:t>
      </w:r>
      <w:r w:rsidR="0014616B">
        <w:rPr>
          <w:szCs w:val="24"/>
        </w:rPr>
        <w:t xml:space="preserve"> too</w:t>
      </w:r>
      <w:r w:rsidR="00B2779B">
        <w:rPr>
          <w:szCs w:val="24"/>
        </w:rPr>
        <w:t xml:space="preserve">) across the Cook Strait between Wellington in the North (located in the Wellington region) and </w:t>
      </w:r>
      <w:proofErr w:type="spellStart"/>
      <w:r w:rsidR="00B2779B">
        <w:rPr>
          <w:szCs w:val="24"/>
        </w:rPr>
        <w:t>Picton</w:t>
      </w:r>
      <w:proofErr w:type="spellEnd"/>
      <w:r w:rsidR="00B2779B">
        <w:rPr>
          <w:szCs w:val="24"/>
        </w:rPr>
        <w:t xml:space="preserve"> in the South (located in the Marlborough region). </w:t>
      </w:r>
      <w:r w:rsidR="00176632">
        <w:rPr>
          <w:szCs w:val="24"/>
        </w:rPr>
        <w:t>On the other hand, the land</w:t>
      </w:r>
      <w:r w:rsidR="00B2779B">
        <w:rPr>
          <w:szCs w:val="24"/>
        </w:rPr>
        <w:t xml:space="preserve">-based travel time between two regions in different islands </w:t>
      </w:r>
      <w:r w:rsidR="00176632">
        <w:rPr>
          <w:szCs w:val="24"/>
        </w:rPr>
        <w:t xml:space="preserve">from earlier </w:t>
      </w:r>
      <w:r w:rsidR="00B2779B">
        <w:rPr>
          <w:szCs w:val="24"/>
        </w:rPr>
        <w:t xml:space="preserve">includes only </w:t>
      </w:r>
      <w:r w:rsidR="00176632">
        <w:rPr>
          <w:szCs w:val="24"/>
        </w:rPr>
        <w:t>the travel time from the origin point to one of the two ferry terminals plus the</w:t>
      </w:r>
      <w:r w:rsidR="0014616B">
        <w:rPr>
          <w:szCs w:val="24"/>
        </w:rPr>
        <w:t xml:space="preserve"> travel time from </w:t>
      </w:r>
      <w:r w:rsidR="00176632">
        <w:rPr>
          <w:szCs w:val="24"/>
        </w:rPr>
        <w:t xml:space="preserve">the other ferry terminal to the destination region. Thus, the total travel time between two regions in different islands should include the </w:t>
      </w:r>
      <w:r w:rsidR="00B2779B">
        <w:rPr>
          <w:szCs w:val="24"/>
        </w:rPr>
        <w:t xml:space="preserve">3 hour 15 minute cruise </w:t>
      </w:r>
      <w:r w:rsidR="00176632">
        <w:rPr>
          <w:szCs w:val="24"/>
        </w:rPr>
        <w:t xml:space="preserve">(including ferry terminal times) </w:t>
      </w:r>
      <w:r w:rsidR="00B2779B">
        <w:rPr>
          <w:szCs w:val="24"/>
        </w:rPr>
        <w:t>between the north and south islands</w:t>
      </w:r>
      <w:r w:rsidR="00176632">
        <w:rPr>
          <w:szCs w:val="24"/>
        </w:rPr>
        <w:t xml:space="preserve">. </w:t>
      </w:r>
      <w:r w:rsidR="00B2779B">
        <w:rPr>
          <w:szCs w:val="24"/>
        </w:rPr>
        <w:t xml:space="preserve"> </w:t>
      </w:r>
      <w:r w:rsidR="00176632">
        <w:rPr>
          <w:szCs w:val="24"/>
        </w:rPr>
        <w:t xml:space="preserve">At the end of this step, we obtain the land-based travel distance and the total travel time for each residence city-destination region pairing. </w:t>
      </w:r>
      <w:r w:rsidR="00176632" w:rsidRPr="00B27BFC">
        <w:rPr>
          <w:szCs w:val="24"/>
          <w:u w:val="single"/>
        </w:rPr>
        <w:t>Fifth</w:t>
      </w:r>
      <w:r w:rsidR="00176632">
        <w:rPr>
          <w:szCs w:val="24"/>
        </w:rPr>
        <w:t>, t</w:t>
      </w:r>
      <w:r w:rsidR="0014616B">
        <w:rPr>
          <w:szCs w:val="24"/>
        </w:rPr>
        <w:t>he travel cost skims were</w:t>
      </w:r>
      <w:r w:rsidR="00176632">
        <w:rPr>
          <w:szCs w:val="24"/>
        </w:rPr>
        <w:t xml:space="preserve"> computed </w:t>
      </w:r>
      <w:r w:rsidR="00176632" w:rsidRPr="003C1F2B">
        <w:rPr>
          <w:szCs w:val="24"/>
        </w:rPr>
        <w:t xml:space="preserve">as a function of the respondent’s reported household income, the estimated cost of vehicle </w:t>
      </w:r>
      <w:r w:rsidR="009A0EFD">
        <w:rPr>
          <w:szCs w:val="24"/>
        </w:rPr>
        <w:t xml:space="preserve">fuel </w:t>
      </w:r>
      <w:r w:rsidR="00176632">
        <w:rPr>
          <w:szCs w:val="24"/>
        </w:rPr>
        <w:t>on land, the ferry cost if a ferry crossing is involved</w:t>
      </w:r>
      <w:r w:rsidR="00176632" w:rsidRPr="003C1F2B">
        <w:rPr>
          <w:szCs w:val="24"/>
        </w:rPr>
        <w:t xml:space="preserve">, and the </w:t>
      </w:r>
      <w:r w:rsidR="00176632">
        <w:rPr>
          <w:szCs w:val="24"/>
        </w:rPr>
        <w:t>land-based distance and total travel time skims (</w:t>
      </w:r>
      <w:r w:rsidR="006616A4">
        <w:rPr>
          <w:szCs w:val="24"/>
        </w:rPr>
        <w:t xml:space="preserve">obtained in the previous step) </w:t>
      </w:r>
      <w:r w:rsidR="00176632" w:rsidRPr="003C1F2B">
        <w:rPr>
          <w:szCs w:val="24"/>
        </w:rPr>
        <w:t xml:space="preserve">between the respondent’s residence city and the </w:t>
      </w:r>
      <w:proofErr w:type="spellStart"/>
      <w:r w:rsidR="00176632" w:rsidRPr="003C1F2B">
        <w:rPr>
          <w:szCs w:val="24"/>
        </w:rPr>
        <w:t>centroidal</w:t>
      </w:r>
      <w:proofErr w:type="spellEnd"/>
      <w:r w:rsidR="00176632" w:rsidRPr="003C1F2B">
        <w:rPr>
          <w:szCs w:val="24"/>
        </w:rPr>
        <w:t xml:space="preserve"> city of each destination </w:t>
      </w:r>
      <w:r w:rsidR="00176632">
        <w:rPr>
          <w:szCs w:val="24"/>
        </w:rPr>
        <w:t>region</w:t>
      </w:r>
      <w:r w:rsidR="00176632" w:rsidRPr="003C1F2B">
        <w:rPr>
          <w:szCs w:val="24"/>
        </w:rPr>
        <w:t xml:space="preserve">. </w:t>
      </w:r>
      <w:r w:rsidR="00176632">
        <w:rPr>
          <w:szCs w:val="24"/>
        </w:rPr>
        <w:t xml:space="preserve">To </w:t>
      </w:r>
      <w:r w:rsidR="00176632" w:rsidRPr="003C1F2B">
        <w:rPr>
          <w:szCs w:val="24"/>
        </w:rPr>
        <w:t>calculate the travel cost, we follow</w:t>
      </w:r>
      <w:r w:rsidR="001E38FD">
        <w:rPr>
          <w:szCs w:val="24"/>
        </w:rPr>
        <w:t>ed</w:t>
      </w:r>
      <w:r w:rsidR="00176632" w:rsidRPr="003C1F2B">
        <w:rPr>
          <w:szCs w:val="24"/>
        </w:rPr>
        <w:t xml:space="preserve"> the standard approach of valuing travel time at a fixed proportion of one-half of the wage rate (see </w:t>
      </w:r>
      <w:proofErr w:type="spellStart"/>
      <w:r w:rsidR="00176632" w:rsidRPr="003C1F2B">
        <w:rPr>
          <w:szCs w:val="24"/>
        </w:rPr>
        <w:t>Hanemann</w:t>
      </w:r>
      <w:proofErr w:type="spellEnd"/>
      <w:r w:rsidR="00176632" w:rsidRPr="003C1F2B">
        <w:rPr>
          <w:szCs w:val="24"/>
        </w:rPr>
        <w:t xml:space="preserve"> </w:t>
      </w:r>
      <w:r w:rsidR="00176632" w:rsidRPr="00320DF9">
        <w:rPr>
          <w:i/>
          <w:szCs w:val="24"/>
        </w:rPr>
        <w:t>et al</w:t>
      </w:r>
      <w:r w:rsidR="00176632" w:rsidRPr="003C1F2B">
        <w:rPr>
          <w:szCs w:val="24"/>
        </w:rPr>
        <w:t xml:space="preserve">., </w:t>
      </w:r>
      <w:r w:rsidR="00176632">
        <w:rPr>
          <w:szCs w:val="24"/>
        </w:rPr>
        <w:t>2004 for a detailed discussion)</w:t>
      </w:r>
      <w:r w:rsidR="00176632" w:rsidRPr="003C1F2B">
        <w:rPr>
          <w:szCs w:val="24"/>
        </w:rPr>
        <w:t>.</w:t>
      </w:r>
      <w:r w:rsidR="001E38FD">
        <w:rPr>
          <w:szCs w:val="24"/>
        </w:rPr>
        <w:t xml:space="preserve"> Specifically, the travel cost wa</w:t>
      </w:r>
      <w:r w:rsidR="00176632" w:rsidRPr="003C1F2B">
        <w:rPr>
          <w:szCs w:val="24"/>
        </w:rPr>
        <w:t>s computed as:</w:t>
      </w:r>
    </w:p>
    <w:p w:rsidR="00B27BFC" w:rsidRDefault="00176632" w:rsidP="0090442A">
      <w:pPr>
        <w:spacing w:before="120" w:after="120" w:line="360" w:lineRule="auto"/>
        <w:ind w:left="360"/>
        <w:rPr>
          <w:szCs w:val="24"/>
        </w:rPr>
      </w:pPr>
      <w:r w:rsidRPr="002F72BE">
        <w:rPr>
          <w:szCs w:val="24"/>
        </w:rPr>
        <w:t>Cost (in</w:t>
      </w:r>
      <w:r w:rsidR="009A0EFD" w:rsidRPr="002F72BE">
        <w:rPr>
          <w:szCs w:val="24"/>
        </w:rPr>
        <w:t xml:space="preserve"> NZ</w:t>
      </w:r>
      <w:r w:rsidRPr="002F72BE">
        <w:rPr>
          <w:szCs w:val="24"/>
        </w:rPr>
        <w:t xml:space="preserve">$) = 2 * (one-way land travel distance in miles * </w:t>
      </w:r>
      <w:r w:rsidR="009A0EFD" w:rsidRPr="002F72BE">
        <w:rPr>
          <w:szCs w:val="24"/>
        </w:rPr>
        <w:t>fuel cost</w:t>
      </w:r>
      <w:r w:rsidR="007716C1" w:rsidRPr="002F72BE">
        <w:rPr>
          <w:szCs w:val="24"/>
        </w:rPr>
        <w:t xml:space="preserve"> per </w:t>
      </w:r>
      <w:proofErr w:type="gramStart"/>
      <w:r w:rsidR="007716C1" w:rsidRPr="002F72BE">
        <w:rPr>
          <w:szCs w:val="24"/>
        </w:rPr>
        <w:t>mile</w:t>
      </w:r>
      <w:r w:rsidRPr="002F72BE">
        <w:rPr>
          <w:szCs w:val="24"/>
        </w:rPr>
        <w:t xml:space="preserve"> </w:t>
      </w:r>
      <w:r w:rsidR="00217D2F" w:rsidRPr="002F72BE">
        <w:rPr>
          <w:szCs w:val="24"/>
        </w:rPr>
        <w:t xml:space="preserve"> </w:t>
      </w:r>
      <w:r w:rsidRPr="002F72BE">
        <w:rPr>
          <w:szCs w:val="24"/>
        </w:rPr>
        <w:t>+</w:t>
      </w:r>
      <w:proofErr w:type="gramEnd"/>
      <w:r w:rsidR="00217D2F" w:rsidRPr="002F72BE">
        <w:rPr>
          <w:szCs w:val="24"/>
        </w:rPr>
        <w:t xml:space="preserve"> </w:t>
      </w:r>
      <w:r w:rsidRPr="002F72BE">
        <w:rPr>
          <w:szCs w:val="24"/>
        </w:rPr>
        <w:t xml:space="preserve">one-way </w:t>
      </w:r>
      <w:r w:rsidR="006616A4" w:rsidRPr="002F72BE">
        <w:rPr>
          <w:szCs w:val="24"/>
        </w:rPr>
        <w:t xml:space="preserve">total </w:t>
      </w:r>
      <w:r w:rsidRPr="002F72BE">
        <w:rPr>
          <w:szCs w:val="24"/>
        </w:rPr>
        <w:t>travel time in hours * (0.5 * hourly wage))</w:t>
      </w:r>
      <w:r w:rsidR="00217D2F" w:rsidRPr="002F72BE">
        <w:rPr>
          <w:szCs w:val="24"/>
        </w:rPr>
        <w:t xml:space="preserve"> </w:t>
      </w:r>
      <w:r w:rsidR="006616A4" w:rsidRPr="002F72BE">
        <w:rPr>
          <w:szCs w:val="24"/>
        </w:rPr>
        <w:t>+</w:t>
      </w:r>
      <w:r w:rsidR="00217D2F" w:rsidRPr="002F72BE">
        <w:rPr>
          <w:szCs w:val="24"/>
        </w:rPr>
        <w:t xml:space="preserve"> </w:t>
      </w:r>
      <w:r w:rsidR="006616A4" w:rsidRPr="002F72BE">
        <w:rPr>
          <w:szCs w:val="24"/>
        </w:rPr>
        <w:t>round-trip ferry cost (as applicable)</w:t>
      </w:r>
      <w:r w:rsidRPr="002F72BE">
        <w:rPr>
          <w:szCs w:val="24"/>
        </w:rPr>
        <w:t>.</w:t>
      </w:r>
      <w:r w:rsidR="006616A4">
        <w:rPr>
          <w:szCs w:val="24"/>
        </w:rPr>
        <w:t xml:space="preserve"> </w:t>
      </w:r>
    </w:p>
    <w:p w:rsidR="001C0D1D" w:rsidRDefault="006616A4" w:rsidP="006616A4">
      <w:pPr>
        <w:spacing w:line="360" w:lineRule="auto"/>
        <w:rPr>
          <w:szCs w:val="24"/>
        </w:rPr>
      </w:pPr>
      <w:r>
        <w:rPr>
          <w:szCs w:val="24"/>
        </w:rPr>
        <w:t xml:space="preserve">The </w:t>
      </w:r>
      <w:r w:rsidR="009A0EFD">
        <w:rPr>
          <w:szCs w:val="24"/>
        </w:rPr>
        <w:t xml:space="preserve">fuel cost </w:t>
      </w:r>
      <w:r w:rsidR="007716C1">
        <w:rPr>
          <w:szCs w:val="24"/>
        </w:rPr>
        <w:t xml:space="preserve">per mile </w:t>
      </w:r>
      <w:r w:rsidR="009A0EFD">
        <w:rPr>
          <w:szCs w:val="24"/>
        </w:rPr>
        <w:t>is computed at NZ$</w:t>
      </w:r>
      <w:r w:rsidR="007716C1">
        <w:rPr>
          <w:szCs w:val="24"/>
        </w:rPr>
        <w:t>0.149</w:t>
      </w:r>
      <w:r w:rsidR="009A0EFD">
        <w:rPr>
          <w:szCs w:val="24"/>
        </w:rPr>
        <w:t xml:space="preserve"> per mile based on a fuel cost of NZ$1.75 per liter and a </w:t>
      </w:r>
      <w:r w:rsidR="007716C1">
        <w:rPr>
          <w:szCs w:val="24"/>
        </w:rPr>
        <w:t>rather high</w:t>
      </w:r>
      <w:r w:rsidR="009A0EFD">
        <w:rPr>
          <w:szCs w:val="24"/>
        </w:rPr>
        <w:t xml:space="preserve"> vehicle efficiency factor </w:t>
      </w:r>
      <w:r w:rsidR="007716C1">
        <w:rPr>
          <w:szCs w:val="24"/>
        </w:rPr>
        <w:t>of 5.3</w:t>
      </w:r>
      <w:r w:rsidR="009A0EFD">
        <w:rPr>
          <w:szCs w:val="24"/>
        </w:rPr>
        <w:t xml:space="preserve"> liters for 100 km (</w:t>
      </w:r>
      <w:r w:rsidR="007716C1">
        <w:rPr>
          <w:szCs w:val="24"/>
        </w:rPr>
        <w:t>5.3</w:t>
      </w:r>
      <w:r w:rsidR="009A0EFD">
        <w:rPr>
          <w:szCs w:val="24"/>
        </w:rPr>
        <w:t xml:space="preserve"> liters </w:t>
      </w:r>
      <w:r w:rsidR="007716C1">
        <w:rPr>
          <w:szCs w:val="24"/>
        </w:rPr>
        <w:t>for 62.1</w:t>
      </w:r>
      <w:r w:rsidR="009A0EFD">
        <w:rPr>
          <w:szCs w:val="24"/>
        </w:rPr>
        <w:t xml:space="preserve"> miles or </w:t>
      </w:r>
      <w:r w:rsidR="007716C1">
        <w:rPr>
          <w:szCs w:val="24"/>
        </w:rPr>
        <w:t>about 44</w:t>
      </w:r>
      <w:r w:rsidR="009A0EFD">
        <w:rPr>
          <w:szCs w:val="24"/>
        </w:rPr>
        <w:t xml:space="preserve"> miles per gallon</w:t>
      </w:r>
      <w:r w:rsidR="007716C1">
        <w:rPr>
          <w:szCs w:val="24"/>
        </w:rPr>
        <w:t>)</w:t>
      </w:r>
      <w:r w:rsidR="009A0EFD">
        <w:rPr>
          <w:szCs w:val="24"/>
        </w:rPr>
        <w:t>, given the long distance nature of trips</w:t>
      </w:r>
      <w:r w:rsidR="007716C1">
        <w:rPr>
          <w:szCs w:val="24"/>
        </w:rPr>
        <w:t xml:space="preserve"> under consideration. The </w:t>
      </w:r>
      <w:r>
        <w:rPr>
          <w:szCs w:val="24"/>
        </w:rPr>
        <w:t xml:space="preserve">round-trip ferry cost </w:t>
      </w:r>
      <w:r w:rsidR="00636F38">
        <w:rPr>
          <w:szCs w:val="24"/>
        </w:rPr>
        <w:t xml:space="preserve">is </w:t>
      </w:r>
      <w:r w:rsidR="009A0EFD">
        <w:rPr>
          <w:szCs w:val="24"/>
        </w:rPr>
        <w:t>NZ</w:t>
      </w:r>
      <w:r w:rsidR="00636F38">
        <w:rPr>
          <w:szCs w:val="24"/>
        </w:rPr>
        <w:t>$145</w:t>
      </w:r>
      <w:r w:rsidR="00636F38" w:rsidRPr="00B27BFC">
        <w:rPr>
          <w:szCs w:val="24"/>
        </w:rPr>
        <w:t>.</w:t>
      </w:r>
      <w:r w:rsidRPr="00B27BFC">
        <w:rPr>
          <w:szCs w:val="24"/>
        </w:rPr>
        <w:t xml:space="preserve"> </w:t>
      </w:r>
      <w:r w:rsidR="0014616B" w:rsidRPr="00B27BFC">
        <w:rPr>
          <w:szCs w:val="24"/>
          <w:u w:val="single"/>
        </w:rPr>
        <w:t>Sixth</w:t>
      </w:r>
      <w:r w:rsidR="001C0D1D">
        <w:rPr>
          <w:szCs w:val="24"/>
        </w:rPr>
        <w:t xml:space="preserve">, </w:t>
      </w:r>
      <w:r w:rsidR="001C0D1D" w:rsidRPr="004A1061">
        <w:rPr>
          <w:szCs w:val="24"/>
        </w:rPr>
        <w:t>the</w:t>
      </w:r>
      <w:r w:rsidR="00636B42">
        <w:rPr>
          <w:szCs w:val="24"/>
        </w:rPr>
        <w:t xml:space="preserve"> grid</w:t>
      </w:r>
      <w:r w:rsidR="001C0D1D" w:rsidRPr="004A1061">
        <w:rPr>
          <w:szCs w:val="24"/>
        </w:rPr>
        <w:t xml:space="preserve">-based land-cover data were translated to a destination region-based land-cover data by suitable aggregation over </w:t>
      </w:r>
      <w:r w:rsidR="004A1061">
        <w:rPr>
          <w:szCs w:val="24"/>
        </w:rPr>
        <w:t>cells</w:t>
      </w:r>
      <w:r w:rsidR="001C0D1D" w:rsidRPr="004A1061">
        <w:rPr>
          <w:szCs w:val="24"/>
        </w:rPr>
        <w:t xml:space="preserve"> within each destination region. </w:t>
      </w:r>
      <w:r w:rsidR="00EC34F9" w:rsidRPr="00B27BFC">
        <w:rPr>
          <w:szCs w:val="24"/>
          <w:u w:val="single"/>
        </w:rPr>
        <w:t>Seventh</w:t>
      </w:r>
      <w:r w:rsidR="00C2147C">
        <w:rPr>
          <w:szCs w:val="24"/>
        </w:rPr>
        <w:t xml:space="preserve">, individual and household socio-demographic, as well as land cover data by region, were appended to the long distance travel records. </w:t>
      </w:r>
    </w:p>
    <w:p w:rsidR="009C09E0" w:rsidRDefault="00B61F26" w:rsidP="007D2074">
      <w:pPr>
        <w:pStyle w:val="ListParagraph"/>
        <w:spacing w:after="0" w:line="360" w:lineRule="auto"/>
        <w:ind w:left="0" w:firstLine="720"/>
        <w:jc w:val="both"/>
        <w:rPr>
          <w:rFonts w:ascii="Times New Roman" w:hAnsi="Times New Roman"/>
          <w:sz w:val="24"/>
          <w:szCs w:val="24"/>
        </w:rPr>
      </w:pPr>
      <w:r w:rsidRPr="00B61F26">
        <w:rPr>
          <w:rFonts w:ascii="Times New Roman" w:hAnsi="Times New Roman"/>
          <w:sz w:val="24"/>
          <w:szCs w:val="24"/>
        </w:rPr>
        <w:lastRenderedPageBreak/>
        <w:t xml:space="preserve">The final data sample used in the estimation included </w:t>
      </w:r>
      <w:r w:rsidR="008C4067">
        <w:rPr>
          <w:rFonts w:ascii="Times New Roman" w:hAnsi="Times New Roman"/>
          <w:sz w:val="24"/>
          <w:szCs w:val="24"/>
        </w:rPr>
        <w:t>3508</w:t>
      </w:r>
      <w:r w:rsidR="004A07EF">
        <w:rPr>
          <w:rFonts w:ascii="Times New Roman" w:hAnsi="Times New Roman"/>
          <w:sz w:val="24"/>
          <w:szCs w:val="24"/>
        </w:rPr>
        <w:t xml:space="preserve"> </w:t>
      </w:r>
      <w:r w:rsidR="0000126E">
        <w:rPr>
          <w:rFonts w:ascii="Times New Roman" w:hAnsi="Times New Roman"/>
          <w:sz w:val="24"/>
          <w:szCs w:val="24"/>
        </w:rPr>
        <w:t>individual</w:t>
      </w:r>
      <w:r w:rsidR="00E02526">
        <w:rPr>
          <w:rFonts w:ascii="Times New Roman" w:hAnsi="Times New Roman"/>
          <w:sz w:val="24"/>
          <w:szCs w:val="24"/>
        </w:rPr>
        <w:t>s</w:t>
      </w:r>
      <w:r w:rsidR="00152205">
        <w:rPr>
          <w:rFonts w:ascii="Times New Roman" w:hAnsi="Times New Roman"/>
          <w:sz w:val="24"/>
          <w:szCs w:val="24"/>
        </w:rPr>
        <w:t>. Table 3</w:t>
      </w:r>
      <w:r w:rsidR="005B6672">
        <w:rPr>
          <w:rFonts w:ascii="Times New Roman" w:hAnsi="Times New Roman"/>
          <w:sz w:val="24"/>
          <w:szCs w:val="24"/>
        </w:rPr>
        <w:t xml:space="preserve"> provides the distribution of these individuals by the number of leisure trips made during the four week period before they were surveyed and by the number of distinct leisure destination regions visited.</w:t>
      </w:r>
      <w:r w:rsidR="00D4203A">
        <w:rPr>
          <w:rFonts w:ascii="Times New Roman" w:hAnsi="Times New Roman"/>
          <w:sz w:val="24"/>
          <w:szCs w:val="24"/>
        </w:rPr>
        <w:t xml:space="preserve"> Although </w:t>
      </w:r>
      <w:r w:rsidR="00F32304">
        <w:rPr>
          <w:rFonts w:ascii="Times New Roman" w:hAnsi="Times New Roman"/>
          <w:sz w:val="24"/>
          <w:szCs w:val="24"/>
        </w:rPr>
        <w:t xml:space="preserve">a sizeable </w:t>
      </w:r>
      <w:r w:rsidR="0038049E">
        <w:rPr>
          <w:rFonts w:ascii="Times New Roman" w:hAnsi="Times New Roman"/>
          <w:sz w:val="24"/>
          <w:szCs w:val="24"/>
        </w:rPr>
        <w:t xml:space="preserve">fraction </w:t>
      </w:r>
      <w:r w:rsidR="00DD7F54">
        <w:rPr>
          <w:rFonts w:ascii="Times New Roman" w:hAnsi="Times New Roman"/>
          <w:sz w:val="24"/>
          <w:szCs w:val="24"/>
        </w:rPr>
        <w:t xml:space="preserve">(72.3%) </w:t>
      </w:r>
      <w:r w:rsidR="0038049E">
        <w:rPr>
          <w:rFonts w:ascii="Times New Roman" w:hAnsi="Times New Roman"/>
          <w:sz w:val="24"/>
          <w:szCs w:val="24"/>
        </w:rPr>
        <w:t>of</w:t>
      </w:r>
      <w:r w:rsidR="00D4203A">
        <w:rPr>
          <w:rFonts w:ascii="Times New Roman" w:hAnsi="Times New Roman"/>
          <w:sz w:val="24"/>
          <w:szCs w:val="24"/>
        </w:rPr>
        <w:t xml:space="preserve"> the individuals in the sample </w:t>
      </w:r>
      <w:r w:rsidR="005F43A8">
        <w:rPr>
          <w:rFonts w:ascii="Times New Roman" w:hAnsi="Times New Roman"/>
          <w:sz w:val="24"/>
          <w:szCs w:val="24"/>
        </w:rPr>
        <w:t>make only one trip</w:t>
      </w:r>
      <w:r w:rsidR="00D4203A">
        <w:rPr>
          <w:rFonts w:ascii="Times New Roman" w:hAnsi="Times New Roman"/>
          <w:sz w:val="24"/>
          <w:szCs w:val="24"/>
        </w:rPr>
        <w:t xml:space="preserve">, a </w:t>
      </w:r>
      <w:r w:rsidR="00636B42">
        <w:rPr>
          <w:rFonts w:ascii="Times New Roman" w:hAnsi="Times New Roman"/>
          <w:sz w:val="24"/>
          <w:szCs w:val="24"/>
        </w:rPr>
        <w:t>non-in</w:t>
      </w:r>
      <w:r w:rsidR="00D4203A">
        <w:rPr>
          <w:rFonts w:ascii="Times New Roman" w:hAnsi="Times New Roman"/>
          <w:sz w:val="24"/>
          <w:szCs w:val="24"/>
        </w:rPr>
        <w:t>significant percentage of individuals (</w:t>
      </w:r>
      <w:r w:rsidR="00F32304">
        <w:rPr>
          <w:rFonts w:ascii="Times New Roman" w:hAnsi="Times New Roman"/>
          <w:sz w:val="24"/>
          <w:szCs w:val="24"/>
        </w:rPr>
        <w:t>2</w:t>
      </w:r>
      <w:r w:rsidR="00DD7F54">
        <w:rPr>
          <w:rFonts w:ascii="Times New Roman" w:hAnsi="Times New Roman"/>
          <w:sz w:val="24"/>
          <w:szCs w:val="24"/>
        </w:rPr>
        <w:t>7.7</w:t>
      </w:r>
      <w:r w:rsidR="00D4203A">
        <w:rPr>
          <w:rFonts w:ascii="Times New Roman" w:hAnsi="Times New Roman"/>
          <w:sz w:val="24"/>
          <w:szCs w:val="24"/>
        </w:rPr>
        <w:t>%</w:t>
      </w:r>
      <w:r w:rsidR="0038049E">
        <w:rPr>
          <w:rFonts w:ascii="Times New Roman" w:hAnsi="Times New Roman"/>
          <w:sz w:val="24"/>
          <w:szCs w:val="24"/>
        </w:rPr>
        <w:t>) make</w:t>
      </w:r>
      <w:r w:rsidR="00593867">
        <w:rPr>
          <w:rFonts w:ascii="Times New Roman" w:hAnsi="Times New Roman"/>
          <w:sz w:val="24"/>
          <w:szCs w:val="24"/>
        </w:rPr>
        <w:t xml:space="preserve"> </w:t>
      </w:r>
      <w:r w:rsidR="00D4203A">
        <w:rPr>
          <w:rFonts w:ascii="Times New Roman" w:hAnsi="Times New Roman"/>
          <w:sz w:val="24"/>
          <w:szCs w:val="24"/>
        </w:rPr>
        <w:t xml:space="preserve">more than one </w:t>
      </w:r>
      <w:r w:rsidR="00593867">
        <w:rPr>
          <w:rFonts w:ascii="Times New Roman" w:hAnsi="Times New Roman"/>
          <w:sz w:val="24"/>
          <w:szCs w:val="24"/>
        </w:rPr>
        <w:t>trip</w:t>
      </w:r>
      <w:r w:rsidR="00D4203A">
        <w:rPr>
          <w:rFonts w:ascii="Times New Roman" w:hAnsi="Times New Roman"/>
          <w:sz w:val="24"/>
          <w:szCs w:val="24"/>
        </w:rPr>
        <w:t xml:space="preserve">. Most of the individuals </w:t>
      </w:r>
      <w:r w:rsidR="00636B42">
        <w:rPr>
          <w:rFonts w:ascii="Times New Roman" w:hAnsi="Times New Roman"/>
          <w:sz w:val="24"/>
          <w:szCs w:val="24"/>
        </w:rPr>
        <w:t>who</w:t>
      </w:r>
      <w:r w:rsidR="00D4203A">
        <w:rPr>
          <w:rFonts w:ascii="Times New Roman" w:hAnsi="Times New Roman"/>
          <w:sz w:val="24"/>
          <w:szCs w:val="24"/>
        </w:rPr>
        <w:t xml:space="preserve"> undertake more than one trip </w:t>
      </w:r>
      <w:r w:rsidR="00CC36D8">
        <w:rPr>
          <w:rFonts w:ascii="Times New Roman" w:hAnsi="Times New Roman"/>
          <w:sz w:val="24"/>
          <w:szCs w:val="24"/>
        </w:rPr>
        <w:t>during t</w:t>
      </w:r>
      <w:r w:rsidR="00636B42">
        <w:rPr>
          <w:rFonts w:ascii="Times New Roman" w:hAnsi="Times New Roman"/>
          <w:sz w:val="24"/>
          <w:szCs w:val="24"/>
        </w:rPr>
        <w:t xml:space="preserve">he survey period </w:t>
      </w:r>
      <w:r w:rsidR="00D4203A">
        <w:rPr>
          <w:rFonts w:ascii="Times New Roman" w:hAnsi="Times New Roman"/>
          <w:sz w:val="24"/>
          <w:szCs w:val="24"/>
        </w:rPr>
        <w:t xml:space="preserve">prefer to travel </w:t>
      </w:r>
      <w:r w:rsidR="00636B42">
        <w:rPr>
          <w:rFonts w:ascii="Times New Roman" w:hAnsi="Times New Roman"/>
          <w:sz w:val="24"/>
          <w:szCs w:val="24"/>
        </w:rPr>
        <w:t xml:space="preserve">to </w:t>
      </w:r>
      <w:r w:rsidR="00D4203A">
        <w:rPr>
          <w:rFonts w:ascii="Times New Roman" w:hAnsi="Times New Roman"/>
          <w:sz w:val="24"/>
          <w:szCs w:val="24"/>
        </w:rPr>
        <w:t>multiple destinations</w:t>
      </w:r>
      <w:r w:rsidR="00DD7F54">
        <w:rPr>
          <w:rFonts w:ascii="Times New Roman" w:hAnsi="Times New Roman"/>
          <w:sz w:val="24"/>
          <w:szCs w:val="24"/>
        </w:rPr>
        <w:t xml:space="preserve"> (see the second row and beyond in Table 3)</w:t>
      </w:r>
      <w:r w:rsidR="00D4203A">
        <w:rPr>
          <w:rFonts w:ascii="Times New Roman" w:hAnsi="Times New Roman"/>
          <w:sz w:val="24"/>
          <w:szCs w:val="24"/>
        </w:rPr>
        <w:t>.</w:t>
      </w:r>
      <w:r w:rsidR="005B6672">
        <w:rPr>
          <w:rFonts w:ascii="Times New Roman" w:hAnsi="Times New Roman"/>
          <w:sz w:val="24"/>
          <w:szCs w:val="24"/>
        </w:rPr>
        <w:t xml:space="preserve"> </w:t>
      </w:r>
      <w:r w:rsidR="00F32304">
        <w:rPr>
          <w:rFonts w:ascii="Times New Roman" w:hAnsi="Times New Roman"/>
          <w:sz w:val="24"/>
          <w:szCs w:val="24"/>
        </w:rPr>
        <w:t>For example, 53.3</w:t>
      </w:r>
      <w:r w:rsidR="00CC36D8">
        <w:rPr>
          <w:rFonts w:ascii="Times New Roman" w:hAnsi="Times New Roman"/>
          <w:sz w:val="24"/>
          <w:szCs w:val="24"/>
        </w:rPr>
        <w:t xml:space="preserve">% of individuals making two trips </w:t>
      </w:r>
      <w:r w:rsidR="00F32304">
        <w:rPr>
          <w:rFonts w:ascii="Times New Roman" w:hAnsi="Times New Roman"/>
          <w:sz w:val="24"/>
          <w:szCs w:val="24"/>
        </w:rPr>
        <w:t>during the survey period visit more than one distinct destination region, whi</w:t>
      </w:r>
      <w:r w:rsidR="00593867">
        <w:rPr>
          <w:rFonts w:ascii="Times New Roman" w:hAnsi="Times New Roman"/>
          <w:sz w:val="24"/>
          <w:szCs w:val="24"/>
        </w:rPr>
        <w:t>le 65% of in</w:t>
      </w:r>
      <w:r w:rsidR="00F32304">
        <w:rPr>
          <w:rFonts w:ascii="Times New Roman" w:hAnsi="Times New Roman"/>
          <w:sz w:val="24"/>
          <w:szCs w:val="24"/>
        </w:rPr>
        <w:t>dividuals making three trips visit more than one distinct region. The corresponding numbers are 70</w:t>
      </w:r>
      <w:r w:rsidR="00DD7F54">
        <w:rPr>
          <w:rFonts w:ascii="Times New Roman" w:hAnsi="Times New Roman"/>
          <w:sz w:val="24"/>
          <w:szCs w:val="24"/>
        </w:rPr>
        <w:t>.2</w:t>
      </w:r>
      <w:r w:rsidR="00F32304">
        <w:rPr>
          <w:rFonts w:ascii="Times New Roman" w:hAnsi="Times New Roman"/>
          <w:sz w:val="24"/>
          <w:szCs w:val="24"/>
        </w:rPr>
        <w:t>% and 78.6% for individuals who make four and five or more trips</w:t>
      </w:r>
      <w:r w:rsidR="009C09E0">
        <w:rPr>
          <w:rFonts w:ascii="Times New Roman" w:hAnsi="Times New Roman"/>
          <w:sz w:val="24"/>
          <w:szCs w:val="24"/>
        </w:rPr>
        <w:t>, respectively,</w:t>
      </w:r>
      <w:r w:rsidR="00F32304">
        <w:rPr>
          <w:rFonts w:ascii="Times New Roman" w:hAnsi="Times New Roman"/>
          <w:sz w:val="24"/>
          <w:szCs w:val="24"/>
        </w:rPr>
        <w:t xml:space="preserve"> during the survey period. </w:t>
      </w:r>
      <w:r w:rsidR="005F43A8">
        <w:rPr>
          <w:rFonts w:ascii="Times New Roman" w:hAnsi="Times New Roman"/>
          <w:sz w:val="24"/>
          <w:szCs w:val="24"/>
        </w:rPr>
        <w:t xml:space="preserve">Clearly, this is a case </w:t>
      </w:r>
      <w:proofErr w:type="gramStart"/>
      <w:r w:rsidR="005F43A8">
        <w:rPr>
          <w:rFonts w:ascii="Times New Roman" w:hAnsi="Times New Roman"/>
          <w:sz w:val="24"/>
          <w:szCs w:val="24"/>
        </w:rPr>
        <w:t xml:space="preserve">of </w:t>
      </w:r>
      <w:r w:rsidR="009C09E0">
        <w:rPr>
          <w:rFonts w:ascii="Times New Roman" w:hAnsi="Times New Roman"/>
          <w:sz w:val="24"/>
          <w:szCs w:val="24"/>
        </w:rPr>
        <w:t>multiple discreteness</w:t>
      </w:r>
      <w:proofErr w:type="gramEnd"/>
      <w:r w:rsidR="00593867">
        <w:rPr>
          <w:rFonts w:ascii="Times New Roman" w:hAnsi="Times New Roman"/>
          <w:sz w:val="24"/>
          <w:szCs w:val="24"/>
        </w:rPr>
        <w:t xml:space="preserve"> for individuals who make more than one trip</w:t>
      </w:r>
      <w:r w:rsidR="009C09E0">
        <w:rPr>
          <w:rFonts w:ascii="Times New Roman" w:hAnsi="Times New Roman"/>
          <w:sz w:val="24"/>
          <w:szCs w:val="24"/>
        </w:rPr>
        <w:t xml:space="preserve">. </w:t>
      </w:r>
    </w:p>
    <w:p w:rsidR="005B4AEA" w:rsidRDefault="00CE0AF8" w:rsidP="007D2074">
      <w:pPr>
        <w:spacing w:line="360" w:lineRule="auto"/>
        <w:ind w:firstLine="720"/>
        <w:rPr>
          <w:szCs w:val="24"/>
        </w:rPr>
      </w:pPr>
      <w:r>
        <w:rPr>
          <w:szCs w:val="24"/>
        </w:rPr>
        <w:t xml:space="preserve">Table 4 provides descriptive statistics </w:t>
      </w:r>
      <w:r w:rsidR="00CF0E30">
        <w:rPr>
          <w:szCs w:val="24"/>
        </w:rPr>
        <w:t>for each of the 16 destination regions</w:t>
      </w:r>
      <w:r w:rsidR="005C1227">
        <w:rPr>
          <w:szCs w:val="24"/>
        </w:rPr>
        <w:t xml:space="preserve">. </w:t>
      </w:r>
      <w:r w:rsidR="00CF0E30">
        <w:rPr>
          <w:szCs w:val="24"/>
        </w:rPr>
        <w:t xml:space="preserve">The </w:t>
      </w:r>
      <w:r w:rsidR="00B27BFC">
        <w:rPr>
          <w:szCs w:val="24"/>
        </w:rPr>
        <w:t>third</w:t>
      </w:r>
      <w:r w:rsidR="00CF0E30">
        <w:rPr>
          <w:szCs w:val="24"/>
        </w:rPr>
        <w:t xml:space="preserve"> </w:t>
      </w:r>
      <w:r w:rsidR="0051753C">
        <w:rPr>
          <w:szCs w:val="24"/>
        </w:rPr>
        <w:t xml:space="preserve">broad column presents the mean and standard deviations for the travel impedance skim measures </w:t>
      </w:r>
      <w:r w:rsidR="006616A4">
        <w:rPr>
          <w:szCs w:val="24"/>
        </w:rPr>
        <w:t>of total travel time</w:t>
      </w:r>
      <w:r w:rsidR="00B27BFC">
        <w:rPr>
          <w:szCs w:val="24"/>
        </w:rPr>
        <w:t xml:space="preserve">, travel distance, and </w:t>
      </w:r>
      <w:r w:rsidR="0051753C">
        <w:rPr>
          <w:szCs w:val="24"/>
        </w:rPr>
        <w:t>t</w:t>
      </w:r>
      <w:r w:rsidR="006616A4">
        <w:rPr>
          <w:szCs w:val="24"/>
        </w:rPr>
        <w:t xml:space="preserve">ravel cost </w:t>
      </w:r>
      <w:r w:rsidR="00BC65FE">
        <w:rPr>
          <w:szCs w:val="24"/>
        </w:rPr>
        <w:t>for each destination region</w:t>
      </w:r>
      <w:r w:rsidR="006616A4">
        <w:rPr>
          <w:szCs w:val="24"/>
        </w:rPr>
        <w:t xml:space="preserve"> (</w:t>
      </w:r>
      <w:r w:rsidR="0051753C">
        <w:rPr>
          <w:szCs w:val="24"/>
        </w:rPr>
        <w:t xml:space="preserve">computed from the residence city-destination region skims </w:t>
      </w:r>
      <w:r w:rsidR="00BC65FE">
        <w:rPr>
          <w:szCs w:val="24"/>
        </w:rPr>
        <w:t>developed as discussed earlier in this section</w:t>
      </w:r>
      <w:r w:rsidR="006616A4">
        <w:rPr>
          <w:szCs w:val="24"/>
        </w:rPr>
        <w:t>)</w:t>
      </w:r>
      <w:r w:rsidR="00BC65FE">
        <w:rPr>
          <w:szCs w:val="24"/>
        </w:rPr>
        <w:t xml:space="preserve">. </w:t>
      </w:r>
      <w:r>
        <w:rPr>
          <w:szCs w:val="24"/>
        </w:rPr>
        <w:t>Not s</w:t>
      </w:r>
      <w:r w:rsidR="006616A4">
        <w:rPr>
          <w:szCs w:val="24"/>
        </w:rPr>
        <w:t xml:space="preserve">urprisingly, </w:t>
      </w:r>
      <w:r>
        <w:rPr>
          <w:szCs w:val="24"/>
        </w:rPr>
        <w:t>the travel imp</w:t>
      </w:r>
      <w:r w:rsidR="006616A4">
        <w:rPr>
          <w:szCs w:val="24"/>
        </w:rPr>
        <w:t xml:space="preserve">edance measures </w:t>
      </w:r>
      <w:r>
        <w:rPr>
          <w:szCs w:val="24"/>
        </w:rPr>
        <w:t xml:space="preserve">are the highest for the </w:t>
      </w:r>
      <w:r w:rsidR="003411F7">
        <w:rPr>
          <w:szCs w:val="24"/>
        </w:rPr>
        <w:t>Northland region in the North I</w:t>
      </w:r>
      <w:r w:rsidR="00FE39B9">
        <w:rPr>
          <w:szCs w:val="24"/>
        </w:rPr>
        <w:t>sland (the northernmost region) and the Southland region in the S</w:t>
      </w:r>
      <w:r w:rsidR="003411F7">
        <w:rPr>
          <w:szCs w:val="24"/>
        </w:rPr>
        <w:t>outh I</w:t>
      </w:r>
      <w:r w:rsidR="00FE39B9">
        <w:rPr>
          <w:szCs w:val="24"/>
        </w:rPr>
        <w:t xml:space="preserve">sland (the southernmost region). As expected, the impedance measures decrease as one gets closer to the center of the country. </w:t>
      </w:r>
      <w:r w:rsidR="003411F7">
        <w:rPr>
          <w:szCs w:val="24"/>
        </w:rPr>
        <w:t xml:space="preserve">Interestingly, the impedance measures are lower for the North Island regions compared to the South Island regions. This is because of two-interrelated factors. First, the North Island is more </w:t>
      </w:r>
      <w:r w:rsidR="00F72FF4">
        <w:rPr>
          <w:szCs w:val="24"/>
        </w:rPr>
        <w:t>populated relative to the South Island (the North Island’s population is about 3.2 million, while that of the South Island is about 1 million)</w:t>
      </w:r>
      <w:r w:rsidR="004174C6">
        <w:rPr>
          <w:szCs w:val="24"/>
        </w:rPr>
        <w:t>, which should result in more leisure trip</w:t>
      </w:r>
      <w:r w:rsidR="0014616B">
        <w:rPr>
          <w:szCs w:val="24"/>
        </w:rPr>
        <w:t>s generated</w:t>
      </w:r>
      <w:r w:rsidR="004174C6">
        <w:rPr>
          <w:szCs w:val="24"/>
        </w:rPr>
        <w:t xml:space="preserve"> from the North Island due to a sheer </w:t>
      </w:r>
      <w:r w:rsidR="005F43A8">
        <w:rPr>
          <w:szCs w:val="24"/>
        </w:rPr>
        <w:t xml:space="preserve">population </w:t>
      </w:r>
      <w:r w:rsidR="004174C6">
        <w:rPr>
          <w:szCs w:val="24"/>
        </w:rPr>
        <w:t>size effect</w:t>
      </w:r>
      <w:r w:rsidR="00F72FF4">
        <w:rPr>
          <w:szCs w:val="24"/>
        </w:rPr>
        <w:t>. Second, because of the compact nature of the North Island, there are more leisure trips generated per capita in the North than in the South, and most of these trips are destined to within the compact North Island</w:t>
      </w:r>
      <w:r w:rsidR="004174C6">
        <w:rPr>
          <w:szCs w:val="24"/>
        </w:rPr>
        <w:t>. The net result is that, if one were to draw a horizontal “</w:t>
      </w:r>
      <w:r w:rsidR="005F43A8">
        <w:rPr>
          <w:szCs w:val="24"/>
        </w:rPr>
        <w:t xml:space="preserve">residential </w:t>
      </w:r>
      <w:r w:rsidR="004174C6">
        <w:rPr>
          <w:szCs w:val="24"/>
        </w:rPr>
        <w:t xml:space="preserve">center of </w:t>
      </w:r>
      <w:r w:rsidR="005F43A8">
        <w:rPr>
          <w:szCs w:val="24"/>
        </w:rPr>
        <w:t>gravity</w:t>
      </w:r>
      <w:r w:rsidR="004174C6">
        <w:rPr>
          <w:szCs w:val="24"/>
        </w:rPr>
        <w:t>” (</w:t>
      </w:r>
      <w:r w:rsidR="005F43A8">
        <w:rPr>
          <w:szCs w:val="24"/>
        </w:rPr>
        <w:t>RCG</w:t>
      </w:r>
      <w:r w:rsidR="004174C6">
        <w:rPr>
          <w:szCs w:val="24"/>
        </w:rPr>
        <w:t xml:space="preserve">) line of tourists, it would go through the boundary of the Waikato and </w:t>
      </w:r>
      <w:proofErr w:type="spellStart"/>
      <w:r w:rsidR="004174C6">
        <w:rPr>
          <w:szCs w:val="24"/>
        </w:rPr>
        <w:t>Manawaku-Wanganul</w:t>
      </w:r>
      <w:proofErr w:type="spellEnd"/>
      <w:r w:rsidR="002A01C7">
        <w:rPr>
          <w:szCs w:val="24"/>
        </w:rPr>
        <w:t xml:space="preserve"> (MW)</w:t>
      </w:r>
      <w:r w:rsidR="004174C6">
        <w:rPr>
          <w:szCs w:val="24"/>
        </w:rPr>
        <w:t xml:space="preserve"> regions in the North Island (see Figure 1). This is also evidenced in</w:t>
      </w:r>
      <w:r w:rsidR="005F43A8">
        <w:rPr>
          <w:szCs w:val="24"/>
        </w:rPr>
        <w:t xml:space="preserve"> Table 4</w:t>
      </w:r>
      <w:r w:rsidR="004174C6">
        <w:rPr>
          <w:szCs w:val="24"/>
        </w:rPr>
        <w:t xml:space="preserve"> in that the impedance measures are the smallest for the </w:t>
      </w:r>
      <w:r w:rsidR="002A01C7">
        <w:rPr>
          <w:szCs w:val="24"/>
        </w:rPr>
        <w:t xml:space="preserve">Waikato and MW </w:t>
      </w:r>
      <w:r w:rsidR="004174C6">
        <w:rPr>
          <w:szCs w:val="24"/>
        </w:rPr>
        <w:t xml:space="preserve">regions, and increase as one goes farther away from the horizontal </w:t>
      </w:r>
      <w:r w:rsidR="005F43A8">
        <w:rPr>
          <w:szCs w:val="24"/>
        </w:rPr>
        <w:t>RCG</w:t>
      </w:r>
      <w:r w:rsidR="004174C6">
        <w:rPr>
          <w:szCs w:val="24"/>
        </w:rPr>
        <w:t xml:space="preserve"> line. </w:t>
      </w:r>
      <w:r w:rsidR="002A01C7">
        <w:rPr>
          <w:szCs w:val="24"/>
        </w:rPr>
        <w:t xml:space="preserve">Additionally, we should also note that, of the 3508 </w:t>
      </w:r>
      <w:r w:rsidR="002A01C7">
        <w:rPr>
          <w:szCs w:val="24"/>
        </w:rPr>
        <w:lastRenderedPageBreak/>
        <w:t xml:space="preserve">individuals in the sample, </w:t>
      </w:r>
      <w:r w:rsidR="005847DC">
        <w:rPr>
          <w:szCs w:val="24"/>
        </w:rPr>
        <w:t xml:space="preserve">2588 (73.7%) </w:t>
      </w:r>
      <w:r w:rsidR="002A01C7">
        <w:rPr>
          <w:szCs w:val="24"/>
        </w:rPr>
        <w:t xml:space="preserve">percent reside in the North Island, and </w:t>
      </w:r>
      <w:r w:rsidR="005847DC">
        <w:rPr>
          <w:szCs w:val="24"/>
        </w:rPr>
        <w:t xml:space="preserve">662 </w:t>
      </w:r>
      <w:r w:rsidR="002A01C7">
        <w:rPr>
          <w:szCs w:val="24"/>
        </w:rPr>
        <w:t>(</w:t>
      </w:r>
      <w:r w:rsidR="005847DC">
        <w:rPr>
          <w:szCs w:val="24"/>
        </w:rPr>
        <w:t>18.9</w:t>
      </w:r>
      <w:r w:rsidR="002A01C7">
        <w:rPr>
          <w:szCs w:val="24"/>
        </w:rPr>
        <w:t xml:space="preserve">%) reside in the Waikato-MW regions. </w:t>
      </w:r>
      <w:r w:rsidR="0014616B">
        <w:rPr>
          <w:szCs w:val="24"/>
        </w:rPr>
        <w:t xml:space="preserve">The </w:t>
      </w:r>
      <w:r w:rsidR="00B27BFC">
        <w:rPr>
          <w:szCs w:val="24"/>
        </w:rPr>
        <w:t>fourth</w:t>
      </w:r>
      <w:r w:rsidR="0014616B">
        <w:rPr>
          <w:szCs w:val="24"/>
        </w:rPr>
        <w:t xml:space="preserve"> broad column in Table 4 provides the percentage of land in each region in each of the six land cover categories (the </w:t>
      </w:r>
      <w:proofErr w:type="gramStart"/>
      <w:r w:rsidR="0014616B">
        <w:rPr>
          <w:szCs w:val="24"/>
        </w:rPr>
        <w:t>sum across all columns for each row add</w:t>
      </w:r>
      <w:proofErr w:type="gramEnd"/>
      <w:r w:rsidR="0014616B">
        <w:rPr>
          <w:szCs w:val="24"/>
        </w:rPr>
        <w:t xml:space="preserve"> up to 100%). </w:t>
      </w:r>
      <w:r w:rsidR="0060129A">
        <w:rPr>
          <w:szCs w:val="24"/>
        </w:rPr>
        <w:t xml:space="preserve">Of all the regions, Auckland has the highest percentage of urban land-cover, with Nelson and Wellington being the regions with the second and third highest urban land cover percentages. As we will see later, the high urban land cover is correlated with the intensity of tourist draw. </w:t>
      </w:r>
      <w:r w:rsidR="00877C6F">
        <w:rPr>
          <w:szCs w:val="24"/>
        </w:rPr>
        <w:t>In terms of wetland cover pe</w:t>
      </w:r>
      <w:r w:rsidR="00C469E9">
        <w:rPr>
          <w:szCs w:val="24"/>
        </w:rPr>
        <w:t>rcentages, the highest are for T</w:t>
      </w:r>
      <w:r w:rsidR="00877C6F">
        <w:rPr>
          <w:szCs w:val="24"/>
        </w:rPr>
        <w:t xml:space="preserve">asman, West Coast, Otago, and Southland. </w:t>
      </w:r>
      <w:r w:rsidR="00AD5965">
        <w:rPr>
          <w:szCs w:val="24"/>
        </w:rPr>
        <w:t xml:space="preserve">Nelson is the region with the highest forest land cover. </w:t>
      </w:r>
    </w:p>
    <w:p w:rsidR="003D04E3" w:rsidRPr="007D696C" w:rsidRDefault="00AD5965" w:rsidP="007D2074">
      <w:pPr>
        <w:pStyle w:val="NormalWeb"/>
        <w:spacing w:before="0" w:beforeAutospacing="0" w:after="0" w:afterAutospacing="0" w:line="360" w:lineRule="auto"/>
        <w:ind w:firstLine="720"/>
      </w:pPr>
      <w:r w:rsidRPr="007D696C">
        <w:t xml:space="preserve">Table 5 provides </w:t>
      </w:r>
      <w:r w:rsidR="00E4098E" w:rsidRPr="007D696C">
        <w:t xml:space="preserve">additional </w:t>
      </w:r>
      <w:r w:rsidRPr="007D696C">
        <w:t xml:space="preserve">descriptive statistics of </w:t>
      </w:r>
      <w:r w:rsidR="00E4098E" w:rsidRPr="007D696C">
        <w:t xml:space="preserve">the area of each region and destination </w:t>
      </w:r>
      <w:r w:rsidR="00B27BFC" w:rsidRPr="007D696C">
        <w:t>region</w:t>
      </w:r>
      <w:r w:rsidR="00E4098E" w:rsidRPr="007D696C">
        <w:t xml:space="preserve"> characteristics. </w:t>
      </w:r>
      <w:r w:rsidR="000066AF" w:rsidRPr="007D696C">
        <w:t xml:space="preserve">The </w:t>
      </w:r>
      <w:r w:rsidR="003A5312" w:rsidRPr="007D696C">
        <w:t>third</w:t>
      </w:r>
      <w:r w:rsidR="000066AF" w:rsidRPr="007D696C">
        <w:t xml:space="preserve"> column of the table </w:t>
      </w:r>
      <w:r w:rsidR="00631002" w:rsidRPr="007D696C">
        <w:t>presents the area of each region. As can be observed</w:t>
      </w:r>
      <w:r w:rsidR="00E4098E" w:rsidRPr="007D696C">
        <w:t xml:space="preserve"> from this column and also from Figure 1</w:t>
      </w:r>
      <w:r w:rsidR="00631002" w:rsidRPr="007D696C">
        <w:t>, Canterbury in the south island is the largest region by size</w:t>
      </w:r>
      <w:r w:rsidR="00E4098E" w:rsidRPr="007D696C">
        <w:t xml:space="preserve"> across all regions, while Waikato and MW are the largest regions in the North Island</w:t>
      </w:r>
      <w:r w:rsidR="003A5312" w:rsidRPr="007D696C">
        <w:t>. The fourth</w:t>
      </w:r>
      <w:r w:rsidR="00631002" w:rsidRPr="007D696C">
        <w:t xml:space="preserve"> column </w:t>
      </w:r>
      <w:r w:rsidR="000066AF" w:rsidRPr="007D696C">
        <w:t>shows the number (and the corresponding percentage) of individuals who visited</w:t>
      </w:r>
      <w:r w:rsidR="002F514D" w:rsidRPr="007D696C">
        <w:t xml:space="preserve"> each region at least once</w:t>
      </w:r>
      <w:r w:rsidR="00B546F3" w:rsidRPr="007D696C">
        <w:t xml:space="preserve">. </w:t>
      </w:r>
      <w:r w:rsidR="002F514D" w:rsidRPr="007D696C">
        <w:t xml:space="preserve">The Waikato region is clearly the </w:t>
      </w:r>
      <w:r w:rsidR="00B546F3" w:rsidRPr="007D696C">
        <w:t>one patronized by the most number of individual</w:t>
      </w:r>
      <w:r w:rsidR="003D04E3" w:rsidRPr="007D696C">
        <w:t>s</w:t>
      </w:r>
      <w:r w:rsidR="002F514D" w:rsidRPr="007D696C">
        <w:t xml:space="preserve">, but Auckland, Bay of Plenty, and Canterbury </w:t>
      </w:r>
      <w:r w:rsidR="00B546F3" w:rsidRPr="007D696C">
        <w:t xml:space="preserve">also draw quite a few individuals. However, to get a better picture of attractiveness, the fifth column normalizes the number of people visiting by the area of each region (to accommodate for the fact that there are likely to be size effects here; that is, the larger a region, the more likely it is to be a destination). </w:t>
      </w:r>
      <w:r w:rsidR="00E12536" w:rsidRPr="007D696C">
        <w:t>This column shows that on a per unit area basis, Auckland is by far the most popular destination, followed by Wellington and Nelson. Interestingly, a</w:t>
      </w:r>
      <w:r w:rsidR="003D04E3" w:rsidRPr="007D696C">
        <w:t>s indicated earlier</w:t>
      </w:r>
      <w:r w:rsidR="00E12536" w:rsidRPr="007D696C">
        <w:t>, these are the three destinations with the highest percentages of urban land cover</w:t>
      </w:r>
      <w:r w:rsidR="00C469E9" w:rsidRPr="007D696C">
        <w:t>, and Nelson is the region with the highest forest cover</w:t>
      </w:r>
      <w:r w:rsidR="00E12536" w:rsidRPr="007D696C">
        <w:t xml:space="preserve">. The Auckland region includes the famous urban tourist attraction of the City of Auckland as well as </w:t>
      </w:r>
      <w:r w:rsidR="00194167" w:rsidRPr="007D696C">
        <w:t xml:space="preserve">such attractions as the </w:t>
      </w:r>
      <w:proofErr w:type="spellStart"/>
      <w:r w:rsidR="00194167" w:rsidRPr="007D696C">
        <w:t>Tiritiri</w:t>
      </w:r>
      <w:proofErr w:type="spellEnd"/>
      <w:r w:rsidR="00194167" w:rsidRPr="007D696C">
        <w:t xml:space="preserve"> </w:t>
      </w:r>
      <w:proofErr w:type="spellStart"/>
      <w:r w:rsidR="00194167" w:rsidRPr="007D696C">
        <w:t>Matangi</w:t>
      </w:r>
      <w:proofErr w:type="spellEnd"/>
      <w:r w:rsidR="00194167" w:rsidRPr="007D696C">
        <w:t xml:space="preserve"> Islands, a haven for nature hikers who want to experience the rich flora and fauna of the region up close (especially of a host of endangered species of birds, each with a unique bird call pattern). The Wellington region, with Wellington City that serves as the </w:t>
      </w:r>
      <w:r w:rsidR="00194167" w:rsidRPr="007D696C">
        <w:rPr>
          <w:lang w:val="en"/>
        </w:rPr>
        <w:t>capital of the North Island, is well known for Mt. Victoria</w:t>
      </w:r>
      <w:r w:rsidR="001F4C4F" w:rsidRPr="007D696C">
        <w:rPr>
          <w:lang w:val="en"/>
        </w:rPr>
        <w:t xml:space="preserve"> (that provides a nice walk trail and </w:t>
      </w:r>
      <w:r w:rsidR="005847DC" w:rsidRPr="007D696C">
        <w:rPr>
          <w:lang w:val="en"/>
        </w:rPr>
        <w:t>panoramic</w:t>
      </w:r>
      <w:r w:rsidR="001F4C4F" w:rsidRPr="007D696C">
        <w:rPr>
          <w:lang w:val="en"/>
        </w:rPr>
        <w:t xml:space="preserve"> views of the city and the </w:t>
      </w:r>
      <w:r w:rsidR="00C94D23" w:rsidRPr="007D696C">
        <w:rPr>
          <w:lang w:val="en"/>
        </w:rPr>
        <w:t xml:space="preserve">Wellington </w:t>
      </w:r>
      <w:r w:rsidR="005F43A8" w:rsidRPr="007D696C">
        <w:rPr>
          <w:lang w:val="en"/>
        </w:rPr>
        <w:t>harbo</w:t>
      </w:r>
      <w:r w:rsidR="001F4C4F" w:rsidRPr="007D696C">
        <w:rPr>
          <w:lang w:val="en"/>
        </w:rPr>
        <w:t>r)</w:t>
      </w:r>
      <w:r w:rsidR="00C94D23" w:rsidRPr="007D696C">
        <w:rPr>
          <w:lang w:val="en"/>
        </w:rPr>
        <w:t>, massage and waxing boutiques in the Lower Hutt area also overlooking the Wellington harbor, and an interactive national museum of New Zealand culture and heritage. Finally, the Nelson region</w:t>
      </w:r>
      <w:r w:rsidR="003C065A" w:rsidRPr="007D696C">
        <w:rPr>
          <w:lang w:val="en"/>
        </w:rPr>
        <w:t xml:space="preserve"> in the north of the South Island</w:t>
      </w:r>
      <w:r w:rsidR="00C94D23" w:rsidRPr="007D696C">
        <w:rPr>
          <w:lang w:val="en"/>
        </w:rPr>
        <w:t>, the smallest of all the regions</w:t>
      </w:r>
      <w:r w:rsidR="003C065A" w:rsidRPr="007D696C">
        <w:rPr>
          <w:lang w:val="en"/>
        </w:rPr>
        <w:t xml:space="preserve"> but also the sunniest in all of New Zealand</w:t>
      </w:r>
      <w:r w:rsidR="00C94D23" w:rsidRPr="007D696C">
        <w:rPr>
          <w:lang w:val="en"/>
        </w:rPr>
        <w:t>, includes the city of Nelson</w:t>
      </w:r>
      <w:r w:rsidR="005B2CFA" w:rsidRPr="007D696C">
        <w:rPr>
          <w:lang w:val="en"/>
        </w:rPr>
        <w:t xml:space="preserve">. Nelson is renowned for its Maori </w:t>
      </w:r>
      <w:r w:rsidR="005B2CFA" w:rsidRPr="007D696C">
        <w:rPr>
          <w:lang w:val="en"/>
        </w:rPr>
        <w:lastRenderedPageBreak/>
        <w:t xml:space="preserve">(indigenous </w:t>
      </w:r>
      <w:r w:rsidR="00A504DC" w:rsidRPr="007D696C">
        <w:rPr>
          <w:lang w:val="en"/>
        </w:rPr>
        <w:t xml:space="preserve">Polynesian </w:t>
      </w:r>
      <w:r w:rsidR="005B2CFA" w:rsidRPr="007D696C">
        <w:rPr>
          <w:lang w:val="en"/>
        </w:rPr>
        <w:t>tribe of New Zealand) arts and craftsmanship</w:t>
      </w:r>
      <w:r w:rsidR="000E1EF5" w:rsidRPr="007D696C">
        <w:rPr>
          <w:lang w:val="en"/>
        </w:rPr>
        <w:t xml:space="preserve">, water sports and activities (the Nelson region has the second largest amount of land </w:t>
      </w:r>
      <w:r w:rsidR="003D04E3" w:rsidRPr="007D696C">
        <w:rPr>
          <w:lang w:val="en"/>
        </w:rPr>
        <w:t xml:space="preserve">percentage </w:t>
      </w:r>
      <w:r w:rsidR="000E1EF5" w:rsidRPr="007D696C">
        <w:rPr>
          <w:lang w:val="en"/>
        </w:rPr>
        <w:t xml:space="preserve">covered by water, and is liberally sprinkled with freshwater springs, especially near </w:t>
      </w:r>
      <w:proofErr w:type="spellStart"/>
      <w:r w:rsidR="000E1EF5" w:rsidRPr="007D696C">
        <w:rPr>
          <w:lang w:val="en"/>
        </w:rPr>
        <w:t>Takaka</w:t>
      </w:r>
      <w:proofErr w:type="spellEnd"/>
      <w:r w:rsidR="000E1EF5" w:rsidRPr="007D696C">
        <w:rPr>
          <w:lang w:val="en"/>
        </w:rPr>
        <w:t>),</w:t>
      </w:r>
      <w:r w:rsidR="003C065A" w:rsidRPr="007D696C">
        <w:rPr>
          <w:lang w:val="en"/>
        </w:rPr>
        <w:t xml:space="preserve"> and hiking/biking trails in the Abel Tasman National Park and other pristine forest </w:t>
      </w:r>
      <w:r w:rsidR="005F43A8" w:rsidRPr="007D696C">
        <w:rPr>
          <w:lang w:val="en"/>
        </w:rPr>
        <w:t xml:space="preserve">land. </w:t>
      </w:r>
      <w:r w:rsidR="00A56518" w:rsidRPr="007D696C">
        <w:rPr>
          <w:lang w:val="en"/>
        </w:rPr>
        <w:t xml:space="preserve">Also interesting to note is that Tasman, West Coast, Otago, and </w:t>
      </w:r>
      <w:r w:rsidR="00B27BFC" w:rsidRPr="007D696C">
        <w:rPr>
          <w:lang w:val="en"/>
        </w:rPr>
        <w:t xml:space="preserve">Southland </w:t>
      </w:r>
      <w:r w:rsidR="00A56518" w:rsidRPr="007D696C">
        <w:rPr>
          <w:lang w:val="en"/>
        </w:rPr>
        <w:t xml:space="preserve">are some of the regions with the lowest number of visiting individuals per unit area, and these regions all have a relatively high wetland cover percentage as identified earlier, suggesting an inverse relationship between wetland cover percentage and tourist draw (perhaps because there is little to do within wetlands). </w:t>
      </w:r>
      <w:r w:rsidR="002F514D" w:rsidRPr="007D696C">
        <w:t>The</w:t>
      </w:r>
      <w:r w:rsidR="00631002" w:rsidRPr="007D696C">
        <w:t xml:space="preserve"> </w:t>
      </w:r>
      <w:r w:rsidR="003C065A" w:rsidRPr="007D696C">
        <w:t>s</w:t>
      </w:r>
      <w:r w:rsidR="00B27BFC" w:rsidRPr="007D696C">
        <w:t>ixth</w:t>
      </w:r>
      <w:r w:rsidR="002F514D" w:rsidRPr="007D696C">
        <w:t xml:space="preserve"> </w:t>
      </w:r>
      <w:r w:rsidR="003A5312" w:rsidRPr="007D696C">
        <w:t xml:space="preserve">broad </w:t>
      </w:r>
      <w:r w:rsidR="002F514D" w:rsidRPr="007D696C">
        <w:t>column</w:t>
      </w:r>
      <w:r w:rsidR="00B31184" w:rsidRPr="007D696C">
        <w:t xml:space="preserve"> presents </w:t>
      </w:r>
      <w:r w:rsidR="007E69BF" w:rsidRPr="007D696C">
        <w:t xml:space="preserve">statistics on </w:t>
      </w:r>
      <w:r w:rsidR="00B31184" w:rsidRPr="007D696C">
        <w:t>the number of visits</w:t>
      </w:r>
      <w:r w:rsidR="003D04E3" w:rsidRPr="007D696C">
        <w:t xml:space="preserve"> to a destination region</w:t>
      </w:r>
      <w:r w:rsidR="00B31184" w:rsidRPr="007D696C">
        <w:t xml:space="preserve"> among those who visited </w:t>
      </w:r>
      <w:r w:rsidR="003D04E3" w:rsidRPr="007D696C">
        <w:t xml:space="preserve">the </w:t>
      </w:r>
      <w:r w:rsidR="00B31184" w:rsidRPr="007D696C">
        <w:t>destination region</w:t>
      </w:r>
      <w:r w:rsidR="003D04E3" w:rsidRPr="007D696C">
        <w:t xml:space="preserve"> at least once</w:t>
      </w:r>
      <w:r w:rsidR="00B31184" w:rsidRPr="007D696C">
        <w:t xml:space="preserve">. </w:t>
      </w:r>
      <w:r w:rsidR="007E69BF" w:rsidRPr="007D696C">
        <w:t xml:space="preserve">The mean and maximum values from this column suggest that Auckland, Waikato, </w:t>
      </w:r>
      <w:r w:rsidR="00B31184" w:rsidRPr="007D696C">
        <w:t xml:space="preserve">Bay of Plenty, </w:t>
      </w:r>
      <w:r w:rsidR="003C065A" w:rsidRPr="007D696C">
        <w:t xml:space="preserve">Wellington, </w:t>
      </w:r>
      <w:r w:rsidR="00B31184" w:rsidRPr="007D696C">
        <w:t xml:space="preserve">Canterbury, and Otago have the most loyal following. </w:t>
      </w:r>
    </w:p>
    <w:p w:rsidR="00B61F26" w:rsidRPr="00B61F26" w:rsidRDefault="00B61F26" w:rsidP="00186DD8"/>
    <w:p w:rsidR="00B61F26" w:rsidRPr="00186DD8" w:rsidRDefault="00992BE1" w:rsidP="00186DD8">
      <w:pPr>
        <w:spacing w:line="360" w:lineRule="auto"/>
        <w:ind w:left="720" w:hanging="720"/>
        <w:rPr>
          <w:b/>
          <w:szCs w:val="24"/>
        </w:rPr>
      </w:pPr>
      <w:r>
        <w:rPr>
          <w:b/>
          <w:szCs w:val="24"/>
        </w:rPr>
        <w:t>4.3</w:t>
      </w:r>
      <w:r w:rsidR="00B61F26" w:rsidRPr="00186DD8">
        <w:rPr>
          <w:b/>
          <w:szCs w:val="24"/>
        </w:rPr>
        <w:t xml:space="preserve"> </w:t>
      </w:r>
      <w:r w:rsidR="00E84379" w:rsidRPr="00B61F26">
        <w:rPr>
          <w:b/>
          <w:szCs w:val="24"/>
        </w:rPr>
        <w:t>Variable Specification and Model Formulation</w:t>
      </w:r>
    </w:p>
    <w:p w:rsidR="00CD746E" w:rsidRDefault="00FA47C8" w:rsidP="003C1F2B">
      <w:pPr>
        <w:spacing w:line="360" w:lineRule="auto"/>
        <w:rPr>
          <w:szCs w:val="24"/>
        </w:rPr>
      </w:pPr>
      <w:r>
        <w:rPr>
          <w:szCs w:val="24"/>
        </w:rPr>
        <w:t>The number of destination region alternatives in the MDCP model is 16. Thus, rather than including 15 alternative-specific constants in the baseline preference and 16 region-specific satiation parameters (in addition to other explanatory variables)</w:t>
      </w:r>
      <w:r w:rsidR="00A504DC">
        <w:rPr>
          <w:szCs w:val="24"/>
        </w:rPr>
        <w:t xml:space="preserve"> in each latent segment</w:t>
      </w:r>
      <w:r>
        <w:rPr>
          <w:szCs w:val="24"/>
        </w:rPr>
        <w:t>, we adopt</w:t>
      </w:r>
      <w:r w:rsidR="007710F2">
        <w:rPr>
          <w:szCs w:val="24"/>
        </w:rPr>
        <w:t>ed</w:t>
      </w:r>
      <w:r>
        <w:rPr>
          <w:szCs w:val="24"/>
        </w:rPr>
        <w:t xml:space="preserve"> an “unlabeled” MDCP specification in which the baseline preferences and satiations are captured through attributes of the individual regions.</w:t>
      </w:r>
      <w:r w:rsidR="00A671C5">
        <w:rPr>
          <w:szCs w:val="24"/>
        </w:rPr>
        <w:t xml:space="preserve"> </w:t>
      </w:r>
      <w:proofErr w:type="gramStart"/>
      <w:r w:rsidR="00017213" w:rsidRPr="00017213">
        <w:rPr>
          <w:szCs w:val="24"/>
        </w:rPr>
        <w:t xml:space="preserve">For identification in this unlabeled alternatives context, the constant for the first segment </w:t>
      </w:r>
      <w:r w:rsidR="00017213">
        <w:rPr>
          <w:szCs w:val="24"/>
        </w:rPr>
        <w:t xml:space="preserve">is </w:t>
      </w:r>
      <w:r w:rsidR="00017213" w:rsidRPr="00017213">
        <w:rPr>
          <w:szCs w:val="24"/>
        </w:rPr>
        <w:t xml:space="preserve">constrained to zero, and the constants for other segments are constrained to be descending from the second segment </w:t>
      </w:r>
      <w:r w:rsidR="00CD746E">
        <w:rPr>
          <w:szCs w:val="24"/>
        </w:rPr>
        <w:t>forward</w:t>
      </w:r>
      <w:r w:rsidR="00017213">
        <w:rPr>
          <w:szCs w:val="24"/>
        </w:rPr>
        <w:t>.</w:t>
      </w:r>
      <w:proofErr w:type="gramEnd"/>
    </w:p>
    <w:p w:rsidR="00F35AD1" w:rsidRDefault="00F35AD1" w:rsidP="003C1F2B">
      <w:pPr>
        <w:spacing w:line="360" w:lineRule="auto"/>
        <w:rPr>
          <w:szCs w:val="24"/>
        </w:rPr>
      </w:pPr>
    </w:p>
    <w:p w:rsidR="00E95885" w:rsidRPr="00B72A05" w:rsidRDefault="0090442A" w:rsidP="003C1F2B">
      <w:pPr>
        <w:spacing w:line="360" w:lineRule="auto"/>
        <w:rPr>
          <w:i/>
          <w:szCs w:val="24"/>
        </w:rPr>
      </w:pPr>
      <w:r>
        <w:rPr>
          <w:i/>
          <w:szCs w:val="24"/>
        </w:rPr>
        <w:t>4.3.1</w:t>
      </w:r>
      <w:r w:rsidR="005847DC" w:rsidRPr="00B72A05">
        <w:rPr>
          <w:i/>
          <w:szCs w:val="24"/>
        </w:rPr>
        <w:t xml:space="preserve"> </w:t>
      </w:r>
      <w:r w:rsidR="00E95885" w:rsidRPr="00B72A05">
        <w:rPr>
          <w:i/>
          <w:szCs w:val="24"/>
        </w:rPr>
        <w:t xml:space="preserve">Baseline </w:t>
      </w:r>
      <w:r>
        <w:rPr>
          <w:i/>
          <w:szCs w:val="24"/>
        </w:rPr>
        <w:t>P</w:t>
      </w:r>
      <w:r w:rsidR="00E95885" w:rsidRPr="00B72A05">
        <w:rPr>
          <w:i/>
          <w:szCs w:val="24"/>
        </w:rPr>
        <w:t xml:space="preserve">reference </w:t>
      </w:r>
      <w:r>
        <w:rPr>
          <w:i/>
          <w:szCs w:val="24"/>
        </w:rPr>
        <w:t>S</w:t>
      </w:r>
      <w:r w:rsidR="00E95885" w:rsidRPr="00B72A05">
        <w:rPr>
          <w:i/>
          <w:szCs w:val="24"/>
        </w:rPr>
        <w:t>pecification</w:t>
      </w:r>
    </w:p>
    <w:p w:rsidR="009D38EA" w:rsidRPr="005C766F" w:rsidRDefault="003C1F2B" w:rsidP="005C766F">
      <w:pPr>
        <w:autoSpaceDE w:val="0"/>
        <w:autoSpaceDN w:val="0"/>
        <w:adjustRightInd w:val="0"/>
        <w:spacing w:line="360" w:lineRule="auto"/>
        <w:rPr>
          <w:szCs w:val="24"/>
        </w:rPr>
      </w:pPr>
      <w:r w:rsidRPr="005C766F">
        <w:rPr>
          <w:szCs w:val="24"/>
        </w:rPr>
        <w:t xml:space="preserve">The </w:t>
      </w:r>
      <w:r w:rsidR="00A3418D" w:rsidRPr="005C766F">
        <w:rPr>
          <w:szCs w:val="24"/>
        </w:rPr>
        <w:t>first independent variable we use</w:t>
      </w:r>
      <w:r w:rsidR="007710F2" w:rsidRPr="005C766F">
        <w:rPr>
          <w:szCs w:val="24"/>
        </w:rPr>
        <w:t>d</w:t>
      </w:r>
      <w:r w:rsidR="00A3418D" w:rsidRPr="005C766F">
        <w:rPr>
          <w:szCs w:val="24"/>
        </w:rPr>
        <w:t xml:space="preserve"> in the baseline preference (that is, as part of the </w:t>
      </w:r>
      <w:r w:rsidR="00217D2F" w:rsidRPr="005C766F">
        <w:rPr>
          <w:position w:val="-14"/>
          <w:szCs w:val="24"/>
        </w:rPr>
        <w:object w:dxaOrig="340" w:dyaOrig="380" w14:anchorId="2C8AAB01">
          <v:shape id="_x0000_i1382" type="#_x0000_t75" style="width:17.25pt;height:17.25pt" o:ole="" o:preferrelative="f">
            <v:imagedata r:id="rId62" o:title=""/>
            <o:lock v:ext="edit" aspectratio="f"/>
          </v:shape>
          <o:OLEObject Type="Embed" ProgID="Equation.3" ShapeID="_x0000_i1382" DrawAspect="Content" ObjectID="_1519137231" r:id="rId686"/>
        </w:object>
      </w:r>
      <w:r w:rsidR="00A3418D" w:rsidRPr="005C766F">
        <w:rPr>
          <w:szCs w:val="24"/>
        </w:rPr>
        <w:t>vector in Equation (2)) is the logarithm of the area of each region, to proxy for the number of elemental destination opportunities within each aggregate region</w:t>
      </w:r>
      <w:r w:rsidR="009D38EA" w:rsidRPr="005C766F">
        <w:rPr>
          <w:szCs w:val="24"/>
        </w:rPr>
        <w:t xml:space="preserve"> (see Bhat </w:t>
      </w:r>
      <w:r w:rsidR="009D38EA" w:rsidRPr="00320DF9">
        <w:rPr>
          <w:i/>
          <w:szCs w:val="24"/>
        </w:rPr>
        <w:t>et al</w:t>
      </w:r>
      <w:r w:rsidR="009D38EA" w:rsidRPr="005C766F">
        <w:rPr>
          <w:szCs w:val="24"/>
        </w:rPr>
        <w:t xml:space="preserve">., 1998). The expectation is that large regions are more likely to be chosen as a recreation destination </w:t>
      </w:r>
      <w:r w:rsidR="00A504DC">
        <w:rPr>
          <w:szCs w:val="24"/>
        </w:rPr>
        <w:t>based on a</w:t>
      </w:r>
      <w:r w:rsidR="009D38EA" w:rsidRPr="005C766F">
        <w:rPr>
          <w:szCs w:val="24"/>
        </w:rPr>
        <w:t xml:space="preserve"> sheer “volume of o</w:t>
      </w:r>
      <w:r w:rsidR="00217D2F">
        <w:rPr>
          <w:szCs w:val="24"/>
        </w:rPr>
        <w:t>pportunities” effect.</w:t>
      </w:r>
      <w:r w:rsidR="009D38EA" w:rsidRPr="005C766F">
        <w:rPr>
          <w:szCs w:val="24"/>
        </w:rPr>
        <w:t xml:space="preserve"> The coefficient on this size variable may be viewed as an inclusive value characterizing the presence of common unobserved destination region attributes affecting the utility of elemental alternatives within each region. As in traditional discrete choice models, we expect this coefficient to be positive and less than one. If less than one, the </w:t>
      </w:r>
      <w:r w:rsidR="009D38EA" w:rsidRPr="005C766F">
        <w:rPr>
          <w:szCs w:val="24"/>
        </w:rPr>
        <w:lastRenderedPageBreak/>
        <w:t>implication is that there are common unobserved region attributes that lead to higher sensitivity across elemental alternatives within a region than across different regions. The net effect is that the</w:t>
      </w:r>
      <w:r w:rsidR="005C766F" w:rsidRPr="005C766F">
        <w:rPr>
          <w:szCs w:val="24"/>
        </w:rPr>
        <w:t>re is an inelastic influence</w:t>
      </w:r>
      <w:r w:rsidR="009D38EA" w:rsidRPr="005C766F">
        <w:rPr>
          <w:szCs w:val="24"/>
        </w:rPr>
        <w:t xml:space="preserve"> </w:t>
      </w:r>
      <w:r w:rsidR="005C766F" w:rsidRPr="005C766F">
        <w:rPr>
          <w:szCs w:val="24"/>
        </w:rPr>
        <w:t xml:space="preserve">of increasing region size on the region’s </w:t>
      </w:r>
      <w:r w:rsidR="009D38EA" w:rsidRPr="005C766F">
        <w:rPr>
          <w:szCs w:val="24"/>
        </w:rPr>
        <w:t>baseline utility</w:t>
      </w:r>
      <w:r w:rsidR="005C766F" w:rsidRPr="005C766F">
        <w:rPr>
          <w:szCs w:val="24"/>
        </w:rPr>
        <w:t xml:space="preserve">. That is, compared to the case when the coefficient is one, the rise in the baseline utility of a region due to an increase in the region’s size is much less when the coefficient is estimated to be less than one in magnitude (because of more redistribution of leisure trips across elemental destinations within the same region rather than across different regions). </w:t>
      </w:r>
      <w:r w:rsidR="009D38EA" w:rsidRPr="005C766F">
        <w:rPr>
          <w:szCs w:val="24"/>
        </w:rPr>
        <w:t xml:space="preserve"> </w:t>
      </w:r>
    </w:p>
    <w:p w:rsidR="00112ADA" w:rsidRDefault="00AE6519" w:rsidP="009D38EA">
      <w:pPr>
        <w:spacing w:line="360" w:lineRule="auto"/>
        <w:ind w:firstLine="720"/>
        <w:rPr>
          <w:szCs w:val="24"/>
        </w:rPr>
      </w:pPr>
      <w:r>
        <w:rPr>
          <w:szCs w:val="24"/>
        </w:rPr>
        <w:t xml:space="preserve">The </w:t>
      </w:r>
      <w:r w:rsidR="00A3418D">
        <w:rPr>
          <w:szCs w:val="24"/>
        </w:rPr>
        <w:t>next</w:t>
      </w:r>
      <w:r w:rsidR="00FA47C8">
        <w:rPr>
          <w:szCs w:val="24"/>
        </w:rPr>
        <w:t xml:space="preserve"> </w:t>
      </w:r>
      <w:r w:rsidR="00A3418D">
        <w:rPr>
          <w:szCs w:val="24"/>
        </w:rPr>
        <w:t xml:space="preserve">set of </w:t>
      </w:r>
      <w:r w:rsidR="00FA47C8">
        <w:rPr>
          <w:szCs w:val="24"/>
        </w:rPr>
        <w:t>variable</w:t>
      </w:r>
      <w:r w:rsidR="00A3418D">
        <w:rPr>
          <w:szCs w:val="24"/>
        </w:rPr>
        <w:t>s</w:t>
      </w:r>
      <w:r w:rsidR="00FA47C8">
        <w:rPr>
          <w:szCs w:val="24"/>
        </w:rPr>
        <w:t xml:space="preserve"> we consider</w:t>
      </w:r>
      <w:r w:rsidR="007710F2">
        <w:rPr>
          <w:szCs w:val="24"/>
        </w:rPr>
        <w:t>ed</w:t>
      </w:r>
      <w:r w:rsidR="00FA47C8">
        <w:rPr>
          <w:szCs w:val="24"/>
        </w:rPr>
        <w:t xml:space="preserve"> </w:t>
      </w:r>
      <w:r w:rsidR="00A3418D">
        <w:rPr>
          <w:szCs w:val="24"/>
        </w:rPr>
        <w:t xml:space="preserve">are </w:t>
      </w:r>
      <w:r w:rsidR="003C1F2B" w:rsidRPr="003C1F2B">
        <w:rPr>
          <w:szCs w:val="24"/>
        </w:rPr>
        <w:t>land-cover effects</w:t>
      </w:r>
      <w:r w:rsidR="00A3418D">
        <w:rPr>
          <w:szCs w:val="24"/>
        </w:rPr>
        <w:t xml:space="preserve">, </w:t>
      </w:r>
      <w:r>
        <w:rPr>
          <w:szCs w:val="24"/>
        </w:rPr>
        <w:t>captured</w:t>
      </w:r>
      <w:r w:rsidR="003C1F2B" w:rsidRPr="003C1F2B">
        <w:rPr>
          <w:szCs w:val="24"/>
        </w:rPr>
        <w:t xml:space="preserve"> by </w:t>
      </w:r>
      <w:proofErr w:type="gramStart"/>
      <w:r w:rsidR="003C1F2B" w:rsidRPr="003C1F2B">
        <w:rPr>
          <w:szCs w:val="24"/>
        </w:rPr>
        <w:t>interacting</w:t>
      </w:r>
      <w:proofErr w:type="gramEnd"/>
      <w:r w:rsidR="003C1F2B" w:rsidRPr="003C1F2B">
        <w:rPr>
          <w:szCs w:val="24"/>
        </w:rPr>
        <w:t xml:space="preserve"> the land-cover </w:t>
      </w:r>
      <w:r w:rsidR="007A37F1">
        <w:rPr>
          <w:szCs w:val="24"/>
        </w:rPr>
        <w:t xml:space="preserve">percentage </w:t>
      </w:r>
      <w:r w:rsidR="00A3418D">
        <w:rPr>
          <w:szCs w:val="24"/>
        </w:rPr>
        <w:t xml:space="preserve">by category </w:t>
      </w:r>
      <w:r w:rsidR="003C1F2B" w:rsidRPr="003C1F2B">
        <w:rPr>
          <w:szCs w:val="24"/>
        </w:rPr>
        <w:t xml:space="preserve">in each destination </w:t>
      </w:r>
      <w:r w:rsidR="00B43AD8">
        <w:rPr>
          <w:szCs w:val="24"/>
        </w:rPr>
        <w:t>region</w:t>
      </w:r>
      <w:r w:rsidR="003C1F2B" w:rsidRPr="003C1F2B">
        <w:rPr>
          <w:szCs w:val="24"/>
        </w:rPr>
        <w:t xml:space="preserve"> with the travel time from each individual’s residence city to the </w:t>
      </w:r>
      <w:proofErr w:type="spellStart"/>
      <w:r w:rsidR="003C1F2B" w:rsidRPr="003C1F2B">
        <w:rPr>
          <w:szCs w:val="24"/>
        </w:rPr>
        <w:t>centroidal</w:t>
      </w:r>
      <w:proofErr w:type="spellEnd"/>
      <w:r w:rsidR="003C1F2B" w:rsidRPr="003C1F2B">
        <w:rPr>
          <w:szCs w:val="24"/>
        </w:rPr>
        <w:t xml:space="preserve"> city of each destination </w:t>
      </w:r>
      <w:r w:rsidR="00B43AD8">
        <w:rPr>
          <w:szCs w:val="24"/>
        </w:rPr>
        <w:t>region</w:t>
      </w:r>
      <w:r w:rsidR="003C1F2B" w:rsidRPr="003C1F2B">
        <w:rPr>
          <w:szCs w:val="24"/>
        </w:rPr>
        <w:t xml:space="preserve">. </w:t>
      </w:r>
      <w:r w:rsidR="007D1D40">
        <w:rPr>
          <w:szCs w:val="24"/>
        </w:rPr>
        <w:t>We</w:t>
      </w:r>
      <w:r w:rsidR="003C1F2B" w:rsidRPr="003C1F2B">
        <w:rPr>
          <w:szCs w:val="24"/>
        </w:rPr>
        <w:t xml:space="preserve"> compute</w:t>
      </w:r>
      <w:r w:rsidR="007D1D40">
        <w:rPr>
          <w:szCs w:val="24"/>
        </w:rPr>
        <w:t>d</w:t>
      </w:r>
      <w:r w:rsidR="003C1F2B" w:rsidRPr="003C1F2B">
        <w:rPr>
          <w:szCs w:val="24"/>
        </w:rPr>
        <w:t xml:space="preserve"> a</w:t>
      </w:r>
      <w:r w:rsidR="00B05F98">
        <w:rPr>
          <w:szCs w:val="24"/>
        </w:rPr>
        <w:t xml:space="preserve"> land-cover</w:t>
      </w:r>
      <w:r w:rsidR="003C1F2B" w:rsidRPr="003C1F2B">
        <w:rPr>
          <w:szCs w:val="24"/>
        </w:rPr>
        <w:t xml:space="preserve"> accessibility measure of the Hansen-type (Fotheringham, 1983) </w:t>
      </w:r>
      <w:r w:rsidR="00B05F98">
        <w:rPr>
          <w:szCs w:val="24"/>
        </w:rPr>
        <w:t xml:space="preserve">for individual </w:t>
      </w:r>
      <w:r w:rsidR="00B05F98" w:rsidRPr="00B05F98">
        <w:rPr>
          <w:i/>
          <w:szCs w:val="24"/>
        </w:rPr>
        <w:t>q</w:t>
      </w:r>
      <w:r w:rsidR="00B05F98">
        <w:rPr>
          <w:szCs w:val="24"/>
        </w:rPr>
        <w:t xml:space="preserve"> and land-cover type </w:t>
      </w:r>
      <w:r w:rsidR="00B05F98" w:rsidRPr="00B05F98">
        <w:rPr>
          <w:i/>
          <w:szCs w:val="24"/>
        </w:rPr>
        <w:t>i</w:t>
      </w:r>
      <w:r w:rsidR="00B05F98">
        <w:rPr>
          <w:szCs w:val="24"/>
        </w:rPr>
        <w:t xml:space="preserve"> </w:t>
      </w:r>
      <w:r w:rsidR="003C1F2B" w:rsidRPr="003C1F2B">
        <w:rPr>
          <w:szCs w:val="24"/>
        </w:rPr>
        <w:t xml:space="preserve">as </w:t>
      </w:r>
      <w:r w:rsidR="00B05F98">
        <w:rPr>
          <w:szCs w:val="24"/>
        </w:rPr>
        <w:t xml:space="preserve">presented by destination region </w:t>
      </w:r>
      <w:r w:rsidR="00B05F98" w:rsidRPr="00B05F98">
        <w:rPr>
          <w:i/>
          <w:szCs w:val="24"/>
        </w:rPr>
        <w:t>k</w:t>
      </w:r>
      <w:r w:rsidR="00B05F98">
        <w:rPr>
          <w:szCs w:val="24"/>
        </w:rPr>
        <w:t xml:space="preserve"> as</w:t>
      </w:r>
      <w:r w:rsidR="003C1F2B" w:rsidRPr="003C1F2B">
        <w:rPr>
          <w:szCs w:val="24"/>
        </w:rPr>
        <w:t xml:space="preserve"> </w:t>
      </w:r>
      <w:proofErr w:type="spellStart"/>
      <w:r w:rsidR="005E2AB7" w:rsidRPr="005E2AB7">
        <w:rPr>
          <w:i/>
          <w:szCs w:val="24"/>
        </w:rPr>
        <w:t>AC</w:t>
      </w:r>
      <w:r w:rsidR="005E2AB7" w:rsidRPr="005E2AB7">
        <w:rPr>
          <w:i/>
          <w:szCs w:val="24"/>
          <w:vertAlign w:val="subscript"/>
        </w:rPr>
        <w:t>qk</w:t>
      </w:r>
      <w:r w:rsidR="007E5B7E">
        <w:rPr>
          <w:i/>
          <w:szCs w:val="24"/>
          <w:vertAlign w:val="subscript"/>
        </w:rPr>
        <w:t>i</w:t>
      </w:r>
      <w:proofErr w:type="spellEnd"/>
      <w:r w:rsidR="005E2AB7" w:rsidRPr="005E2AB7">
        <w:rPr>
          <w:i/>
          <w:szCs w:val="24"/>
        </w:rPr>
        <w:t>=</w:t>
      </w:r>
      <w:proofErr w:type="spellStart"/>
      <w:r w:rsidR="005E2AB7" w:rsidRPr="005E2AB7">
        <w:rPr>
          <w:i/>
          <w:szCs w:val="24"/>
        </w:rPr>
        <w:t>LC</w:t>
      </w:r>
      <w:r w:rsidR="005E2AB7" w:rsidRPr="005E2AB7">
        <w:rPr>
          <w:i/>
          <w:szCs w:val="24"/>
          <w:vertAlign w:val="subscript"/>
        </w:rPr>
        <w:t>k</w:t>
      </w:r>
      <w:r w:rsidR="007E5B7E">
        <w:rPr>
          <w:i/>
          <w:szCs w:val="24"/>
          <w:vertAlign w:val="subscript"/>
        </w:rPr>
        <w:t>i</w:t>
      </w:r>
      <w:proofErr w:type="spellEnd"/>
      <w:r w:rsidR="005E2AB7" w:rsidRPr="005E2AB7">
        <w:rPr>
          <w:i/>
          <w:szCs w:val="24"/>
        </w:rPr>
        <w:t>/</w:t>
      </w:r>
      <w:r w:rsidR="00E2364A" w:rsidRPr="00E2364A">
        <w:rPr>
          <w:szCs w:val="24"/>
        </w:rPr>
        <w:t>[</w:t>
      </w:r>
      <w:r w:rsidR="00E2364A">
        <w:rPr>
          <w:i/>
          <w:szCs w:val="24"/>
        </w:rPr>
        <w:t>f</w:t>
      </w:r>
      <w:r w:rsidR="00E2364A" w:rsidRPr="00217D2F">
        <w:rPr>
          <w:szCs w:val="24"/>
        </w:rPr>
        <w:t>(</w:t>
      </w:r>
      <w:proofErr w:type="spellStart"/>
      <w:r w:rsidR="005E2AB7" w:rsidRPr="005E2AB7">
        <w:rPr>
          <w:i/>
          <w:szCs w:val="24"/>
        </w:rPr>
        <w:t>TT</w:t>
      </w:r>
      <w:r w:rsidR="005E2AB7" w:rsidRPr="005E2AB7">
        <w:rPr>
          <w:i/>
          <w:szCs w:val="24"/>
          <w:vertAlign w:val="subscript"/>
        </w:rPr>
        <w:t>qk</w:t>
      </w:r>
      <w:proofErr w:type="spellEnd"/>
      <w:r w:rsidR="00E2364A">
        <w:rPr>
          <w:szCs w:val="24"/>
        </w:rPr>
        <w:t>)],</w:t>
      </w:r>
      <w:r w:rsidR="003C1F2B" w:rsidRPr="003C1F2B">
        <w:rPr>
          <w:szCs w:val="24"/>
        </w:rPr>
        <w:t xml:space="preserve"> where </w:t>
      </w:r>
      <w:proofErr w:type="spellStart"/>
      <w:r w:rsidR="005E2AB7" w:rsidRPr="005E2AB7">
        <w:rPr>
          <w:i/>
          <w:szCs w:val="24"/>
        </w:rPr>
        <w:t>LC</w:t>
      </w:r>
      <w:r w:rsidR="005E2AB7" w:rsidRPr="005E2AB7">
        <w:rPr>
          <w:i/>
          <w:szCs w:val="24"/>
          <w:vertAlign w:val="subscript"/>
        </w:rPr>
        <w:t>k</w:t>
      </w:r>
      <w:r w:rsidR="007E5B7E">
        <w:rPr>
          <w:i/>
          <w:szCs w:val="24"/>
          <w:vertAlign w:val="subscript"/>
        </w:rPr>
        <w:t>i</w:t>
      </w:r>
      <w:proofErr w:type="spellEnd"/>
      <w:r w:rsidR="00217D2F">
        <w:rPr>
          <w:szCs w:val="24"/>
        </w:rPr>
        <w:t xml:space="preserve"> </w:t>
      </w:r>
      <w:r w:rsidR="003C1F2B" w:rsidRPr="003C1F2B">
        <w:rPr>
          <w:szCs w:val="24"/>
        </w:rPr>
        <w:t xml:space="preserve">is the </w:t>
      </w:r>
      <w:r w:rsidR="007A37F1">
        <w:rPr>
          <w:szCs w:val="24"/>
        </w:rPr>
        <w:t xml:space="preserve">percentage </w:t>
      </w:r>
      <w:r w:rsidR="003C1F2B" w:rsidRPr="003C1F2B">
        <w:rPr>
          <w:szCs w:val="24"/>
        </w:rPr>
        <w:t xml:space="preserve">area in land-cover category </w:t>
      </w:r>
      <w:r w:rsidR="007D1D40">
        <w:rPr>
          <w:i/>
          <w:szCs w:val="24"/>
        </w:rPr>
        <w:t xml:space="preserve">i </w:t>
      </w:r>
      <w:r w:rsidR="007D1D40" w:rsidRPr="003C1F2B">
        <w:rPr>
          <w:szCs w:val="24"/>
        </w:rPr>
        <w:t>(</w:t>
      </w:r>
      <w:r w:rsidR="007D1D40" w:rsidRPr="00600528">
        <w:rPr>
          <w:i/>
          <w:szCs w:val="24"/>
        </w:rPr>
        <w:t>i</w:t>
      </w:r>
      <w:r w:rsidR="007D1D40" w:rsidRPr="003C1F2B">
        <w:rPr>
          <w:szCs w:val="24"/>
        </w:rPr>
        <w:t xml:space="preserve"> = </w:t>
      </w:r>
      <w:r w:rsidR="007D1D40">
        <w:rPr>
          <w:szCs w:val="24"/>
        </w:rPr>
        <w:t>urban, water, wetland, agricultural, bare-land, and forest)</w:t>
      </w:r>
      <w:r w:rsidR="003C1F2B" w:rsidRPr="003C1F2B">
        <w:rPr>
          <w:szCs w:val="24"/>
        </w:rPr>
        <w:t xml:space="preserve"> in destination </w:t>
      </w:r>
      <w:r w:rsidR="00600528">
        <w:rPr>
          <w:szCs w:val="24"/>
        </w:rPr>
        <w:t>region</w:t>
      </w:r>
      <w:r w:rsidR="003C1F2B" w:rsidRPr="003C1F2B">
        <w:rPr>
          <w:szCs w:val="24"/>
        </w:rPr>
        <w:t xml:space="preserve"> </w:t>
      </w:r>
      <w:r w:rsidR="003C1F2B" w:rsidRPr="00600528">
        <w:rPr>
          <w:i/>
          <w:szCs w:val="24"/>
        </w:rPr>
        <w:t>k</w:t>
      </w:r>
      <w:r w:rsidR="003C1F2B" w:rsidRPr="003C1F2B">
        <w:rPr>
          <w:szCs w:val="24"/>
        </w:rPr>
        <w:t xml:space="preserve">, </w:t>
      </w:r>
      <w:proofErr w:type="spellStart"/>
      <w:r w:rsidR="005E2AB7" w:rsidRPr="005E2AB7">
        <w:rPr>
          <w:i/>
          <w:szCs w:val="24"/>
        </w:rPr>
        <w:t>TT</w:t>
      </w:r>
      <w:r w:rsidR="005E2AB7" w:rsidRPr="005E2AB7">
        <w:rPr>
          <w:i/>
          <w:szCs w:val="24"/>
          <w:vertAlign w:val="subscript"/>
        </w:rPr>
        <w:t>qk</w:t>
      </w:r>
      <w:proofErr w:type="spellEnd"/>
      <w:r w:rsidR="003C1F2B" w:rsidRPr="003C1F2B">
        <w:rPr>
          <w:szCs w:val="24"/>
        </w:rPr>
        <w:t xml:space="preserve">  is the travel time (in hours) from individual </w:t>
      </w:r>
      <w:r w:rsidR="003C1F2B" w:rsidRPr="00600528">
        <w:rPr>
          <w:i/>
          <w:szCs w:val="24"/>
        </w:rPr>
        <w:t>q</w:t>
      </w:r>
      <w:r w:rsidR="003C1F2B" w:rsidRPr="003C1F2B">
        <w:rPr>
          <w:szCs w:val="24"/>
        </w:rPr>
        <w:t xml:space="preserve">’s residence city to the centroid of destination </w:t>
      </w:r>
      <w:r w:rsidR="00600528">
        <w:rPr>
          <w:szCs w:val="24"/>
        </w:rPr>
        <w:t>region</w:t>
      </w:r>
      <w:r w:rsidR="003C1F2B" w:rsidRPr="003C1F2B">
        <w:rPr>
          <w:szCs w:val="24"/>
        </w:rPr>
        <w:t xml:space="preserve"> </w:t>
      </w:r>
      <w:r w:rsidR="003C1F2B" w:rsidRPr="00600528">
        <w:rPr>
          <w:i/>
          <w:szCs w:val="24"/>
        </w:rPr>
        <w:t>k</w:t>
      </w:r>
      <w:r w:rsidR="00E2364A">
        <w:rPr>
          <w:i/>
          <w:szCs w:val="24"/>
        </w:rPr>
        <w:t xml:space="preserve">, </w:t>
      </w:r>
      <w:r w:rsidR="00E2364A" w:rsidRPr="00E2364A">
        <w:rPr>
          <w:szCs w:val="24"/>
        </w:rPr>
        <w:t xml:space="preserve">and </w:t>
      </w:r>
      <w:r w:rsidR="00E2364A" w:rsidRPr="00E2364A">
        <w:rPr>
          <w:i/>
          <w:szCs w:val="24"/>
        </w:rPr>
        <w:t>f</w:t>
      </w:r>
      <w:r w:rsidR="00E2364A" w:rsidRPr="00E2364A">
        <w:rPr>
          <w:szCs w:val="24"/>
        </w:rPr>
        <w:t>(.) is a function</w:t>
      </w:r>
      <w:r w:rsidR="003C1F2B" w:rsidRPr="003C1F2B">
        <w:rPr>
          <w:szCs w:val="24"/>
        </w:rPr>
        <w:t>.</w:t>
      </w:r>
      <w:r w:rsidR="008A4C9D">
        <w:rPr>
          <w:rStyle w:val="FootnoteReference"/>
          <w:szCs w:val="24"/>
        </w:rPr>
        <w:footnoteReference w:id="10"/>
      </w:r>
      <w:r w:rsidR="003C1F2B" w:rsidRPr="003C1F2B">
        <w:rPr>
          <w:szCs w:val="24"/>
        </w:rPr>
        <w:t xml:space="preserve"> </w:t>
      </w:r>
      <w:r w:rsidR="005F43A8">
        <w:rPr>
          <w:szCs w:val="24"/>
        </w:rPr>
        <w:t>T</w:t>
      </w:r>
      <w:r w:rsidR="005F43A8" w:rsidRPr="003C1F2B">
        <w:rPr>
          <w:szCs w:val="24"/>
        </w:rPr>
        <w:t xml:space="preserve">he accessibility measures proxy the </w:t>
      </w:r>
      <w:r w:rsidR="005F43A8">
        <w:rPr>
          <w:szCs w:val="24"/>
        </w:rPr>
        <w:t xml:space="preserve">intensity of </w:t>
      </w:r>
      <w:r w:rsidR="005F43A8" w:rsidRPr="003C1F2B">
        <w:rPr>
          <w:szCs w:val="24"/>
        </w:rPr>
        <w:t xml:space="preserve">opportunities for recreational participation specific to each land-use category in a destination </w:t>
      </w:r>
      <w:r w:rsidR="005F43A8">
        <w:rPr>
          <w:szCs w:val="24"/>
        </w:rPr>
        <w:t>region</w:t>
      </w:r>
      <w:r w:rsidR="005F43A8" w:rsidRPr="003C1F2B">
        <w:rPr>
          <w:szCs w:val="24"/>
        </w:rPr>
        <w:t xml:space="preserve"> normalized by a measure of impedance (</w:t>
      </w:r>
      <w:r w:rsidR="005F43A8">
        <w:rPr>
          <w:szCs w:val="24"/>
        </w:rPr>
        <w:t xml:space="preserve">function of </w:t>
      </w:r>
      <w:r w:rsidR="005F43A8" w:rsidRPr="003C1F2B">
        <w:rPr>
          <w:szCs w:val="24"/>
        </w:rPr>
        <w:t xml:space="preserve">travel time) for individual </w:t>
      </w:r>
      <w:r w:rsidR="005F43A8" w:rsidRPr="00600528">
        <w:rPr>
          <w:i/>
          <w:szCs w:val="24"/>
        </w:rPr>
        <w:t>q</w:t>
      </w:r>
      <w:r w:rsidR="005F43A8" w:rsidRPr="003C1F2B">
        <w:rPr>
          <w:szCs w:val="24"/>
        </w:rPr>
        <w:t xml:space="preserve"> to reach those opportunities.</w:t>
      </w:r>
      <w:r w:rsidR="005F43A8">
        <w:rPr>
          <w:szCs w:val="24"/>
        </w:rPr>
        <w:t xml:space="preserve"> </w:t>
      </w:r>
      <w:r w:rsidR="00E2364A">
        <w:rPr>
          <w:szCs w:val="24"/>
        </w:rPr>
        <w:t>In the empirical analysis, a host of</w:t>
      </w:r>
      <w:r w:rsidR="005F43A8">
        <w:rPr>
          <w:szCs w:val="24"/>
        </w:rPr>
        <w:t xml:space="preserve"> functional forms can be tested</w:t>
      </w:r>
      <w:r w:rsidR="00FF3F60">
        <w:rPr>
          <w:szCs w:val="24"/>
        </w:rPr>
        <w:t xml:space="preserve"> for the travel time measure. </w:t>
      </w:r>
      <w:r w:rsidR="00E2364A">
        <w:rPr>
          <w:szCs w:val="24"/>
        </w:rPr>
        <w:t xml:space="preserve">In our specifications, we considered both a linear form, </w:t>
      </w:r>
      <w:r w:rsidR="00217D2F" w:rsidRPr="00E2364A">
        <w:rPr>
          <w:rFonts w:eastAsia="Times New Roman"/>
          <w:position w:val="-14"/>
          <w:szCs w:val="24"/>
        </w:rPr>
        <w:object w:dxaOrig="1500" w:dyaOrig="380" w14:anchorId="4D413EAD">
          <v:shape id="_x0000_i1383" type="#_x0000_t75" style="width:75pt;height:17.25pt" o:ole="" o:preferrelative="f">
            <v:imagedata r:id="rId687" o:title=""/>
            <o:lock v:ext="edit" aspectratio="f"/>
          </v:shape>
          <o:OLEObject Type="Embed" ProgID="Equation.3" ShapeID="_x0000_i1383" DrawAspect="Content" ObjectID="_1519137232" r:id="rId688"/>
        </w:object>
      </w:r>
      <w:r w:rsidR="00E2364A">
        <w:rPr>
          <w:rFonts w:eastAsia="Times New Roman"/>
          <w:szCs w:val="24"/>
        </w:rPr>
        <w:t xml:space="preserve">, </w:t>
      </w:r>
      <w:r w:rsidR="00E2364A">
        <w:rPr>
          <w:szCs w:val="24"/>
        </w:rPr>
        <w:t>as well as a logarithm</w:t>
      </w:r>
      <w:r w:rsidR="006960BA">
        <w:rPr>
          <w:szCs w:val="24"/>
        </w:rPr>
        <w:t>ic</w:t>
      </w:r>
      <w:r w:rsidR="00E2364A">
        <w:rPr>
          <w:szCs w:val="24"/>
        </w:rPr>
        <w:t xml:space="preserve"> form, </w:t>
      </w:r>
      <w:r w:rsidR="00217D2F" w:rsidRPr="00F20C43">
        <w:rPr>
          <w:position w:val="-14"/>
        </w:rPr>
        <w:object w:dxaOrig="1939" w:dyaOrig="380" w14:anchorId="7AA32FD3">
          <v:shape id="_x0000_i1384" type="#_x0000_t75" style="width:97.5pt;height:17.25pt" o:ole="" o:preferrelative="f">
            <v:imagedata r:id="rId689" o:title=""/>
            <o:lock v:ext="edit" aspectratio="f"/>
          </v:shape>
          <o:OLEObject Type="Embed" ProgID="Equation.3" ShapeID="_x0000_i1384" DrawAspect="Content" ObjectID="_1519137233" r:id="rId690"/>
        </w:object>
      </w:r>
      <w:r w:rsidR="00E2364A">
        <w:rPr>
          <w:szCs w:val="24"/>
        </w:rPr>
        <w:t xml:space="preserve"> </w:t>
      </w:r>
      <w:r w:rsidR="00B05F98">
        <w:rPr>
          <w:szCs w:val="24"/>
        </w:rPr>
        <w:t>The logarithmic form penalizes destination regions less for being far away from the residential location of the individual. In both cases, a</w:t>
      </w:r>
      <w:r w:rsidR="003C1F2B" w:rsidRPr="003C1F2B">
        <w:rPr>
          <w:szCs w:val="24"/>
        </w:rPr>
        <w:t xml:space="preserve"> positive coefficient on an accessibility measure</w:t>
      </w:r>
      <w:r w:rsidR="0003723C">
        <w:rPr>
          <w:szCs w:val="24"/>
        </w:rPr>
        <w:t xml:space="preserve"> </w:t>
      </w:r>
      <w:r w:rsidR="003C1F2B" w:rsidRPr="003C1F2B">
        <w:rPr>
          <w:szCs w:val="24"/>
        </w:rPr>
        <w:t xml:space="preserve">implies that individuals are attracted toward proximal destination </w:t>
      </w:r>
      <w:r w:rsidR="00B43AD8">
        <w:rPr>
          <w:szCs w:val="24"/>
        </w:rPr>
        <w:t>regions</w:t>
      </w:r>
      <w:r w:rsidR="003C1F2B" w:rsidRPr="003C1F2B">
        <w:rPr>
          <w:szCs w:val="24"/>
        </w:rPr>
        <w:t xml:space="preserve"> with </w:t>
      </w:r>
      <w:r w:rsidR="00FA47C8">
        <w:rPr>
          <w:szCs w:val="24"/>
        </w:rPr>
        <w:t xml:space="preserve">a </w:t>
      </w:r>
      <w:r w:rsidR="003C1F2B" w:rsidRPr="003C1F2B">
        <w:rPr>
          <w:szCs w:val="24"/>
        </w:rPr>
        <w:t xml:space="preserve">substantial </w:t>
      </w:r>
      <w:r w:rsidR="00FA47C8">
        <w:rPr>
          <w:szCs w:val="24"/>
        </w:rPr>
        <w:t xml:space="preserve">percentage </w:t>
      </w:r>
      <w:proofErr w:type="gramStart"/>
      <w:r w:rsidR="00FA47C8">
        <w:rPr>
          <w:szCs w:val="24"/>
        </w:rPr>
        <w:t xml:space="preserve">of  </w:t>
      </w:r>
      <w:r w:rsidR="00B43AD8">
        <w:rPr>
          <w:szCs w:val="24"/>
        </w:rPr>
        <w:t>area</w:t>
      </w:r>
      <w:proofErr w:type="gramEnd"/>
      <w:r w:rsidR="007F0E30">
        <w:rPr>
          <w:szCs w:val="24"/>
        </w:rPr>
        <w:t xml:space="preserve"> </w:t>
      </w:r>
      <w:r w:rsidR="00FA47C8">
        <w:rPr>
          <w:szCs w:val="24"/>
        </w:rPr>
        <w:t>in</w:t>
      </w:r>
      <w:r w:rsidR="007F0E30">
        <w:rPr>
          <w:szCs w:val="24"/>
        </w:rPr>
        <w:t xml:space="preserve"> the corresponding land use</w:t>
      </w:r>
      <w:r w:rsidR="00991A4D">
        <w:rPr>
          <w:szCs w:val="24"/>
        </w:rPr>
        <w:t>.</w:t>
      </w:r>
      <w:r w:rsidR="00097E86">
        <w:rPr>
          <w:szCs w:val="24"/>
        </w:rPr>
        <w:t xml:space="preserve"> Our expectation, based on the descriptive statistics</w:t>
      </w:r>
      <w:r w:rsidR="00B05F98">
        <w:rPr>
          <w:szCs w:val="24"/>
        </w:rPr>
        <w:t>,</w:t>
      </w:r>
      <w:r w:rsidR="00097E86">
        <w:rPr>
          <w:szCs w:val="24"/>
        </w:rPr>
        <w:t xml:space="preserve"> is a positive coefficient on the urban land cover accessibility variable, though things are less clear from the descriptive analysis regarding the nature of effects of other accessibility variables</w:t>
      </w:r>
      <w:r w:rsidR="005847DC">
        <w:rPr>
          <w:szCs w:val="24"/>
        </w:rPr>
        <w:t>.</w:t>
      </w:r>
      <w:r w:rsidR="00636F38">
        <w:rPr>
          <w:szCs w:val="24"/>
        </w:rPr>
        <w:t xml:space="preserve"> </w:t>
      </w:r>
      <w:r w:rsidR="00636F38">
        <w:rPr>
          <w:rFonts w:eastAsia="Times New Roman"/>
          <w:szCs w:val="24"/>
        </w:rPr>
        <w:t xml:space="preserve">Based on </w:t>
      </w:r>
      <w:r w:rsidR="009F0D10">
        <w:rPr>
          <w:rFonts w:eastAsia="Times New Roman"/>
          <w:szCs w:val="24"/>
        </w:rPr>
        <w:t xml:space="preserve">our specification tests, </w:t>
      </w:r>
      <w:r w:rsidR="00636F38" w:rsidRPr="00636F38">
        <w:rPr>
          <w:rFonts w:eastAsia="Times New Roman"/>
          <w:szCs w:val="24"/>
        </w:rPr>
        <w:t xml:space="preserve">the </w:t>
      </w:r>
      <w:r w:rsidR="00636F38">
        <w:rPr>
          <w:rFonts w:eastAsia="Times New Roman"/>
          <w:szCs w:val="24"/>
        </w:rPr>
        <w:t xml:space="preserve">linear form is </w:t>
      </w:r>
      <w:r w:rsidR="009F0D10">
        <w:rPr>
          <w:rFonts w:eastAsia="Times New Roman"/>
          <w:szCs w:val="24"/>
        </w:rPr>
        <w:t xml:space="preserve">the </w:t>
      </w:r>
      <w:r w:rsidR="00636F38">
        <w:rPr>
          <w:rFonts w:eastAsia="Times New Roman"/>
          <w:szCs w:val="24"/>
        </w:rPr>
        <w:t xml:space="preserve">preferred </w:t>
      </w:r>
      <w:r w:rsidR="009F0D10">
        <w:rPr>
          <w:rFonts w:eastAsia="Times New Roman"/>
          <w:szCs w:val="24"/>
        </w:rPr>
        <w:t>functional form for</w:t>
      </w:r>
      <w:r w:rsidR="00217D2F" w:rsidRPr="00C1371D">
        <w:rPr>
          <w:position w:val="-14"/>
        </w:rPr>
        <w:object w:dxaOrig="840" w:dyaOrig="380" w14:anchorId="1D04A86C">
          <v:shape id="_x0000_i1385" type="#_x0000_t75" style="width:42pt;height:17.25pt" o:ole="" o:preferrelative="f">
            <v:imagedata r:id="rId691" o:title=""/>
            <o:lock v:ext="edit" aspectratio="f"/>
          </v:shape>
          <o:OLEObject Type="Embed" ProgID="Equation.3" ShapeID="_x0000_i1385" DrawAspect="Content" ObjectID="_1519137234" r:id="rId692"/>
        </w:object>
      </w:r>
      <w:r w:rsidR="009F0D10">
        <w:t>.</w:t>
      </w:r>
    </w:p>
    <w:p w:rsidR="007E5B7E" w:rsidRDefault="0006380A" w:rsidP="008E478E">
      <w:pPr>
        <w:spacing w:line="360" w:lineRule="auto"/>
        <w:ind w:firstLine="720"/>
      </w:pPr>
      <w:r>
        <w:rPr>
          <w:szCs w:val="24"/>
        </w:rPr>
        <w:lastRenderedPageBreak/>
        <w:t>The land cover</w:t>
      </w:r>
      <w:r w:rsidR="008A4C9D">
        <w:rPr>
          <w:szCs w:val="24"/>
        </w:rPr>
        <w:t>-based accessibility</w:t>
      </w:r>
      <w:r>
        <w:rPr>
          <w:szCs w:val="24"/>
        </w:rPr>
        <w:t xml:space="preserve"> effects </w:t>
      </w:r>
      <w:r w:rsidR="00B05F98">
        <w:rPr>
          <w:szCs w:val="24"/>
        </w:rPr>
        <w:t xml:space="preserve">(which are specific to each land cover category) </w:t>
      </w:r>
      <w:r>
        <w:rPr>
          <w:szCs w:val="24"/>
        </w:rPr>
        <w:t>capture any preferences individuals have for specific types of acti</w:t>
      </w:r>
      <w:r w:rsidR="00FF3F60">
        <w:rPr>
          <w:szCs w:val="24"/>
        </w:rPr>
        <w:t xml:space="preserve">vities that may be </w:t>
      </w:r>
      <w:r>
        <w:rPr>
          <w:szCs w:val="24"/>
        </w:rPr>
        <w:t xml:space="preserve">featured in each destination region (as manifested in the land-cover </w:t>
      </w:r>
      <w:r w:rsidR="00B05F98">
        <w:rPr>
          <w:szCs w:val="24"/>
        </w:rPr>
        <w:t xml:space="preserve">category </w:t>
      </w:r>
      <w:r>
        <w:rPr>
          <w:szCs w:val="24"/>
        </w:rPr>
        <w:t xml:space="preserve">percentages). However, these effects do not capture an overall diversity index for each destination region. That is, it is possible that some </w:t>
      </w:r>
      <w:r w:rsidR="00FF3F60">
        <w:rPr>
          <w:szCs w:val="24"/>
        </w:rPr>
        <w:t xml:space="preserve">individuals may be </w:t>
      </w:r>
      <w:r>
        <w:rPr>
          <w:szCs w:val="24"/>
        </w:rPr>
        <w:t>drawn to destination regions that have a good diversity of activity participation opportunities</w:t>
      </w:r>
      <w:r w:rsidR="008A4C9D">
        <w:rPr>
          <w:szCs w:val="24"/>
        </w:rPr>
        <w:t xml:space="preserve"> as well as are relatively close by. We proxy this effect </w:t>
      </w:r>
      <w:r>
        <w:rPr>
          <w:szCs w:val="24"/>
        </w:rPr>
        <w:t xml:space="preserve">by </w:t>
      </w:r>
      <w:r w:rsidR="008A4C9D">
        <w:rPr>
          <w:szCs w:val="24"/>
        </w:rPr>
        <w:t xml:space="preserve">constructing a </w:t>
      </w:r>
      <w:r>
        <w:rPr>
          <w:szCs w:val="24"/>
        </w:rPr>
        <w:t xml:space="preserve">diversity </w:t>
      </w:r>
      <w:r w:rsidR="008A4C9D">
        <w:rPr>
          <w:szCs w:val="24"/>
        </w:rPr>
        <w:t xml:space="preserve">index </w:t>
      </w:r>
      <w:r>
        <w:rPr>
          <w:szCs w:val="24"/>
        </w:rPr>
        <w:t>of land-cover types</w:t>
      </w:r>
      <w:r w:rsidR="008A4C9D">
        <w:rPr>
          <w:szCs w:val="24"/>
        </w:rPr>
        <w:t xml:space="preserve"> for each destination region, </w:t>
      </w:r>
      <w:r>
        <w:rPr>
          <w:szCs w:val="24"/>
        </w:rPr>
        <w:t xml:space="preserve">based on </w:t>
      </w:r>
      <w:r w:rsidR="007E5B7E">
        <w:rPr>
          <w:szCs w:val="24"/>
        </w:rPr>
        <w:t>generalizing a similar</w:t>
      </w:r>
      <w:r>
        <w:rPr>
          <w:szCs w:val="24"/>
        </w:rPr>
        <w:t xml:space="preserve"> index proposed originally by Bhat and Gossen (200</w:t>
      </w:r>
      <w:r w:rsidR="00C54772">
        <w:rPr>
          <w:szCs w:val="24"/>
        </w:rPr>
        <w:t>4</w:t>
      </w:r>
      <w:r>
        <w:rPr>
          <w:szCs w:val="24"/>
        </w:rPr>
        <w:t xml:space="preserve">). This </w:t>
      </w:r>
      <w:r w:rsidR="007E5B7E">
        <w:rPr>
          <w:szCs w:val="24"/>
        </w:rPr>
        <w:t xml:space="preserve">land cover </w:t>
      </w:r>
      <w:r>
        <w:rPr>
          <w:szCs w:val="24"/>
        </w:rPr>
        <w:t xml:space="preserve">diversity </w:t>
      </w:r>
      <w:r w:rsidR="007E5B7E">
        <w:rPr>
          <w:szCs w:val="24"/>
        </w:rPr>
        <w:t xml:space="preserve">index is computed </w:t>
      </w:r>
      <w:r w:rsidR="007E5B7E">
        <w:t xml:space="preserve">as a fraction between 0 and 1 for each destination region. Regions with a value closer to one have a richer land-cover mix than </w:t>
      </w:r>
      <w:r w:rsidR="00DD7F54">
        <w:t>regions</w:t>
      </w:r>
      <w:r w:rsidR="007E5B7E">
        <w:t xml:space="preserve"> with a value closer to zero. The</w:t>
      </w:r>
      <w:r w:rsidR="00E8298B">
        <w:t xml:space="preserve"> actual form of the land-cover diversity index </w:t>
      </w:r>
      <w:r w:rsidR="00E2364A">
        <w:t xml:space="preserve">for destination region </w:t>
      </w:r>
      <w:r w:rsidR="00E2364A" w:rsidRPr="00E2364A">
        <w:rPr>
          <w:i/>
        </w:rPr>
        <w:t>k</w:t>
      </w:r>
      <w:r w:rsidR="00E2364A">
        <w:t xml:space="preserve"> </w:t>
      </w:r>
      <w:r w:rsidR="007E5B7E">
        <w:t>is:</w:t>
      </w:r>
    </w:p>
    <w:p w:rsidR="0007646A" w:rsidRDefault="0092163A" w:rsidP="008E478E">
      <w:pPr>
        <w:tabs>
          <w:tab w:val="right" w:pos="9360"/>
        </w:tabs>
        <w:spacing w:line="360" w:lineRule="auto"/>
      </w:pPr>
      <w:r>
        <w:t>Land-cover</w:t>
      </w:r>
      <w:r w:rsidR="0007646A">
        <w:t xml:space="preserve"> diversity</w:t>
      </w:r>
      <w:r>
        <w:t xml:space="preserve"> index </w:t>
      </w:r>
      <w:r w:rsidR="00413833" w:rsidRPr="0092163A">
        <w:rPr>
          <w:rFonts w:eastAsia="Times New Roman"/>
          <w:position w:val="-64"/>
          <w:szCs w:val="24"/>
        </w:rPr>
        <w:object w:dxaOrig="2760" w:dyaOrig="1400" w14:anchorId="640F39A0">
          <v:shape id="_x0000_i1386" type="#_x0000_t75" style="width:138pt;height:69.75pt" o:ole="" o:preferrelative="f">
            <v:imagedata r:id="rId693" o:title=""/>
            <o:lock v:ext="edit" aspectratio="f"/>
          </v:shape>
          <o:OLEObject Type="Embed" ProgID="Equation.3" ShapeID="_x0000_i1386" DrawAspect="Content" ObjectID="_1519137235" r:id="rId694"/>
        </w:object>
      </w:r>
      <w:r w:rsidR="0007646A">
        <w:tab/>
        <w:t xml:space="preserve"> (1</w:t>
      </w:r>
      <w:r w:rsidR="008B1E86">
        <w:t>7</w:t>
      </w:r>
      <w:r w:rsidR="0007646A">
        <w:t>)</w:t>
      </w:r>
    </w:p>
    <w:p w:rsidR="00FF3F60" w:rsidRDefault="0007646A" w:rsidP="008E478E">
      <w:pPr>
        <w:spacing w:line="360" w:lineRule="auto"/>
        <w:rPr>
          <w:rFonts w:eastAsia="Times New Roman"/>
          <w:szCs w:val="24"/>
        </w:rPr>
      </w:pPr>
      <w:proofErr w:type="gramStart"/>
      <w:r>
        <w:t>where</w:t>
      </w:r>
      <w:proofErr w:type="gramEnd"/>
      <w:r>
        <w:t xml:space="preserve"> </w:t>
      </w:r>
      <w:proofErr w:type="spellStart"/>
      <w:r w:rsidR="0092163A" w:rsidRPr="005E2AB7">
        <w:rPr>
          <w:i/>
          <w:szCs w:val="24"/>
        </w:rPr>
        <w:t>LC</w:t>
      </w:r>
      <w:r w:rsidR="0092163A" w:rsidRPr="005E2AB7">
        <w:rPr>
          <w:i/>
          <w:szCs w:val="24"/>
          <w:vertAlign w:val="subscript"/>
        </w:rPr>
        <w:t>k</w:t>
      </w:r>
      <w:r w:rsidR="0092163A">
        <w:rPr>
          <w:i/>
          <w:szCs w:val="24"/>
          <w:vertAlign w:val="subscript"/>
        </w:rPr>
        <w:t>i</w:t>
      </w:r>
      <w:proofErr w:type="spellEnd"/>
      <w:r w:rsidR="0092163A" w:rsidRPr="003C1F2B">
        <w:rPr>
          <w:szCs w:val="24"/>
        </w:rPr>
        <w:t xml:space="preserve">  is the </w:t>
      </w:r>
      <w:r w:rsidR="0092163A">
        <w:rPr>
          <w:szCs w:val="24"/>
        </w:rPr>
        <w:t xml:space="preserve">percentage </w:t>
      </w:r>
      <w:r w:rsidR="0092163A" w:rsidRPr="003C1F2B">
        <w:rPr>
          <w:szCs w:val="24"/>
        </w:rPr>
        <w:t xml:space="preserve">area in land-cover category </w:t>
      </w:r>
      <w:r w:rsidR="0092163A">
        <w:rPr>
          <w:i/>
          <w:szCs w:val="24"/>
        </w:rPr>
        <w:t xml:space="preserve">i </w:t>
      </w:r>
      <w:r w:rsidR="0092163A" w:rsidRPr="0092163A">
        <w:rPr>
          <w:szCs w:val="24"/>
        </w:rPr>
        <w:t xml:space="preserve">in destination region </w:t>
      </w:r>
      <w:r w:rsidR="0092163A" w:rsidRPr="00E2364A">
        <w:rPr>
          <w:i/>
          <w:szCs w:val="24"/>
        </w:rPr>
        <w:t>k</w:t>
      </w:r>
      <w:r w:rsidR="0092163A" w:rsidRPr="0092163A">
        <w:rPr>
          <w:szCs w:val="24"/>
        </w:rPr>
        <w:t xml:space="preserve"> (as earlier) and </w:t>
      </w:r>
      <w:r w:rsidR="0092163A" w:rsidRPr="00E2364A">
        <w:rPr>
          <w:i/>
          <w:szCs w:val="24"/>
        </w:rPr>
        <w:t>I</w:t>
      </w:r>
      <w:r w:rsidR="0092163A" w:rsidRPr="0092163A">
        <w:rPr>
          <w:szCs w:val="24"/>
        </w:rPr>
        <w:t>=6 (that is, we have six land cover categories) in our empirical context</w:t>
      </w:r>
      <w:r w:rsidR="0092163A">
        <w:rPr>
          <w:rFonts w:eastAsia="Times New Roman"/>
          <w:szCs w:val="24"/>
        </w:rPr>
        <w:t xml:space="preserve">. </w:t>
      </w:r>
      <w:r>
        <w:t xml:space="preserve">The functional form </w:t>
      </w:r>
      <w:r w:rsidR="00B05F98">
        <w:t>would assign</w:t>
      </w:r>
      <w:r>
        <w:t xml:space="preserve"> the value of</w:t>
      </w:r>
      <w:r w:rsidR="00B05F98">
        <w:t xml:space="preserve"> zero if a region’s land-cover is </w:t>
      </w:r>
      <w:r>
        <w:t xml:space="preserve">only </w:t>
      </w:r>
      <w:r w:rsidR="00B05F98">
        <w:t xml:space="preserve">in </w:t>
      </w:r>
      <w:r>
        <w:t xml:space="preserve">one category, and </w:t>
      </w:r>
      <w:r w:rsidR="00B05F98">
        <w:t>would assign</w:t>
      </w:r>
      <w:r>
        <w:t xml:space="preserve"> a value of 1 </w:t>
      </w:r>
      <w:r w:rsidR="00B05F98">
        <w:t xml:space="preserve">if a region’s land-cover </w:t>
      </w:r>
      <w:r w:rsidR="0092163A">
        <w:t>is equally split among the</w:t>
      </w:r>
      <w:r w:rsidR="00B05F98">
        <w:t xml:space="preserve"> different</w:t>
      </w:r>
      <w:r w:rsidR="0092163A">
        <w:t xml:space="preserve"> land-cover</w:t>
      </w:r>
      <w:r>
        <w:t xml:space="preserve"> categories.</w:t>
      </w:r>
      <w:r w:rsidR="00E2364A">
        <w:t xml:space="preserve"> However, as in the ca</w:t>
      </w:r>
      <w:r w:rsidR="00B05F98">
        <w:t>se of the land-cover percentages</w:t>
      </w:r>
      <w:r w:rsidR="00E2364A">
        <w:t xml:space="preserve">, there is no variation in the diversity index for a region across individuals, and the only variation in the index is across the 16 destination regions. This is inadequate to estimate a parameter on the diversity index, and thus we introduce </w:t>
      </w:r>
      <w:r w:rsidR="006960BA">
        <w:t xml:space="preserve">the diversity accessibility </w:t>
      </w:r>
      <w:r w:rsidR="00B05F98">
        <w:t xml:space="preserve">index by normalizing </w:t>
      </w:r>
      <w:r w:rsidR="006960BA">
        <w:t xml:space="preserve">the diversity index </w:t>
      </w:r>
      <w:r w:rsidR="00B05F98">
        <w:t>by a func</w:t>
      </w:r>
      <w:r w:rsidR="006960BA">
        <w:t>tion of travel time to obtain individual-specific diversity accessibility indices:</w:t>
      </w:r>
      <w:r w:rsidR="00B05F98">
        <w:t xml:space="preserve"> </w:t>
      </w:r>
      <w:r w:rsidR="00217D2F" w:rsidRPr="00E2364A">
        <w:rPr>
          <w:rFonts w:eastAsia="Times New Roman"/>
          <w:position w:val="-14"/>
          <w:szCs w:val="24"/>
        </w:rPr>
        <w:object w:dxaOrig="2060" w:dyaOrig="380" w14:anchorId="15BA96CF">
          <v:shape id="_x0000_i1387" type="#_x0000_t75" style="width:102.75pt;height:17.25pt" o:ole="" o:preferrelative="f">
            <v:imagedata r:id="rId695" o:title=""/>
            <o:lock v:ext="edit" aspectratio="f"/>
          </v:shape>
          <o:OLEObject Type="Embed" ProgID="Equation.3" ShapeID="_x0000_i1387" DrawAspect="Content" ObjectID="_1519137236" r:id="rId696"/>
        </w:object>
      </w:r>
      <w:r w:rsidR="006960BA">
        <w:rPr>
          <w:rFonts w:eastAsia="Times New Roman"/>
          <w:szCs w:val="24"/>
        </w:rPr>
        <w:t xml:space="preserve">As earlier, we test both a linear form and a logarithmic form for the effect of travel time in the denominator of this expression. </w:t>
      </w:r>
      <w:r w:rsidR="00636F38">
        <w:rPr>
          <w:rFonts w:eastAsia="Times New Roman"/>
          <w:szCs w:val="24"/>
        </w:rPr>
        <w:t>The</w:t>
      </w:r>
      <w:r w:rsidR="00636F38" w:rsidRPr="00636F38">
        <w:rPr>
          <w:rFonts w:eastAsia="Times New Roman"/>
          <w:szCs w:val="24"/>
        </w:rPr>
        <w:t xml:space="preserve"> best data fit results were </w:t>
      </w:r>
      <w:r w:rsidR="00B03873">
        <w:rPr>
          <w:rFonts w:eastAsia="Times New Roman"/>
          <w:szCs w:val="24"/>
        </w:rPr>
        <w:t xml:space="preserve">again </w:t>
      </w:r>
      <w:r w:rsidR="00636F38" w:rsidRPr="00636F38">
        <w:rPr>
          <w:rFonts w:eastAsia="Times New Roman"/>
          <w:szCs w:val="24"/>
        </w:rPr>
        <w:t xml:space="preserve">obtained consistently with the </w:t>
      </w:r>
      <w:r w:rsidR="00636F38">
        <w:rPr>
          <w:rFonts w:eastAsia="Times New Roman"/>
          <w:szCs w:val="24"/>
        </w:rPr>
        <w:t>linear form</w:t>
      </w:r>
      <w:r w:rsidR="00636F38" w:rsidRPr="00636F38">
        <w:rPr>
          <w:rFonts w:eastAsia="Times New Roman"/>
          <w:szCs w:val="24"/>
        </w:rPr>
        <w:t>.</w:t>
      </w:r>
    </w:p>
    <w:p w:rsidR="00E95885" w:rsidRPr="007B7B0D" w:rsidRDefault="00FF3F60" w:rsidP="00FF3F60">
      <w:pPr>
        <w:spacing w:line="360" w:lineRule="auto"/>
        <w:rPr>
          <w:szCs w:val="24"/>
        </w:rPr>
      </w:pPr>
      <w:r>
        <w:rPr>
          <w:rFonts w:eastAsia="Times New Roman"/>
          <w:szCs w:val="24"/>
        </w:rPr>
        <w:tab/>
        <w:t xml:space="preserve">Another variable </w:t>
      </w:r>
      <w:r w:rsidR="007710F2" w:rsidRPr="007B7B0D">
        <w:rPr>
          <w:szCs w:val="24"/>
        </w:rPr>
        <w:t xml:space="preserve">considered </w:t>
      </w:r>
      <w:r>
        <w:rPr>
          <w:szCs w:val="24"/>
        </w:rPr>
        <w:t xml:space="preserve">in the specifications was the </w:t>
      </w:r>
      <w:r w:rsidR="007710F2" w:rsidRPr="007B7B0D">
        <w:rPr>
          <w:szCs w:val="24"/>
        </w:rPr>
        <w:t>travel cost to each destination region</w:t>
      </w:r>
      <w:r w:rsidR="00F642B4" w:rsidRPr="007B7B0D">
        <w:rPr>
          <w:szCs w:val="24"/>
        </w:rPr>
        <w:t xml:space="preserve">, with the expectation that </w:t>
      </w:r>
      <w:r w:rsidR="00097E86" w:rsidRPr="007B7B0D">
        <w:rPr>
          <w:szCs w:val="24"/>
        </w:rPr>
        <w:t xml:space="preserve">a </w:t>
      </w:r>
      <w:r w:rsidR="00F642B4" w:rsidRPr="007B7B0D">
        <w:rPr>
          <w:szCs w:val="24"/>
        </w:rPr>
        <w:t xml:space="preserve">higher cost would deter visiting the corresponding </w:t>
      </w:r>
      <w:r w:rsidR="00097E86" w:rsidRPr="007B7B0D">
        <w:rPr>
          <w:szCs w:val="24"/>
        </w:rPr>
        <w:t>region</w:t>
      </w:r>
      <w:r w:rsidR="00F642B4" w:rsidRPr="007B7B0D">
        <w:rPr>
          <w:szCs w:val="24"/>
        </w:rPr>
        <w:t xml:space="preserve">. </w:t>
      </w:r>
      <w:r>
        <w:rPr>
          <w:szCs w:val="24"/>
        </w:rPr>
        <w:t xml:space="preserve">Again, both </w:t>
      </w:r>
      <w:proofErr w:type="gramStart"/>
      <w:r>
        <w:rPr>
          <w:szCs w:val="24"/>
        </w:rPr>
        <w:t xml:space="preserve">a simple linear form </w:t>
      </w:r>
      <w:r w:rsidRPr="007B7B0D">
        <w:rPr>
          <w:szCs w:val="24"/>
        </w:rPr>
        <w:t>as well as a logarithmic form</w:t>
      </w:r>
      <w:r>
        <w:rPr>
          <w:szCs w:val="24"/>
        </w:rPr>
        <w:t xml:space="preserve"> were</w:t>
      </w:r>
      <w:proofErr w:type="gramEnd"/>
      <w:r>
        <w:rPr>
          <w:szCs w:val="24"/>
        </w:rPr>
        <w:t xml:space="preserve"> tested for this cost effect</w:t>
      </w:r>
      <w:r w:rsidR="00B03873">
        <w:rPr>
          <w:szCs w:val="24"/>
        </w:rPr>
        <w:t>, with the linear form winning out as the preferred one in our empirical tests</w:t>
      </w:r>
      <w:r>
        <w:rPr>
          <w:szCs w:val="24"/>
        </w:rPr>
        <w:t>.</w:t>
      </w:r>
      <w:r w:rsidRPr="007B7B0D">
        <w:rPr>
          <w:szCs w:val="24"/>
        </w:rPr>
        <w:t xml:space="preserve"> </w:t>
      </w:r>
      <w:r w:rsidR="00097E86" w:rsidRPr="007B7B0D">
        <w:rPr>
          <w:szCs w:val="24"/>
        </w:rPr>
        <w:t xml:space="preserve">In addition, we </w:t>
      </w:r>
      <w:r w:rsidR="00112ADA" w:rsidRPr="007B7B0D">
        <w:rPr>
          <w:szCs w:val="24"/>
        </w:rPr>
        <w:lastRenderedPageBreak/>
        <w:t>included a dummy variable for the presence of a ferry ride. This accommodates any positive leisure/relaxation value of the ferry ride itself, after accounting for the total travel time</w:t>
      </w:r>
      <w:r w:rsidR="006960BA" w:rsidRPr="007B7B0D">
        <w:rPr>
          <w:szCs w:val="24"/>
        </w:rPr>
        <w:t xml:space="preserve"> effect</w:t>
      </w:r>
      <w:r w:rsidR="00112ADA" w:rsidRPr="007B7B0D">
        <w:rPr>
          <w:szCs w:val="24"/>
        </w:rPr>
        <w:t>.</w:t>
      </w:r>
      <w:r w:rsidR="00665CFB" w:rsidRPr="007B7B0D">
        <w:rPr>
          <w:szCs w:val="24"/>
        </w:rPr>
        <w:t xml:space="preserve"> </w:t>
      </w:r>
    </w:p>
    <w:p w:rsidR="00FF3F60" w:rsidRPr="00FF3F60" w:rsidRDefault="00FF3F60" w:rsidP="007B7B0D">
      <w:pPr>
        <w:pStyle w:val="FootnoteText"/>
        <w:spacing w:line="360" w:lineRule="auto"/>
        <w:ind w:firstLine="720"/>
        <w:rPr>
          <w:rFonts w:ascii="Times New Roman" w:hAnsi="Times New Roman"/>
          <w:sz w:val="24"/>
          <w:szCs w:val="24"/>
          <w:lang w:val="en-US"/>
        </w:rPr>
      </w:pPr>
      <w:r>
        <w:rPr>
          <w:rFonts w:ascii="Times New Roman" w:hAnsi="Times New Roman"/>
          <w:sz w:val="24"/>
          <w:szCs w:val="24"/>
          <w:lang w:val="en-US"/>
        </w:rPr>
        <w:t>A</w:t>
      </w:r>
      <w:r w:rsidR="00E95885" w:rsidRPr="007B7B0D">
        <w:rPr>
          <w:rFonts w:ascii="Times New Roman" w:hAnsi="Times New Roman"/>
          <w:sz w:val="24"/>
          <w:szCs w:val="24"/>
        </w:rPr>
        <w:t xml:space="preserve"> continuous ra</w:t>
      </w:r>
      <w:r>
        <w:rPr>
          <w:rFonts w:ascii="Times New Roman" w:hAnsi="Times New Roman"/>
          <w:sz w:val="24"/>
          <w:szCs w:val="24"/>
        </w:rPr>
        <w:t>ndom coefficient specification</w:t>
      </w:r>
      <w:r w:rsidR="005847DC">
        <w:rPr>
          <w:rFonts w:ascii="Times New Roman" w:hAnsi="Times New Roman"/>
          <w:sz w:val="24"/>
          <w:szCs w:val="24"/>
          <w:lang w:val="en-US"/>
        </w:rPr>
        <w:t xml:space="preserve"> is considered</w:t>
      </w:r>
      <w:r>
        <w:rPr>
          <w:rFonts w:ascii="Times New Roman" w:hAnsi="Times New Roman"/>
          <w:sz w:val="24"/>
          <w:szCs w:val="24"/>
        </w:rPr>
        <w:t xml:space="preserve"> </w:t>
      </w:r>
      <w:r w:rsidR="00E95885" w:rsidRPr="007B7B0D">
        <w:rPr>
          <w:rFonts w:ascii="Times New Roman" w:hAnsi="Times New Roman"/>
          <w:sz w:val="24"/>
          <w:szCs w:val="24"/>
        </w:rPr>
        <w:t xml:space="preserve">on all of the above variables in the </w:t>
      </w:r>
      <w:r w:rsidR="00665CFB" w:rsidRPr="007B7B0D">
        <w:rPr>
          <w:rFonts w:ascii="Times New Roman" w:hAnsi="Times New Roman"/>
          <w:sz w:val="24"/>
          <w:szCs w:val="24"/>
        </w:rPr>
        <w:t>baseline preference</w:t>
      </w:r>
      <w:r>
        <w:rPr>
          <w:rFonts w:ascii="Times New Roman" w:hAnsi="Times New Roman"/>
          <w:sz w:val="24"/>
          <w:szCs w:val="24"/>
          <w:lang w:val="en-US"/>
        </w:rPr>
        <w:t xml:space="preserve"> for each discrete mixture (that is, each latent segment).</w:t>
      </w:r>
    </w:p>
    <w:p w:rsidR="0025394D" w:rsidRPr="007B7B0D" w:rsidRDefault="00E95885" w:rsidP="008E478E">
      <w:pPr>
        <w:pStyle w:val="FootnoteText"/>
        <w:spacing w:line="360" w:lineRule="auto"/>
        <w:ind w:firstLine="720"/>
        <w:rPr>
          <w:rFonts w:ascii="Times New Roman" w:hAnsi="Times New Roman"/>
          <w:sz w:val="24"/>
          <w:szCs w:val="24"/>
        </w:rPr>
      </w:pPr>
      <w:r w:rsidRPr="007B7B0D">
        <w:rPr>
          <w:rFonts w:ascii="Times New Roman" w:hAnsi="Times New Roman"/>
          <w:sz w:val="24"/>
          <w:szCs w:val="24"/>
        </w:rPr>
        <w:t xml:space="preserve">Finally, there is one other important issue with regard to the baseline preference specification. As discussed earlier, we use an unlabeled system </w:t>
      </w:r>
      <w:r w:rsidR="00CF2C06" w:rsidRPr="007B7B0D">
        <w:rPr>
          <w:rFonts w:ascii="Times New Roman" w:hAnsi="Times New Roman"/>
          <w:sz w:val="24"/>
          <w:szCs w:val="24"/>
        </w:rPr>
        <w:t xml:space="preserve">for the alternatives, which essentially means that we constrain the </w:t>
      </w:r>
      <w:r w:rsidR="008407AD" w:rsidRPr="007B7B0D">
        <w:rPr>
          <w:rFonts w:ascii="Times New Roman" w:hAnsi="Times New Roman"/>
          <w:sz w:val="24"/>
          <w:szCs w:val="24"/>
          <w:lang w:val="en-US"/>
        </w:rPr>
        <w:t xml:space="preserve">mean </w:t>
      </w:r>
      <w:r w:rsidR="00CF2C06" w:rsidRPr="007B7B0D">
        <w:rPr>
          <w:rFonts w:ascii="Times New Roman" w:hAnsi="Times New Roman"/>
          <w:sz w:val="24"/>
          <w:szCs w:val="24"/>
        </w:rPr>
        <w:t xml:space="preserve">coefficients on the alternative specific constants to be zero in the baseline utility for each destination region alternative. </w:t>
      </w:r>
      <w:r w:rsidR="00CF2C06" w:rsidRPr="007B7B0D">
        <w:rPr>
          <w:rFonts w:ascii="Times New Roman" w:hAnsi="Times New Roman"/>
          <w:sz w:val="24"/>
          <w:szCs w:val="24"/>
          <w:lang w:val="en-US"/>
        </w:rPr>
        <w:t xml:space="preserve">That is, the elements of </w:t>
      </w:r>
      <w:r w:rsidR="00217D2F" w:rsidRPr="007B7B0D">
        <w:rPr>
          <w:rFonts w:ascii="Times New Roman" w:hAnsi="Times New Roman"/>
          <w:position w:val="-14"/>
          <w:sz w:val="24"/>
          <w:szCs w:val="24"/>
        </w:rPr>
        <w:object w:dxaOrig="279" w:dyaOrig="380" w14:anchorId="3F09E30F">
          <v:shape id="_x0000_i1388" type="#_x0000_t75" style="width:14.25pt;height:17.25pt" o:ole="" o:preferrelative="f">
            <v:imagedata r:id="rId697" o:title=""/>
            <o:lock v:ext="edit" aspectratio="f"/>
          </v:shape>
          <o:OLEObject Type="Embed" ProgID="Equation.3" ShapeID="_x0000_i1388" DrawAspect="Content" ObjectID="_1519137237" r:id="rId698"/>
        </w:object>
      </w:r>
      <w:r w:rsidR="00CF2C06" w:rsidRPr="007B7B0D">
        <w:rPr>
          <w:rFonts w:ascii="Times New Roman" w:hAnsi="Times New Roman"/>
          <w:sz w:val="24"/>
          <w:szCs w:val="24"/>
          <w:lang w:val="en-US"/>
        </w:rPr>
        <w:t xml:space="preserve">(in the notation of Section </w:t>
      </w:r>
      <w:r w:rsidR="008B1E86">
        <w:rPr>
          <w:rFonts w:ascii="Times New Roman" w:hAnsi="Times New Roman"/>
          <w:sz w:val="24"/>
          <w:szCs w:val="24"/>
          <w:lang w:val="en-US"/>
        </w:rPr>
        <w:t>2.2</w:t>
      </w:r>
      <w:r w:rsidR="008B1E86" w:rsidRPr="007B7B0D">
        <w:rPr>
          <w:rFonts w:ascii="Times New Roman" w:hAnsi="Times New Roman"/>
          <w:sz w:val="24"/>
          <w:szCs w:val="24"/>
          <w:lang w:val="en-US"/>
        </w:rPr>
        <w:t xml:space="preserve">) </w:t>
      </w:r>
      <w:r w:rsidR="00CF2C06" w:rsidRPr="007B7B0D">
        <w:rPr>
          <w:rFonts w:ascii="Times New Roman" w:hAnsi="Times New Roman"/>
          <w:sz w:val="24"/>
          <w:szCs w:val="24"/>
          <w:lang w:val="en-US"/>
        </w:rPr>
        <w:t xml:space="preserve">corresponding to the 15 alternative-specific dummy variables </w:t>
      </w:r>
      <w:r w:rsidR="0046480D" w:rsidRPr="007B7B0D">
        <w:rPr>
          <w:rFonts w:ascii="Times New Roman" w:hAnsi="Times New Roman"/>
          <w:sz w:val="24"/>
          <w:szCs w:val="24"/>
          <w:lang w:val="en-US"/>
        </w:rPr>
        <w:t xml:space="preserve">for each latent segment </w:t>
      </w:r>
      <w:r w:rsidR="0046480D" w:rsidRPr="007B7B0D">
        <w:rPr>
          <w:rFonts w:ascii="Times New Roman" w:hAnsi="Times New Roman"/>
          <w:i/>
          <w:sz w:val="24"/>
          <w:szCs w:val="24"/>
          <w:lang w:val="en-US"/>
        </w:rPr>
        <w:t>g</w:t>
      </w:r>
      <w:r w:rsidR="0046480D" w:rsidRPr="007B7B0D">
        <w:rPr>
          <w:rFonts w:ascii="Times New Roman" w:hAnsi="Times New Roman"/>
          <w:sz w:val="24"/>
          <w:szCs w:val="24"/>
          <w:lang w:val="en-US"/>
        </w:rPr>
        <w:t xml:space="preserve"> </w:t>
      </w:r>
      <w:r w:rsidR="00CF2C06" w:rsidRPr="007B7B0D">
        <w:rPr>
          <w:rFonts w:ascii="Times New Roman" w:hAnsi="Times New Roman"/>
          <w:sz w:val="24"/>
          <w:szCs w:val="24"/>
          <w:lang w:val="en-US"/>
        </w:rPr>
        <w:t xml:space="preserve">in </w:t>
      </w:r>
      <w:r w:rsidR="00217D2F" w:rsidRPr="007B7B0D">
        <w:rPr>
          <w:rFonts w:ascii="Times New Roman" w:hAnsi="Times New Roman"/>
          <w:position w:val="-14"/>
          <w:sz w:val="24"/>
          <w:szCs w:val="24"/>
        </w:rPr>
        <w:object w:dxaOrig="340" w:dyaOrig="380" w14:anchorId="6E5D28F7">
          <v:shape id="_x0000_i1389" type="#_x0000_t75" style="width:17.25pt;height:17.25pt" o:ole="" o:preferrelative="f">
            <v:imagedata r:id="rId62" o:title=""/>
            <o:lock v:ext="edit" aspectratio="f"/>
          </v:shape>
          <o:OLEObject Type="Embed" ProgID="Equation.3" ShapeID="_x0000_i1389" DrawAspect="Content" ObjectID="_1519137238" r:id="rId699"/>
        </w:object>
      </w:r>
      <w:r w:rsidR="00217D2F">
        <w:rPr>
          <w:rFonts w:ascii="Times New Roman" w:hAnsi="Times New Roman"/>
          <w:sz w:val="24"/>
          <w:szCs w:val="24"/>
          <w:lang w:val="en-US"/>
        </w:rPr>
        <w:t xml:space="preserve"> </w:t>
      </w:r>
      <w:r w:rsidR="0046480D" w:rsidRPr="007B7B0D">
        <w:rPr>
          <w:rFonts w:ascii="Times New Roman" w:hAnsi="Times New Roman"/>
          <w:sz w:val="24"/>
          <w:szCs w:val="24"/>
          <w:lang w:val="en-US"/>
        </w:rPr>
        <w:t xml:space="preserve">are </w:t>
      </w:r>
      <w:r w:rsidR="00CF2C06" w:rsidRPr="007B7B0D">
        <w:rPr>
          <w:rFonts w:ascii="Times New Roman" w:hAnsi="Times New Roman"/>
          <w:sz w:val="24"/>
          <w:szCs w:val="24"/>
          <w:lang w:val="en-US"/>
        </w:rPr>
        <w:t xml:space="preserve">set to zero. </w:t>
      </w:r>
      <w:r w:rsidR="008407AD" w:rsidRPr="007B7B0D">
        <w:rPr>
          <w:rFonts w:ascii="Times New Roman" w:hAnsi="Times New Roman"/>
          <w:sz w:val="24"/>
          <w:szCs w:val="24"/>
          <w:lang w:val="en-US"/>
        </w:rPr>
        <w:t xml:space="preserve">However, we allow random covariance about this mean of zero. That is, the </w:t>
      </w:r>
      <w:r w:rsidR="00DC51DF" w:rsidRPr="007B7B0D">
        <w:rPr>
          <w:rFonts w:ascii="Times New Roman" w:hAnsi="Times New Roman"/>
          <w:sz w:val="24"/>
          <w:szCs w:val="24"/>
          <w:lang w:val="en-US"/>
        </w:rPr>
        <w:t xml:space="preserve">15 </w:t>
      </w:r>
      <w:r w:rsidR="008407AD" w:rsidRPr="007B7B0D">
        <w:rPr>
          <w:rFonts w:ascii="Times New Roman" w:hAnsi="Times New Roman"/>
          <w:sz w:val="24"/>
          <w:szCs w:val="24"/>
          <w:lang w:val="en-US"/>
        </w:rPr>
        <w:t xml:space="preserve">elements of </w:t>
      </w:r>
      <w:r w:rsidR="00217D2F" w:rsidRPr="007B7B0D">
        <w:rPr>
          <w:rFonts w:ascii="Times New Roman" w:hAnsi="Times New Roman"/>
          <w:position w:val="-14"/>
          <w:sz w:val="24"/>
          <w:szCs w:val="24"/>
        </w:rPr>
        <w:object w:dxaOrig="380" w:dyaOrig="420" w14:anchorId="75D84BDB">
          <v:shape id="_x0000_i1390" type="#_x0000_t75" style="width:17.25pt;height:21.75pt" o:ole="" o:preferrelative="f">
            <v:imagedata r:id="rId700" o:title=""/>
            <o:lock v:ext="edit" aspectratio="f"/>
          </v:shape>
          <o:OLEObject Type="Embed" ProgID="Equation.3" ShapeID="_x0000_i1390" DrawAspect="Content" ObjectID="_1519137239" r:id="rId701"/>
        </w:object>
      </w:r>
      <w:r w:rsidR="00217D2F">
        <w:rPr>
          <w:rFonts w:ascii="Times New Roman" w:hAnsi="Times New Roman"/>
          <w:sz w:val="24"/>
          <w:szCs w:val="24"/>
          <w:lang w:val="en-US"/>
        </w:rPr>
        <w:t xml:space="preserve"> </w:t>
      </w:r>
      <w:r w:rsidR="008407AD" w:rsidRPr="007B7B0D">
        <w:rPr>
          <w:rFonts w:ascii="Times New Roman" w:hAnsi="Times New Roman"/>
          <w:sz w:val="24"/>
          <w:szCs w:val="24"/>
          <w:lang w:val="en-US"/>
        </w:rPr>
        <w:t>corresponding to the alternative-specific co</w:t>
      </w:r>
      <w:r w:rsidR="00DD7F54">
        <w:rPr>
          <w:rFonts w:ascii="Times New Roman" w:hAnsi="Times New Roman"/>
          <w:sz w:val="24"/>
          <w:szCs w:val="24"/>
          <w:lang w:val="en-US"/>
        </w:rPr>
        <w:t>nstants</w:t>
      </w:r>
      <w:r w:rsidR="008407AD" w:rsidRPr="007B7B0D">
        <w:rPr>
          <w:rFonts w:ascii="Times New Roman" w:hAnsi="Times New Roman"/>
          <w:sz w:val="24"/>
          <w:szCs w:val="24"/>
          <w:lang w:val="en-US"/>
        </w:rPr>
        <w:t xml:space="preserve"> are included with a covariance matrix. Assume that the random coefficients on the alternative-specific co</w:t>
      </w:r>
      <w:r w:rsidR="00DD7F54">
        <w:rPr>
          <w:rFonts w:ascii="Times New Roman" w:hAnsi="Times New Roman"/>
          <w:sz w:val="24"/>
          <w:szCs w:val="24"/>
          <w:lang w:val="en-US"/>
        </w:rPr>
        <w:t>nstants</w:t>
      </w:r>
      <w:r w:rsidR="008407AD" w:rsidRPr="007B7B0D">
        <w:rPr>
          <w:rFonts w:ascii="Times New Roman" w:hAnsi="Times New Roman"/>
          <w:sz w:val="24"/>
          <w:szCs w:val="24"/>
          <w:lang w:val="en-US"/>
        </w:rPr>
        <w:t xml:space="preserve"> </w:t>
      </w:r>
      <w:r w:rsidR="0046480D" w:rsidRPr="007B7B0D">
        <w:rPr>
          <w:rFonts w:ascii="Times New Roman" w:hAnsi="Times New Roman"/>
          <w:sz w:val="24"/>
          <w:szCs w:val="24"/>
          <w:lang w:val="en-US"/>
        </w:rPr>
        <w:t xml:space="preserve">(ASCs) </w:t>
      </w:r>
      <w:r w:rsidR="008407AD" w:rsidRPr="007B7B0D">
        <w:rPr>
          <w:rFonts w:ascii="Times New Roman" w:hAnsi="Times New Roman"/>
          <w:sz w:val="24"/>
          <w:szCs w:val="24"/>
          <w:lang w:val="en-US"/>
        </w:rPr>
        <w:t xml:space="preserve">are independent of the random coefficients on other independent variables. </w:t>
      </w:r>
      <w:r w:rsidR="00DC51DF" w:rsidRPr="007B7B0D">
        <w:rPr>
          <w:rFonts w:ascii="Times New Roman" w:hAnsi="Times New Roman"/>
          <w:sz w:val="24"/>
          <w:szCs w:val="24"/>
          <w:lang w:val="en-US"/>
        </w:rPr>
        <w:t xml:space="preserve">Let </w:t>
      </w:r>
      <w:r w:rsidR="00217D2F" w:rsidRPr="007B7B0D">
        <w:rPr>
          <w:rFonts w:ascii="Times New Roman" w:hAnsi="Times New Roman"/>
          <w:position w:val="-14"/>
          <w:sz w:val="24"/>
          <w:szCs w:val="24"/>
        </w:rPr>
        <w:object w:dxaOrig="620" w:dyaOrig="420" w14:anchorId="2FB1DF18">
          <v:shape id="_x0000_i1391" type="#_x0000_t75" style="width:31.5pt;height:21.75pt" o:ole="" o:preferrelative="f">
            <v:imagedata r:id="rId702" o:title=""/>
            <o:lock v:ext="edit" aspectratio="f"/>
          </v:shape>
          <o:OLEObject Type="Embed" ProgID="Equation.3" ShapeID="_x0000_i1391" DrawAspect="Content" ObjectID="_1519137240" r:id="rId703"/>
        </w:object>
      </w:r>
      <w:r w:rsidR="00AA27D0" w:rsidRPr="007B7B0D">
        <w:rPr>
          <w:rFonts w:ascii="Times New Roman" w:hAnsi="Times New Roman"/>
          <w:sz w:val="24"/>
          <w:szCs w:val="24"/>
          <w:lang w:val="en-US"/>
        </w:rPr>
        <w:t xml:space="preserve"> be a vector that collects the </w:t>
      </w:r>
      <w:r w:rsidR="00DC51DF" w:rsidRPr="007B7B0D">
        <w:rPr>
          <w:rFonts w:ascii="Times New Roman" w:hAnsi="Times New Roman"/>
          <w:sz w:val="24"/>
          <w:szCs w:val="24"/>
          <w:lang w:val="en-US"/>
        </w:rPr>
        <w:t xml:space="preserve">random coefficients </w:t>
      </w:r>
      <w:r w:rsidR="00AA27D0" w:rsidRPr="007B7B0D">
        <w:rPr>
          <w:rFonts w:ascii="Times New Roman" w:hAnsi="Times New Roman"/>
          <w:sz w:val="24"/>
          <w:szCs w:val="24"/>
          <w:lang w:val="en-US"/>
        </w:rPr>
        <w:t xml:space="preserve">corresponding to the 15 ASCs </w:t>
      </w:r>
      <w:r w:rsidR="00DC51DF" w:rsidRPr="007B7B0D">
        <w:rPr>
          <w:rFonts w:ascii="Times New Roman" w:hAnsi="Times New Roman"/>
          <w:sz w:val="24"/>
          <w:szCs w:val="24"/>
          <w:lang w:val="en-US"/>
        </w:rPr>
        <w:t xml:space="preserve">for each segment g. </w:t>
      </w:r>
      <w:r w:rsidR="0046480D" w:rsidRPr="007B7B0D">
        <w:rPr>
          <w:rFonts w:ascii="Times New Roman" w:hAnsi="Times New Roman"/>
          <w:sz w:val="24"/>
          <w:szCs w:val="24"/>
          <w:lang w:val="en-US"/>
        </w:rPr>
        <w:t xml:space="preserve">Then, the simplest specification for the covariance matrix of the 15 ASCs (for each segment g) obtained as differences of the original 16 ASCs from the first ASC </w:t>
      </w:r>
      <w:r w:rsidR="00AF6D82" w:rsidRPr="007B7B0D">
        <w:rPr>
          <w:rFonts w:ascii="Times New Roman" w:hAnsi="Times New Roman"/>
          <w:sz w:val="24"/>
          <w:szCs w:val="24"/>
          <w:lang w:val="en-US"/>
        </w:rPr>
        <w:t xml:space="preserve">(corresponding to the Northland region) </w:t>
      </w:r>
      <w:r w:rsidR="0046480D" w:rsidRPr="007B7B0D">
        <w:rPr>
          <w:rFonts w:ascii="Times New Roman" w:hAnsi="Times New Roman"/>
          <w:sz w:val="24"/>
          <w:szCs w:val="24"/>
          <w:lang w:val="en-US"/>
        </w:rPr>
        <w:t>would be as below (which originates from a specification of indepe</w:t>
      </w:r>
      <w:r w:rsidR="00AA27D0" w:rsidRPr="007B7B0D">
        <w:rPr>
          <w:rFonts w:ascii="Times New Roman" w:hAnsi="Times New Roman"/>
          <w:sz w:val="24"/>
          <w:szCs w:val="24"/>
          <w:lang w:val="en-US"/>
        </w:rPr>
        <w:t>n</w:t>
      </w:r>
      <w:r w:rsidR="0046480D" w:rsidRPr="007B7B0D">
        <w:rPr>
          <w:rFonts w:ascii="Times New Roman" w:hAnsi="Times New Roman"/>
          <w:sz w:val="24"/>
          <w:szCs w:val="24"/>
          <w:lang w:val="en-US"/>
        </w:rPr>
        <w:t xml:space="preserve">dently and </w:t>
      </w:r>
      <w:r w:rsidR="00AA27D0" w:rsidRPr="007B7B0D">
        <w:rPr>
          <w:rFonts w:ascii="Times New Roman" w:hAnsi="Times New Roman"/>
          <w:sz w:val="24"/>
          <w:szCs w:val="24"/>
          <w:lang w:val="en-US"/>
        </w:rPr>
        <w:t>identic</w:t>
      </w:r>
      <w:r w:rsidR="0046480D" w:rsidRPr="007B7B0D">
        <w:rPr>
          <w:rFonts w:ascii="Times New Roman" w:hAnsi="Times New Roman"/>
          <w:sz w:val="24"/>
          <w:szCs w:val="24"/>
          <w:lang w:val="en-US"/>
        </w:rPr>
        <w:t xml:space="preserve">ally distributed (IID) </w:t>
      </w:r>
      <w:r w:rsidR="00FF3F60">
        <w:rPr>
          <w:rFonts w:ascii="Times New Roman" w:hAnsi="Times New Roman"/>
          <w:sz w:val="24"/>
          <w:szCs w:val="24"/>
          <w:lang w:val="en-US"/>
        </w:rPr>
        <w:t>random errors</w:t>
      </w:r>
      <w:r w:rsidR="0046480D" w:rsidRPr="007B7B0D">
        <w:rPr>
          <w:rFonts w:ascii="Times New Roman" w:hAnsi="Times New Roman"/>
          <w:sz w:val="24"/>
          <w:szCs w:val="24"/>
          <w:lang w:val="en-US"/>
        </w:rPr>
        <w:t xml:space="preserve"> with a variance of 0.5 </w:t>
      </w:r>
      <w:r w:rsidR="00FF3F60">
        <w:rPr>
          <w:rFonts w:ascii="Times New Roman" w:hAnsi="Times New Roman"/>
          <w:sz w:val="24"/>
          <w:szCs w:val="24"/>
          <w:lang w:val="en-US"/>
        </w:rPr>
        <w:t xml:space="preserve">for each of </w:t>
      </w:r>
      <w:r w:rsidR="0046480D" w:rsidRPr="007B7B0D">
        <w:rPr>
          <w:rFonts w:ascii="Times New Roman" w:hAnsi="Times New Roman"/>
          <w:sz w:val="24"/>
          <w:szCs w:val="24"/>
          <w:lang w:val="en-US"/>
        </w:rPr>
        <w:t>the original 16 ASCs):</w:t>
      </w:r>
    </w:p>
    <w:p w:rsidR="0025394D" w:rsidRPr="008B1E86" w:rsidRDefault="00E6713B" w:rsidP="008E478E">
      <w:pPr>
        <w:pStyle w:val="FootnoteText"/>
        <w:tabs>
          <w:tab w:val="right" w:pos="9360"/>
        </w:tabs>
        <w:spacing w:line="360" w:lineRule="auto"/>
        <w:rPr>
          <w:rFonts w:ascii="Times New Roman" w:hAnsi="Times New Roman"/>
          <w:sz w:val="24"/>
          <w:szCs w:val="24"/>
          <w:lang w:val="en-US"/>
        </w:rPr>
      </w:pPr>
      <w:r w:rsidRPr="007B7B0D">
        <w:rPr>
          <w:rFonts w:ascii="Times New Roman" w:hAnsi="Times New Roman"/>
          <w:position w:val="-90"/>
          <w:sz w:val="24"/>
          <w:szCs w:val="24"/>
        </w:rPr>
        <w:object w:dxaOrig="6940" w:dyaOrig="1860" w14:anchorId="1E621774">
          <v:shape id="_x0000_i1392" type="#_x0000_t75" style="width:347.25pt;height:93.75pt" o:ole="" o:preferrelative="f">
            <v:imagedata r:id="rId704" o:title=""/>
            <o:lock v:ext="edit" aspectratio="f"/>
          </v:shape>
          <o:OLEObject Type="Embed" ProgID="Equation.3" ShapeID="_x0000_i1392" DrawAspect="Content" ObjectID="_1519137241" r:id="rId705"/>
        </w:object>
      </w:r>
      <w:r w:rsidR="0025394D" w:rsidRPr="007B7B0D">
        <w:rPr>
          <w:rFonts w:ascii="Times New Roman" w:hAnsi="Times New Roman"/>
          <w:sz w:val="24"/>
          <w:szCs w:val="24"/>
        </w:rPr>
        <w:t xml:space="preserve">. </w:t>
      </w:r>
      <w:r w:rsidR="008B1E86">
        <w:rPr>
          <w:rFonts w:ascii="Times New Roman" w:hAnsi="Times New Roman"/>
          <w:sz w:val="24"/>
          <w:szCs w:val="24"/>
          <w:lang w:val="en-US"/>
        </w:rPr>
        <w:t xml:space="preserve">                           </w:t>
      </w:r>
      <w:r w:rsidR="00320DF9">
        <w:rPr>
          <w:rFonts w:ascii="Times New Roman" w:hAnsi="Times New Roman"/>
          <w:sz w:val="24"/>
          <w:szCs w:val="24"/>
          <w:lang w:val="en-US"/>
        </w:rPr>
        <w:tab/>
      </w:r>
      <w:r w:rsidR="008B1E86">
        <w:rPr>
          <w:rFonts w:ascii="Times New Roman" w:hAnsi="Times New Roman"/>
          <w:sz w:val="24"/>
          <w:szCs w:val="24"/>
          <w:lang w:val="en-US"/>
        </w:rPr>
        <w:t>(18)</w:t>
      </w:r>
    </w:p>
    <w:p w:rsidR="0046480D" w:rsidRPr="007B7B0D" w:rsidRDefault="0025394D" w:rsidP="008E478E">
      <w:pPr>
        <w:pStyle w:val="FootnoteText"/>
        <w:spacing w:line="360" w:lineRule="auto"/>
        <w:rPr>
          <w:rFonts w:ascii="Times New Roman" w:hAnsi="Times New Roman"/>
          <w:sz w:val="24"/>
          <w:szCs w:val="24"/>
          <w:lang w:val="en-US"/>
        </w:rPr>
      </w:pPr>
      <w:r w:rsidRPr="007B7B0D">
        <w:rPr>
          <w:rFonts w:ascii="Times New Roman" w:hAnsi="Times New Roman"/>
          <w:sz w:val="24"/>
          <w:szCs w:val="24"/>
          <w:lang w:val="en-US"/>
        </w:rPr>
        <w:t>However, there is likely to be spatial correlation across the utilities of the d</w:t>
      </w:r>
      <w:r w:rsidR="00DC51DF" w:rsidRPr="007B7B0D">
        <w:rPr>
          <w:rFonts w:ascii="Times New Roman" w:hAnsi="Times New Roman"/>
          <w:sz w:val="24"/>
          <w:szCs w:val="24"/>
          <w:lang w:val="en-US"/>
        </w:rPr>
        <w:t>ifferent regions because of similarity in</w:t>
      </w:r>
      <w:r w:rsidRPr="007B7B0D">
        <w:rPr>
          <w:rFonts w:ascii="Times New Roman" w:hAnsi="Times New Roman"/>
          <w:sz w:val="24"/>
          <w:szCs w:val="24"/>
          <w:lang w:val="en-US"/>
        </w:rPr>
        <w:t xml:space="preserve"> unobserved attributes across proximally located regions. </w:t>
      </w:r>
      <w:r w:rsidR="00FF3F60">
        <w:rPr>
          <w:rFonts w:ascii="Times New Roman" w:hAnsi="Times New Roman"/>
          <w:sz w:val="24"/>
          <w:szCs w:val="24"/>
          <w:lang w:val="en-US"/>
        </w:rPr>
        <w:t>But</w:t>
      </w:r>
      <w:r w:rsidR="00AF6D82" w:rsidRPr="007B7B0D">
        <w:rPr>
          <w:rFonts w:ascii="Times New Roman" w:hAnsi="Times New Roman"/>
          <w:sz w:val="24"/>
          <w:szCs w:val="24"/>
          <w:lang w:val="en-US"/>
        </w:rPr>
        <w:t xml:space="preserve">, we have to assume that one region is not spatially correlated with all the other regions (because only differences in the baseline utilities matter). In our analysis, the first region (that is, the Northland region) will play this base role. </w:t>
      </w:r>
      <w:r w:rsidR="00DC51DF" w:rsidRPr="007B7B0D">
        <w:rPr>
          <w:rFonts w:ascii="Times New Roman" w:hAnsi="Times New Roman"/>
          <w:sz w:val="24"/>
          <w:szCs w:val="24"/>
          <w:lang w:val="en-US"/>
        </w:rPr>
        <w:t xml:space="preserve">We </w:t>
      </w:r>
      <w:r w:rsidR="00AF6D82" w:rsidRPr="007B7B0D">
        <w:rPr>
          <w:rFonts w:ascii="Times New Roman" w:hAnsi="Times New Roman"/>
          <w:sz w:val="24"/>
          <w:szCs w:val="24"/>
          <w:lang w:val="en-US"/>
        </w:rPr>
        <w:t xml:space="preserve">then accommodate </w:t>
      </w:r>
      <w:r w:rsidR="00DC51DF" w:rsidRPr="007B7B0D">
        <w:rPr>
          <w:rFonts w:ascii="Times New Roman" w:hAnsi="Times New Roman"/>
          <w:sz w:val="24"/>
          <w:szCs w:val="24"/>
          <w:lang w:val="en-US"/>
        </w:rPr>
        <w:t xml:space="preserve">spatial correlation </w:t>
      </w:r>
      <w:r w:rsidR="00AF6D82" w:rsidRPr="007B7B0D">
        <w:rPr>
          <w:rFonts w:ascii="Times New Roman" w:hAnsi="Times New Roman"/>
          <w:sz w:val="24"/>
          <w:szCs w:val="24"/>
          <w:lang w:val="en-US"/>
        </w:rPr>
        <w:t xml:space="preserve">across other regions </w:t>
      </w:r>
      <w:r w:rsidR="00DC51DF" w:rsidRPr="007B7B0D">
        <w:rPr>
          <w:rFonts w:ascii="Times New Roman" w:hAnsi="Times New Roman"/>
          <w:sz w:val="24"/>
          <w:szCs w:val="24"/>
          <w:lang w:val="en-US"/>
        </w:rPr>
        <w:lastRenderedPageBreak/>
        <w:t xml:space="preserve">using a spatial autoregressive (SAR) error structure of order one </w:t>
      </w:r>
      <w:r w:rsidR="00AF6D82" w:rsidRPr="007B7B0D">
        <w:rPr>
          <w:rFonts w:ascii="Times New Roman" w:hAnsi="Times New Roman"/>
          <w:sz w:val="24"/>
          <w:szCs w:val="24"/>
          <w:lang w:val="en-US"/>
        </w:rPr>
        <w:t xml:space="preserve">for the random components of the ASCs of the other 15 regions </w:t>
      </w:r>
      <w:r w:rsidR="00DC51DF" w:rsidRPr="007B7B0D">
        <w:rPr>
          <w:rFonts w:ascii="Times New Roman" w:hAnsi="Times New Roman"/>
          <w:sz w:val="24"/>
          <w:szCs w:val="24"/>
          <w:lang w:val="en-US"/>
        </w:rPr>
        <w:t>as follows:</w:t>
      </w:r>
    </w:p>
    <w:p w:rsidR="00C6411F" w:rsidRDefault="00217D2F" w:rsidP="008E478E">
      <w:pPr>
        <w:pStyle w:val="FootnoteText"/>
        <w:tabs>
          <w:tab w:val="right" w:pos="9360"/>
        </w:tabs>
        <w:spacing w:line="360" w:lineRule="auto"/>
        <w:rPr>
          <w:rFonts w:ascii="Times New Roman" w:hAnsi="Times New Roman"/>
          <w:sz w:val="24"/>
          <w:szCs w:val="24"/>
          <w:lang w:val="en-US"/>
        </w:rPr>
      </w:pPr>
      <w:r w:rsidRPr="007B7B0D">
        <w:rPr>
          <w:rFonts w:ascii="Times New Roman" w:hAnsi="Times New Roman"/>
          <w:position w:val="-14"/>
          <w:sz w:val="24"/>
          <w:szCs w:val="24"/>
        </w:rPr>
        <w:object w:dxaOrig="3780" w:dyaOrig="420" w14:anchorId="6A396274">
          <v:shape id="_x0000_i1393" type="#_x0000_t75" style="width:189pt;height:21.75pt" o:ole="" o:preferrelative="f">
            <v:imagedata r:id="rId706" o:title=""/>
            <o:lock v:ext="edit" aspectratio="f"/>
          </v:shape>
          <o:OLEObject Type="Embed" ProgID="Equation.3" ShapeID="_x0000_i1393" DrawAspect="Content" ObjectID="_1519137242" r:id="rId707"/>
        </w:object>
      </w:r>
      <w:r w:rsidR="008B1E86">
        <w:rPr>
          <w:rFonts w:ascii="Times New Roman" w:hAnsi="Times New Roman"/>
          <w:sz w:val="24"/>
          <w:szCs w:val="24"/>
          <w:lang w:val="en-US"/>
        </w:rPr>
        <w:t xml:space="preserve">  </w:t>
      </w:r>
      <w:r w:rsidR="00184DFD">
        <w:rPr>
          <w:rFonts w:ascii="Times New Roman" w:hAnsi="Times New Roman"/>
          <w:sz w:val="24"/>
          <w:szCs w:val="24"/>
          <w:lang w:val="en-US"/>
        </w:rPr>
        <w:tab/>
      </w:r>
      <w:r w:rsidR="008B1E86">
        <w:rPr>
          <w:rFonts w:ascii="Times New Roman" w:hAnsi="Times New Roman"/>
          <w:sz w:val="24"/>
          <w:szCs w:val="24"/>
          <w:lang w:val="en-US"/>
        </w:rPr>
        <w:t>(19)</w:t>
      </w:r>
    </w:p>
    <w:p w:rsidR="0046480D" w:rsidRPr="007B7B0D" w:rsidRDefault="00AA27D0" w:rsidP="007B7B0D">
      <w:pPr>
        <w:pStyle w:val="FootnoteText"/>
        <w:spacing w:line="360" w:lineRule="auto"/>
        <w:rPr>
          <w:rFonts w:ascii="Times New Roman" w:hAnsi="Times New Roman"/>
          <w:sz w:val="24"/>
          <w:szCs w:val="24"/>
          <w:lang w:val="en-US"/>
        </w:rPr>
      </w:pPr>
      <w:proofErr w:type="gramStart"/>
      <w:r w:rsidRPr="007B7B0D">
        <w:rPr>
          <w:rFonts w:ascii="Times New Roman" w:hAnsi="Times New Roman"/>
          <w:sz w:val="24"/>
          <w:szCs w:val="24"/>
          <w:lang w:val="en-US"/>
        </w:rPr>
        <w:t>where</w:t>
      </w:r>
      <w:proofErr w:type="gramEnd"/>
      <w:r w:rsidRPr="007B7B0D">
        <w:rPr>
          <w:rFonts w:ascii="Times New Roman" w:hAnsi="Times New Roman"/>
          <w:sz w:val="24"/>
          <w:szCs w:val="24"/>
          <w:lang w:val="en-US"/>
        </w:rPr>
        <w:t xml:space="preserve"> </w:t>
      </w:r>
      <w:r w:rsidR="00217D2F" w:rsidRPr="007B7B0D">
        <w:rPr>
          <w:rFonts w:ascii="Times New Roman" w:hAnsi="Times New Roman"/>
          <w:position w:val="-10"/>
          <w:sz w:val="24"/>
          <w:szCs w:val="24"/>
        </w:rPr>
        <w:object w:dxaOrig="240" w:dyaOrig="260" w14:anchorId="7CEC1D47">
          <v:shape id="_x0000_i1394" type="#_x0000_t75" style="width:12pt;height:12.75pt" o:ole="" o:preferrelative="f">
            <v:imagedata r:id="rId708" o:title=""/>
            <o:lock v:ext="edit" aspectratio="f"/>
          </v:shape>
          <o:OLEObject Type="Embed" ProgID="Equation.3" ShapeID="_x0000_i1394" DrawAspect="Content" ObjectID="_1519137243" r:id="rId709"/>
        </w:object>
      </w:r>
      <w:r w:rsidR="0090442A">
        <w:rPr>
          <w:rFonts w:ascii="Times New Roman" w:hAnsi="Times New Roman"/>
          <w:sz w:val="24"/>
          <w:szCs w:val="24"/>
          <w:lang w:val="en-US"/>
        </w:rPr>
        <w:t xml:space="preserve"> </w:t>
      </w:r>
      <w:r w:rsidRPr="007B7B0D">
        <w:rPr>
          <w:rFonts w:ascii="Times New Roman" w:hAnsi="Times New Roman"/>
          <w:sz w:val="24"/>
          <w:szCs w:val="24"/>
          <w:lang w:val="en-US"/>
        </w:rPr>
        <w:t xml:space="preserve">is the spatial autoregressive coefficient, </w:t>
      </w:r>
      <w:r w:rsidR="00217D2F" w:rsidRPr="007B7B0D">
        <w:rPr>
          <w:rFonts w:ascii="Times New Roman" w:hAnsi="Times New Roman"/>
          <w:position w:val="-6"/>
          <w:sz w:val="24"/>
          <w:szCs w:val="24"/>
        </w:rPr>
        <w:object w:dxaOrig="320" w:dyaOrig="260" w14:anchorId="3E0ACFC1">
          <v:shape id="_x0000_i1395" type="#_x0000_t75" style="width:15.75pt;height:12.75pt" o:ole="" o:preferrelative="f">
            <v:imagedata r:id="rId710" o:title=""/>
            <o:lock v:ext="edit" aspectratio="f"/>
          </v:shape>
          <o:OLEObject Type="Embed" ProgID="Equation.3" ShapeID="_x0000_i1395" DrawAspect="Content" ObjectID="_1519137244" r:id="rId711"/>
        </w:object>
      </w:r>
      <w:r w:rsidR="0090442A">
        <w:rPr>
          <w:rFonts w:ascii="Times New Roman" w:hAnsi="Times New Roman"/>
          <w:sz w:val="24"/>
          <w:szCs w:val="24"/>
          <w:lang w:val="en-US"/>
        </w:rPr>
        <w:t xml:space="preserve"> </w:t>
      </w:r>
      <w:r w:rsidR="00E647B3" w:rsidRPr="007B7B0D">
        <w:rPr>
          <w:rFonts w:ascii="Times New Roman" w:hAnsi="Times New Roman"/>
          <w:sz w:val="24"/>
          <w:szCs w:val="24"/>
        </w:rPr>
        <w:t xml:space="preserve">is a distance-based spatial weight </w:t>
      </w:r>
      <w:r w:rsidR="00E647B3" w:rsidRPr="007B7B0D">
        <w:rPr>
          <w:rFonts w:ascii="Times New Roman" w:hAnsi="Times New Roman"/>
          <w:sz w:val="24"/>
          <w:szCs w:val="24"/>
          <w:lang w:val="en-US"/>
        </w:rPr>
        <w:t xml:space="preserve">matrix with elements </w:t>
      </w:r>
      <w:r w:rsidR="00217D2F" w:rsidRPr="007B7B0D">
        <w:rPr>
          <w:rFonts w:ascii="Times New Roman" w:hAnsi="Times New Roman"/>
          <w:position w:val="-14"/>
          <w:sz w:val="24"/>
          <w:szCs w:val="24"/>
        </w:rPr>
        <w:object w:dxaOrig="480" w:dyaOrig="380" w14:anchorId="1FA13724">
          <v:shape id="_x0000_i1396" type="#_x0000_t75" style="width:24pt;height:17.25pt" o:ole="" o:preferrelative="f">
            <v:imagedata r:id="rId712" o:title=""/>
            <o:lock v:ext="edit" aspectratio="f"/>
          </v:shape>
          <o:OLEObject Type="Embed" ProgID="Equation.3" ShapeID="_x0000_i1396" DrawAspect="Content" ObjectID="_1519137245" r:id="rId713"/>
        </w:object>
      </w:r>
      <w:r w:rsidR="00E647B3" w:rsidRPr="007B7B0D">
        <w:rPr>
          <w:rFonts w:ascii="Times New Roman" w:hAnsi="Times New Roman"/>
          <w:sz w:val="24"/>
          <w:szCs w:val="24"/>
        </w:rPr>
        <w:t xml:space="preserve">corresponding to </w:t>
      </w:r>
      <w:r w:rsidR="00E647B3" w:rsidRPr="007B7B0D">
        <w:rPr>
          <w:rFonts w:ascii="Times New Roman" w:hAnsi="Times New Roman"/>
          <w:sz w:val="24"/>
          <w:szCs w:val="24"/>
          <w:lang w:val="en-US"/>
        </w:rPr>
        <w:t xml:space="preserve">regions </w:t>
      </w:r>
      <w:r w:rsidR="00E647B3" w:rsidRPr="00B03873">
        <w:rPr>
          <w:rFonts w:ascii="Times New Roman" w:hAnsi="Times New Roman"/>
          <w:i/>
          <w:sz w:val="24"/>
          <w:szCs w:val="24"/>
          <w:lang w:val="en-US"/>
        </w:rPr>
        <w:t>k</w:t>
      </w:r>
      <w:r w:rsidR="00E647B3" w:rsidRPr="007B7B0D">
        <w:rPr>
          <w:rFonts w:ascii="Times New Roman" w:hAnsi="Times New Roman"/>
          <w:sz w:val="24"/>
          <w:szCs w:val="24"/>
        </w:rPr>
        <w:t xml:space="preserve"> and </w:t>
      </w:r>
      <w:r w:rsidR="00217D2F" w:rsidRPr="00217D2F">
        <w:rPr>
          <w:rFonts w:ascii="Times New Roman" w:hAnsi="Times New Roman"/>
          <w:position w:val="-6"/>
          <w:sz w:val="24"/>
          <w:szCs w:val="24"/>
        </w:rPr>
        <w:object w:dxaOrig="260" w:dyaOrig="279">
          <v:shape id="_x0000_i1397" type="#_x0000_t75" style="width:12.75pt;height:14.25pt" o:ole="">
            <v:imagedata r:id="rId714" o:title=""/>
          </v:shape>
          <o:OLEObject Type="Embed" ProgID="Equation.3" ShapeID="_x0000_i1397" DrawAspect="Content" ObjectID="_1519137246" r:id="rId715"/>
        </w:object>
      </w:r>
      <w:r w:rsidR="00217D2F">
        <w:rPr>
          <w:rFonts w:ascii="Times New Roman" w:hAnsi="Times New Roman"/>
          <w:sz w:val="24"/>
          <w:szCs w:val="24"/>
          <w:lang w:val="en-US"/>
        </w:rPr>
        <w:t xml:space="preserve"> </w:t>
      </w:r>
      <w:r w:rsidR="00E647B3" w:rsidRPr="007B7B0D">
        <w:rPr>
          <w:rFonts w:ascii="Times New Roman" w:hAnsi="Times New Roman"/>
          <w:sz w:val="24"/>
          <w:szCs w:val="24"/>
        </w:rPr>
        <w:t xml:space="preserve">(with </w:t>
      </w:r>
      <w:r w:rsidR="00217D2F" w:rsidRPr="007B7B0D">
        <w:rPr>
          <w:rFonts w:ascii="Times New Roman" w:hAnsi="Times New Roman"/>
          <w:position w:val="-12"/>
          <w:sz w:val="24"/>
          <w:szCs w:val="24"/>
        </w:rPr>
        <w:object w:dxaOrig="760" w:dyaOrig="360" w14:anchorId="798DC357">
          <v:shape id="_x0000_i1398" type="#_x0000_t75" style="width:39pt;height:18.75pt" o:ole="" o:preferrelative="f">
            <v:imagedata r:id="rId716" o:title=""/>
            <o:lock v:ext="edit" aspectratio="f"/>
          </v:shape>
          <o:OLEObject Type="Embed" ProgID="Equation.3" ShapeID="_x0000_i1398" DrawAspect="Content" ObjectID="_1519137247" r:id="rId717"/>
        </w:object>
      </w:r>
      <w:r w:rsidR="00E647B3" w:rsidRPr="007B7B0D">
        <w:rPr>
          <w:rFonts w:ascii="Times New Roman" w:hAnsi="Times New Roman"/>
          <w:sz w:val="24"/>
          <w:szCs w:val="24"/>
        </w:rPr>
        <w:t xml:space="preserve"> and </w:t>
      </w:r>
      <w:r w:rsidR="00217D2F" w:rsidRPr="007B7B0D">
        <w:rPr>
          <w:rFonts w:ascii="Times New Roman" w:hAnsi="Times New Roman"/>
          <w:position w:val="-28"/>
          <w:sz w:val="24"/>
          <w:szCs w:val="24"/>
        </w:rPr>
        <w:object w:dxaOrig="1040" w:dyaOrig="540" w14:anchorId="4E8BDF50">
          <v:shape id="_x0000_i1399" type="#_x0000_t75" style="width:51.75pt;height:27pt" o:ole="" o:preferrelative="f">
            <v:imagedata r:id="rId718" o:title=""/>
            <o:lock v:ext="edit" aspectratio="f"/>
          </v:shape>
          <o:OLEObject Type="Embed" ProgID="Equation.3" ShapeID="_x0000_i1399" DrawAspect="Content" ObjectID="_1519137248" r:id="rId719"/>
        </w:object>
      </w:r>
      <w:r w:rsidR="00E647B3" w:rsidRPr="007B7B0D">
        <w:rPr>
          <w:rFonts w:ascii="Times New Roman" w:hAnsi="Times New Roman"/>
          <w:sz w:val="24"/>
          <w:szCs w:val="24"/>
        </w:rPr>
        <w:t>)</w:t>
      </w:r>
      <w:r w:rsidR="00A55F73" w:rsidRPr="007B7B0D">
        <w:rPr>
          <w:rFonts w:ascii="Times New Roman" w:hAnsi="Times New Roman"/>
          <w:sz w:val="24"/>
          <w:szCs w:val="24"/>
          <w:lang w:val="en-US"/>
        </w:rPr>
        <w:t>.</w:t>
      </w:r>
      <w:r w:rsidR="00E647B3" w:rsidRPr="007B7B0D">
        <w:rPr>
          <w:rFonts w:ascii="Times New Roman" w:hAnsi="Times New Roman"/>
          <w:sz w:val="24"/>
          <w:szCs w:val="24"/>
          <w:lang w:val="en-US"/>
        </w:rPr>
        <w:t xml:space="preserve"> With the spe</w:t>
      </w:r>
      <w:r w:rsidR="0090442A">
        <w:rPr>
          <w:rFonts w:ascii="Times New Roman" w:hAnsi="Times New Roman"/>
          <w:sz w:val="24"/>
          <w:szCs w:val="24"/>
          <w:lang w:val="en-US"/>
        </w:rPr>
        <w:t xml:space="preserve">cification above, and </w:t>
      </w:r>
      <w:proofErr w:type="gramStart"/>
      <w:r w:rsidR="0090442A">
        <w:rPr>
          <w:rFonts w:ascii="Times New Roman" w:hAnsi="Times New Roman"/>
          <w:sz w:val="24"/>
          <w:szCs w:val="24"/>
          <w:lang w:val="en-US"/>
        </w:rPr>
        <w:t xml:space="preserve">defining </w:t>
      </w:r>
      <w:proofErr w:type="gramEnd"/>
      <w:r w:rsidR="00217D2F" w:rsidRPr="007B7B0D">
        <w:rPr>
          <w:rFonts w:ascii="Times New Roman" w:hAnsi="Times New Roman"/>
          <w:position w:val="-12"/>
          <w:sz w:val="24"/>
          <w:szCs w:val="24"/>
        </w:rPr>
        <w:object w:dxaOrig="3680" w:dyaOrig="400" w14:anchorId="632DD9DF">
          <v:shape id="_x0000_i1400" type="#_x0000_t75" style="width:185.25pt;height:20.25pt" o:ole="" o:preferrelative="f">
            <v:imagedata r:id="rId720" o:title=""/>
            <o:lock v:ext="edit" aspectratio="f"/>
          </v:shape>
          <o:OLEObject Type="Embed" ProgID="Equation.3" ShapeID="_x0000_i1400" DrawAspect="Content" ObjectID="_1519137249" r:id="rId721"/>
        </w:object>
      </w:r>
      <w:r w:rsidR="00A55F73" w:rsidRPr="007B7B0D">
        <w:rPr>
          <w:rFonts w:ascii="Times New Roman" w:hAnsi="Times New Roman"/>
          <w:sz w:val="24"/>
          <w:szCs w:val="24"/>
          <w:lang w:val="en-US"/>
        </w:rPr>
        <w:t xml:space="preserve">, where </w:t>
      </w:r>
      <w:r w:rsidR="00217D2F" w:rsidRPr="007B7B0D">
        <w:rPr>
          <w:rFonts w:ascii="Times New Roman" w:hAnsi="Times New Roman"/>
          <w:position w:val="-10"/>
          <w:sz w:val="24"/>
          <w:szCs w:val="24"/>
        </w:rPr>
        <w:object w:dxaOrig="800" w:dyaOrig="340" w14:anchorId="71FE198F">
          <v:shape id="_x0000_i1401" type="#_x0000_t75" style="width:40.5pt;height:17.25pt" o:ole="" o:preferrelative="f">
            <v:imagedata r:id="rId722" o:title=""/>
            <o:lock v:ext="edit" aspectratio="f"/>
          </v:shape>
          <o:OLEObject Type="Embed" ProgID="Equation.3" ShapeID="_x0000_i1401" DrawAspect="Content" ObjectID="_1519137250" r:id="rId723"/>
        </w:object>
      </w:r>
      <w:r w:rsidR="0090442A">
        <w:rPr>
          <w:rFonts w:ascii="Times New Roman" w:hAnsi="Times New Roman"/>
          <w:sz w:val="24"/>
          <w:szCs w:val="24"/>
          <w:lang w:val="en-US"/>
        </w:rPr>
        <w:t xml:space="preserve"> </w:t>
      </w:r>
      <w:r w:rsidR="00A55F73" w:rsidRPr="007B7B0D">
        <w:rPr>
          <w:rFonts w:ascii="Times New Roman" w:hAnsi="Times New Roman"/>
          <w:sz w:val="24"/>
          <w:szCs w:val="24"/>
          <w:lang w:val="en-US"/>
        </w:rPr>
        <w:t>is</w:t>
      </w:r>
      <w:r w:rsidR="00A55F73" w:rsidRPr="007B7B0D">
        <w:rPr>
          <w:rFonts w:ascii="Times New Roman" w:hAnsi="Times New Roman"/>
          <w:sz w:val="24"/>
          <w:szCs w:val="24"/>
        </w:rPr>
        <w:t xml:space="preserve"> the identity matrix of size</w:t>
      </w:r>
      <w:r w:rsidR="00A55F73" w:rsidRPr="007B7B0D">
        <w:rPr>
          <w:rFonts w:ascii="Times New Roman" w:hAnsi="Times New Roman"/>
          <w:position w:val="-4"/>
          <w:sz w:val="24"/>
          <w:szCs w:val="24"/>
        </w:rPr>
        <w:object w:dxaOrig="260" w:dyaOrig="240" w14:anchorId="3C276A6D">
          <v:shape id="_x0000_i1402" type="#_x0000_t75" style="width:12pt;height:12pt" o:ole="">
            <v:imagedata r:id="rId724" o:title=""/>
          </v:shape>
          <o:OLEObject Type="Embed" ProgID="Equation.3" ShapeID="_x0000_i1402" DrawAspect="Content" ObjectID="_1519137251" r:id="rId725"/>
        </w:object>
      </w:r>
      <w:r w:rsidR="00A55F73" w:rsidRPr="007B7B0D">
        <w:rPr>
          <w:rFonts w:ascii="Times New Roman" w:hAnsi="Times New Roman"/>
          <w:sz w:val="24"/>
          <w:szCs w:val="24"/>
          <w:lang w:val="en-US"/>
        </w:rPr>
        <w:t>(</w:t>
      </w:r>
      <w:r w:rsidR="00A55F73" w:rsidRPr="007B7B0D">
        <w:rPr>
          <w:rFonts w:ascii="Times New Roman" w:hAnsi="Times New Roman"/>
          <w:i/>
          <w:sz w:val="24"/>
          <w:szCs w:val="24"/>
          <w:lang w:val="en-US"/>
        </w:rPr>
        <w:t>K</w:t>
      </w:r>
      <w:r w:rsidR="00A55F73" w:rsidRPr="007B7B0D">
        <w:rPr>
          <w:rFonts w:ascii="Times New Roman" w:hAnsi="Times New Roman"/>
          <w:sz w:val="24"/>
          <w:szCs w:val="24"/>
          <w:lang w:val="en-US"/>
        </w:rPr>
        <w:t>=15 in our case), we may then write:</w:t>
      </w:r>
    </w:p>
    <w:p w:rsidR="00A55F73" w:rsidRPr="008B1E86" w:rsidRDefault="00E6713B" w:rsidP="008E478E">
      <w:pPr>
        <w:pStyle w:val="FootnoteText"/>
        <w:tabs>
          <w:tab w:val="right" w:pos="9360"/>
        </w:tabs>
        <w:spacing w:before="60" w:after="60" w:line="360" w:lineRule="auto"/>
        <w:rPr>
          <w:rFonts w:ascii="Times New Roman" w:hAnsi="Times New Roman"/>
          <w:sz w:val="24"/>
          <w:szCs w:val="24"/>
          <w:lang w:val="en-US"/>
        </w:rPr>
      </w:pPr>
      <w:r w:rsidRPr="007B7B0D">
        <w:rPr>
          <w:rFonts w:ascii="Times New Roman" w:hAnsi="Times New Roman"/>
          <w:position w:val="-14"/>
          <w:sz w:val="24"/>
          <w:szCs w:val="24"/>
        </w:rPr>
        <w:object w:dxaOrig="4060" w:dyaOrig="420" w14:anchorId="3CA65323">
          <v:shape id="_x0000_i1403" type="#_x0000_t75" style="width:202.5pt;height:21.75pt" o:ole="" o:preferrelative="f">
            <v:imagedata r:id="rId726" o:title=""/>
            <o:lock v:ext="edit" aspectratio="f"/>
          </v:shape>
          <o:OLEObject Type="Embed" ProgID="Equation.3" ShapeID="_x0000_i1403" DrawAspect="Content" ObjectID="_1519137252" r:id="rId727"/>
        </w:object>
      </w:r>
      <w:r w:rsidR="008B1E86">
        <w:rPr>
          <w:rFonts w:ascii="Times New Roman" w:hAnsi="Times New Roman"/>
          <w:sz w:val="24"/>
          <w:szCs w:val="24"/>
          <w:lang w:val="en-US"/>
        </w:rPr>
        <w:t xml:space="preserve">   </w:t>
      </w:r>
      <w:r w:rsidR="00184DFD">
        <w:rPr>
          <w:rFonts w:ascii="Times New Roman" w:hAnsi="Times New Roman"/>
          <w:sz w:val="24"/>
          <w:szCs w:val="24"/>
          <w:lang w:val="en-US"/>
        </w:rPr>
        <w:tab/>
      </w:r>
      <w:r w:rsidR="008B1E86">
        <w:rPr>
          <w:rFonts w:ascii="Times New Roman" w:hAnsi="Times New Roman"/>
          <w:sz w:val="24"/>
          <w:szCs w:val="24"/>
          <w:lang w:val="en-US"/>
        </w:rPr>
        <w:t>(20)</w:t>
      </w:r>
    </w:p>
    <w:p w:rsidR="00AF6D82" w:rsidRDefault="00B22156" w:rsidP="007B7B0D">
      <w:pPr>
        <w:pStyle w:val="FootnoteText"/>
        <w:spacing w:line="360" w:lineRule="auto"/>
        <w:rPr>
          <w:rFonts w:ascii="Times New Roman" w:hAnsi="Times New Roman"/>
          <w:sz w:val="24"/>
          <w:szCs w:val="24"/>
          <w:lang w:val="en-US"/>
        </w:rPr>
      </w:pPr>
      <w:r w:rsidRPr="007B7B0D">
        <w:rPr>
          <w:rFonts w:ascii="Times New Roman" w:hAnsi="Times New Roman"/>
          <w:sz w:val="24"/>
          <w:szCs w:val="24"/>
          <w:lang w:val="en-US"/>
        </w:rPr>
        <w:t xml:space="preserve">In the above expression, technically, we can allow the distribution of </w:t>
      </w:r>
      <w:r w:rsidR="00217D2F" w:rsidRPr="007B7B0D">
        <w:rPr>
          <w:rFonts w:ascii="Times New Roman" w:hAnsi="Times New Roman"/>
          <w:position w:val="-14"/>
          <w:sz w:val="24"/>
          <w:szCs w:val="24"/>
        </w:rPr>
        <w:object w:dxaOrig="620" w:dyaOrig="420" w14:anchorId="432C8E22">
          <v:shape id="_x0000_i1404" type="#_x0000_t75" style="width:31.5pt;height:21.75pt" o:ole="" o:preferrelative="f">
            <v:imagedata r:id="rId728" o:title=""/>
            <o:lock v:ext="edit" aspectratio="f"/>
          </v:shape>
          <o:OLEObject Type="Embed" ProgID="Equation.3" ShapeID="_x0000_i1404" DrawAspect="Content" ObjectID="_1519137253" r:id="rId729"/>
        </w:object>
      </w:r>
      <w:r w:rsidRPr="007B7B0D">
        <w:rPr>
          <w:rFonts w:ascii="Times New Roman" w:hAnsi="Times New Roman"/>
          <w:sz w:val="24"/>
          <w:szCs w:val="24"/>
          <w:lang w:val="en-US"/>
        </w:rPr>
        <w:t xml:space="preserve"> to vary across segments </w:t>
      </w:r>
      <w:r w:rsidRPr="00FF3F60">
        <w:rPr>
          <w:rFonts w:ascii="Times New Roman" w:hAnsi="Times New Roman"/>
          <w:i/>
          <w:sz w:val="24"/>
          <w:szCs w:val="24"/>
          <w:lang w:val="en-US"/>
        </w:rPr>
        <w:t>g</w:t>
      </w:r>
      <w:r w:rsidRPr="007B7B0D">
        <w:rPr>
          <w:rFonts w:ascii="Times New Roman" w:hAnsi="Times New Roman"/>
          <w:sz w:val="24"/>
          <w:szCs w:val="24"/>
          <w:lang w:val="en-US"/>
        </w:rPr>
        <w:t xml:space="preserve"> by </w:t>
      </w:r>
      <w:r w:rsidR="00CF2C06" w:rsidRPr="007B7B0D">
        <w:rPr>
          <w:rFonts w:ascii="Times New Roman" w:hAnsi="Times New Roman"/>
          <w:sz w:val="24"/>
          <w:szCs w:val="24"/>
        </w:rPr>
        <w:t>a</w:t>
      </w:r>
      <w:r w:rsidRPr="007B7B0D">
        <w:rPr>
          <w:rFonts w:ascii="Times New Roman" w:hAnsi="Times New Roman"/>
          <w:sz w:val="24"/>
          <w:szCs w:val="24"/>
          <w:lang w:val="en-US"/>
        </w:rPr>
        <w:t xml:space="preserve">llowing a general specification for </w:t>
      </w:r>
      <w:r w:rsidR="00217D2F" w:rsidRPr="007B7B0D">
        <w:rPr>
          <w:rFonts w:ascii="Times New Roman" w:hAnsi="Times New Roman"/>
          <w:position w:val="-4"/>
          <w:sz w:val="24"/>
          <w:szCs w:val="24"/>
        </w:rPr>
        <w:object w:dxaOrig="260" w:dyaOrig="260" w14:anchorId="37B66F8C">
          <v:shape id="_x0000_i1405" type="#_x0000_t75" style="width:12.75pt;height:12.75pt" o:ole="" o:preferrelative="f">
            <v:imagedata r:id="rId730" o:title=""/>
            <o:lock v:ext="edit" aspectratio="f"/>
          </v:shape>
          <o:OLEObject Type="Embed" ProgID="Equation.3" ShapeID="_x0000_i1405" DrawAspect="Content" ObjectID="_1519137254" r:id="rId731"/>
        </w:object>
      </w:r>
      <w:r w:rsidR="00DD7F54">
        <w:rPr>
          <w:rFonts w:ascii="Times New Roman" w:hAnsi="Times New Roman"/>
          <w:sz w:val="24"/>
          <w:szCs w:val="24"/>
          <w:lang w:val="en-US"/>
        </w:rPr>
        <w:t xml:space="preserve"> </w:t>
      </w:r>
      <w:r w:rsidRPr="007B7B0D">
        <w:rPr>
          <w:rFonts w:ascii="Times New Roman" w:hAnsi="Times New Roman"/>
          <w:sz w:val="24"/>
          <w:szCs w:val="24"/>
          <w:lang w:val="en-US"/>
        </w:rPr>
        <w:t>that varies across segments (the only normalization requirement is that the first element for the first segment  be 1)</w:t>
      </w:r>
      <w:r w:rsidR="00CF2C06" w:rsidRPr="007B7B0D">
        <w:rPr>
          <w:rFonts w:ascii="Times New Roman" w:hAnsi="Times New Roman"/>
          <w:sz w:val="24"/>
          <w:szCs w:val="24"/>
        </w:rPr>
        <w:t xml:space="preserve"> </w:t>
      </w:r>
      <w:r w:rsidRPr="007B7B0D">
        <w:rPr>
          <w:rFonts w:ascii="Times New Roman" w:hAnsi="Times New Roman"/>
          <w:sz w:val="24"/>
          <w:szCs w:val="24"/>
          <w:lang w:val="en-US"/>
        </w:rPr>
        <w:t xml:space="preserve">and/or by allowing the spatial autoregressive coefficient to vary across segments. However, the first specification leads to proliferation in the number of parameters (especially given the number of alternatives), while the second one is not intuitive because there is no reason for the intensity of spatial correlation in unobserved attributes to vary across segments. Thus, from a pragmatic standpoint, we use the same </w:t>
      </w:r>
      <w:r w:rsidR="00DD7F54">
        <w:rPr>
          <w:rFonts w:ascii="Times New Roman" w:hAnsi="Times New Roman"/>
          <w:sz w:val="24"/>
          <w:szCs w:val="24"/>
          <w:lang w:val="en-US"/>
        </w:rPr>
        <w:t xml:space="preserve">simple </w:t>
      </w:r>
      <w:r w:rsidRPr="007B7B0D">
        <w:rPr>
          <w:rFonts w:ascii="Times New Roman" w:hAnsi="Times New Roman"/>
          <w:sz w:val="24"/>
          <w:szCs w:val="24"/>
          <w:lang w:val="en-US"/>
        </w:rPr>
        <w:t xml:space="preserve">covariance </w:t>
      </w:r>
      <w:r w:rsidR="00AF6D82" w:rsidRPr="007B7B0D">
        <w:rPr>
          <w:rFonts w:ascii="Times New Roman" w:hAnsi="Times New Roman"/>
          <w:sz w:val="24"/>
          <w:szCs w:val="24"/>
          <w:lang w:val="en-US"/>
        </w:rPr>
        <w:t>matrix across</w:t>
      </w:r>
      <w:r w:rsidRPr="007B7B0D">
        <w:rPr>
          <w:rFonts w:ascii="Times New Roman" w:hAnsi="Times New Roman"/>
          <w:sz w:val="24"/>
          <w:szCs w:val="24"/>
          <w:lang w:val="en-US"/>
        </w:rPr>
        <w:t xml:space="preserve"> all segments </w:t>
      </w:r>
      <w:r w:rsidR="00AF6D82" w:rsidRPr="007B7B0D">
        <w:rPr>
          <w:rFonts w:ascii="Times New Roman" w:hAnsi="Times New Roman"/>
          <w:sz w:val="24"/>
          <w:szCs w:val="24"/>
          <w:lang w:val="en-US"/>
        </w:rPr>
        <w:t xml:space="preserve">for the </w:t>
      </w:r>
      <w:r w:rsidR="00217D2F" w:rsidRPr="007B7B0D">
        <w:rPr>
          <w:rFonts w:ascii="Times New Roman" w:hAnsi="Times New Roman"/>
          <w:position w:val="-14"/>
          <w:sz w:val="24"/>
          <w:szCs w:val="24"/>
        </w:rPr>
        <w:object w:dxaOrig="620" w:dyaOrig="420" w14:anchorId="34548FC4">
          <v:shape id="_x0000_i1406" type="#_x0000_t75" style="width:31.5pt;height:21.75pt" o:ole="" o:preferrelative="f">
            <v:imagedata r:id="rId732" o:title=""/>
            <o:lock v:ext="edit" aspectratio="f"/>
          </v:shape>
          <o:OLEObject Type="Embed" ProgID="Equation.3" ShapeID="_x0000_i1406" DrawAspect="Content" ObjectID="_1519137255" r:id="rId733"/>
        </w:object>
      </w:r>
      <w:r w:rsidR="00AF6D82" w:rsidRPr="007B7B0D">
        <w:rPr>
          <w:rFonts w:ascii="Times New Roman" w:hAnsi="Times New Roman"/>
          <w:sz w:val="24"/>
          <w:szCs w:val="24"/>
          <w:lang w:val="en-US"/>
        </w:rPr>
        <w:t xml:space="preserve"> vector (as in Equation (</w:t>
      </w:r>
      <w:r w:rsidR="008B1E86">
        <w:rPr>
          <w:rFonts w:ascii="Times New Roman" w:hAnsi="Times New Roman"/>
          <w:sz w:val="24"/>
          <w:szCs w:val="24"/>
          <w:lang w:val="en-US"/>
        </w:rPr>
        <w:t>18</w:t>
      </w:r>
      <w:r w:rsidR="00AF6D82" w:rsidRPr="007B7B0D">
        <w:rPr>
          <w:rFonts w:ascii="Times New Roman" w:hAnsi="Times New Roman"/>
          <w:sz w:val="24"/>
          <w:szCs w:val="24"/>
          <w:lang w:val="en-US"/>
        </w:rPr>
        <w:t>)). Doing so also allows a comparison of the magnitude of the mean of coefficients in the baseline preference</w:t>
      </w:r>
      <w:r w:rsidR="00FF3F60">
        <w:rPr>
          <w:rFonts w:ascii="Times New Roman" w:hAnsi="Times New Roman"/>
          <w:sz w:val="24"/>
          <w:szCs w:val="24"/>
          <w:lang w:val="en-US"/>
        </w:rPr>
        <w:t xml:space="preserve"> across segments</w:t>
      </w:r>
      <w:r w:rsidR="00AF6D82" w:rsidRPr="007B7B0D">
        <w:rPr>
          <w:rFonts w:ascii="Times New Roman" w:hAnsi="Times New Roman"/>
          <w:sz w:val="24"/>
          <w:szCs w:val="24"/>
          <w:lang w:val="en-US"/>
        </w:rPr>
        <w:t xml:space="preserve">, as long as there are no substantial differences in the variance elements of the coefficients. </w:t>
      </w:r>
      <w:r w:rsidR="00FF3F60">
        <w:rPr>
          <w:rFonts w:ascii="Times New Roman" w:hAnsi="Times New Roman"/>
          <w:sz w:val="24"/>
          <w:szCs w:val="24"/>
          <w:lang w:val="en-US"/>
        </w:rPr>
        <w:t xml:space="preserve">A point </w:t>
      </w:r>
      <w:r w:rsidR="00AF6D82" w:rsidRPr="007B7B0D">
        <w:rPr>
          <w:rFonts w:ascii="Times New Roman" w:hAnsi="Times New Roman"/>
          <w:sz w:val="24"/>
          <w:szCs w:val="24"/>
          <w:lang w:val="en-US"/>
        </w:rPr>
        <w:t>t</w:t>
      </w:r>
      <w:r w:rsidR="00FF3F60">
        <w:rPr>
          <w:rFonts w:ascii="Times New Roman" w:hAnsi="Times New Roman"/>
          <w:sz w:val="24"/>
          <w:szCs w:val="24"/>
          <w:lang w:val="en-US"/>
        </w:rPr>
        <w:t>o</w:t>
      </w:r>
      <w:r w:rsidR="00AF6D82" w:rsidRPr="007B7B0D">
        <w:rPr>
          <w:rFonts w:ascii="Times New Roman" w:hAnsi="Times New Roman"/>
          <w:sz w:val="24"/>
          <w:szCs w:val="24"/>
          <w:lang w:val="en-US"/>
        </w:rPr>
        <w:t xml:space="preserve"> note in this discussion is that the expression in Equation (</w:t>
      </w:r>
      <w:r w:rsidR="008B1E86">
        <w:rPr>
          <w:rFonts w:ascii="Times New Roman" w:hAnsi="Times New Roman"/>
          <w:sz w:val="24"/>
          <w:szCs w:val="24"/>
          <w:lang w:val="en-US"/>
        </w:rPr>
        <w:t>20</w:t>
      </w:r>
      <w:r w:rsidR="00AF6D82" w:rsidRPr="007B7B0D">
        <w:rPr>
          <w:rFonts w:ascii="Times New Roman" w:hAnsi="Times New Roman"/>
          <w:sz w:val="24"/>
          <w:szCs w:val="24"/>
          <w:lang w:val="en-US"/>
        </w:rPr>
        <w:t>) collapses to that of Equation (</w:t>
      </w:r>
      <w:r w:rsidR="008B1E86">
        <w:rPr>
          <w:rFonts w:ascii="Times New Roman" w:hAnsi="Times New Roman"/>
          <w:sz w:val="24"/>
          <w:szCs w:val="24"/>
          <w:lang w:val="en-US"/>
        </w:rPr>
        <w:t>18</w:t>
      </w:r>
      <w:r w:rsidR="00AF6D82" w:rsidRPr="007B7B0D">
        <w:rPr>
          <w:rFonts w:ascii="Times New Roman" w:hAnsi="Times New Roman"/>
          <w:sz w:val="24"/>
          <w:szCs w:val="24"/>
          <w:lang w:val="en-US"/>
        </w:rPr>
        <w:t>) if there is no spati</w:t>
      </w:r>
      <w:r w:rsidR="00FF3F60">
        <w:rPr>
          <w:rFonts w:ascii="Times New Roman" w:hAnsi="Times New Roman"/>
          <w:sz w:val="24"/>
          <w:szCs w:val="24"/>
          <w:lang w:val="en-US"/>
        </w:rPr>
        <w:t>al correlation, as should be the case</w:t>
      </w:r>
      <w:r w:rsidR="00AF6D82" w:rsidRPr="007B7B0D">
        <w:rPr>
          <w:rFonts w:ascii="Times New Roman" w:hAnsi="Times New Roman"/>
          <w:sz w:val="24"/>
          <w:szCs w:val="24"/>
          <w:lang w:val="en-US"/>
        </w:rPr>
        <w:t xml:space="preserve">. </w:t>
      </w:r>
    </w:p>
    <w:p w:rsidR="00AB7970" w:rsidRPr="0000738A" w:rsidRDefault="00AB7970" w:rsidP="007B7B0D">
      <w:pPr>
        <w:pStyle w:val="FootnoteText"/>
        <w:spacing w:line="360" w:lineRule="auto"/>
        <w:rPr>
          <w:rFonts w:ascii="Times New Roman" w:hAnsi="Times New Roman"/>
          <w:sz w:val="24"/>
          <w:szCs w:val="24"/>
          <w:lang w:val="en-US"/>
        </w:rPr>
      </w:pPr>
      <w:r>
        <w:rPr>
          <w:rFonts w:ascii="Times New Roman" w:hAnsi="Times New Roman"/>
          <w:sz w:val="24"/>
          <w:szCs w:val="24"/>
          <w:lang w:val="en-US"/>
        </w:rPr>
        <w:tab/>
        <w:t>This leaves the specification of the weight matrix</w:t>
      </w:r>
      <w:r w:rsidR="00217D2F">
        <w:rPr>
          <w:rFonts w:ascii="Times New Roman" w:hAnsi="Times New Roman"/>
          <w:sz w:val="24"/>
          <w:szCs w:val="24"/>
          <w:lang w:val="en-US"/>
        </w:rPr>
        <w:t xml:space="preserve"> </w:t>
      </w:r>
      <w:r w:rsidR="00217D2F" w:rsidRPr="00217D2F">
        <w:rPr>
          <w:rFonts w:ascii="Times New Roman" w:hAnsi="Times New Roman"/>
          <w:b/>
          <w:sz w:val="24"/>
          <w:szCs w:val="24"/>
          <w:lang w:val="en-US"/>
        </w:rPr>
        <w:t>W</w:t>
      </w:r>
      <w:r>
        <w:rPr>
          <w:rFonts w:ascii="Times New Roman" w:hAnsi="Times New Roman"/>
          <w:sz w:val="24"/>
          <w:szCs w:val="24"/>
          <w:lang w:val="en-US"/>
        </w:rPr>
        <w:t xml:space="preserve">. </w:t>
      </w:r>
      <w:r>
        <w:rPr>
          <w:rFonts w:ascii="Times New Roman" w:hAnsi="Times New Roman"/>
          <w:sz w:val="24"/>
          <w:szCs w:val="24"/>
        </w:rPr>
        <w:t>S</w:t>
      </w:r>
      <w:r w:rsidRPr="00A6452F">
        <w:rPr>
          <w:rFonts w:ascii="Times New Roman" w:hAnsi="Times New Roman"/>
          <w:sz w:val="24"/>
          <w:szCs w:val="24"/>
        </w:rPr>
        <w:t xml:space="preserve">everal weight matrix specifications were considered in our empirical analysis to characterize the nature of </w:t>
      </w:r>
      <w:r>
        <w:rPr>
          <w:rFonts w:ascii="Times New Roman" w:hAnsi="Times New Roman"/>
          <w:sz w:val="24"/>
          <w:szCs w:val="24"/>
        </w:rPr>
        <w:t xml:space="preserve">the dynamics of the spatial </w:t>
      </w:r>
      <w:r w:rsidRPr="00A6452F">
        <w:rPr>
          <w:rFonts w:ascii="Times New Roman" w:hAnsi="Times New Roman"/>
          <w:sz w:val="24"/>
          <w:szCs w:val="24"/>
        </w:rPr>
        <w:t>dependence</w:t>
      </w:r>
      <w:r>
        <w:rPr>
          <w:rFonts w:ascii="Times New Roman" w:hAnsi="Times New Roman"/>
          <w:sz w:val="24"/>
          <w:szCs w:val="24"/>
          <w:lang w:val="en-US"/>
        </w:rPr>
        <w:t xml:space="preserve"> across regions</w:t>
      </w:r>
      <w:r w:rsidRPr="00A6452F">
        <w:rPr>
          <w:rFonts w:ascii="Times New Roman" w:hAnsi="Times New Roman"/>
          <w:sz w:val="24"/>
          <w:szCs w:val="24"/>
        </w:rPr>
        <w:t xml:space="preserve">. These included (1) a contiguity specification that generates spatial dependence </w:t>
      </w:r>
      <w:r>
        <w:rPr>
          <w:rFonts w:ascii="Times New Roman" w:hAnsi="Times New Roman"/>
          <w:sz w:val="24"/>
          <w:szCs w:val="24"/>
          <w:lang w:val="en-US"/>
        </w:rPr>
        <w:t xml:space="preserve">between the destination region alternatives </w:t>
      </w:r>
      <w:r w:rsidRPr="00A6452F">
        <w:rPr>
          <w:rFonts w:ascii="Times New Roman" w:hAnsi="Times New Roman"/>
          <w:sz w:val="24"/>
          <w:szCs w:val="24"/>
        </w:rPr>
        <w:t>b</w:t>
      </w:r>
      <w:r>
        <w:rPr>
          <w:rFonts w:ascii="Times New Roman" w:hAnsi="Times New Roman"/>
          <w:sz w:val="24"/>
          <w:szCs w:val="24"/>
        </w:rPr>
        <w:t xml:space="preserve">ased on whether or not two </w:t>
      </w:r>
      <w:r>
        <w:rPr>
          <w:rFonts w:ascii="Times New Roman" w:hAnsi="Times New Roman"/>
          <w:sz w:val="24"/>
          <w:szCs w:val="24"/>
          <w:lang w:val="en-US"/>
        </w:rPr>
        <w:t>regions</w:t>
      </w:r>
      <w:r w:rsidRPr="00A6452F">
        <w:rPr>
          <w:rFonts w:ascii="Times New Roman" w:hAnsi="Times New Roman"/>
          <w:sz w:val="24"/>
          <w:szCs w:val="24"/>
        </w:rPr>
        <w:t xml:space="preserve"> are contiguous</w:t>
      </w:r>
      <w:r w:rsidR="0000738A">
        <w:rPr>
          <w:rFonts w:ascii="Times New Roman" w:hAnsi="Times New Roman"/>
          <w:sz w:val="24"/>
          <w:szCs w:val="24"/>
          <w:lang w:val="en-US"/>
        </w:rPr>
        <w:t xml:space="preserve"> (we considered the Marlborough and Wellington regions as being contiguous because they are the ferry landing points for travel between the two islands)</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2</w:t>
      </w:r>
      <w:r w:rsidRPr="00A6452F">
        <w:rPr>
          <w:rFonts w:ascii="Times New Roman" w:hAnsi="Times New Roman"/>
          <w:sz w:val="24"/>
          <w:szCs w:val="24"/>
        </w:rPr>
        <w:t xml:space="preserve">) the </w:t>
      </w:r>
      <w:r w:rsidR="0000738A">
        <w:rPr>
          <w:rFonts w:ascii="Times New Roman" w:hAnsi="Times New Roman"/>
          <w:sz w:val="24"/>
          <w:szCs w:val="24"/>
        </w:rPr>
        <w:t xml:space="preserve">inverse of a continuous </w:t>
      </w:r>
      <w:r w:rsidR="0000738A">
        <w:rPr>
          <w:rFonts w:ascii="Times New Roman" w:hAnsi="Times New Roman"/>
          <w:sz w:val="24"/>
          <w:szCs w:val="24"/>
          <w:lang w:val="en-US"/>
        </w:rPr>
        <w:t>travel time</w:t>
      </w:r>
      <w:r w:rsidRPr="00A6452F">
        <w:rPr>
          <w:rFonts w:ascii="Times New Roman" w:hAnsi="Times New Roman"/>
          <w:sz w:val="24"/>
          <w:szCs w:val="24"/>
        </w:rPr>
        <w:t xml:space="preserve"> </w:t>
      </w:r>
      <w:r w:rsidR="0000738A">
        <w:rPr>
          <w:rFonts w:ascii="Times New Roman" w:hAnsi="Times New Roman"/>
          <w:sz w:val="24"/>
          <w:szCs w:val="24"/>
        </w:rPr>
        <w:t xml:space="preserve">specification where the </w:t>
      </w:r>
      <w:r w:rsidR="0000738A">
        <w:rPr>
          <w:rFonts w:ascii="Times New Roman" w:hAnsi="Times New Roman"/>
          <w:sz w:val="24"/>
          <w:szCs w:val="24"/>
          <w:lang w:val="en-US"/>
        </w:rPr>
        <w:t>time</w:t>
      </w:r>
      <w:r w:rsidRPr="00A6452F">
        <w:rPr>
          <w:rFonts w:ascii="Times New Roman" w:hAnsi="Times New Roman"/>
          <w:sz w:val="24"/>
          <w:szCs w:val="24"/>
        </w:rPr>
        <w:t xml:space="preserve"> </w:t>
      </w:r>
      <w:r>
        <w:rPr>
          <w:rFonts w:ascii="Times New Roman" w:hAnsi="Times New Roman"/>
          <w:sz w:val="24"/>
          <w:szCs w:val="24"/>
          <w:lang w:val="en-US"/>
        </w:rPr>
        <w:t xml:space="preserve">between regions is </w:t>
      </w:r>
      <w:r>
        <w:rPr>
          <w:rFonts w:ascii="Times New Roman" w:hAnsi="Times New Roman"/>
          <w:sz w:val="24"/>
          <w:szCs w:val="24"/>
          <w:lang w:val="en-US"/>
        </w:rPr>
        <w:lastRenderedPageBreak/>
        <w:t>obtained fr</w:t>
      </w:r>
      <w:r w:rsidR="0000738A">
        <w:rPr>
          <w:rFonts w:ascii="Times New Roman" w:hAnsi="Times New Roman"/>
          <w:sz w:val="24"/>
          <w:szCs w:val="24"/>
          <w:lang w:val="en-US"/>
        </w:rPr>
        <w:t xml:space="preserve">om the skims discussed earlier, and </w:t>
      </w:r>
      <w:r w:rsidR="0000738A">
        <w:rPr>
          <w:rFonts w:ascii="Times New Roman" w:hAnsi="Times New Roman"/>
          <w:sz w:val="24"/>
          <w:szCs w:val="24"/>
        </w:rPr>
        <w:t>(</w:t>
      </w:r>
      <w:r w:rsidR="0000738A">
        <w:rPr>
          <w:rFonts w:ascii="Times New Roman" w:hAnsi="Times New Roman"/>
          <w:sz w:val="24"/>
          <w:szCs w:val="24"/>
          <w:lang w:val="en-US"/>
        </w:rPr>
        <w:t>3</w:t>
      </w:r>
      <w:r w:rsidRPr="00A6452F">
        <w:rPr>
          <w:rFonts w:ascii="Times New Roman" w:hAnsi="Times New Roman"/>
          <w:sz w:val="24"/>
          <w:szCs w:val="24"/>
        </w:rPr>
        <w:t>) the inverse of the square of the c</w:t>
      </w:r>
      <w:r w:rsidR="0000738A">
        <w:rPr>
          <w:rFonts w:ascii="Times New Roman" w:hAnsi="Times New Roman"/>
          <w:sz w:val="24"/>
          <w:szCs w:val="24"/>
        </w:rPr>
        <w:t>ontinuous distance specificatio</w:t>
      </w:r>
      <w:r w:rsidR="0000738A">
        <w:rPr>
          <w:rFonts w:ascii="Times New Roman" w:hAnsi="Times New Roman"/>
          <w:sz w:val="24"/>
          <w:szCs w:val="24"/>
          <w:lang w:val="en-US"/>
        </w:rPr>
        <w:t>n. In addition, for all the three specifications above, we also examined a specification that confines the spatial correlation to only the regions within each island (with zero spatial correlation between regions in different islands). Overall</w:t>
      </w:r>
      <w:r w:rsidR="0000738A" w:rsidRPr="00A6452F">
        <w:rPr>
          <w:rFonts w:ascii="Times New Roman" w:hAnsi="Times New Roman"/>
          <w:sz w:val="24"/>
          <w:szCs w:val="24"/>
        </w:rPr>
        <w:t xml:space="preserve">, the </w:t>
      </w:r>
      <w:r w:rsidR="0000738A">
        <w:rPr>
          <w:rFonts w:ascii="Times New Roman" w:hAnsi="Times New Roman"/>
          <w:sz w:val="24"/>
          <w:szCs w:val="24"/>
          <w:lang w:val="en-US"/>
        </w:rPr>
        <w:t xml:space="preserve">best data fit </w:t>
      </w:r>
      <w:r w:rsidR="0000738A" w:rsidRPr="00A6452F">
        <w:rPr>
          <w:rFonts w:ascii="Times New Roman" w:hAnsi="Times New Roman"/>
          <w:sz w:val="24"/>
          <w:szCs w:val="24"/>
        </w:rPr>
        <w:t xml:space="preserve">results </w:t>
      </w:r>
      <w:r w:rsidR="0000738A">
        <w:rPr>
          <w:rFonts w:ascii="Times New Roman" w:hAnsi="Times New Roman"/>
          <w:sz w:val="24"/>
          <w:szCs w:val="24"/>
          <w:lang w:val="en-US"/>
        </w:rPr>
        <w:t xml:space="preserve">were obtained consistently with </w:t>
      </w:r>
      <w:r w:rsidR="0000738A" w:rsidRPr="00A6452F">
        <w:rPr>
          <w:rFonts w:ascii="Times New Roman" w:hAnsi="Times New Roman"/>
          <w:sz w:val="24"/>
          <w:szCs w:val="24"/>
        </w:rPr>
        <w:t>the inverse of the continuous</w:t>
      </w:r>
      <w:r w:rsidR="0000738A">
        <w:rPr>
          <w:rFonts w:ascii="Times New Roman" w:hAnsi="Times New Roman"/>
          <w:sz w:val="24"/>
          <w:szCs w:val="24"/>
        </w:rPr>
        <w:t xml:space="preserve"> distance specificatio</w:t>
      </w:r>
      <w:r w:rsidR="0000738A">
        <w:rPr>
          <w:rFonts w:ascii="Times New Roman" w:hAnsi="Times New Roman"/>
          <w:sz w:val="24"/>
          <w:szCs w:val="24"/>
          <w:lang w:val="en-US"/>
        </w:rPr>
        <w:t xml:space="preserve">n, which is the one </w:t>
      </w:r>
      <w:r w:rsidR="00B03873">
        <w:rPr>
          <w:rFonts w:ascii="Times New Roman" w:hAnsi="Times New Roman"/>
          <w:sz w:val="24"/>
          <w:szCs w:val="24"/>
          <w:lang w:val="en-US"/>
        </w:rPr>
        <w:t>used in the results discussed in the next section.</w:t>
      </w:r>
    </w:p>
    <w:p w:rsidR="00E95885" w:rsidRPr="007B7B0D" w:rsidRDefault="00E95885" w:rsidP="007B7B0D">
      <w:pPr>
        <w:spacing w:line="360" w:lineRule="auto"/>
        <w:rPr>
          <w:szCs w:val="24"/>
        </w:rPr>
      </w:pPr>
    </w:p>
    <w:p w:rsidR="00E95885" w:rsidRPr="00B72A05" w:rsidRDefault="0090442A" w:rsidP="007B7B0D">
      <w:pPr>
        <w:spacing w:line="360" w:lineRule="auto"/>
        <w:rPr>
          <w:i/>
          <w:szCs w:val="24"/>
        </w:rPr>
      </w:pPr>
      <w:r>
        <w:rPr>
          <w:i/>
          <w:szCs w:val="24"/>
        </w:rPr>
        <w:t>4.3.2</w:t>
      </w:r>
      <w:r w:rsidR="005847DC" w:rsidRPr="00B72A05">
        <w:rPr>
          <w:i/>
          <w:szCs w:val="24"/>
        </w:rPr>
        <w:t xml:space="preserve"> </w:t>
      </w:r>
      <w:r w:rsidR="00E95885" w:rsidRPr="00B72A05">
        <w:rPr>
          <w:i/>
          <w:szCs w:val="24"/>
        </w:rPr>
        <w:t xml:space="preserve">Satiation and </w:t>
      </w:r>
      <w:r>
        <w:rPr>
          <w:i/>
          <w:szCs w:val="24"/>
        </w:rPr>
        <w:t>S</w:t>
      </w:r>
      <w:r w:rsidR="00E95885" w:rsidRPr="00B72A05">
        <w:rPr>
          <w:i/>
          <w:szCs w:val="24"/>
        </w:rPr>
        <w:t xml:space="preserve">egmentation </w:t>
      </w:r>
      <w:r>
        <w:rPr>
          <w:i/>
          <w:szCs w:val="24"/>
        </w:rPr>
        <w:t>S</w:t>
      </w:r>
      <w:r w:rsidR="00E95885" w:rsidRPr="00B72A05">
        <w:rPr>
          <w:i/>
          <w:szCs w:val="24"/>
        </w:rPr>
        <w:t>pecification</w:t>
      </w:r>
    </w:p>
    <w:p w:rsidR="007D3B48" w:rsidRPr="007B7B0D" w:rsidRDefault="005C2902" w:rsidP="007B7B0D">
      <w:pPr>
        <w:spacing w:line="360" w:lineRule="auto"/>
        <w:rPr>
          <w:szCs w:val="24"/>
        </w:rPr>
      </w:pPr>
      <w:r w:rsidRPr="007B7B0D">
        <w:rPr>
          <w:szCs w:val="24"/>
        </w:rPr>
        <w:t xml:space="preserve">In our estimations, we considered both a </w:t>
      </w:r>
      <w:r w:rsidR="00AD5B74" w:rsidRPr="007B7B0D">
        <w:rPr>
          <w:position w:val="-10"/>
          <w:szCs w:val="24"/>
        </w:rPr>
        <w:object w:dxaOrig="200" w:dyaOrig="260" w14:anchorId="65FC24FE">
          <v:shape id="_x0000_i1407" type="#_x0000_t75" style="width:9.75pt;height:12.75pt" o:ole="" o:preferrelative="f">
            <v:imagedata r:id="rId44" o:title=""/>
            <o:lock v:ext="edit" aspectratio="f"/>
          </v:shape>
          <o:OLEObject Type="Embed" ProgID="Equation.3" ShapeID="_x0000_i1407" DrawAspect="Content" ObjectID="_1519137256" r:id="rId734"/>
        </w:object>
      </w:r>
      <w:r w:rsidRPr="007B7B0D">
        <w:rPr>
          <w:szCs w:val="24"/>
        </w:rPr>
        <w:t xml:space="preserve">-profile as well as an </w:t>
      </w:r>
      <w:r w:rsidR="00AD5B74" w:rsidRPr="007B7B0D">
        <w:rPr>
          <w:position w:val="-6"/>
          <w:szCs w:val="24"/>
        </w:rPr>
        <w:object w:dxaOrig="240" w:dyaOrig="220" w14:anchorId="720197F6">
          <v:shape id="_x0000_i1408" type="#_x0000_t75" style="width:12pt;height:11.25pt" o:ole="" o:preferrelative="f">
            <v:imagedata r:id="rId735" o:title=""/>
            <o:lock v:ext="edit" aspectratio="f"/>
          </v:shape>
          <o:OLEObject Type="Embed" ProgID="Equation.3" ShapeID="_x0000_i1408" DrawAspect="Content" ObjectID="_1519137257" r:id="rId736"/>
        </w:object>
      </w:r>
      <w:r w:rsidRPr="007B7B0D">
        <w:rPr>
          <w:szCs w:val="24"/>
        </w:rPr>
        <w:t xml:space="preserve">-profile for introducing satiation. In all cases, the </w:t>
      </w:r>
      <w:r w:rsidR="00AD5B74" w:rsidRPr="007B7B0D">
        <w:rPr>
          <w:position w:val="-10"/>
          <w:szCs w:val="24"/>
        </w:rPr>
        <w:object w:dxaOrig="200" w:dyaOrig="260">
          <v:shape id="_x0000_i1409" type="#_x0000_t75" style="width:9.75pt;height:12.75pt" o:ole="" o:preferrelative="f">
            <v:imagedata r:id="rId44" o:title=""/>
            <o:lock v:ext="edit" aspectratio="f"/>
          </v:shape>
          <o:OLEObject Type="Embed" ProgID="Equation.3" ShapeID="_x0000_i1409" DrawAspect="Content" ObjectID="_1519137258" r:id="rId737"/>
        </w:object>
      </w:r>
      <w:r w:rsidRPr="007B7B0D">
        <w:rPr>
          <w:szCs w:val="24"/>
        </w:rPr>
        <w:t xml:space="preserve">-profile provided superior results, so we will only discuss the specification for the </w:t>
      </w:r>
      <w:r w:rsidR="00AD5B74" w:rsidRPr="007B7B0D">
        <w:rPr>
          <w:position w:val="-10"/>
          <w:szCs w:val="24"/>
        </w:rPr>
        <w:object w:dxaOrig="200" w:dyaOrig="260">
          <v:shape id="_x0000_i1410" type="#_x0000_t75" style="width:9.75pt;height:12.75pt" o:ole="" o:preferrelative="f">
            <v:imagedata r:id="rId44" o:title=""/>
            <o:lock v:ext="edit" aspectratio="f"/>
          </v:shape>
          <o:OLEObject Type="Embed" ProgID="Equation.3" ShapeID="_x0000_i1410" DrawAspect="Content" ObjectID="_1519137259" r:id="rId738"/>
        </w:object>
      </w:r>
      <w:r w:rsidRPr="007B7B0D">
        <w:rPr>
          <w:szCs w:val="24"/>
        </w:rPr>
        <w:t xml:space="preserve">-profile here. As discussed earlier, the parameter </w:t>
      </w:r>
      <w:r w:rsidR="00E6713B" w:rsidRPr="007B7B0D">
        <w:rPr>
          <w:position w:val="-14"/>
          <w:szCs w:val="24"/>
        </w:rPr>
        <w:object w:dxaOrig="420" w:dyaOrig="380" w14:anchorId="37BD01C1">
          <v:shape id="_x0000_i1411" type="#_x0000_t75" style="width:21pt;height:18.75pt" o:ole="" o:preferrelative="f">
            <v:imagedata r:id="rId178" o:title=""/>
            <o:lock v:ext="edit" aspectratio="f"/>
          </v:shape>
          <o:OLEObject Type="Embed" ProgID="Equation.3" ShapeID="_x0000_i1411" DrawAspect="Content" ObjectID="_1519137260" r:id="rId739"/>
        </w:object>
      </w:r>
      <w:r w:rsidRPr="007B7B0D">
        <w:rPr>
          <w:szCs w:val="24"/>
        </w:rPr>
        <w:t xml:space="preserve"> may be parameterized </w:t>
      </w:r>
      <w:proofErr w:type="gramStart"/>
      <w:r w:rsidRPr="007B7B0D">
        <w:rPr>
          <w:szCs w:val="24"/>
        </w:rPr>
        <w:t>as</w:t>
      </w:r>
      <w:r w:rsidR="003A58BC">
        <w:rPr>
          <w:szCs w:val="24"/>
        </w:rPr>
        <w:t xml:space="preserve"> </w:t>
      </w:r>
      <w:proofErr w:type="gramEnd"/>
      <w:r w:rsidR="00E6713B" w:rsidRPr="007B7B0D">
        <w:rPr>
          <w:position w:val="-14"/>
          <w:szCs w:val="24"/>
        </w:rPr>
        <w:object w:dxaOrig="1100" w:dyaOrig="380" w14:anchorId="68F909ED">
          <v:shape id="_x0000_i1412" type="#_x0000_t75" style="width:54.75pt;height:18.75pt" o:ole="" o:preferrelative="f">
            <v:imagedata r:id="rId740" o:title=""/>
            <o:lock v:ext="edit" aspectratio="f"/>
          </v:shape>
          <o:OLEObject Type="Embed" ProgID="Equation.3" ShapeID="_x0000_i1412" DrawAspect="Content" ObjectID="_1519137261" r:id="rId741"/>
        </w:object>
      </w:r>
      <w:r w:rsidRPr="007B7B0D">
        <w:rPr>
          <w:szCs w:val="24"/>
        </w:rPr>
        <w:t xml:space="preserve">, where </w:t>
      </w:r>
      <w:r w:rsidR="00E6713B" w:rsidRPr="007B7B0D">
        <w:rPr>
          <w:position w:val="-14"/>
          <w:szCs w:val="24"/>
        </w:rPr>
        <w:object w:dxaOrig="360" w:dyaOrig="380" w14:anchorId="34FEA782">
          <v:shape id="_x0000_i1413" type="#_x0000_t75" style="width:18.75pt;height:18.75pt" o:ole="" o:preferrelative="f">
            <v:imagedata r:id="rId742" o:title=""/>
            <o:lock v:ext="edit" aspectratio="f"/>
          </v:shape>
          <o:OLEObject Type="Embed" ProgID="Equation.3" ShapeID="_x0000_i1413" DrawAspect="Content" ObjectID="_1519137262" r:id="rId743"/>
        </w:object>
      </w:r>
      <w:r w:rsidRPr="007B7B0D">
        <w:rPr>
          <w:szCs w:val="24"/>
        </w:rPr>
        <w:t xml:space="preserve"> is a vector of explanatory variables and </w:t>
      </w:r>
      <w:r w:rsidR="00E6713B" w:rsidRPr="007B7B0D">
        <w:rPr>
          <w:position w:val="-14"/>
          <w:szCs w:val="24"/>
        </w:rPr>
        <w:object w:dxaOrig="300" w:dyaOrig="380" w14:anchorId="286CFAF9">
          <v:shape id="_x0000_i1414" type="#_x0000_t75" style="width:15pt;height:18.75pt" o:ole="" o:preferrelative="f">
            <v:imagedata r:id="rId744" o:title=""/>
            <o:lock v:ext="edit" aspectratio="f"/>
          </v:shape>
          <o:OLEObject Type="Embed" ProgID="Equation.3" ShapeID="_x0000_i1414" DrawAspect="Content" ObjectID="_1519137263" r:id="rId745"/>
        </w:object>
      </w:r>
      <w:r w:rsidRPr="007B7B0D">
        <w:rPr>
          <w:szCs w:val="24"/>
        </w:rPr>
        <w:t xml:space="preserve"> is a corresponding vector of parameters specific to segment </w:t>
      </w:r>
      <w:r w:rsidRPr="00B03873">
        <w:rPr>
          <w:i/>
          <w:szCs w:val="24"/>
        </w:rPr>
        <w:t>g</w:t>
      </w:r>
      <w:r w:rsidRPr="007B7B0D">
        <w:rPr>
          <w:szCs w:val="24"/>
        </w:rPr>
        <w:t xml:space="preserve"> in the mixture model. It is the specification of the </w:t>
      </w:r>
      <w:r w:rsidR="00E6713B" w:rsidRPr="007B7B0D">
        <w:rPr>
          <w:position w:val="-14"/>
          <w:szCs w:val="24"/>
        </w:rPr>
        <w:object w:dxaOrig="360" w:dyaOrig="380" w14:anchorId="6C887342">
          <v:shape id="_x0000_i1415" type="#_x0000_t75" style="width:18.75pt;height:18.75pt" o:ole="" o:preferrelative="f">
            <v:imagedata r:id="rId742" o:title=""/>
            <o:lock v:ext="edit" aspectratio="f"/>
          </v:shape>
          <o:OLEObject Type="Embed" ProgID="Equation.3" ShapeID="_x0000_i1415" DrawAspect="Content" ObjectID="_1519137264" r:id="rId746"/>
        </w:object>
      </w:r>
      <w:r w:rsidR="00184DFD">
        <w:rPr>
          <w:szCs w:val="24"/>
        </w:rPr>
        <w:t xml:space="preserve"> </w:t>
      </w:r>
      <w:r w:rsidRPr="007B7B0D">
        <w:rPr>
          <w:szCs w:val="24"/>
        </w:rPr>
        <w:t xml:space="preserve">vector that we discuss here. </w:t>
      </w:r>
      <w:r w:rsidR="007D3B48" w:rsidRPr="007B7B0D">
        <w:rPr>
          <w:szCs w:val="24"/>
        </w:rPr>
        <w:t>In addition to a constant, we considered all the other variables discussed in the previous section. We particularly examined the effect of w</w:t>
      </w:r>
      <w:r w:rsidR="0024744E">
        <w:rPr>
          <w:szCs w:val="24"/>
        </w:rPr>
        <w:t>etland</w:t>
      </w:r>
      <w:r w:rsidR="007D3B48" w:rsidRPr="007B7B0D">
        <w:rPr>
          <w:szCs w:val="24"/>
        </w:rPr>
        <w:t xml:space="preserve"> land-cover accessibility on satiation behavior, based on the suggestion from the descriptive statistics that a higher </w:t>
      </w:r>
      <w:r w:rsidR="0024744E">
        <w:rPr>
          <w:szCs w:val="24"/>
        </w:rPr>
        <w:t>wetland</w:t>
      </w:r>
      <w:r w:rsidR="0024744E" w:rsidRPr="007B7B0D">
        <w:rPr>
          <w:szCs w:val="24"/>
        </w:rPr>
        <w:t xml:space="preserve"> </w:t>
      </w:r>
      <w:r w:rsidR="007D3B48" w:rsidRPr="007B7B0D">
        <w:rPr>
          <w:szCs w:val="24"/>
        </w:rPr>
        <w:t xml:space="preserve">cover percentage leads to </w:t>
      </w:r>
      <w:r w:rsidR="0024744E">
        <w:rPr>
          <w:szCs w:val="24"/>
        </w:rPr>
        <w:t>high</w:t>
      </w:r>
      <w:r w:rsidR="0024744E" w:rsidRPr="007B7B0D">
        <w:rPr>
          <w:szCs w:val="24"/>
        </w:rPr>
        <w:t xml:space="preserve">er </w:t>
      </w:r>
      <w:r w:rsidR="007D3B48" w:rsidRPr="007B7B0D">
        <w:rPr>
          <w:szCs w:val="24"/>
        </w:rPr>
        <w:t>satiation effects (</w:t>
      </w:r>
      <w:proofErr w:type="gramStart"/>
      <w:r w:rsidR="0024744E">
        <w:rPr>
          <w:szCs w:val="24"/>
        </w:rPr>
        <w:t>less</w:t>
      </w:r>
      <w:proofErr w:type="gramEnd"/>
      <w:r w:rsidR="0024744E" w:rsidRPr="007B7B0D">
        <w:rPr>
          <w:szCs w:val="24"/>
        </w:rPr>
        <w:t xml:space="preserve"> </w:t>
      </w:r>
      <w:r w:rsidR="007D3B48" w:rsidRPr="007B7B0D">
        <w:rPr>
          <w:szCs w:val="24"/>
        </w:rPr>
        <w:t xml:space="preserve">trips). </w:t>
      </w:r>
    </w:p>
    <w:p w:rsidR="007D3B48" w:rsidRPr="007B7B0D" w:rsidRDefault="004C6D7A" w:rsidP="007B7B0D">
      <w:pPr>
        <w:spacing w:line="360" w:lineRule="auto"/>
        <w:ind w:firstLine="720"/>
        <w:rPr>
          <w:szCs w:val="24"/>
        </w:rPr>
      </w:pPr>
      <w:r w:rsidRPr="007B7B0D">
        <w:rPr>
          <w:szCs w:val="24"/>
        </w:rPr>
        <w:t xml:space="preserve">All the variables associated with </w:t>
      </w:r>
      <w:r w:rsidR="00665CFB" w:rsidRPr="007B7B0D">
        <w:rPr>
          <w:szCs w:val="24"/>
        </w:rPr>
        <w:t>demographics</w:t>
      </w:r>
      <w:r w:rsidRPr="007B7B0D">
        <w:rPr>
          <w:szCs w:val="24"/>
        </w:rPr>
        <w:t xml:space="preserve"> characteristics were considered for </w:t>
      </w:r>
      <w:r w:rsidR="00271708" w:rsidRPr="007B7B0D">
        <w:rPr>
          <w:szCs w:val="24"/>
        </w:rPr>
        <w:t>characterizing different discrete segments</w:t>
      </w:r>
      <w:r w:rsidR="00665CFB" w:rsidRPr="007B7B0D">
        <w:rPr>
          <w:szCs w:val="24"/>
        </w:rPr>
        <w:t xml:space="preserve"> (see Equation 7 earlier). </w:t>
      </w:r>
      <w:r w:rsidR="00271708" w:rsidRPr="007B7B0D">
        <w:rPr>
          <w:szCs w:val="24"/>
        </w:rPr>
        <w:t>These demographic variables included respondent age, respondent’s household income, respondent’s household size by number of adults (&gt;18 years of age) and number of children (18 years or less), respondent’s household structure (single person, couple, nuclear family, single parent, multi-family household, and non-family household), and respondent gender. Of these, the respondent’s household structure provided a very good indication of the travel group, because almost all trips were made with family members in couple, nuclear family, single parent, and multi-family households</w:t>
      </w:r>
      <w:r w:rsidR="008B1E86">
        <w:rPr>
          <w:szCs w:val="24"/>
        </w:rPr>
        <w:t>.</w:t>
      </w:r>
      <w:r w:rsidR="0052794D">
        <w:rPr>
          <w:szCs w:val="24"/>
        </w:rPr>
        <w:t xml:space="preserve"> </w:t>
      </w:r>
      <w:r w:rsidR="00271708" w:rsidRPr="007B7B0D">
        <w:rPr>
          <w:szCs w:val="24"/>
        </w:rPr>
        <w:t>Also, in our specifications, we considered respondent gender only for single person, single parent, and non-family households, because the decision in other households is likely to be jointly made (and gender sim</w:t>
      </w:r>
      <w:r w:rsidR="00665CFB" w:rsidRPr="007B7B0D">
        <w:rPr>
          <w:szCs w:val="24"/>
        </w:rPr>
        <w:t>p</w:t>
      </w:r>
      <w:r w:rsidR="00271708" w:rsidRPr="007B7B0D">
        <w:rPr>
          <w:szCs w:val="24"/>
        </w:rPr>
        <w:t xml:space="preserve">ly provides information on which respondent happened to be picked in the survey in these households, and should not provide any preference information). </w:t>
      </w:r>
      <w:r w:rsidR="00665CFB" w:rsidRPr="007B7B0D">
        <w:rPr>
          <w:szCs w:val="24"/>
        </w:rPr>
        <w:lastRenderedPageBreak/>
        <w:t>All t</w:t>
      </w:r>
      <w:r w:rsidRPr="007B7B0D">
        <w:rPr>
          <w:szCs w:val="24"/>
        </w:rPr>
        <w:t>he segmentation variables were introduced as alternative-specific variables i</w:t>
      </w:r>
      <w:r w:rsidR="00665CFB" w:rsidRPr="007B7B0D">
        <w:rPr>
          <w:szCs w:val="24"/>
        </w:rPr>
        <w:t xml:space="preserve">n the logit link function of </w:t>
      </w:r>
      <w:r w:rsidR="00DD7F54">
        <w:rPr>
          <w:szCs w:val="24"/>
        </w:rPr>
        <w:t>E</w:t>
      </w:r>
      <w:r w:rsidR="00665CFB" w:rsidRPr="007B7B0D">
        <w:rPr>
          <w:szCs w:val="24"/>
        </w:rPr>
        <w:t>quation (7) with the first</w:t>
      </w:r>
      <w:r w:rsidRPr="007B7B0D">
        <w:rPr>
          <w:szCs w:val="24"/>
        </w:rPr>
        <w:t xml:space="preserve"> segment being the base. </w:t>
      </w:r>
      <w:r w:rsidRPr="007B7B0D">
        <w:rPr>
          <w:szCs w:val="24"/>
        </w:rPr>
        <w:tab/>
      </w:r>
    </w:p>
    <w:p w:rsidR="00B61F26" w:rsidRPr="000020DC" w:rsidRDefault="00B61F26" w:rsidP="00E76535">
      <w:pPr>
        <w:spacing w:line="360" w:lineRule="auto"/>
        <w:rPr>
          <w:szCs w:val="24"/>
        </w:rPr>
      </w:pPr>
    </w:p>
    <w:p w:rsidR="00A07B2D" w:rsidRPr="00A412E2" w:rsidRDefault="00992BE1" w:rsidP="008E478E">
      <w:pPr>
        <w:keepNext/>
        <w:keepLines/>
        <w:spacing w:line="360" w:lineRule="auto"/>
        <w:ind w:left="720" w:hanging="720"/>
        <w:rPr>
          <w:b/>
        </w:rPr>
      </w:pPr>
      <w:r>
        <w:rPr>
          <w:b/>
        </w:rPr>
        <w:t>4.4</w:t>
      </w:r>
      <w:r w:rsidR="009467F4">
        <w:rPr>
          <w:b/>
        </w:rPr>
        <w:t xml:space="preserve"> Model Estimation </w:t>
      </w:r>
      <w:r w:rsidR="001E38FD">
        <w:rPr>
          <w:b/>
        </w:rPr>
        <w:t>Results</w:t>
      </w:r>
    </w:p>
    <w:p w:rsidR="00AB7970" w:rsidRDefault="00AB7970" w:rsidP="008E478E">
      <w:pPr>
        <w:keepNext/>
        <w:keepLines/>
        <w:spacing w:line="360" w:lineRule="auto"/>
      </w:pPr>
      <w:r>
        <w:rPr>
          <w:szCs w:val="24"/>
        </w:rPr>
        <w:t xml:space="preserve">A number of different specifications were explored, with different sets of variables, different functional forms of variables, and </w:t>
      </w:r>
      <w:r w:rsidR="0000738A">
        <w:rPr>
          <w:szCs w:val="24"/>
        </w:rPr>
        <w:t>different groupings. The final specification was based on having adequate obs</w:t>
      </w:r>
      <w:r w:rsidR="002E33A8">
        <w:rPr>
          <w:szCs w:val="24"/>
        </w:rPr>
        <w:t>ervations in each category of categorical</w:t>
      </w:r>
      <w:r w:rsidR="0000738A">
        <w:rPr>
          <w:szCs w:val="24"/>
        </w:rPr>
        <w:t xml:space="preserve"> independent variable</w:t>
      </w:r>
      <w:r w:rsidR="002E33A8">
        <w:rPr>
          <w:szCs w:val="24"/>
        </w:rPr>
        <w:t>s</w:t>
      </w:r>
      <w:r w:rsidR="0000738A">
        <w:rPr>
          <w:szCs w:val="24"/>
        </w:rPr>
        <w:t xml:space="preserve"> (such as for household structure), a systematic process of rejecting statistically insignificant effects, combining effects when they made sense and did not degrade fit substantially, and, of course, judgment</w:t>
      </w:r>
      <w:r w:rsidR="002E33A8">
        <w:rPr>
          <w:szCs w:val="24"/>
        </w:rPr>
        <w:t xml:space="preserve"> and insights from earlier studies</w:t>
      </w:r>
      <w:r w:rsidR="0000738A">
        <w:rPr>
          <w:szCs w:val="24"/>
        </w:rPr>
        <w:t xml:space="preserve">.  </w:t>
      </w:r>
      <w:r w:rsidRPr="002E33A8">
        <w:t xml:space="preserve">To identify the </w:t>
      </w:r>
      <w:r w:rsidR="0061369E">
        <w:t>optimal</w:t>
      </w:r>
      <w:r w:rsidRPr="002E33A8">
        <w:t xml:space="preserve"> value for </w:t>
      </w:r>
      <w:r w:rsidR="0000738A" w:rsidRPr="002E33A8">
        <w:t>the number of latent segments (</w:t>
      </w:r>
      <w:r w:rsidR="0000738A" w:rsidRPr="002E33A8">
        <w:rPr>
          <w:i/>
        </w:rPr>
        <w:t>G</w:t>
      </w:r>
      <w:r w:rsidR="0000738A" w:rsidRPr="0090442A">
        <w:t>)</w:t>
      </w:r>
      <w:r w:rsidRPr="0090442A">
        <w:t>,</w:t>
      </w:r>
      <w:r w:rsidRPr="002E33A8">
        <w:t xml:space="preserve"> we estimate</w:t>
      </w:r>
      <w:r w:rsidR="0000738A" w:rsidRPr="002E33A8">
        <w:t>d</w:t>
      </w:r>
      <w:r w:rsidRPr="002E33A8">
        <w:t xml:space="preserve"> the model for increasing values of </w:t>
      </w:r>
      <w:r w:rsidR="0000738A" w:rsidRPr="002E33A8">
        <w:rPr>
          <w:i/>
          <w:iCs/>
        </w:rPr>
        <w:t>G</w:t>
      </w:r>
      <w:r w:rsidRPr="002E33A8">
        <w:t xml:space="preserve"> (</w:t>
      </w:r>
      <w:r w:rsidR="0000738A" w:rsidRPr="002E33A8">
        <w:rPr>
          <w:i/>
          <w:iCs/>
        </w:rPr>
        <w:t>G</w:t>
      </w:r>
      <w:r w:rsidRPr="002E33A8">
        <w:rPr>
          <w:i/>
          <w:iCs/>
        </w:rPr>
        <w:t xml:space="preserve"> </w:t>
      </w:r>
      <w:r w:rsidRPr="002E33A8">
        <w:t>=</w:t>
      </w:r>
      <w:r w:rsidR="0000738A" w:rsidRPr="002E33A8">
        <w:t>1</w:t>
      </w:r>
      <w:proofErr w:type="gramStart"/>
      <w:r w:rsidR="0000738A" w:rsidRPr="002E33A8">
        <w:t>,</w:t>
      </w:r>
      <w:r w:rsidRPr="002E33A8">
        <w:t>2,3,4</w:t>
      </w:r>
      <w:proofErr w:type="gramEnd"/>
      <w:r w:rsidRPr="002E33A8">
        <w:t xml:space="preserve">,...) until </w:t>
      </w:r>
      <w:r w:rsidR="0000738A" w:rsidRPr="002E33A8">
        <w:t>we reached a point where an additional segment did</w:t>
      </w:r>
      <w:r w:rsidRPr="002E33A8">
        <w:t xml:space="preserve"> not significantly improve model fi</w:t>
      </w:r>
      <w:r w:rsidR="0000738A" w:rsidRPr="002E33A8">
        <w:t>t. The evaluation of model fit wa</w:t>
      </w:r>
      <w:r w:rsidRPr="002E33A8">
        <w:t>s based on the Bayesian Information Criterion (BIC):</w:t>
      </w:r>
    </w:p>
    <w:p w:rsidR="00AB7970" w:rsidRPr="00F4037C" w:rsidRDefault="00F4037C" w:rsidP="008E478E">
      <w:pPr>
        <w:tabs>
          <w:tab w:val="right" w:pos="9360"/>
        </w:tabs>
        <w:spacing w:before="60" w:after="60" w:line="360" w:lineRule="auto"/>
      </w:pPr>
      <w:r w:rsidRPr="00F4037C">
        <w:rPr>
          <w:position w:val="-10"/>
        </w:rPr>
        <w:object w:dxaOrig="2820" w:dyaOrig="320">
          <v:shape id="_x0000_i1416" type="#_x0000_t75" style="width:141pt;height:15.75pt" o:ole="">
            <v:imagedata r:id="rId747" o:title=""/>
          </v:shape>
          <o:OLEObject Type="Embed" ProgID="Equation.3" ShapeID="_x0000_i1416" DrawAspect="Content" ObjectID="_1519137265" r:id="rId748"/>
        </w:object>
      </w:r>
      <w:r w:rsidR="00902C23">
        <w:rPr>
          <w:rStyle w:val="FootnoteReference"/>
        </w:rPr>
        <w:footnoteReference w:id="11"/>
      </w:r>
      <w:r>
        <w:rPr>
          <w:szCs w:val="24"/>
        </w:rPr>
        <w:tab/>
      </w:r>
      <w:r w:rsidR="002E33A8">
        <w:rPr>
          <w:szCs w:val="24"/>
        </w:rPr>
        <w:t>(</w:t>
      </w:r>
      <w:r w:rsidR="0052794D">
        <w:rPr>
          <w:szCs w:val="24"/>
        </w:rPr>
        <w:t>21</w:t>
      </w:r>
      <w:r w:rsidR="00AB7970" w:rsidRPr="002E33A8">
        <w:rPr>
          <w:szCs w:val="24"/>
        </w:rPr>
        <w:t>)</w:t>
      </w:r>
    </w:p>
    <w:p w:rsidR="009467F4" w:rsidRPr="00401D02" w:rsidRDefault="00AB7970" w:rsidP="00401D02">
      <w:pPr>
        <w:spacing w:line="360" w:lineRule="auto"/>
        <w:ind w:firstLine="720"/>
      </w:pPr>
      <w:r>
        <w:t xml:space="preserve">The first term on the right side is the negative of the log-likelihood value at convergence; </w:t>
      </w:r>
      <w:r w:rsidRPr="002E33A8">
        <w:rPr>
          <w:i/>
        </w:rPr>
        <w:t>R</w:t>
      </w:r>
      <w:r>
        <w:t xml:space="preserve"> is the number of parameters estimated and </w:t>
      </w:r>
      <w:r w:rsidRPr="002E33A8">
        <w:rPr>
          <w:i/>
        </w:rPr>
        <w:t>N</w:t>
      </w:r>
      <w:r>
        <w:t xml:space="preserve"> is the number of observations (see Allenby, 1990</w:t>
      </w:r>
      <w:r w:rsidR="001E38FD">
        <w:t>, Bhat, 1997</w:t>
      </w:r>
      <w:r>
        <w:t xml:space="preserve">). As the number of segments, </w:t>
      </w:r>
      <w:r w:rsidR="001E38FD">
        <w:rPr>
          <w:i/>
          <w:iCs/>
        </w:rPr>
        <w:t>G</w:t>
      </w:r>
      <w:r>
        <w:t xml:space="preserve">, increases, the BIC value keeps declining till a point is reached where an increase in </w:t>
      </w:r>
      <w:r w:rsidR="001E38FD">
        <w:rPr>
          <w:i/>
          <w:iCs/>
        </w:rPr>
        <w:t>G</w:t>
      </w:r>
      <w:r>
        <w:t xml:space="preserve"> results in an increase in the BIC value. Estimation is terminated at this point and the number of segments corresponding to the lowest value of BIC is considered the appropriate number for </w:t>
      </w:r>
      <w:r w:rsidR="001E38FD">
        <w:rPr>
          <w:i/>
          <w:iCs/>
        </w:rPr>
        <w:t>G</w:t>
      </w:r>
      <w:r>
        <w:t xml:space="preserve">. </w:t>
      </w:r>
      <w:r w:rsidR="002E33A8">
        <w:t>In our analysis</w:t>
      </w:r>
      <w:r w:rsidR="00A82545">
        <w:t>,</w:t>
      </w:r>
      <w:r w:rsidR="002E33A8">
        <w:t xml:space="preserve"> b</w:t>
      </w:r>
      <w:r w:rsidR="00BE157D">
        <w:rPr>
          <w:szCs w:val="24"/>
        </w:rPr>
        <w:t xml:space="preserve">ased on the </w:t>
      </w:r>
      <w:r w:rsidR="00F45E3C">
        <w:rPr>
          <w:szCs w:val="24"/>
        </w:rPr>
        <w:t xml:space="preserve">Bayesian Information Criterion (BIC), the </w:t>
      </w:r>
      <w:r w:rsidR="00A82545">
        <w:rPr>
          <w:szCs w:val="24"/>
        </w:rPr>
        <w:t>three</w:t>
      </w:r>
      <w:r w:rsidR="008D1FD9">
        <w:rPr>
          <w:szCs w:val="24"/>
        </w:rPr>
        <w:t>-</w:t>
      </w:r>
      <w:r w:rsidR="00F45E3C">
        <w:rPr>
          <w:szCs w:val="24"/>
        </w:rPr>
        <w:t xml:space="preserve">segment model </w:t>
      </w:r>
      <w:r w:rsidR="001E38FD">
        <w:rPr>
          <w:szCs w:val="24"/>
        </w:rPr>
        <w:t>wa</w:t>
      </w:r>
      <w:r w:rsidR="00F45E3C">
        <w:rPr>
          <w:szCs w:val="24"/>
        </w:rPr>
        <w:t xml:space="preserve">s clearly the model with </w:t>
      </w:r>
      <w:r w:rsidR="00152205">
        <w:rPr>
          <w:szCs w:val="24"/>
        </w:rPr>
        <w:t>the best performance</w:t>
      </w:r>
      <w:r w:rsidR="001E38FD">
        <w:rPr>
          <w:szCs w:val="24"/>
        </w:rPr>
        <w:t xml:space="preserve"> </w:t>
      </w:r>
      <w:r w:rsidR="001E38FD" w:rsidRPr="00A16DA0">
        <w:rPr>
          <w:szCs w:val="24"/>
        </w:rPr>
        <w:t>(</w:t>
      </w:r>
      <w:r w:rsidR="00A34F29" w:rsidRPr="00A16DA0">
        <w:rPr>
          <w:szCs w:val="24"/>
        </w:rPr>
        <w:t xml:space="preserve">the log-likelihood value at convergence for this model was </w:t>
      </w:r>
      <w:r w:rsidR="00A16DA0" w:rsidRPr="00A16DA0">
        <w:rPr>
          <w:szCs w:val="24"/>
        </w:rPr>
        <w:t xml:space="preserve">-8,499.78 </w:t>
      </w:r>
      <w:r w:rsidR="00A34F29" w:rsidRPr="00A16DA0">
        <w:rPr>
          <w:szCs w:val="24"/>
        </w:rPr>
        <w:t xml:space="preserve">and, with </w:t>
      </w:r>
      <w:r w:rsidR="00A16DA0" w:rsidRPr="00A16DA0">
        <w:rPr>
          <w:szCs w:val="24"/>
        </w:rPr>
        <w:t>4</w:t>
      </w:r>
      <w:r w:rsidR="00DD7F54">
        <w:rPr>
          <w:szCs w:val="24"/>
        </w:rPr>
        <w:t>6</w:t>
      </w:r>
      <w:r w:rsidR="000B2C0C" w:rsidRPr="00A16DA0">
        <w:rPr>
          <w:szCs w:val="24"/>
        </w:rPr>
        <w:t xml:space="preserve"> model parameters, the BIC was </w:t>
      </w:r>
      <w:r w:rsidR="009F0149">
        <w:rPr>
          <w:szCs w:val="24"/>
        </w:rPr>
        <w:t>8,687.52</w:t>
      </w:r>
      <w:r w:rsidR="000B2C0C" w:rsidRPr="009F0149">
        <w:rPr>
          <w:szCs w:val="24"/>
        </w:rPr>
        <w:t>;</w:t>
      </w:r>
      <w:r w:rsidR="000B2C0C" w:rsidRPr="00A16DA0">
        <w:rPr>
          <w:szCs w:val="24"/>
        </w:rPr>
        <w:t xml:space="preserve"> the corresponding values for the </w:t>
      </w:r>
      <w:r w:rsidR="007A0D5B" w:rsidRPr="00A16DA0">
        <w:rPr>
          <w:szCs w:val="24"/>
        </w:rPr>
        <w:t xml:space="preserve">model with one segment (that is, no </w:t>
      </w:r>
      <w:r w:rsidR="007A0D5B" w:rsidRPr="00A16DA0">
        <w:rPr>
          <w:szCs w:val="24"/>
        </w:rPr>
        <w:lastRenderedPageBreak/>
        <w:t xml:space="preserve">latent segmentation), </w:t>
      </w:r>
      <w:r w:rsidR="000B2C0C" w:rsidRPr="00A16DA0">
        <w:rPr>
          <w:szCs w:val="24"/>
        </w:rPr>
        <w:t>t</w:t>
      </w:r>
      <w:r w:rsidR="007A0D5B" w:rsidRPr="00A16DA0">
        <w:rPr>
          <w:szCs w:val="24"/>
        </w:rPr>
        <w:t xml:space="preserve">wo segments, and </w:t>
      </w:r>
      <w:r w:rsidR="000B2C0C" w:rsidRPr="00A16DA0">
        <w:rPr>
          <w:szCs w:val="24"/>
        </w:rPr>
        <w:t xml:space="preserve">four segments were </w:t>
      </w:r>
      <w:r w:rsidR="00F750B6">
        <w:rPr>
          <w:szCs w:val="24"/>
        </w:rPr>
        <w:t>8,872.21, 8,7</w:t>
      </w:r>
      <w:r w:rsidR="00A16DA0" w:rsidRPr="00A16DA0">
        <w:rPr>
          <w:szCs w:val="24"/>
        </w:rPr>
        <w:t>11.36</w:t>
      </w:r>
      <w:r w:rsidR="000B2C0C" w:rsidRPr="00A16DA0">
        <w:rPr>
          <w:szCs w:val="24"/>
        </w:rPr>
        <w:t xml:space="preserve">, and </w:t>
      </w:r>
      <w:r w:rsidR="00A16DA0" w:rsidRPr="00A16DA0">
        <w:rPr>
          <w:szCs w:val="24"/>
        </w:rPr>
        <w:t>8,780.14</w:t>
      </w:r>
      <w:r w:rsidR="000B2C0C" w:rsidRPr="00A16DA0">
        <w:rPr>
          <w:szCs w:val="24"/>
        </w:rPr>
        <w:t>, respectively.</w:t>
      </w:r>
      <w:r w:rsidR="00327296">
        <w:rPr>
          <w:szCs w:val="24"/>
        </w:rPr>
        <w:t xml:space="preserve"> </w:t>
      </w:r>
      <w:r w:rsidR="000B2C0C">
        <w:rPr>
          <w:szCs w:val="24"/>
        </w:rPr>
        <w:t xml:space="preserve"> </w:t>
      </w:r>
    </w:p>
    <w:p w:rsidR="002E578F" w:rsidRDefault="00B62242" w:rsidP="002E578F">
      <w:pPr>
        <w:spacing w:line="360" w:lineRule="auto"/>
        <w:ind w:firstLine="360"/>
        <w:rPr>
          <w:szCs w:val="24"/>
        </w:rPr>
      </w:pPr>
      <w:r w:rsidRPr="00B62242">
        <w:rPr>
          <w:szCs w:val="24"/>
        </w:rPr>
        <w:tab/>
      </w:r>
      <w:r w:rsidR="00B1435A">
        <w:rPr>
          <w:szCs w:val="24"/>
        </w:rPr>
        <w:t>The estimation results for the three-segment mixture MDC</w:t>
      </w:r>
      <w:r w:rsidR="007A0D5B">
        <w:rPr>
          <w:szCs w:val="24"/>
        </w:rPr>
        <w:t>P model are presented in Table 6</w:t>
      </w:r>
      <w:r w:rsidR="00B1435A">
        <w:rPr>
          <w:szCs w:val="24"/>
        </w:rPr>
        <w:t>. The first panel corresponds to the probabilistic assignment of individuals to each of the three segments (the first segment is the base segment). The second presents the parameter estimates on the independent variables in the baseline utility specifications of the MDCP model corresponding to each segment. The third provides the parame</w:t>
      </w:r>
      <w:r w:rsidR="00A16DA0">
        <w:rPr>
          <w:szCs w:val="24"/>
        </w:rPr>
        <w:t>ters in the satiation component.</w:t>
      </w:r>
      <w:r w:rsidR="00B1435A">
        <w:rPr>
          <w:szCs w:val="24"/>
        </w:rPr>
        <w:t xml:space="preserve"> Each of these </w:t>
      </w:r>
      <w:r w:rsidR="0059783F">
        <w:rPr>
          <w:szCs w:val="24"/>
        </w:rPr>
        <w:t>is</w:t>
      </w:r>
      <w:r w:rsidR="00B1435A">
        <w:rPr>
          <w:szCs w:val="24"/>
        </w:rPr>
        <w:t xml:space="preserve"> discussed in turn in the next three sections. </w:t>
      </w:r>
    </w:p>
    <w:p w:rsidR="002E578F" w:rsidRDefault="002E578F" w:rsidP="002E578F">
      <w:pPr>
        <w:spacing w:line="360" w:lineRule="auto"/>
        <w:ind w:firstLine="360"/>
        <w:rPr>
          <w:szCs w:val="24"/>
        </w:rPr>
      </w:pPr>
    </w:p>
    <w:p w:rsidR="002E578F" w:rsidRDefault="0090442A" w:rsidP="002E578F">
      <w:pPr>
        <w:spacing w:line="360" w:lineRule="auto"/>
        <w:rPr>
          <w:szCs w:val="24"/>
        </w:rPr>
      </w:pPr>
      <w:r>
        <w:rPr>
          <w:i/>
          <w:szCs w:val="24"/>
        </w:rPr>
        <w:t xml:space="preserve">4.4.1 </w:t>
      </w:r>
      <w:r w:rsidR="00B1435A" w:rsidRPr="0090442A">
        <w:rPr>
          <w:i/>
          <w:szCs w:val="24"/>
        </w:rPr>
        <w:t xml:space="preserve">Assignment of </w:t>
      </w:r>
      <w:r>
        <w:rPr>
          <w:i/>
          <w:szCs w:val="24"/>
        </w:rPr>
        <w:t>I</w:t>
      </w:r>
      <w:r w:rsidR="00B1435A" w:rsidRPr="0090442A">
        <w:rPr>
          <w:i/>
          <w:szCs w:val="24"/>
        </w:rPr>
        <w:t xml:space="preserve">ndividuals to </w:t>
      </w:r>
      <w:r>
        <w:rPr>
          <w:i/>
          <w:szCs w:val="24"/>
        </w:rPr>
        <w:t>Discrete (Latent) S</w:t>
      </w:r>
      <w:r w:rsidR="00B1435A" w:rsidRPr="0090442A">
        <w:rPr>
          <w:i/>
          <w:szCs w:val="24"/>
        </w:rPr>
        <w:t>egments</w:t>
      </w:r>
    </w:p>
    <w:p w:rsidR="00B706BA" w:rsidRDefault="007A0D5B" w:rsidP="002E578F">
      <w:pPr>
        <w:spacing w:line="360" w:lineRule="auto"/>
        <w:rPr>
          <w:szCs w:val="24"/>
        </w:rPr>
      </w:pPr>
      <w:r>
        <w:rPr>
          <w:szCs w:val="24"/>
        </w:rPr>
        <w:t xml:space="preserve">In </w:t>
      </w:r>
      <w:r w:rsidR="00F43745">
        <w:rPr>
          <w:szCs w:val="24"/>
        </w:rPr>
        <w:t xml:space="preserve">the top panel of </w:t>
      </w:r>
      <w:r>
        <w:rPr>
          <w:szCs w:val="24"/>
        </w:rPr>
        <w:t>Table 6</w:t>
      </w:r>
      <w:r w:rsidR="00B1435A">
        <w:rPr>
          <w:szCs w:val="24"/>
        </w:rPr>
        <w:t xml:space="preserve">, </w:t>
      </w:r>
      <w:r w:rsidR="00B1435A">
        <w:t xml:space="preserve">the constants in the segmentation model contribute to the size of each segment and do not have any substantive interpretation. </w:t>
      </w:r>
      <w:r w:rsidR="00B1435A">
        <w:rPr>
          <w:szCs w:val="24"/>
        </w:rPr>
        <w:t>The other res</w:t>
      </w:r>
      <w:r w:rsidR="0052794D">
        <w:rPr>
          <w:szCs w:val="24"/>
        </w:rPr>
        <w:t>ults in the top panel of Table 6</w:t>
      </w:r>
      <w:r w:rsidR="00B1435A">
        <w:rPr>
          <w:szCs w:val="24"/>
        </w:rPr>
        <w:t xml:space="preserve"> indicate that the second segment, relative to the other two segments, is more likely to consist of individuals with children (that is, the individuals are more likely to belong to nuclear or single parent households) and low-income indi</w:t>
      </w:r>
      <w:r w:rsidR="00CB0435">
        <w:rPr>
          <w:szCs w:val="24"/>
        </w:rPr>
        <w:t>viduals. This second segment</w:t>
      </w:r>
      <w:r w:rsidR="00B1435A">
        <w:rPr>
          <w:szCs w:val="24"/>
        </w:rPr>
        <w:t xml:space="preserve"> also is less likely to comprise single person households relative to the first segment. The third segment comprises individuals who tend to be in couple households of middle age (48 years) or older, the least likely to be single person households, and less likely to be in the “lower than </w:t>
      </w:r>
      <w:r w:rsidR="007716C1">
        <w:rPr>
          <w:szCs w:val="24"/>
        </w:rPr>
        <w:t>NZ</w:t>
      </w:r>
      <w:r w:rsidR="00B1435A">
        <w:rPr>
          <w:szCs w:val="24"/>
        </w:rPr>
        <w:t>$50,000” annual income range relative to the second segment, but more likely to be in this income range relative to the first segment. A more intuitive way to characterize the different segments is to estimate the</w:t>
      </w:r>
      <w:r w:rsidR="00DD7F54">
        <w:rPr>
          <w:szCs w:val="24"/>
        </w:rPr>
        <w:t xml:space="preserve"> percentages</w:t>
      </w:r>
      <w:r w:rsidR="00B1435A">
        <w:rPr>
          <w:szCs w:val="24"/>
        </w:rPr>
        <w:t xml:space="preserve"> of </w:t>
      </w:r>
      <w:r w:rsidR="00DD7F54">
        <w:rPr>
          <w:szCs w:val="24"/>
        </w:rPr>
        <w:t xml:space="preserve">individuals in each category of </w:t>
      </w:r>
      <w:r w:rsidR="00B1435A">
        <w:rPr>
          <w:szCs w:val="24"/>
        </w:rPr>
        <w:t xml:space="preserve">the demographic variables in each segment (see Bhat, 1997 for the formula to do so). The results </w:t>
      </w:r>
      <w:r>
        <w:t>are presented in Table 7</w:t>
      </w:r>
      <w:r w:rsidR="00DD7F54">
        <w:t xml:space="preserve">. For example, the first numerical value in the table indicates that 60.2% of individuals in the first segment are younger than 48 years, while the corresponding </w:t>
      </w:r>
      <w:r w:rsidR="00742426">
        <w:t xml:space="preserve">percentages are 61.8% and 35.7% in the second and third segments, respectively. In the overall sample, 46.4% of individuals are younger than 48 years. </w:t>
      </w:r>
      <w:r w:rsidR="00B1435A">
        <w:t xml:space="preserve"> </w:t>
      </w:r>
      <w:r w:rsidR="00742426">
        <w:t xml:space="preserve">The figures in Table 7 </w:t>
      </w:r>
      <w:r w:rsidR="00B1435A">
        <w:t>support our previous observations regarding segment characteristic</w:t>
      </w:r>
      <w:r w:rsidR="00B706BA">
        <w:t>s</w:t>
      </w:r>
      <w:r w:rsidR="00B1435A">
        <w:t xml:space="preserve">. Based on the relative characterizations of the segments, we will refer to the first segment as the “high-flyer low family commitments” (HFLFC) segment, the second as the “low income parents” (LIP) segment, and the third as the “couple baby-boomer” (CBB) segment (most individuals over 48 years of age in the sample were born between 1943 and 1964 and represent the post-war baby-boom generation of New Zealand).  In terms of the relative sizes of the three </w:t>
      </w:r>
      <w:r w:rsidR="00B1435A">
        <w:lastRenderedPageBreak/>
        <w:t xml:space="preserve">segments, this can also be estimated in a straightforward way by aggregating the individual segment-level probabilities (Equation 7) across all individuals. The sizes are estimated to be </w:t>
      </w:r>
      <w:r w:rsidR="00B1435A" w:rsidRPr="00A16DA0">
        <w:rPr>
          <w:szCs w:val="24"/>
        </w:rPr>
        <w:t>11.4%, 57.9% and 30.7%</w:t>
      </w:r>
      <w:r w:rsidR="00B1435A">
        <w:rPr>
          <w:szCs w:val="24"/>
        </w:rPr>
        <w:t xml:space="preserve"> for the HFLFC, LIP, and CBB segments, indicating a domination of the LIP segment in the population.  </w:t>
      </w:r>
    </w:p>
    <w:p w:rsidR="00B706BA" w:rsidRDefault="00B706BA" w:rsidP="00B706BA">
      <w:pPr>
        <w:spacing w:line="360" w:lineRule="auto"/>
        <w:rPr>
          <w:szCs w:val="24"/>
        </w:rPr>
      </w:pPr>
    </w:p>
    <w:p w:rsidR="00B706BA" w:rsidRPr="0090442A" w:rsidRDefault="0090442A" w:rsidP="00B706BA">
      <w:pPr>
        <w:spacing w:line="360" w:lineRule="auto"/>
        <w:rPr>
          <w:i/>
          <w:szCs w:val="24"/>
        </w:rPr>
      </w:pPr>
      <w:r w:rsidRPr="0090442A">
        <w:rPr>
          <w:i/>
          <w:szCs w:val="24"/>
        </w:rPr>
        <w:t xml:space="preserve">4.4.2 </w:t>
      </w:r>
      <w:r w:rsidR="00B706BA" w:rsidRPr="0090442A">
        <w:rPr>
          <w:i/>
          <w:szCs w:val="24"/>
        </w:rPr>
        <w:t>Baseline</w:t>
      </w:r>
      <w:r w:rsidR="00F43745" w:rsidRPr="0090442A">
        <w:rPr>
          <w:i/>
          <w:szCs w:val="24"/>
        </w:rPr>
        <w:t xml:space="preserve"> </w:t>
      </w:r>
      <w:r>
        <w:rPr>
          <w:i/>
          <w:szCs w:val="24"/>
        </w:rPr>
        <w:t>U</w:t>
      </w:r>
      <w:r w:rsidR="00F43745" w:rsidRPr="0090442A">
        <w:rPr>
          <w:i/>
          <w:szCs w:val="24"/>
        </w:rPr>
        <w:t>tility</w:t>
      </w:r>
      <w:r w:rsidR="00B706BA" w:rsidRPr="0090442A">
        <w:rPr>
          <w:i/>
          <w:szCs w:val="24"/>
        </w:rPr>
        <w:t xml:space="preserve"> </w:t>
      </w:r>
      <w:r>
        <w:rPr>
          <w:i/>
          <w:szCs w:val="24"/>
        </w:rPr>
        <w:t>P</w:t>
      </w:r>
      <w:r w:rsidR="00B706BA" w:rsidRPr="0090442A">
        <w:rPr>
          <w:i/>
          <w:szCs w:val="24"/>
        </w:rPr>
        <w:t>arameters</w:t>
      </w:r>
    </w:p>
    <w:p w:rsidR="00514697" w:rsidRDefault="00742426" w:rsidP="00B706BA">
      <w:pPr>
        <w:spacing w:line="360" w:lineRule="auto"/>
        <w:rPr>
          <w:szCs w:val="24"/>
        </w:rPr>
      </w:pPr>
      <w:r>
        <w:rPr>
          <w:szCs w:val="24"/>
        </w:rPr>
        <w:t>Referring back to Table 6, t</w:t>
      </w:r>
      <w:r w:rsidR="00636F38">
        <w:rPr>
          <w:szCs w:val="24"/>
        </w:rPr>
        <w:t xml:space="preserve">he effect of </w:t>
      </w:r>
      <w:r w:rsidR="00CB0435">
        <w:rPr>
          <w:szCs w:val="24"/>
        </w:rPr>
        <w:t>size</w:t>
      </w:r>
      <w:r w:rsidR="00636F38">
        <w:rPr>
          <w:szCs w:val="24"/>
        </w:rPr>
        <w:t xml:space="preserve"> </w:t>
      </w:r>
      <w:r w:rsidR="00F43745">
        <w:rPr>
          <w:szCs w:val="24"/>
        </w:rPr>
        <w:t xml:space="preserve">(see the second panel) </w:t>
      </w:r>
      <w:r w:rsidR="00512F00">
        <w:rPr>
          <w:szCs w:val="24"/>
        </w:rPr>
        <w:t>in the baseline utilit</w:t>
      </w:r>
      <w:r w:rsidR="00CB0435">
        <w:rPr>
          <w:szCs w:val="24"/>
        </w:rPr>
        <w:t>y function</w:t>
      </w:r>
      <w:r w:rsidR="00512F00">
        <w:rPr>
          <w:szCs w:val="24"/>
        </w:rPr>
        <w:t xml:space="preserve"> </w:t>
      </w:r>
      <w:r w:rsidR="00636F38">
        <w:rPr>
          <w:szCs w:val="24"/>
        </w:rPr>
        <w:t xml:space="preserve">is positive and </w:t>
      </w:r>
      <w:r w:rsidR="00CB0435">
        <w:rPr>
          <w:szCs w:val="24"/>
        </w:rPr>
        <w:t>less than one. We specified different size coefficients across the segments, but the coefficients were not statistically different</w:t>
      </w:r>
      <w:r>
        <w:rPr>
          <w:szCs w:val="24"/>
        </w:rPr>
        <w:t xml:space="preserve"> and were constrained to be equal</w:t>
      </w:r>
      <w:r w:rsidR="00CB0435">
        <w:rPr>
          <w:szCs w:val="24"/>
        </w:rPr>
        <w:t xml:space="preserve">. This was also our theoretical expectation, because we saw no reason that the size coefficient (representing the magnitude of region-specific unobserved factors affecting all elemental opportunities within the region) should vary across segments. The coefficient is statistically different from one, indicating the inelastic effect of size growth on the baseline utility. </w:t>
      </w:r>
    </w:p>
    <w:p w:rsidR="00716AB9" w:rsidRDefault="00636F38" w:rsidP="00514697">
      <w:pPr>
        <w:spacing w:line="360" w:lineRule="auto"/>
        <w:ind w:firstLine="720"/>
        <w:rPr>
          <w:szCs w:val="24"/>
        </w:rPr>
      </w:pPr>
      <w:r>
        <w:rPr>
          <w:szCs w:val="24"/>
        </w:rPr>
        <w:t>The effect of the ferry dummy variable</w:t>
      </w:r>
      <w:r w:rsidR="00512F00">
        <w:rPr>
          <w:szCs w:val="24"/>
        </w:rPr>
        <w:t xml:space="preserve"> in the baseline utility</w:t>
      </w:r>
      <w:r>
        <w:rPr>
          <w:szCs w:val="24"/>
        </w:rPr>
        <w:t xml:space="preserve"> is positive for the </w:t>
      </w:r>
      <w:r w:rsidR="00514697">
        <w:rPr>
          <w:szCs w:val="24"/>
        </w:rPr>
        <w:t>HFLFC</w:t>
      </w:r>
      <w:r>
        <w:rPr>
          <w:szCs w:val="24"/>
        </w:rPr>
        <w:t xml:space="preserve"> and </w:t>
      </w:r>
      <w:r w:rsidR="00514697">
        <w:rPr>
          <w:szCs w:val="24"/>
        </w:rPr>
        <w:t>LIP segments</w:t>
      </w:r>
      <w:r>
        <w:rPr>
          <w:szCs w:val="24"/>
        </w:rPr>
        <w:t xml:space="preserve">, but not significant for the </w:t>
      </w:r>
      <w:r w:rsidR="00514697">
        <w:rPr>
          <w:szCs w:val="24"/>
        </w:rPr>
        <w:t>CBB segment</w:t>
      </w:r>
      <w:r>
        <w:rPr>
          <w:szCs w:val="24"/>
        </w:rPr>
        <w:t xml:space="preserve">. The </w:t>
      </w:r>
      <w:r w:rsidR="00742426">
        <w:rPr>
          <w:szCs w:val="24"/>
        </w:rPr>
        <w:t>absence</w:t>
      </w:r>
      <w:r w:rsidR="003159D6">
        <w:rPr>
          <w:szCs w:val="24"/>
        </w:rPr>
        <w:t xml:space="preserve"> of effect on the CBB segment may be a reflection of the relative lack of families with children in this segment, and the possibly </w:t>
      </w:r>
      <w:r>
        <w:rPr>
          <w:szCs w:val="24"/>
        </w:rPr>
        <w:t xml:space="preserve">intrinsic and positive </w:t>
      </w:r>
      <w:r w:rsidR="003159D6">
        <w:rPr>
          <w:szCs w:val="24"/>
        </w:rPr>
        <w:t xml:space="preserve">“adventure” </w:t>
      </w:r>
      <w:r>
        <w:rPr>
          <w:szCs w:val="24"/>
        </w:rPr>
        <w:t xml:space="preserve">value </w:t>
      </w:r>
      <w:r w:rsidR="003159D6">
        <w:rPr>
          <w:szCs w:val="24"/>
        </w:rPr>
        <w:t xml:space="preserve">of a ferry ride for families with children. </w:t>
      </w:r>
      <w:r>
        <w:rPr>
          <w:szCs w:val="24"/>
        </w:rPr>
        <w:t>The effect of travel cost</w:t>
      </w:r>
      <w:r w:rsidR="00512F00">
        <w:rPr>
          <w:szCs w:val="24"/>
        </w:rPr>
        <w:t xml:space="preserve"> </w:t>
      </w:r>
      <w:r w:rsidR="003159D6">
        <w:rPr>
          <w:szCs w:val="24"/>
        </w:rPr>
        <w:t>o</w:t>
      </w:r>
      <w:r w:rsidR="00512F00">
        <w:rPr>
          <w:szCs w:val="24"/>
        </w:rPr>
        <w:t>n baseline utilit</w:t>
      </w:r>
      <w:r w:rsidR="003159D6">
        <w:rPr>
          <w:szCs w:val="24"/>
        </w:rPr>
        <w:t>y</w:t>
      </w:r>
      <w:r>
        <w:rPr>
          <w:szCs w:val="24"/>
        </w:rPr>
        <w:t xml:space="preserve"> is, as expected</w:t>
      </w:r>
      <w:r w:rsidR="00BF4A37">
        <w:rPr>
          <w:szCs w:val="24"/>
        </w:rPr>
        <w:t xml:space="preserve"> and on average</w:t>
      </w:r>
      <w:r>
        <w:rPr>
          <w:szCs w:val="24"/>
        </w:rPr>
        <w:t xml:space="preserve">, negative in all </w:t>
      </w:r>
      <w:r w:rsidR="003159D6">
        <w:rPr>
          <w:szCs w:val="24"/>
        </w:rPr>
        <w:t xml:space="preserve">the </w:t>
      </w:r>
      <w:r>
        <w:rPr>
          <w:szCs w:val="24"/>
        </w:rPr>
        <w:t xml:space="preserve">segments. </w:t>
      </w:r>
      <w:r w:rsidR="003159D6">
        <w:rPr>
          <w:szCs w:val="24"/>
        </w:rPr>
        <w:t xml:space="preserve">The LIP segment is the most cost-sensitive, followed by the CBB segment, in an inverse relationship </w:t>
      </w:r>
      <w:r w:rsidR="00F43745">
        <w:rPr>
          <w:szCs w:val="24"/>
        </w:rPr>
        <w:t xml:space="preserve">of cost sensitivity </w:t>
      </w:r>
      <w:r w:rsidR="003159D6">
        <w:rPr>
          <w:szCs w:val="24"/>
        </w:rPr>
        <w:t>to household income earnings of families across the segments. The results also show statistically significant heterogeneity (across individuals) in the responsiveness to cost within each latent segment, as manifested in the standard deviation estimates</w:t>
      </w:r>
      <w:r w:rsidR="00BF4A37">
        <w:rPr>
          <w:szCs w:val="24"/>
        </w:rPr>
        <w:t xml:space="preserve"> on the cost coefficient</w:t>
      </w:r>
      <w:r w:rsidR="003159D6">
        <w:rPr>
          <w:szCs w:val="24"/>
        </w:rPr>
        <w:t xml:space="preserve">. </w:t>
      </w:r>
      <w:r w:rsidR="00716AB9">
        <w:rPr>
          <w:szCs w:val="24"/>
        </w:rPr>
        <w:t xml:space="preserve">The normal distribution assumption implies that some individuals do have a positive utility for cost, but </w:t>
      </w:r>
      <w:r w:rsidR="00CF5606">
        <w:rPr>
          <w:szCs w:val="24"/>
        </w:rPr>
        <w:t xml:space="preserve">the vast </w:t>
      </w:r>
      <w:proofErr w:type="gramStart"/>
      <w:r w:rsidR="00CF5606">
        <w:rPr>
          <w:szCs w:val="24"/>
        </w:rPr>
        <w:t xml:space="preserve">majority </w:t>
      </w:r>
      <w:r w:rsidR="00F43745">
        <w:rPr>
          <w:szCs w:val="24"/>
        </w:rPr>
        <w:t>h</w:t>
      </w:r>
      <w:r w:rsidR="00CF5606">
        <w:rPr>
          <w:szCs w:val="24"/>
        </w:rPr>
        <w:t>ave</w:t>
      </w:r>
      <w:proofErr w:type="gramEnd"/>
      <w:r w:rsidR="00CF5606">
        <w:rPr>
          <w:szCs w:val="24"/>
        </w:rPr>
        <w:t xml:space="preserve"> a negative cost sensitivity</w:t>
      </w:r>
      <w:r w:rsidR="00716AB9">
        <w:rPr>
          <w:szCs w:val="24"/>
        </w:rPr>
        <w:t>. In particular, t</w:t>
      </w:r>
      <w:r w:rsidR="00BF4A37">
        <w:rPr>
          <w:szCs w:val="24"/>
        </w:rPr>
        <w:t>he mean and standard deviation esti</w:t>
      </w:r>
      <w:r w:rsidR="00160142">
        <w:rPr>
          <w:szCs w:val="24"/>
        </w:rPr>
        <w:t xml:space="preserve">mates indicate that cost has a </w:t>
      </w:r>
      <w:r w:rsidR="00CF5606">
        <w:rPr>
          <w:szCs w:val="24"/>
        </w:rPr>
        <w:t xml:space="preserve">negative </w:t>
      </w:r>
      <w:r w:rsidR="00BF4A37">
        <w:rPr>
          <w:szCs w:val="24"/>
        </w:rPr>
        <w:t xml:space="preserve">impact for </w:t>
      </w:r>
      <w:r w:rsidR="00716AB9">
        <w:rPr>
          <w:szCs w:val="24"/>
        </w:rPr>
        <w:t xml:space="preserve">92% of individuals in the first and second segments, and for 96.5% of individuals in the final segment. </w:t>
      </w:r>
    </w:p>
    <w:p w:rsidR="006A7F92" w:rsidRDefault="00636F38" w:rsidP="00636F38">
      <w:pPr>
        <w:spacing w:line="360" w:lineRule="auto"/>
        <w:ind w:firstLine="720"/>
        <w:rPr>
          <w:szCs w:val="24"/>
        </w:rPr>
      </w:pPr>
      <w:r>
        <w:rPr>
          <w:szCs w:val="24"/>
        </w:rPr>
        <w:t xml:space="preserve">The </w:t>
      </w:r>
      <w:r w:rsidR="00046AD5">
        <w:rPr>
          <w:szCs w:val="24"/>
        </w:rPr>
        <w:t xml:space="preserve">land cover accessibility measures reinforce the findings from our descriptive analysis. Specifically, regions with high urban land cover “pull” leisure trips </w:t>
      </w:r>
      <w:r w:rsidR="00C469E9">
        <w:rPr>
          <w:szCs w:val="24"/>
        </w:rPr>
        <w:t xml:space="preserve">with about equal intensity </w:t>
      </w:r>
      <w:r w:rsidR="00046AD5">
        <w:rPr>
          <w:szCs w:val="24"/>
        </w:rPr>
        <w:t>from all three segments, though the</w:t>
      </w:r>
      <w:r w:rsidR="00BD1399">
        <w:rPr>
          <w:szCs w:val="24"/>
        </w:rPr>
        <w:t xml:space="preserve">re is heterogeneity in the magnitude of the “pull” within each segment (as indicated by the statistically significant standard deviations on the urban </w:t>
      </w:r>
      <w:r w:rsidR="007A0D5B">
        <w:rPr>
          <w:szCs w:val="24"/>
        </w:rPr>
        <w:lastRenderedPageBreak/>
        <w:t>land cover variable in Table 6</w:t>
      </w:r>
      <w:r w:rsidR="00BD1399">
        <w:rPr>
          <w:szCs w:val="24"/>
        </w:rPr>
        <w:t xml:space="preserve">). </w:t>
      </w:r>
      <w:r w:rsidR="004F6B71">
        <w:rPr>
          <w:szCs w:val="24"/>
        </w:rPr>
        <w:t>C</w:t>
      </w:r>
      <w:r w:rsidR="00BD1399">
        <w:rPr>
          <w:szCs w:val="24"/>
        </w:rPr>
        <w:t xml:space="preserve">ities </w:t>
      </w:r>
      <w:r w:rsidR="004F6B71">
        <w:rPr>
          <w:szCs w:val="24"/>
        </w:rPr>
        <w:t xml:space="preserve">clearly </w:t>
      </w:r>
      <w:r w:rsidR="00BD1399">
        <w:rPr>
          <w:szCs w:val="24"/>
        </w:rPr>
        <w:t xml:space="preserve">offer a much higher density of tourism opportunities from </w:t>
      </w:r>
      <w:r w:rsidR="00496C60">
        <w:rPr>
          <w:szCs w:val="24"/>
        </w:rPr>
        <w:t>regional events and festivals during the year</w:t>
      </w:r>
      <w:r w:rsidR="008507C4">
        <w:rPr>
          <w:szCs w:val="24"/>
        </w:rPr>
        <w:t xml:space="preserve"> </w:t>
      </w:r>
      <w:r w:rsidR="00BD1399">
        <w:rPr>
          <w:szCs w:val="24"/>
        </w:rPr>
        <w:t>to gastronomic indulgence opportunities,</w:t>
      </w:r>
      <w:r w:rsidR="008507C4">
        <w:rPr>
          <w:szCs w:val="24"/>
        </w:rPr>
        <w:t xml:space="preserve"> art galleries, museums, theaters and shopping centers</w:t>
      </w:r>
      <w:r w:rsidR="00496C60">
        <w:rPr>
          <w:szCs w:val="24"/>
        </w:rPr>
        <w:t>.</w:t>
      </w:r>
      <w:r w:rsidR="00AE4649">
        <w:rPr>
          <w:szCs w:val="24"/>
        </w:rPr>
        <w:t xml:space="preserve"> </w:t>
      </w:r>
      <w:r>
        <w:rPr>
          <w:szCs w:val="24"/>
        </w:rPr>
        <w:t xml:space="preserve">The effect of forest land-cover </w:t>
      </w:r>
      <w:r w:rsidR="00C469E9">
        <w:rPr>
          <w:szCs w:val="24"/>
        </w:rPr>
        <w:t xml:space="preserve">on baseline utility is also positive, suggesting a preference for destination regions with high forest land cover. This preference varies across the three discrete segments, with the HFLFC segment having the highest preference for forest-oriented leisure pursuits and the </w:t>
      </w:r>
      <w:r w:rsidR="00A935F8">
        <w:rPr>
          <w:szCs w:val="24"/>
        </w:rPr>
        <w:t xml:space="preserve">CBB having the lowest. The high preference of the first segment for regions with forest land cover is presumably a reflection of </w:t>
      </w:r>
      <w:r w:rsidR="004F6B71">
        <w:rPr>
          <w:szCs w:val="24"/>
        </w:rPr>
        <w:t>young, single</w:t>
      </w:r>
      <w:r w:rsidR="00A935F8">
        <w:rPr>
          <w:szCs w:val="24"/>
        </w:rPr>
        <w:t xml:space="preserve"> individuals </w:t>
      </w:r>
      <w:r w:rsidR="00742426">
        <w:rPr>
          <w:szCs w:val="24"/>
        </w:rPr>
        <w:t>(</w:t>
      </w:r>
      <w:r w:rsidR="00A935F8">
        <w:rPr>
          <w:szCs w:val="24"/>
        </w:rPr>
        <w:t>with relatively little familial commitments</w:t>
      </w:r>
      <w:r w:rsidR="00742426">
        <w:rPr>
          <w:szCs w:val="24"/>
        </w:rPr>
        <w:t>)</w:t>
      </w:r>
      <w:r w:rsidR="00A935F8">
        <w:rPr>
          <w:szCs w:val="24"/>
        </w:rPr>
        <w:t xml:space="preserve"> seeking adventurous hiking and bicycling trails through New Zealand’s rough and rugged forest terrain. On the other hand, the relatively older CBB segment </w:t>
      </w:r>
      <w:r w:rsidR="006A7F92">
        <w:rPr>
          <w:szCs w:val="24"/>
        </w:rPr>
        <w:t xml:space="preserve">group may not </w:t>
      </w:r>
      <w:r w:rsidR="004F6B71">
        <w:rPr>
          <w:szCs w:val="24"/>
        </w:rPr>
        <w:t xml:space="preserve">prefer </w:t>
      </w:r>
      <w:r w:rsidR="00A935F8">
        <w:rPr>
          <w:szCs w:val="24"/>
        </w:rPr>
        <w:t xml:space="preserve">such physically-intensive </w:t>
      </w:r>
      <w:r w:rsidR="004F6B71">
        <w:rPr>
          <w:szCs w:val="24"/>
        </w:rPr>
        <w:t xml:space="preserve">leisure pursuits to </w:t>
      </w:r>
      <w:r w:rsidR="006A7F92">
        <w:rPr>
          <w:szCs w:val="24"/>
        </w:rPr>
        <w:t xml:space="preserve">the extent that </w:t>
      </w:r>
      <w:r w:rsidR="00A935F8">
        <w:rPr>
          <w:szCs w:val="24"/>
        </w:rPr>
        <w:t>their younger counterparts</w:t>
      </w:r>
      <w:r w:rsidR="006A7F92">
        <w:rPr>
          <w:szCs w:val="24"/>
        </w:rPr>
        <w:t xml:space="preserve"> do</w:t>
      </w:r>
      <w:r w:rsidR="00A935F8">
        <w:rPr>
          <w:szCs w:val="24"/>
        </w:rPr>
        <w:t xml:space="preserve">. </w:t>
      </w:r>
      <w:r w:rsidR="00146D29">
        <w:rPr>
          <w:szCs w:val="24"/>
        </w:rPr>
        <w:t>Also</w:t>
      </w:r>
      <w:r w:rsidR="00A935F8">
        <w:rPr>
          <w:szCs w:val="24"/>
        </w:rPr>
        <w:t>, there is a clear and generic tendency across all segments to st</w:t>
      </w:r>
      <w:r w:rsidR="004F6B71">
        <w:rPr>
          <w:szCs w:val="24"/>
        </w:rPr>
        <w:t>ay away from regions with high</w:t>
      </w:r>
      <w:r w:rsidR="00A935F8">
        <w:rPr>
          <w:szCs w:val="24"/>
        </w:rPr>
        <w:t xml:space="preserve"> wetland land cover</w:t>
      </w:r>
      <w:r w:rsidR="00287AFA">
        <w:rPr>
          <w:szCs w:val="24"/>
        </w:rPr>
        <w:t>. This is not surprising, given that wetlands offer little attraction for tourism and, in New Zealand, are typically associated with negative externalities such as pollution, drainage problems, and presence of invasive plant species</w:t>
      </w:r>
      <w:r w:rsidR="0052794D">
        <w:rPr>
          <w:szCs w:val="24"/>
        </w:rPr>
        <w:t xml:space="preserve"> </w:t>
      </w:r>
      <w:r w:rsidR="00287AFA">
        <w:rPr>
          <w:szCs w:val="24"/>
        </w:rPr>
        <w:t>(see Peters and Clarkson, 2010)</w:t>
      </w:r>
      <w:r w:rsidR="0052794D">
        <w:rPr>
          <w:szCs w:val="24"/>
        </w:rPr>
        <w:t xml:space="preserve">. </w:t>
      </w:r>
      <w:r w:rsidR="002D45DD">
        <w:rPr>
          <w:szCs w:val="24"/>
        </w:rPr>
        <w:t>T</w:t>
      </w:r>
      <w:r>
        <w:rPr>
          <w:szCs w:val="24"/>
        </w:rPr>
        <w:t xml:space="preserve">he effect of the agricultural land-cover accessibility </w:t>
      </w:r>
      <w:r w:rsidR="004F6B71">
        <w:rPr>
          <w:szCs w:val="24"/>
        </w:rPr>
        <w:t xml:space="preserve">varies across </w:t>
      </w:r>
      <w:r>
        <w:rPr>
          <w:szCs w:val="24"/>
        </w:rPr>
        <w:t>segment</w:t>
      </w:r>
      <w:r w:rsidR="004F6B71">
        <w:rPr>
          <w:szCs w:val="24"/>
        </w:rPr>
        <w:t>s</w:t>
      </w:r>
      <w:r>
        <w:rPr>
          <w:szCs w:val="24"/>
        </w:rPr>
        <w:t xml:space="preserve">; while the individuals in the third segment are attracted to agricultural areas, the individuals in the first and second segments tend to avoid agricultural areas. This </w:t>
      </w:r>
      <w:r w:rsidR="004F6B71">
        <w:rPr>
          <w:szCs w:val="24"/>
        </w:rPr>
        <w:t xml:space="preserve">is perhaps an indication of couple baby-boomers (CBB) being drawn to activities </w:t>
      </w:r>
      <w:r w:rsidR="006A7F92">
        <w:rPr>
          <w:szCs w:val="24"/>
        </w:rPr>
        <w:t xml:space="preserve">such </w:t>
      </w:r>
      <w:r w:rsidR="004F6B71">
        <w:rPr>
          <w:szCs w:val="24"/>
        </w:rPr>
        <w:t xml:space="preserve">as visiting vineyards for a relaxed wine-tasting escapade, activities that may not interest </w:t>
      </w:r>
      <w:r w:rsidR="00D713DE">
        <w:rPr>
          <w:szCs w:val="24"/>
        </w:rPr>
        <w:t xml:space="preserve">individuals with children (the LIP segment) or may be considered too </w:t>
      </w:r>
      <w:r w:rsidR="006A7F92">
        <w:rPr>
          <w:szCs w:val="24"/>
        </w:rPr>
        <w:t>“docile” by young indi</w:t>
      </w:r>
      <w:r w:rsidR="00D713DE">
        <w:rPr>
          <w:szCs w:val="24"/>
        </w:rPr>
        <w:t>v</w:t>
      </w:r>
      <w:r w:rsidR="006A7F92">
        <w:rPr>
          <w:szCs w:val="24"/>
        </w:rPr>
        <w:t>i</w:t>
      </w:r>
      <w:r w:rsidR="00D713DE">
        <w:rPr>
          <w:szCs w:val="24"/>
        </w:rPr>
        <w:t xml:space="preserve">duals with little family commitments (the HFLFC segment). </w:t>
      </w:r>
      <w:r>
        <w:rPr>
          <w:szCs w:val="24"/>
        </w:rPr>
        <w:t xml:space="preserve"> </w:t>
      </w:r>
    </w:p>
    <w:p w:rsidR="00636F38" w:rsidRDefault="00E03DE0" w:rsidP="00636F38">
      <w:pPr>
        <w:spacing w:line="360" w:lineRule="auto"/>
        <w:ind w:firstLine="720"/>
        <w:rPr>
          <w:szCs w:val="24"/>
        </w:rPr>
      </w:pPr>
      <w:r>
        <w:rPr>
          <w:szCs w:val="24"/>
        </w:rPr>
        <w:t>T</w:t>
      </w:r>
      <w:r w:rsidR="00636F38">
        <w:rPr>
          <w:szCs w:val="24"/>
        </w:rPr>
        <w:t>he effect</w:t>
      </w:r>
      <w:r w:rsidR="006114A3">
        <w:rPr>
          <w:szCs w:val="24"/>
        </w:rPr>
        <w:t>s</w:t>
      </w:r>
      <w:r w:rsidR="00636F38">
        <w:rPr>
          <w:szCs w:val="24"/>
        </w:rPr>
        <w:t xml:space="preserve"> of </w:t>
      </w:r>
      <w:r w:rsidR="006A7F92">
        <w:rPr>
          <w:szCs w:val="24"/>
        </w:rPr>
        <w:t xml:space="preserve">the </w:t>
      </w:r>
      <w:r w:rsidR="00636F38">
        <w:rPr>
          <w:szCs w:val="24"/>
        </w:rPr>
        <w:t xml:space="preserve">land-cover diversity </w:t>
      </w:r>
      <w:r w:rsidR="00D777B7">
        <w:rPr>
          <w:szCs w:val="24"/>
        </w:rPr>
        <w:t xml:space="preserve">accessibility </w:t>
      </w:r>
      <w:r w:rsidR="00636F38">
        <w:rPr>
          <w:szCs w:val="24"/>
        </w:rPr>
        <w:t xml:space="preserve">index </w:t>
      </w:r>
      <w:r>
        <w:rPr>
          <w:szCs w:val="24"/>
        </w:rPr>
        <w:t xml:space="preserve">on the baseline function </w:t>
      </w:r>
      <w:r w:rsidR="006114A3">
        <w:rPr>
          <w:szCs w:val="24"/>
        </w:rPr>
        <w:t xml:space="preserve">indicate that </w:t>
      </w:r>
      <w:r w:rsidR="006A7F92">
        <w:rPr>
          <w:szCs w:val="24"/>
        </w:rPr>
        <w:t xml:space="preserve">high-flying young individuals </w:t>
      </w:r>
      <w:r>
        <w:rPr>
          <w:szCs w:val="24"/>
        </w:rPr>
        <w:t>prefer</w:t>
      </w:r>
      <w:r w:rsidR="006A7F92">
        <w:rPr>
          <w:szCs w:val="24"/>
        </w:rPr>
        <w:t xml:space="preserve"> regions with a </w:t>
      </w:r>
      <w:r w:rsidR="006114A3">
        <w:rPr>
          <w:szCs w:val="24"/>
        </w:rPr>
        <w:t xml:space="preserve">good </w:t>
      </w:r>
      <w:r w:rsidR="006A7F92">
        <w:rPr>
          <w:szCs w:val="24"/>
        </w:rPr>
        <w:t xml:space="preserve">diversity of activities, while </w:t>
      </w:r>
      <w:r w:rsidR="006114A3">
        <w:rPr>
          <w:szCs w:val="24"/>
        </w:rPr>
        <w:t>those in the LIP and CBB segments prefer regions with focused activities. Another interpretation is that those in</w:t>
      </w:r>
      <w:r>
        <w:rPr>
          <w:szCs w:val="24"/>
        </w:rPr>
        <w:t xml:space="preserve"> the LIP and CBB segments are inclined </w:t>
      </w:r>
      <w:r w:rsidR="006114A3">
        <w:rPr>
          <w:szCs w:val="24"/>
        </w:rPr>
        <w:t xml:space="preserve"> to pursue very specific types of leisure </w:t>
      </w:r>
      <w:r>
        <w:rPr>
          <w:szCs w:val="24"/>
        </w:rPr>
        <w:t>activities</w:t>
      </w:r>
      <w:r w:rsidR="006114A3">
        <w:rPr>
          <w:szCs w:val="24"/>
        </w:rPr>
        <w:t xml:space="preserve"> (such as </w:t>
      </w:r>
      <w:r>
        <w:rPr>
          <w:szCs w:val="24"/>
        </w:rPr>
        <w:t xml:space="preserve">perhaps </w:t>
      </w:r>
      <w:r w:rsidR="006114A3">
        <w:rPr>
          <w:szCs w:val="24"/>
        </w:rPr>
        <w:t>park entertainment for the LIP segment and wine tasting trips for CBBs), and then select regions that are heavil</w:t>
      </w:r>
      <w:r>
        <w:rPr>
          <w:szCs w:val="24"/>
        </w:rPr>
        <w:t xml:space="preserve">y invested in opportunities of that specific </w:t>
      </w:r>
      <w:r w:rsidR="006114A3">
        <w:rPr>
          <w:szCs w:val="24"/>
        </w:rPr>
        <w:t>lei</w:t>
      </w:r>
      <w:r>
        <w:rPr>
          <w:szCs w:val="24"/>
        </w:rPr>
        <w:t>sure type</w:t>
      </w:r>
      <w:r w:rsidR="006114A3">
        <w:rPr>
          <w:szCs w:val="24"/>
        </w:rPr>
        <w:t xml:space="preserve">. </w:t>
      </w:r>
    </w:p>
    <w:p w:rsidR="00E03DE0" w:rsidRDefault="00E03DE0" w:rsidP="0090442A">
      <w:pPr>
        <w:spacing w:line="360" w:lineRule="auto"/>
        <w:ind w:firstLine="720"/>
        <w:rPr>
          <w:szCs w:val="24"/>
        </w:rPr>
      </w:pPr>
      <w:r>
        <w:rPr>
          <w:szCs w:val="24"/>
        </w:rPr>
        <w:t>Finally, t</w:t>
      </w:r>
      <w:r w:rsidRPr="00FD3333">
        <w:rPr>
          <w:szCs w:val="24"/>
        </w:rPr>
        <w:t xml:space="preserve">he covariance estimate (not shown in Table </w:t>
      </w:r>
      <w:r w:rsidR="007A0D5B">
        <w:rPr>
          <w:szCs w:val="24"/>
        </w:rPr>
        <w:t>6</w:t>
      </w:r>
      <w:r w:rsidRPr="00FD3333">
        <w:rPr>
          <w:szCs w:val="24"/>
        </w:rPr>
        <w:t>) between the travel cost and urban accessibility random coefficients was 0.</w:t>
      </w:r>
      <w:r>
        <w:rPr>
          <w:szCs w:val="24"/>
        </w:rPr>
        <w:t>040</w:t>
      </w:r>
      <w:r w:rsidRPr="00FD3333">
        <w:rPr>
          <w:szCs w:val="24"/>
        </w:rPr>
        <w:t xml:space="preserve"> (t-statistic of </w:t>
      </w:r>
      <w:r w:rsidR="000B06DF">
        <w:rPr>
          <w:szCs w:val="24"/>
        </w:rPr>
        <w:t>2.21</w:t>
      </w:r>
      <w:r w:rsidRPr="00FD3333">
        <w:rPr>
          <w:szCs w:val="24"/>
        </w:rPr>
        <w:t>)</w:t>
      </w:r>
      <w:r w:rsidR="006404EB">
        <w:rPr>
          <w:szCs w:val="24"/>
        </w:rPr>
        <w:t xml:space="preserve">, 0.035 </w:t>
      </w:r>
      <w:r w:rsidR="006404EB" w:rsidRPr="00FD3333">
        <w:rPr>
          <w:szCs w:val="24"/>
        </w:rPr>
        <w:t xml:space="preserve">(t-statistic of </w:t>
      </w:r>
      <w:r w:rsidR="006404EB">
        <w:rPr>
          <w:szCs w:val="24"/>
        </w:rPr>
        <w:t>2.28</w:t>
      </w:r>
      <w:r w:rsidR="006404EB" w:rsidRPr="00FD3333">
        <w:rPr>
          <w:szCs w:val="24"/>
        </w:rPr>
        <w:t>)</w:t>
      </w:r>
      <w:r w:rsidR="006404EB">
        <w:rPr>
          <w:szCs w:val="24"/>
        </w:rPr>
        <w:t xml:space="preserve">, and 0.042 </w:t>
      </w:r>
      <w:r w:rsidR="006404EB" w:rsidRPr="00FD3333">
        <w:rPr>
          <w:szCs w:val="24"/>
        </w:rPr>
        <w:t xml:space="preserve">(t-statistic of </w:t>
      </w:r>
      <w:r w:rsidR="006404EB">
        <w:rPr>
          <w:szCs w:val="24"/>
        </w:rPr>
        <w:t>2.03</w:t>
      </w:r>
      <w:r w:rsidR="006404EB" w:rsidRPr="00FD3333">
        <w:rPr>
          <w:szCs w:val="24"/>
        </w:rPr>
        <w:t>)</w:t>
      </w:r>
      <w:r w:rsidR="006404EB">
        <w:rPr>
          <w:szCs w:val="24"/>
        </w:rPr>
        <w:t xml:space="preserve"> for segments one, two and three respectively. This suggests</w:t>
      </w:r>
      <w:r>
        <w:rPr>
          <w:szCs w:val="24"/>
        </w:rPr>
        <w:t xml:space="preserve"> that </w:t>
      </w:r>
      <w:r>
        <w:rPr>
          <w:szCs w:val="24"/>
        </w:rPr>
        <w:lastRenderedPageBreak/>
        <w:t>individuals who are less sensitive (more sensitive) to travel costs also prefer (dislike) urban destination zones. That is, individuals who prefer recreation pursuits based on man-made urban settings (amusement parks or leisure shopping complexes) appear not to mind spending additional time to get to their destinations, while those who prefer natural and pristine settings are the ones who would rather travel to close destinations to pursue their recreational interests.</w:t>
      </w:r>
    </w:p>
    <w:p w:rsidR="00E03DE0" w:rsidRDefault="00E03DE0" w:rsidP="0090442A">
      <w:pPr>
        <w:spacing w:line="360" w:lineRule="auto"/>
        <w:ind w:firstLine="720"/>
        <w:rPr>
          <w:szCs w:val="24"/>
        </w:rPr>
      </w:pPr>
    </w:p>
    <w:p w:rsidR="00E03DE0" w:rsidRPr="0090442A" w:rsidRDefault="0090442A" w:rsidP="0090442A">
      <w:pPr>
        <w:spacing w:line="360" w:lineRule="auto"/>
        <w:rPr>
          <w:i/>
          <w:szCs w:val="24"/>
        </w:rPr>
      </w:pPr>
      <w:r w:rsidRPr="0090442A">
        <w:rPr>
          <w:i/>
          <w:szCs w:val="24"/>
        </w:rPr>
        <w:t xml:space="preserve">4.4.3 </w:t>
      </w:r>
      <w:r w:rsidR="00803454" w:rsidRPr="0090442A">
        <w:rPr>
          <w:i/>
          <w:szCs w:val="24"/>
        </w:rPr>
        <w:t>Satiation Effects</w:t>
      </w:r>
    </w:p>
    <w:p w:rsidR="00AE3DBE" w:rsidRDefault="00803454" w:rsidP="0090442A">
      <w:pPr>
        <w:spacing w:line="360" w:lineRule="auto"/>
        <w:rPr>
          <w:szCs w:val="24"/>
        </w:rPr>
      </w:pPr>
      <w:r>
        <w:rPr>
          <w:szCs w:val="24"/>
        </w:rPr>
        <w:t>These effects</w:t>
      </w:r>
      <w:r w:rsidR="00E03DE0">
        <w:rPr>
          <w:szCs w:val="24"/>
        </w:rPr>
        <w:t xml:space="preserve"> are presented </w:t>
      </w:r>
      <w:r w:rsidR="00742426">
        <w:rPr>
          <w:szCs w:val="24"/>
        </w:rPr>
        <w:t>toward</w:t>
      </w:r>
      <w:r w:rsidR="00E03DE0">
        <w:rPr>
          <w:szCs w:val="24"/>
        </w:rPr>
        <w:t xml:space="preserve"> the bottom panel of </w:t>
      </w:r>
      <w:r w:rsidR="007A0D5B">
        <w:rPr>
          <w:szCs w:val="24"/>
        </w:rPr>
        <w:t>Table 6</w:t>
      </w:r>
      <w:r w:rsidR="001304F1">
        <w:rPr>
          <w:szCs w:val="24"/>
        </w:rPr>
        <w:t xml:space="preserve">. </w:t>
      </w:r>
      <w:r w:rsidR="003B49FB">
        <w:rPr>
          <w:szCs w:val="24"/>
        </w:rPr>
        <w:t xml:space="preserve">As indicated earlier, the satiation parameter is parameterized as </w:t>
      </w:r>
      <w:r w:rsidR="003B49FB" w:rsidRPr="007B7B0D">
        <w:rPr>
          <w:position w:val="-14"/>
          <w:szCs w:val="24"/>
        </w:rPr>
        <w:object w:dxaOrig="420" w:dyaOrig="380" w14:anchorId="7052968C">
          <v:shape id="_x0000_i1417" type="#_x0000_t75" style="width:24.75pt;height:20.25pt" o:ole="">
            <v:imagedata r:id="rId178" o:title=""/>
          </v:shape>
          <o:OLEObject Type="Embed" ProgID="Equation.3" ShapeID="_x0000_i1417" DrawAspect="Content" ObjectID="_1519137266" r:id="rId749"/>
        </w:object>
      </w:r>
      <w:r w:rsidR="003B49FB">
        <w:rPr>
          <w:szCs w:val="24"/>
        </w:rPr>
        <w:t>=</w:t>
      </w:r>
      <w:r w:rsidR="00160142" w:rsidRPr="007B7B0D">
        <w:rPr>
          <w:position w:val="-14"/>
          <w:szCs w:val="24"/>
        </w:rPr>
        <w:object w:dxaOrig="1100" w:dyaOrig="420" w14:anchorId="2B666907">
          <v:shape id="_x0000_i1418" type="#_x0000_t75" style="width:54.75pt;height:21pt" o:ole="" o:preferrelative="f">
            <v:imagedata r:id="rId750" o:title=""/>
            <o:lock v:ext="edit" aspectratio="f"/>
          </v:shape>
          <o:OLEObject Type="Embed" ProgID="Equation.3" ShapeID="_x0000_i1418" DrawAspect="Content" ObjectID="_1519137267" r:id="rId751"/>
        </w:object>
      </w:r>
      <w:r w:rsidR="003B49FB">
        <w:rPr>
          <w:szCs w:val="24"/>
        </w:rPr>
        <w:t xml:space="preserve">, and the satiation </w:t>
      </w:r>
      <w:r w:rsidR="007A0D5B">
        <w:rPr>
          <w:szCs w:val="24"/>
        </w:rPr>
        <w:t>coefficients in Table 6</w:t>
      </w:r>
      <w:r w:rsidR="003B49FB">
        <w:rPr>
          <w:szCs w:val="24"/>
        </w:rPr>
        <w:t xml:space="preserve"> are the </w:t>
      </w:r>
      <w:r w:rsidR="00160142" w:rsidRPr="00F37683">
        <w:rPr>
          <w:position w:val="-14"/>
        </w:rPr>
        <w:object w:dxaOrig="279" w:dyaOrig="420">
          <v:shape id="_x0000_i1419" type="#_x0000_t75" style="width:13.5pt;height:21pt" o:ole="" o:preferrelative="f">
            <v:imagedata r:id="rId752" o:title=""/>
            <o:lock v:ext="edit" aspectratio="f"/>
          </v:shape>
          <o:OLEObject Type="Embed" ProgID="Equation.3" ShapeID="_x0000_i1419" DrawAspect="Content" ObjectID="_1519137268" r:id="rId753"/>
        </w:object>
      </w:r>
      <w:r w:rsidR="00F4037C">
        <w:t xml:space="preserve"> </w:t>
      </w:r>
      <w:r w:rsidR="003B49FB">
        <w:t xml:space="preserve">parameters for each segment </w:t>
      </w:r>
      <w:r w:rsidR="003B49FB" w:rsidRPr="0052794D">
        <w:rPr>
          <w:i/>
        </w:rPr>
        <w:t>g</w:t>
      </w:r>
      <w:r w:rsidR="003B49FB">
        <w:t xml:space="preserve">. </w:t>
      </w:r>
      <w:r w:rsidR="00AE3DBE">
        <w:rPr>
          <w:szCs w:val="24"/>
        </w:rPr>
        <w:t xml:space="preserve">A positive parameter on a variable implies that an increase in the variable has the effect of increasing the </w:t>
      </w:r>
      <w:r w:rsidR="00F4037C" w:rsidRPr="007B7B0D">
        <w:rPr>
          <w:position w:val="-14"/>
          <w:szCs w:val="24"/>
        </w:rPr>
        <w:object w:dxaOrig="420" w:dyaOrig="380" w14:anchorId="1B6F4F14">
          <v:shape id="_x0000_i1420" type="#_x0000_t75" style="width:21.75pt;height:17.25pt" o:ole="" o:preferrelative="f">
            <v:imagedata r:id="rId754" o:title=""/>
            <o:lock v:ext="edit" aspectratio="f"/>
          </v:shape>
          <o:OLEObject Type="Embed" ProgID="Equation.3" ShapeID="_x0000_i1420" DrawAspect="Content" ObjectID="_1519137269" r:id="rId755"/>
        </w:object>
      </w:r>
      <w:r w:rsidR="00AE3DBE" w:rsidRPr="007B7B0D">
        <w:rPr>
          <w:szCs w:val="24"/>
        </w:rPr>
        <w:t xml:space="preserve"> </w:t>
      </w:r>
      <w:r w:rsidR="00AE3DBE">
        <w:rPr>
          <w:szCs w:val="24"/>
        </w:rPr>
        <w:t>parameter and decreasing satiation</w:t>
      </w:r>
      <w:r w:rsidR="000B6629">
        <w:rPr>
          <w:szCs w:val="24"/>
        </w:rPr>
        <w:t xml:space="preserve"> (that is, increasing repeat trips of the individual to a destination region)</w:t>
      </w:r>
      <w:r w:rsidR="00AE3DBE">
        <w:rPr>
          <w:szCs w:val="24"/>
        </w:rPr>
        <w:t xml:space="preserve">, while a negative parameter has the effect of decreasing the </w:t>
      </w:r>
      <w:r w:rsidR="00F4037C" w:rsidRPr="007B7B0D">
        <w:rPr>
          <w:position w:val="-14"/>
          <w:szCs w:val="24"/>
        </w:rPr>
        <w:object w:dxaOrig="420" w:dyaOrig="380">
          <v:shape id="_x0000_i1421" type="#_x0000_t75" style="width:21.75pt;height:17.25pt" o:ole="" o:preferrelative="f">
            <v:imagedata r:id="rId754" o:title=""/>
            <o:lock v:ext="edit" aspectratio="f"/>
          </v:shape>
          <o:OLEObject Type="Embed" ProgID="Equation.3" ShapeID="_x0000_i1421" DrawAspect="Content" ObjectID="_1519137270" r:id="rId756"/>
        </w:object>
      </w:r>
      <w:r w:rsidR="00F4037C">
        <w:rPr>
          <w:szCs w:val="24"/>
        </w:rPr>
        <w:t xml:space="preserve"> </w:t>
      </w:r>
      <w:r w:rsidR="00AE3DBE">
        <w:rPr>
          <w:szCs w:val="24"/>
        </w:rPr>
        <w:t>parameter and increasing satiation</w:t>
      </w:r>
      <w:r w:rsidR="000B6629">
        <w:rPr>
          <w:szCs w:val="24"/>
        </w:rPr>
        <w:t xml:space="preserve"> (that is, decreasing repeat trips of the same individual to a destination region)</w:t>
      </w:r>
      <w:r w:rsidR="00AE3DBE">
        <w:rPr>
          <w:szCs w:val="24"/>
        </w:rPr>
        <w:t xml:space="preserve">. </w:t>
      </w:r>
    </w:p>
    <w:p w:rsidR="0058590F" w:rsidRDefault="003B49FB" w:rsidP="0090442A">
      <w:pPr>
        <w:spacing w:line="360" w:lineRule="auto"/>
        <w:ind w:firstLine="720"/>
        <w:rPr>
          <w:szCs w:val="24"/>
        </w:rPr>
      </w:pPr>
      <w:r>
        <w:t xml:space="preserve">Everything else being equal, the constants indicate that satiation </w:t>
      </w:r>
      <w:r w:rsidR="00D2221C">
        <w:t xml:space="preserve">in the context of a destination region </w:t>
      </w:r>
      <w:r>
        <w:t xml:space="preserve">sets in fastest for the third CBB segment and slowest for the first HFLFC segment. </w:t>
      </w:r>
      <w:r w:rsidR="000B6629">
        <w:t>That is, in general, individuals in the HFLFC segment are more willing to make repeat trips to a destination region than individuals in the LIP segment, and individuals in the LIP segment are more willing to make repeat trips to the sa</w:t>
      </w:r>
      <w:r w:rsidR="00887124">
        <w:t>me destination region than indi</w:t>
      </w:r>
      <w:r w:rsidR="000B6629">
        <w:t>v</w:t>
      </w:r>
      <w:r w:rsidR="00887124">
        <w:t>i</w:t>
      </w:r>
      <w:r w:rsidR="000B6629">
        <w:t xml:space="preserve">duals in the CBB segment. </w:t>
      </w:r>
      <w:r w:rsidR="00D777B7">
        <w:rPr>
          <w:szCs w:val="24"/>
        </w:rPr>
        <w:t>The w</w:t>
      </w:r>
      <w:r w:rsidR="00287AFA">
        <w:rPr>
          <w:szCs w:val="24"/>
        </w:rPr>
        <w:t xml:space="preserve">etland land-cover accessibility measure has a negative effect in all segments, </w:t>
      </w:r>
      <w:r w:rsidR="00287AFA" w:rsidRPr="00184DFD">
        <w:rPr>
          <w:i/>
          <w:szCs w:val="24"/>
        </w:rPr>
        <w:t>i.e.</w:t>
      </w:r>
      <w:r w:rsidR="00287AFA">
        <w:rPr>
          <w:szCs w:val="24"/>
        </w:rPr>
        <w:t xml:space="preserve">, destinations with higher wetland land cover </w:t>
      </w:r>
      <w:r w:rsidR="0058590F">
        <w:rPr>
          <w:szCs w:val="24"/>
        </w:rPr>
        <w:t xml:space="preserve">lead to </w:t>
      </w:r>
      <w:r w:rsidR="00287AFA">
        <w:rPr>
          <w:szCs w:val="24"/>
        </w:rPr>
        <w:t xml:space="preserve">a higher satiation </w:t>
      </w:r>
      <w:r w:rsidR="0058590F">
        <w:rPr>
          <w:szCs w:val="24"/>
        </w:rPr>
        <w:t xml:space="preserve">effect </w:t>
      </w:r>
      <w:r w:rsidR="00287AFA">
        <w:rPr>
          <w:szCs w:val="24"/>
        </w:rPr>
        <w:t xml:space="preserve">(less repeat </w:t>
      </w:r>
      <w:r w:rsidR="00AE3DBE">
        <w:rPr>
          <w:szCs w:val="24"/>
        </w:rPr>
        <w:t xml:space="preserve">visits </w:t>
      </w:r>
      <w:r w:rsidR="0058590F">
        <w:rPr>
          <w:szCs w:val="24"/>
        </w:rPr>
        <w:t xml:space="preserve">to such regions </w:t>
      </w:r>
      <w:r w:rsidR="00AE3DBE">
        <w:rPr>
          <w:szCs w:val="24"/>
        </w:rPr>
        <w:t xml:space="preserve">by the same individual) </w:t>
      </w:r>
      <w:r w:rsidR="00287AFA">
        <w:rPr>
          <w:szCs w:val="24"/>
        </w:rPr>
        <w:t xml:space="preserve">than destinations regions with a lower wetland land cover. This is not surprising, given the negative characteristics associated with wetland areas in New Zealand, </w:t>
      </w:r>
      <w:r w:rsidR="00AE3DBE">
        <w:rPr>
          <w:szCs w:val="24"/>
        </w:rPr>
        <w:t xml:space="preserve">Finally, among the satiation parameters, the effect of the </w:t>
      </w:r>
      <w:r w:rsidR="00287AFA">
        <w:rPr>
          <w:szCs w:val="24"/>
        </w:rPr>
        <w:t xml:space="preserve">land-cover diversity </w:t>
      </w:r>
      <w:r w:rsidR="00D777B7">
        <w:rPr>
          <w:szCs w:val="24"/>
        </w:rPr>
        <w:t xml:space="preserve">accessibility </w:t>
      </w:r>
      <w:r w:rsidR="00287AFA">
        <w:rPr>
          <w:szCs w:val="24"/>
        </w:rPr>
        <w:t xml:space="preserve">index </w:t>
      </w:r>
      <w:r w:rsidR="00AE3DBE">
        <w:rPr>
          <w:szCs w:val="24"/>
        </w:rPr>
        <w:t>variable indicates t</w:t>
      </w:r>
      <w:r w:rsidR="007A5134">
        <w:rPr>
          <w:szCs w:val="24"/>
        </w:rPr>
        <w:t>hat individuals in the first HF</w:t>
      </w:r>
      <w:r w:rsidR="00AE3DBE">
        <w:rPr>
          <w:szCs w:val="24"/>
        </w:rPr>
        <w:t>L</w:t>
      </w:r>
      <w:r w:rsidR="007A5134">
        <w:rPr>
          <w:szCs w:val="24"/>
        </w:rPr>
        <w:t>F</w:t>
      </w:r>
      <w:r w:rsidR="00AE3DBE">
        <w:rPr>
          <w:szCs w:val="24"/>
        </w:rPr>
        <w:t xml:space="preserve">C segment </w:t>
      </w:r>
      <w:r w:rsidR="000B6629">
        <w:rPr>
          <w:szCs w:val="24"/>
        </w:rPr>
        <w:t>get</w:t>
      </w:r>
      <w:r w:rsidR="004E72FD">
        <w:rPr>
          <w:szCs w:val="24"/>
        </w:rPr>
        <w:t xml:space="preserve"> </w:t>
      </w:r>
      <w:r w:rsidR="000B6629">
        <w:rPr>
          <w:szCs w:val="24"/>
        </w:rPr>
        <w:t>less satiated with</w:t>
      </w:r>
      <w:r w:rsidR="00AE3DBE">
        <w:rPr>
          <w:szCs w:val="24"/>
        </w:rPr>
        <w:t xml:space="preserve"> (willing to make more repeat visits to) destination regions with a high diversity in activity type opportunities (as </w:t>
      </w:r>
      <w:proofErr w:type="spellStart"/>
      <w:r w:rsidR="00AE3DBE">
        <w:rPr>
          <w:szCs w:val="24"/>
        </w:rPr>
        <w:t>proxied</w:t>
      </w:r>
      <w:proofErr w:type="spellEnd"/>
      <w:r w:rsidR="00AE3DBE">
        <w:rPr>
          <w:szCs w:val="24"/>
        </w:rPr>
        <w:t xml:space="preserve"> by land cover percentages), while individuals in the third CBB segment get satiated very quickly with (are unlikely to make repeat visits to) destination regions with a high diversity. </w:t>
      </w:r>
    </w:p>
    <w:p w:rsidR="0052794D" w:rsidRDefault="0052794D" w:rsidP="0090442A">
      <w:pPr>
        <w:spacing w:line="360" w:lineRule="auto"/>
        <w:ind w:firstLine="720"/>
        <w:rPr>
          <w:szCs w:val="24"/>
        </w:rPr>
      </w:pPr>
    </w:p>
    <w:p w:rsidR="00417776" w:rsidRPr="0090442A" w:rsidRDefault="0090442A" w:rsidP="0090442A">
      <w:pPr>
        <w:spacing w:line="360" w:lineRule="auto"/>
        <w:rPr>
          <w:i/>
          <w:szCs w:val="24"/>
        </w:rPr>
      </w:pPr>
      <w:r w:rsidRPr="0090442A">
        <w:rPr>
          <w:i/>
          <w:szCs w:val="24"/>
        </w:rPr>
        <w:lastRenderedPageBreak/>
        <w:t xml:space="preserve">4.4.4 </w:t>
      </w:r>
      <w:r w:rsidR="00417776" w:rsidRPr="0090442A">
        <w:rPr>
          <w:i/>
          <w:szCs w:val="24"/>
        </w:rPr>
        <w:t xml:space="preserve">Spatial </w:t>
      </w:r>
      <w:r w:rsidRPr="0090442A">
        <w:rPr>
          <w:i/>
          <w:szCs w:val="24"/>
        </w:rPr>
        <w:t>D</w:t>
      </w:r>
      <w:r w:rsidR="00417776" w:rsidRPr="0090442A">
        <w:rPr>
          <w:i/>
          <w:szCs w:val="24"/>
        </w:rPr>
        <w:t>ependence</w:t>
      </w:r>
    </w:p>
    <w:p w:rsidR="00417776" w:rsidRDefault="00417776" w:rsidP="0090442A">
      <w:pPr>
        <w:spacing w:line="360" w:lineRule="auto"/>
        <w:rPr>
          <w:szCs w:val="24"/>
        </w:rPr>
      </w:pPr>
      <w:r>
        <w:rPr>
          <w:szCs w:val="24"/>
        </w:rPr>
        <w:t xml:space="preserve">The spatial autoregressive coefficient, as expected, is positive, </w:t>
      </w:r>
      <w:r w:rsidR="00A34F29">
        <w:rPr>
          <w:szCs w:val="24"/>
        </w:rPr>
        <w:t xml:space="preserve">of the order of 0.10, </w:t>
      </w:r>
      <w:r>
        <w:rPr>
          <w:szCs w:val="24"/>
        </w:rPr>
        <w:t xml:space="preserve">and is </w:t>
      </w:r>
      <w:r w:rsidR="00235240">
        <w:rPr>
          <w:szCs w:val="24"/>
        </w:rPr>
        <w:t>different from</w:t>
      </w:r>
      <w:r>
        <w:rPr>
          <w:szCs w:val="24"/>
        </w:rPr>
        <w:t xml:space="preserve"> </w:t>
      </w:r>
      <w:r w:rsidR="00235240">
        <w:rPr>
          <w:szCs w:val="24"/>
        </w:rPr>
        <w:t xml:space="preserve">zero </w:t>
      </w:r>
      <w:r>
        <w:rPr>
          <w:szCs w:val="24"/>
        </w:rPr>
        <w:t xml:space="preserve">at about the 7% level of significance </w:t>
      </w:r>
      <w:r w:rsidR="00235240">
        <w:rPr>
          <w:szCs w:val="24"/>
        </w:rPr>
        <w:t xml:space="preserve">for a one-tailed test. </w:t>
      </w:r>
    </w:p>
    <w:p w:rsidR="0058590F" w:rsidRDefault="0052794D" w:rsidP="0090442A">
      <w:pPr>
        <w:tabs>
          <w:tab w:val="left" w:pos="3792"/>
        </w:tabs>
        <w:spacing w:line="360" w:lineRule="auto"/>
        <w:rPr>
          <w:szCs w:val="24"/>
        </w:rPr>
      </w:pPr>
      <w:r>
        <w:rPr>
          <w:szCs w:val="24"/>
        </w:rPr>
        <w:tab/>
      </w:r>
    </w:p>
    <w:p w:rsidR="0058590F" w:rsidRPr="0090442A" w:rsidRDefault="0090442A" w:rsidP="0090442A">
      <w:pPr>
        <w:spacing w:line="360" w:lineRule="auto"/>
        <w:rPr>
          <w:i/>
          <w:szCs w:val="24"/>
        </w:rPr>
      </w:pPr>
      <w:r w:rsidRPr="0090442A">
        <w:rPr>
          <w:i/>
          <w:szCs w:val="24"/>
        </w:rPr>
        <w:t xml:space="preserve">4.4.5 </w:t>
      </w:r>
      <w:r w:rsidR="00BB2047" w:rsidRPr="0090442A">
        <w:rPr>
          <w:i/>
          <w:szCs w:val="24"/>
        </w:rPr>
        <w:t>Su</w:t>
      </w:r>
      <w:r w:rsidR="0058590F" w:rsidRPr="0090442A">
        <w:rPr>
          <w:i/>
          <w:szCs w:val="24"/>
        </w:rPr>
        <w:t xml:space="preserve">mmary and </w:t>
      </w:r>
      <w:r>
        <w:rPr>
          <w:i/>
          <w:szCs w:val="24"/>
        </w:rPr>
        <w:t>I</w:t>
      </w:r>
      <w:r w:rsidR="00061A23" w:rsidRPr="0090442A">
        <w:rPr>
          <w:i/>
          <w:szCs w:val="24"/>
        </w:rPr>
        <w:t>mp</w:t>
      </w:r>
      <w:r>
        <w:rPr>
          <w:i/>
          <w:szCs w:val="24"/>
        </w:rPr>
        <w:t>lications for I</w:t>
      </w:r>
      <w:r w:rsidR="00061A23" w:rsidRPr="0090442A">
        <w:rPr>
          <w:i/>
          <w:szCs w:val="24"/>
        </w:rPr>
        <w:t>ncreasing</w:t>
      </w:r>
      <w:r w:rsidR="0058590F" w:rsidRPr="0090442A">
        <w:rPr>
          <w:i/>
          <w:szCs w:val="24"/>
        </w:rPr>
        <w:t xml:space="preserve"> </w:t>
      </w:r>
      <w:r>
        <w:rPr>
          <w:i/>
          <w:szCs w:val="24"/>
        </w:rPr>
        <w:t>D</w:t>
      </w:r>
      <w:r w:rsidR="0058590F" w:rsidRPr="0090442A">
        <w:rPr>
          <w:i/>
          <w:szCs w:val="24"/>
        </w:rPr>
        <w:t xml:space="preserve">estination </w:t>
      </w:r>
      <w:r>
        <w:rPr>
          <w:i/>
          <w:szCs w:val="24"/>
        </w:rPr>
        <w:t>C</w:t>
      </w:r>
      <w:r w:rsidR="0058590F" w:rsidRPr="0090442A">
        <w:rPr>
          <w:i/>
          <w:szCs w:val="24"/>
        </w:rPr>
        <w:t>ompetitiveness</w:t>
      </w:r>
    </w:p>
    <w:p w:rsidR="00BB2047" w:rsidRDefault="0058590F" w:rsidP="0090442A">
      <w:pPr>
        <w:spacing w:line="360" w:lineRule="auto"/>
      </w:pPr>
      <w:r>
        <w:t xml:space="preserve">A number of </w:t>
      </w:r>
      <w:r w:rsidR="00742885">
        <w:t xml:space="preserve">summary </w:t>
      </w:r>
      <w:r w:rsidR="0087561D">
        <w:t>observations may be made from the model. First, the presence of a ferry leg appears to increase the attractiveness of a destination region for young single individuals and young</w:t>
      </w:r>
      <w:r w:rsidR="007A5134">
        <w:t xml:space="preserve"> parents (individuals in the HF</w:t>
      </w:r>
      <w:r w:rsidR="0087561D">
        <w:t>L</w:t>
      </w:r>
      <w:r w:rsidR="007A5134">
        <w:t>F</w:t>
      </w:r>
      <w:r w:rsidR="0087561D">
        <w:t>C and LIP segments), but has relatively little attractive value for older baby-boomers. Of course, this is after controlling for the total cost of travel, which itself does have a very significant negative impact on destination region choice</w:t>
      </w:r>
      <w:r w:rsidR="00CF5606">
        <w:t xml:space="preserve"> (especially for the LIP segment)</w:t>
      </w:r>
      <w:r w:rsidR="0087561D">
        <w:t xml:space="preserve">. Second, regions with </w:t>
      </w:r>
      <w:r w:rsidR="0087561D">
        <w:rPr>
          <w:szCs w:val="24"/>
        </w:rPr>
        <w:t>high urban land cover are in general very attractive as a leisure trip destination. This is also true of regions with good forest cover; such regions have the highest attractive value for individuals in th</w:t>
      </w:r>
      <w:r w:rsidR="007A5134">
        <w:rPr>
          <w:szCs w:val="24"/>
        </w:rPr>
        <w:t>e first HF</w:t>
      </w:r>
      <w:r w:rsidR="0087561D">
        <w:rPr>
          <w:szCs w:val="24"/>
        </w:rPr>
        <w:t>L</w:t>
      </w:r>
      <w:r w:rsidR="007A5134">
        <w:rPr>
          <w:szCs w:val="24"/>
        </w:rPr>
        <w:t>F</w:t>
      </w:r>
      <w:r w:rsidR="0087561D">
        <w:rPr>
          <w:szCs w:val="24"/>
        </w:rPr>
        <w:t xml:space="preserve">C segment and the least </w:t>
      </w:r>
      <w:r w:rsidR="00742885">
        <w:rPr>
          <w:szCs w:val="24"/>
        </w:rPr>
        <w:t xml:space="preserve">attractive value for individuals in the CBB segment. </w:t>
      </w:r>
      <w:r w:rsidR="0087561D">
        <w:rPr>
          <w:szCs w:val="24"/>
        </w:rPr>
        <w:t xml:space="preserve"> </w:t>
      </w:r>
      <w:r w:rsidR="00742885">
        <w:rPr>
          <w:szCs w:val="24"/>
        </w:rPr>
        <w:t xml:space="preserve">Third, regions with high wetland land cover lowers attractive value across the board, while regions with high agricultural land cover appeal substantially to middle-aged couples (individuals in the CBB segment) but “push away” young individuals in general and young parents in particular, presumably because agricultural lands in New Zealand correspond quite a bit to vineyards. Finally, the combined effects of </w:t>
      </w:r>
      <w:r w:rsidR="00D2221C">
        <w:t>the land-cover diversity index</w:t>
      </w:r>
      <w:r w:rsidR="004E72FD">
        <w:t xml:space="preserve"> </w:t>
      </w:r>
      <w:r w:rsidR="00742885">
        <w:t xml:space="preserve">on the baseline and satiation function, as well as </w:t>
      </w:r>
      <w:r w:rsidR="004E72FD">
        <w:t>the constant coefficients in the satiation function</w:t>
      </w:r>
      <w:r w:rsidR="00D2221C">
        <w:t xml:space="preserve">, </w:t>
      </w:r>
      <w:r w:rsidR="00742885">
        <w:t xml:space="preserve">imply </w:t>
      </w:r>
      <w:r w:rsidR="00D2221C">
        <w:t xml:space="preserve">that individuals in the HFLFC segment place a premium on diversity of opportunities in terms of </w:t>
      </w:r>
      <w:r w:rsidR="00B73683">
        <w:t>the types of activities</w:t>
      </w:r>
      <w:r w:rsidR="00D2221C">
        <w:t xml:space="preserve"> offered by a dest</w:t>
      </w:r>
      <w:r w:rsidR="004E72FD">
        <w:t xml:space="preserve">ination region, and </w:t>
      </w:r>
      <w:r w:rsidR="00D2221C">
        <w:t xml:space="preserve">are much more willing to be loyal to a destination region that offers that diversity (if they make multiple leisure trips). On the other hand, the LIP and CBB segments are much less interested in diversity of activity type opportunities </w:t>
      </w:r>
      <w:r w:rsidR="00CF5606">
        <w:t>with</w:t>
      </w:r>
      <w:r w:rsidR="00D2221C">
        <w:t xml:space="preserve">in a destination region, though they also look more for diversity in terms of destination regions visited </w:t>
      </w:r>
      <w:r>
        <w:t>in general. The individuals in the CBB group in particular are averse to repeat-visiting regions with high diversity of activity opportunities</w:t>
      </w:r>
      <w:r w:rsidR="00D2221C">
        <w:t xml:space="preserve">. </w:t>
      </w:r>
    </w:p>
    <w:p w:rsidR="00D86D23" w:rsidRDefault="00BB2047" w:rsidP="00BB2047">
      <w:pPr>
        <w:spacing w:line="360" w:lineRule="auto"/>
        <w:ind w:firstLine="720"/>
      </w:pPr>
      <w:r>
        <w:t>The</w:t>
      </w:r>
      <w:r w:rsidR="00B73683">
        <w:t xml:space="preserve"> kinds of insights </w:t>
      </w:r>
      <w:r>
        <w:t xml:space="preserve">above </w:t>
      </w:r>
      <w:r w:rsidR="00B73683">
        <w:t xml:space="preserve">offered by our proposed model can be valuable in branding and marketing campaigns. </w:t>
      </w:r>
      <w:r w:rsidR="00BB5136">
        <w:t xml:space="preserve">As a simple illustration, consider two of the most popular destination regions: Auckland and Nelson. Auckland has a higher diversity in activity opportunities as </w:t>
      </w:r>
      <w:proofErr w:type="spellStart"/>
      <w:r w:rsidR="00BB5136">
        <w:t>proxied</w:t>
      </w:r>
      <w:proofErr w:type="spellEnd"/>
      <w:r w:rsidR="00BB5136">
        <w:t xml:space="preserve"> by land-cover percentages (a diversity index of 0.38) than does Nelson (a diversity index </w:t>
      </w:r>
      <w:r w:rsidR="00BB5136">
        <w:lastRenderedPageBreak/>
        <w:t>of 0.29) which is heavily invested in forest land cover. Our results suggest that these two regions should use different strategies in their marketing and branding</w:t>
      </w:r>
      <w:r w:rsidR="00D86D23">
        <w:t>, as we discuss below</w:t>
      </w:r>
      <w:r w:rsidR="00BB5136">
        <w:t xml:space="preserve">. </w:t>
      </w:r>
    </w:p>
    <w:p w:rsidR="0052794D" w:rsidRPr="0052794D" w:rsidRDefault="00BB5136" w:rsidP="0052794D">
      <w:pPr>
        <w:spacing w:line="360" w:lineRule="auto"/>
        <w:ind w:firstLine="720"/>
        <w:rPr>
          <w:szCs w:val="24"/>
        </w:rPr>
      </w:pPr>
      <w:r>
        <w:t xml:space="preserve">Auckland </w:t>
      </w:r>
      <w:r w:rsidR="00F47A2B">
        <w:t xml:space="preserve">should emphasize its “diversity uniqueness” when targeting the HFFLC group, perhaps by broadcasting customized media advertisements in </w:t>
      </w:r>
      <w:r w:rsidR="007A4CBC">
        <w:t>high incom</w:t>
      </w:r>
      <w:r w:rsidR="00F47A2B">
        <w:t xml:space="preserve">e neighborhoods all over New Zealand and having promotional flyers at bars and clubs where </w:t>
      </w:r>
      <w:r w:rsidR="007A4CBC">
        <w:t xml:space="preserve">young </w:t>
      </w:r>
      <w:r w:rsidR="00F47A2B">
        <w:t xml:space="preserve">singles spend quite a bit of time. </w:t>
      </w:r>
      <w:r w:rsidR="007A4CBC">
        <w:t xml:space="preserve">This will serve Auckland well given that individuals in the HFFLC segment desire diversity and can be very loyal to regions that offer that diversity. While doing so, Auckland should also highlight its forest and urban land cover very specifically, because these will make the region more attractive in the perception map of individuals in the HFFLC group. </w:t>
      </w:r>
      <w:r w:rsidR="00F47A2B">
        <w:t xml:space="preserve">At the same time, given the LIP and CBB segments are much larger in </w:t>
      </w:r>
      <w:proofErr w:type="gramStart"/>
      <w:r w:rsidR="00F47A2B">
        <w:t>size,</w:t>
      </w:r>
      <w:proofErr w:type="gramEnd"/>
      <w:r w:rsidR="00F47A2B">
        <w:t xml:space="preserve"> Auckland has to also target these segments appropriately.</w:t>
      </w:r>
      <w:r w:rsidR="007A4CBC">
        <w:t xml:space="preserve"> For the LIP </w:t>
      </w:r>
      <w:r w:rsidR="005D30C8">
        <w:t xml:space="preserve">and CBB </w:t>
      </w:r>
      <w:r w:rsidR="007A4CBC">
        <w:t>group</w:t>
      </w:r>
      <w:r w:rsidR="005D30C8">
        <w:t>s</w:t>
      </w:r>
      <w:r w:rsidR="007A4CBC">
        <w:t xml:space="preserve">, </w:t>
      </w:r>
      <w:r w:rsidR="005D30C8">
        <w:t>the strateg</w:t>
      </w:r>
      <w:r w:rsidR="007A5134">
        <w:t>y would be similar to the HF</w:t>
      </w:r>
      <w:r w:rsidR="005D30C8">
        <w:t>L</w:t>
      </w:r>
      <w:r w:rsidR="007A5134">
        <w:t>F</w:t>
      </w:r>
      <w:r w:rsidR="005D30C8">
        <w:t xml:space="preserve">C group in its emphasis on </w:t>
      </w:r>
      <w:r w:rsidR="007A4CBC">
        <w:t>urban and forest-related tourism</w:t>
      </w:r>
      <w:r w:rsidR="005D30C8">
        <w:t xml:space="preserve"> opportunities. However, unlik</w:t>
      </w:r>
      <w:r w:rsidR="007A5134">
        <w:t>e promotions targeted at the HF</w:t>
      </w:r>
      <w:r w:rsidR="005D30C8">
        <w:t>L</w:t>
      </w:r>
      <w:r w:rsidR="007A5134">
        <w:t>F</w:t>
      </w:r>
      <w:r w:rsidR="005D30C8">
        <w:t xml:space="preserve">C group, the Auckland promotion campaigns toward these two groups would do well not to speak about the diversity of types of activity opportunities, and retain a high intensity of coverage of the urban and forest-related tourism opportunities. For the CBB group, it would behoove Auckland campaigns to play up </w:t>
      </w:r>
      <w:r w:rsidR="00D86D23">
        <w:t xml:space="preserve">the </w:t>
      </w:r>
      <w:r w:rsidR="00D86D23">
        <w:rPr>
          <w:szCs w:val="24"/>
        </w:rPr>
        <w:t xml:space="preserve">vineyards and orchards for wine-tasting and consuming tours (Auckland, in addition to its </w:t>
      </w:r>
      <w:r w:rsidR="00D86D23" w:rsidRPr="0052794D">
        <w:rPr>
          <w:szCs w:val="24"/>
        </w:rPr>
        <w:t xml:space="preserve">diversity, has a large percentage of its land area invested in agricultural land-use). </w:t>
      </w:r>
    </w:p>
    <w:p w:rsidR="009002D4" w:rsidRPr="0052794D" w:rsidRDefault="00D86D23" w:rsidP="0052794D">
      <w:pPr>
        <w:spacing w:line="360" w:lineRule="auto"/>
        <w:ind w:firstLine="720"/>
        <w:rPr>
          <w:szCs w:val="24"/>
        </w:rPr>
      </w:pPr>
      <w:r w:rsidRPr="0052794D">
        <w:rPr>
          <w:szCs w:val="24"/>
        </w:rPr>
        <w:t xml:space="preserve">Nelson </w:t>
      </w:r>
      <w:r w:rsidR="00A73582" w:rsidRPr="0052794D">
        <w:rPr>
          <w:szCs w:val="24"/>
        </w:rPr>
        <w:t>is mainly invested in forest land-cover, with substantial opportunities for adventurous pursuits in rough and rugged forest terrain. This should be the main focus of promotional campaigns in all three segments as opposed to any diversity campaigns. In the CBB segment, Nelson can play up its vineyards and wine-tasting tourism outlets. Another important marketing strategy for Nelson is to highlight its geographic proximity to</w:t>
      </w:r>
      <w:r w:rsidR="009002D4" w:rsidRPr="0052794D">
        <w:rPr>
          <w:szCs w:val="24"/>
        </w:rPr>
        <w:t xml:space="preserve"> the ferry landing in</w:t>
      </w:r>
      <w:r w:rsidR="00A73582" w:rsidRPr="0052794D">
        <w:rPr>
          <w:szCs w:val="24"/>
        </w:rPr>
        <w:t xml:space="preserve"> </w:t>
      </w:r>
      <w:proofErr w:type="spellStart"/>
      <w:r w:rsidR="009002D4" w:rsidRPr="0052794D">
        <w:rPr>
          <w:szCs w:val="24"/>
        </w:rPr>
        <w:t>Picton</w:t>
      </w:r>
      <w:proofErr w:type="spellEnd"/>
      <w:r w:rsidR="009002D4" w:rsidRPr="0052794D">
        <w:rPr>
          <w:szCs w:val="24"/>
        </w:rPr>
        <w:t>, which is only a two-hour drive on the Queen Charlotte Drive that also happens to be one of the most picturesque drives in all of New Zealand. When promoting the region to the first HFLFC segment and the second LIP segment, Nelson should play up the ferry crossing experience</w:t>
      </w:r>
      <w:r w:rsidR="005272E4" w:rsidRPr="0052794D">
        <w:rPr>
          <w:szCs w:val="24"/>
        </w:rPr>
        <w:t>, given that the ferry experience has a positive influence on destination region choice</w:t>
      </w:r>
      <w:r w:rsidR="005272E4" w:rsidRPr="0052794D">
        <w:rPr>
          <w:bCs/>
          <w:color w:val="2C2C2C"/>
          <w:szCs w:val="24"/>
        </w:rPr>
        <w:t xml:space="preserve"> for the first two segments. Playing up the scenic experience also can temper negative travel time effects in general. </w:t>
      </w:r>
    </w:p>
    <w:p w:rsidR="00EA09F6" w:rsidRDefault="00EA09F6" w:rsidP="0090442A">
      <w:pPr>
        <w:spacing w:line="360" w:lineRule="auto"/>
        <w:ind w:firstLine="720"/>
      </w:pPr>
      <w:r>
        <w:t xml:space="preserve">Of course, in addition to targeting appropriate individuals for promoting current destination attributes, each region can also consider enhancing the accessibility to opportunities </w:t>
      </w:r>
      <w:r>
        <w:lastRenderedPageBreak/>
        <w:t xml:space="preserve">located within the region. For instance, take the case of Waikato, and consider ways that Waikato can make itself more competitive. But before investing in changing the number and type of offerings, Waikato needs to undertake a cost-benefit analysis including an estimation of the additional tourism share that may be “pulled” to Waikato in response to such an investment. The proposed model can be used to provide information for such a cost-benefit analysis. </w:t>
      </w:r>
      <w:r w:rsidR="00742426">
        <w:rPr>
          <w:szCs w:val="24"/>
        </w:rPr>
        <w:t xml:space="preserve">Specifically, </w:t>
      </w:r>
      <w:r>
        <w:rPr>
          <w:szCs w:val="24"/>
        </w:rPr>
        <w:t xml:space="preserve">consider the case where Waikato </w:t>
      </w:r>
      <w:r w:rsidR="004010F7">
        <w:rPr>
          <w:szCs w:val="24"/>
        </w:rPr>
        <w:t>realizes that it is not very much invested in urban activity opportunities, which, based on our model results, is a significant determinant of tourist “pull”.  The model can then be used to evaluate the increase that may be expected in total tourist trip share to Wa</w:t>
      </w:r>
      <w:r w:rsidR="00F40EE2">
        <w:rPr>
          <w:szCs w:val="24"/>
        </w:rPr>
        <w:t xml:space="preserve">ikato (including repeat trips) </w:t>
      </w:r>
      <w:r w:rsidR="007973D1">
        <w:rPr>
          <w:szCs w:val="24"/>
        </w:rPr>
        <w:t xml:space="preserve">due to </w:t>
      </w:r>
      <w:r>
        <w:rPr>
          <w:szCs w:val="24"/>
        </w:rPr>
        <w:t xml:space="preserve">a 20% increase in </w:t>
      </w:r>
      <w:r w:rsidR="00BD1823">
        <w:rPr>
          <w:szCs w:val="24"/>
        </w:rPr>
        <w:t>its urban land cover (through additional urban activity opportunities)</w:t>
      </w:r>
      <w:r w:rsidR="004010F7">
        <w:rPr>
          <w:szCs w:val="24"/>
        </w:rPr>
        <w:t xml:space="preserve">. To do so, </w:t>
      </w:r>
      <w:r w:rsidR="00D974AA">
        <w:rPr>
          <w:szCs w:val="24"/>
        </w:rPr>
        <w:t xml:space="preserve">for each individual in the sample, </w:t>
      </w:r>
      <w:r w:rsidR="004010F7">
        <w:rPr>
          <w:szCs w:val="24"/>
        </w:rPr>
        <w:t xml:space="preserve">we predict the number of trips </w:t>
      </w:r>
      <w:r w:rsidR="00D974AA">
        <w:rPr>
          <w:szCs w:val="24"/>
        </w:rPr>
        <w:t>attracted to Waikato in the base case and in the case of an increased urban land cover</w:t>
      </w:r>
      <w:r w:rsidR="001F2CA0">
        <w:rPr>
          <w:szCs w:val="24"/>
        </w:rPr>
        <w:t xml:space="preserve"> in the following steps: (1) for the base case, d</w:t>
      </w:r>
      <w:r w:rsidR="00D974AA">
        <w:rPr>
          <w:szCs w:val="24"/>
        </w:rPr>
        <w:t xml:space="preserve">raw 500 realizations for all the stochastic terms in the utility function of Equation (1), </w:t>
      </w:r>
      <w:r w:rsidR="001F2CA0">
        <w:rPr>
          <w:szCs w:val="24"/>
        </w:rPr>
        <w:t>(2) p</w:t>
      </w:r>
      <w:r w:rsidR="00D974AA">
        <w:rPr>
          <w:szCs w:val="24"/>
        </w:rPr>
        <w:t>redict the number of trips to Waikato for each of the realizations using the prediction method of Pinjari and  Bhat (2011)</w:t>
      </w:r>
      <w:r w:rsidR="001F2CA0">
        <w:rPr>
          <w:szCs w:val="24"/>
        </w:rPr>
        <w:t xml:space="preserve">, (3) average the predicted trips across the 500 realizations to obtain the individual prediction of </w:t>
      </w:r>
      <w:r w:rsidR="007973D1">
        <w:rPr>
          <w:szCs w:val="24"/>
        </w:rPr>
        <w:t xml:space="preserve">the </w:t>
      </w:r>
      <w:r w:rsidR="001F2CA0">
        <w:rPr>
          <w:szCs w:val="24"/>
        </w:rPr>
        <w:t xml:space="preserve">number of trips to Waikato, and (4) for the scenario case, increase the urban land cover percentage by 20%, drawing away an equivalent amount from agricultural land-use, (5) redo steps (1), (2), and (3) using the scenario sample, keeping the same 500 realizations for all the stochastic terms as in the base case.  Then, from the individual-level predictions for the base and scenario cases, obtain the total Waikato trips in the two cases by aggregating across all individuals in the sample. Finally, we can obtain a pseudo-elasticity effect by taking the change in total trips to Waikato between the scenario and base cases as a percentage of the total trips to Waikato in the base case. </w:t>
      </w:r>
      <w:r w:rsidR="001F2CA0" w:rsidRPr="005556F2">
        <w:rPr>
          <w:szCs w:val="24"/>
        </w:rPr>
        <w:t xml:space="preserve">This percentage turns out to be </w:t>
      </w:r>
      <w:r w:rsidR="005556F2" w:rsidRPr="005556F2">
        <w:rPr>
          <w:szCs w:val="24"/>
        </w:rPr>
        <w:t>16.1%</w:t>
      </w:r>
      <w:r w:rsidR="001F2CA0" w:rsidRPr="005556F2">
        <w:rPr>
          <w:szCs w:val="24"/>
        </w:rPr>
        <w:t xml:space="preserve"> (standard error of </w:t>
      </w:r>
      <w:r w:rsidR="005556F2" w:rsidRPr="005556F2">
        <w:rPr>
          <w:szCs w:val="24"/>
        </w:rPr>
        <w:t>1.7</w:t>
      </w:r>
      <w:r w:rsidR="007973D1">
        <w:rPr>
          <w:szCs w:val="24"/>
        </w:rPr>
        <w:t>%</w:t>
      </w:r>
      <w:r w:rsidR="001F2CA0" w:rsidRPr="005556F2">
        <w:rPr>
          <w:szCs w:val="24"/>
        </w:rPr>
        <w:t xml:space="preserve">) from the proposed model. As a point of reference, </w:t>
      </w:r>
      <w:r w:rsidR="0021433B" w:rsidRPr="005556F2">
        <w:rPr>
          <w:szCs w:val="24"/>
        </w:rPr>
        <w:t xml:space="preserve">the corresponding percentage is estimated to be </w:t>
      </w:r>
      <w:r w:rsidR="005556F2" w:rsidRPr="005556F2">
        <w:rPr>
          <w:szCs w:val="24"/>
        </w:rPr>
        <w:t>13.3%</w:t>
      </w:r>
      <w:r w:rsidR="0021433B" w:rsidRPr="005556F2">
        <w:rPr>
          <w:szCs w:val="24"/>
        </w:rPr>
        <w:t xml:space="preserve"> (standard error of </w:t>
      </w:r>
      <w:r w:rsidR="005556F2" w:rsidRPr="005556F2">
        <w:rPr>
          <w:szCs w:val="24"/>
        </w:rPr>
        <w:t>1.2</w:t>
      </w:r>
      <w:r w:rsidR="007973D1">
        <w:rPr>
          <w:szCs w:val="24"/>
        </w:rPr>
        <w:t>%</w:t>
      </w:r>
      <w:r w:rsidR="0021433B" w:rsidRPr="005556F2">
        <w:rPr>
          <w:szCs w:val="24"/>
        </w:rPr>
        <w:t xml:space="preserve">) in the LC-MDCP model and </w:t>
      </w:r>
      <w:r w:rsidR="005556F2" w:rsidRPr="005556F2">
        <w:rPr>
          <w:szCs w:val="24"/>
        </w:rPr>
        <w:t>11.5%</w:t>
      </w:r>
      <w:r w:rsidR="0021433B" w:rsidRPr="005556F2">
        <w:rPr>
          <w:szCs w:val="24"/>
        </w:rPr>
        <w:t xml:space="preserve"> (standard error of </w:t>
      </w:r>
      <w:r w:rsidR="005556F2" w:rsidRPr="005556F2">
        <w:rPr>
          <w:szCs w:val="24"/>
        </w:rPr>
        <w:t>1.5</w:t>
      </w:r>
      <w:r w:rsidR="007973D1">
        <w:rPr>
          <w:szCs w:val="24"/>
        </w:rPr>
        <w:t>%</w:t>
      </w:r>
      <w:r w:rsidR="0021433B" w:rsidRPr="005556F2">
        <w:rPr>
          <w:szCs w:val="24"/>
        </w:rPr>
        <w:t>) in the RC-MDCP model.</w:t>
      </w:r>
      <w:r w:rsidR="0021433B" w:rsidRPr="005556F2">
        <w:rPr>
          <w:rStyle w:val="FootnoteReference"/>
          <w:szCs w:val="24"/>
        </w:rPr>
        <w:footnoteReference w:id="12"/>
      </w:r>
      <w:r w:rsidR="0021433B" w:rsidRPr="005556F2">
        <w:rPr>
          <w:szCs w:val="24"/>
        </w:rPr>
        <w:t xml:space="preserve"> </w:t>
      </w:r>
      <w:r w:rsidR="00061A23" w:rsidRPr="005556F2">
        <w:rPr>
          <w:szCs w:val="24"/>
        </w:rPr>
        <w:t xml:space="preserve">Clearly, there are important differences among the models in the policy predictions, with the LC-MDCP and RC-MDCP models under-predicting the effectiveness of an increase in urban opportunities relative to the proposed FDMN-MDCP model. As we will see next, given that the proposed </w:t>
      </w:r>
      <w:r w:rsidR="00061A23" w:rsidRPr="005556F2">
        <w:rPr>
          <w:szCs w:val="24"/>
        </w:rPr>
        <w:lastRenderedPageBreak/>
        <w:t>model fits the data much better than the other two models, the implication is that tourism policies to increase urban opportunities may be inappropriately discarded if the simpler LC-MDCP and RC-MDCP models</w:t>
      </w:r>
      <w:r w:rsidR="007973D1">
        <w:rPr>
          <w:szCs w:val="24"/>
        </w:rPr>
        <w:t xml:space="preserve"> were to be used.</w:t>
      </w:r>
    </w:p>
    <w:p w:rsidR="00BD6523" w:rsidRDefault="00BD6523" w:rsidP="0090442A">
      <w:pPr>
        <w:spacing w:line="360" w:lineRule="auto"/>
        <w:rPr>
          <w:szCs w:val="24"/>
        </w:rPr>
      </w:pPr>
    </w:p>
    <w:p w:rsidR="00061A23" w:rsidRPr="0052794D" w:rsidRDefault="0052794D" w:rsidP="0090442A">
      <w:pPr>
        <w:spacing w:line="360" w:lineRule="auto"/>
        <w:rPr>
          <w:b/>
        </w:rPr>
      </w:pPr>
      <w:r w:rsidRPr="0052794D">
        <w:rPr>
          <w:b/>
        </w:rPr>
        <w:t xml:space="preserve">4.5 </w:t>
      </w:r>
      <w:r w:rsidR="00061A23" w:rsidRPr="0052794D">
        <w:rPr>
          <w:b/>
        </w:rPr>
        <w:t>Data Fit Comparisons with the LC-MDCP and the RC-MDCP Models</w:t>
      </w:r>
    </w:p>
    <w:p w:rsidR="00846368" w:rsidRPr="00846368" w:rsidRDefault="00061A23" w:rsidP="0090442A">
      <w:pPr>
        <w:spacing w:line="360" w:lineRule="auto"/>
      </w:pPr>
      <w:r>
        <w:t xml:space="preserve">The difference in policy sensitivity results between the </w:t>
      </w:r>
      <w:r w:rsidR="007973D1">
        <w:t xml:space="preserve">FDMN-MDCP, LC-MDCP, and RC-MDCP </w:t>
      </w:r>
      <w:r>
        <w:t xml:space="preserve">models suggests the need to apply formal statistical tests to determine the structure that is most consistent with the data. </w:t>
      </w:r>
      <w:r w:rsidR="00846368" w:rsidRPr="00C84020">
        <w:rPr>
          <w:szCs w:val="24"/>
        </w:rPr>
        <w:t xml:space="preserve">In this section, we provide measures of fit </w:t>
      </w:r>
      <w:r w:rsidR="00846368">
        <w:rPr>
          <w:szCs w:val="24"/>
        </w:rPr>
        <w:t>for the</w:t>
      </w:r>
      <w:r w:rsidR="007973D1">
        <w:rPr>
          <w:szCs w:val="24"/>
        </w:rPr>
        <w:t xml:space="preserve">se models. </w:t>
      </w:r>
      <w:r w:rsidR="00846368">
        <w:rPr>
          <w:szCs w:val="24"/>
        </w:rPr>
        <w:t xml:space="preserve"> For the </w:t>
      </w:r>
      <w:r w:rsidR="007973D1">
        <w:rPr>
          <w:szCs w:val="24"/>
        </w:rPr>
        <w:t>RC-MDCP</w:t>
      </w:r>
      <w:r w:rsidR="00846368">
        <w:rPr>
          <w:szCs w:val="24"/>
        </w:rPr>
        <w:t xml:space="preserve"> model, </w:t>
      </w:r>
      <w:r w:rsidR="007973D1">
        <w:rPr>
          <w:szCs w:val="24"/>
        </w:rPr>
        <w:t xml:space="preserve">as </w:t>
      </w:r>
      <w:r w:rsidR="00846368">
        <w:rPr>
          <w:szCs w:val="24"/>
        </w:rPr>
        <w:t xml:space="preserve">we already indicated in a footnote earlier, </w:t>
      </w:r>
      <w:r w:rsidR="00846368" w:rsidRPr="00C84020">
        <w:rPr>
          <w:szCs w:val="24"/>
        </w:rPr>
        <w:t xml:space="preserve">we consider both observed and unobserved heterogeneity </w:t>
      </w:r>
      <w:r w:rsidR="00846368">
        <w:rPr>
          <w:szCs w:val="24"/>
        </w:rPr>
        <w:t xml:space="preserve">in the “strawman” </w:t>
      </w:r>
      <w:r w:rsidR="00846368" w:rsidRPr="00C84020">
        <w:rPr>
          <w:szCs w:val="24"/>
        </w:rPr>
        <w:t xml:space="preserve">specification </w:t>
      </w:r>
    </w:p>
    <w:p w:rsidR="00846368" w:rsidRPr="00C84020" w:rsidRDefault="00846368" w:rsidP="0090442A">
      <w:pPr>
        <w:spacing w:line="360" w:lineRule="auto"/>
        <w:ind w:firstLine="720"/>
        <w:rPr>
          <w:szCs w:val="24"/>
        </w:rPr>
      </w:pPr>
      <w:r w:rsidRPr="00C84020">
        <w:rPr>
          <w:szCs w:val="24"/>
        </w:rPr>
        <w:t xml:space="preserve">The </w:t>
      </w:r>
      <w:r>
        <w:rPr>
          <w:szCs w:val="24"/>
        </w:rPr>
        <w:t xml:space="preserve">LC-MDCP and the proposed model can be compared </w:t>
      </w:r>
      <w:r w:rsidRPr="00C84020">
        <w:rPr>
          <w:szCs w:val="24"/>
        </w:rPr>
        <w:t>using the familiar likelihood ratio test</w:t>
      </w:r>
      <w:r>
        <w:rPr>
          <w:szCs w:val="24"/>
        </w:rPr>
        <w:t>, since the former is a restricted version of the latter with no continuous random heterogeneity in coefficients within each segment. For the test between the RC-MDCP and the prop</w:t>
      </w:r>
      <w:r w:rsidR="00887124">
        <w:rPr>
          <w:szCs w:val="24"/>
        </w:rPr>
        <w:t>o</w:t>
      </w:r>
      <w:r>
        <w:rPr>
          <w:szCs w:val="24"/>
        </w:rPr>
        <w:t>sed model</w:t>
      </w:r>
      <w:r w:rsidRPr="00C84020">
        <w:rPr>
          <w:szCs w:val="24"/>
        </w:rPr>
        <w:t>, one can compute the adjusted likelihood ratio index with respect to the log-likelihood at equal shares:</w:t>
      </w:r>
    </w:p>
    <w:p w:rsidR="00846368" w:rsidRPr="00C84020" w:rsidRDefault="00F4037C" w:rsidP="00320DF9">
      <w:pPr>
        <w:tabs>
          <w:tab w:val="right" w:pos="9360"/>
        </w:tabs>
        <w:spacing w:line="360" w:lineRule="auto"/>
        <w:rPr>
          <w:szCs w:val="24"/>
        </w:rPr>
      </w:pPr>
      <w:r w:rsidRPr="00C84020">
        <w:rPr>
          <w:position w:val="-28"/>
          <w:szCs w:val="24"/>
        </w:rPr>
        <w:object w:dxaOrig="2040" w:dyaOrig="720" w14:anchorId="61432893">
          <v:shape id="_x0000_i1422" type="#_x0000_t75" style="width:102pt;height:36.75pt;mso-position-vertical:absolute" o:ole="" o:preferrelative="f">
            <v:imagedata r:id="rId757" o:title=""/>
            <o:lock v:ext="edit" aspectratio="f"/>
          </v:shape>
          <o:OLEObject Type="Embed" ProgID="Equation.3" ShapeID="_x0000_i1422" DrawAspect="Content" ObjectID="_1519137271" r:id="rId758"/>
        </w:object>
      </w:r>
      <w:r w:rsidR="00320DF9">
        <w:rPr>
          <w:szCs w:val="24"/>
        </w:rPr>
        <w:t>,</w:t>
      </w:r>
      <w:r w:rsidR="00320DF9">
        <w:rPr>
          <w:szCs w:val="24"/>
        </w:rPr>
        <w:tab/>
      </w:r>
      <w:r w:rsidR="00846368" w:rsidRPr="00C84020">
        <w:rPr>
          <w:szCs w:val="24"/>
        </w:rPr>
        <w:t>(</w:t>
      </w:r>
      <w:r w:rsidR="00F750B6">
        <w:rPr>
          <w:szCs w:val="24"/>
        </w:rPr>
        <w:t>22</w:t>
      </w:r>
      <w:r w:rsidR="00846368" w:rsidRPr="00C84020">
        <w:rPr>
          <w:szCs w:val="24"/>
        </w:rPr>
        <w:t>)</w:t>
      </w:r>
    </w:p>
    <w:p w:rsidR="00846368" w:rsidRPr="00C84020" w:rsidRDefault="00846368" w:rsidP="0090442A">
      <w:pPr>
        <w:autoSpaceDE w:val="0"/>
        <w:autoSpaceDN w:val="0"/>
        <w:adjustRightInd w:val="0"/>
        <w:spacing w:line="360" w:lineRule="auto"/>
        <w:rPr>
          <w:szCs w:val="24"/>
        </w:rPr>
      </w:pPr>
      <w:r w:rsidRPr="00C84020">
        <w:rPr>
          <w:szCs w:val="24"/>
        </w:rPr>
        <w:t xml:space="preserve">where </w:t>
      </w:r>
      <w:r w:rsidR="00F4037C" w:rsidRPr="00C84020">
        <w:rPr>
          <w:position w:val="-10"/>
          <w:szCs w:val="24"/>
        </w:rPr>
        <w:object w:dxaOrig="680" w:dyaOrig="380" w14:anchorId="687869D7">
          <v:shape id="_x0000_i1423" type="#_x0000_t75" style="width:33pt;height:17.25pt" o:ole="" o:preferrelative="f">
            <v:imagedata r:id="rId759" o:title=""/>
            <o:lock v:ext="edit" aspectratio="f"/>
          </v:shape>
          <o:OLEObject Type="Embed" ProgID="Equation.3" ShapeID="_x0000_i1423" DrawAspect="Content" ObjectID="_1519137272" r:id="rId760"/>
        </w:object>
      </w:r>
      <w:r w:rsidR="006C4312">
        <w:rPr>
          <w:szCs w:val="24"/>
        </w:rPr>
        <w:t xml:space="preserve"> is</w:t>
      </w:r>
      <w:r w:rsidRPr="00C84020">
        <w:rPr>
          <w:szCs w:val="24"/>
        </w:rPr>
        <w:t xml:space="preserve"> the log-likelihood functio</w:t>
      </w:r>
      <w:r w:rsidR="006C4312">
        <w:rPr>
          <w:szCs w:val="24"/>
        </w:rPr>
        <w:t>n at convergence,</w:t>
      </w:r>
      <w:r w:rsidR="00F4037C" w:rsidRPr="00C84020">
        <w:rPr>
          <w:position w:val="-10"/>
          <w:szCs w:val="24"/>
        </w:rPr>
        <w:object w:dxaOrig="660" w:dyaOrig="320" w14:anchorId="2C1A3D5C">
          <v:shape id="_x0000_i1424" type="#_x0000_t75" style="width:33pt;height:15.75pt" o:ole="" o:preferrelative="f">
            <v:imagedata r:id="rId761" o:title=""/>
            <o:lock v:ext="edit" aspectratio="f"/>
          </v:shape>
          <o:OLEObject Type="Embed" ProgID="Equation.3" ShapeID="_x0000_i1424" DrawAspect="Content" ObjectID="_1519137273" r:id="rId762"/>
        </w:object>
      </w:r>
      <w:r w:rsidR="008F1C54">
        <w:rPr>
          <w:szCs w:val="24"/>
        </w:rPr>
        <w:t xml:space="preserve"> </w:t>
      </w:r>
      <w:r w:rsidR="006C4312">
        <w:rPr>
          <w:szCs w:val="24"/>
        </w:rPr>
        <w:t xml:space="preserve">is the log-likelihood for </w:t>
      </w:r>
      <w:r>
        <w:rPr>
          <w:szCs w:val="24"/>
        </w:rPr>
        <w:t>the</w:t>
      </w:r>
      <w:r w:rsidR="006C4312">
        <w:rPr>
          <w:szCs w:val="24"/>
        </w:rPr>
        <w:t xml:space="preserve"> naïve unsegmented </w:t>
      </w:r>
      <w:r>
        <w:rPr>
          <w:szCs w:val="24"/>
        </w:rPr>
        <w:t>model with only the size measure in the baseline function</w:t>
      </w:r>
      <w:r w:rsidR="006C4312">
        <w:rPr>
          <w:szCs w:val="24"/>
        </w:rPr>
        <w:t xml:space="preserve">, only the constant in the satiation function, no spatial dependence, and IID errors across regions as in Equation (18), </w:t>
      </w:r>
      <w:r w:rsidRPr="00C84020">
        <w:rPr>
          <w:szCs w:val="24"/>
        </w:rPr>
        <w:t xml:space="preserve">and </w:t>
      </w:r>
      <w:r w:rsidRPr="00C84020">
        <w:rPr>
          <w:i/>
          <w:szCs w:val="24"/>
        </w:rPr>
        <w:t>M</w:t>
      </w:r>
      <w:r w:rsidRPr="00C84020">
        <w:rPr>
          <w:szCs w:val="24"/>
        </w:rPr>
        <w:t xml:space="preserve"> is the number of parameters estimated in the model</w:t>
      </w:r>
      <w:r w:rsidR="006C4312">
        <w:rPr>
          <w:szCs w:val="24"/>
        </w:rPr>
        <w:t xml:space="preserve"> minus two (that is, minus the single size coefficient in the baseline utility and the single satiation constant estimated in the naïve unsegmented model). </w:t>
      </w:r>
      <w:r w:rsidRPr="00C84020">
        <w:rPr>
          <w:szCs w:val="24"/>
        </w:rPr>
        <w:t>To test the performance of the two non-nested models (</w:t>
      </w:r>
      <w:r w:rsidRPr="00587F3D">
        <w:rPr>
          <w:i/>
          <w:szCs w:val="24"/>
        </w:rPr>
        <w:t>i.e.</w:t>
      </w:r>
      <w:r w:rsidR="006C4312">
        <w:rPr>
          <w:szCs w:val="24"/>
        </w:rPr>
        <w:t xml:space="preserve"> the proposed FDMN-MDCP and RC-MDCP </w:t>
      </w:r>
      <w:r w:rsidRPr="00C84020">
        <w:rPr>
          <w:szCs w:val="24"/>
        </w:rPr>
        <w:t xml:space="preserve">models) statistically, the non-nested adjusted likelihood ratio test may be used. This test determines if the adjusted likelihood ratio indices of two non-nested models are significantly different. In particular, if the difference in the indices </w:t>
      </w:r>
      <w:proofErr w:type="gramStart"/>
      <w:r w:rsidRPr="00C84020">
        <w:rPr>
          <w:szCs w:val="24"/>
        </w:rPr>
        <w:t xml:space="preserve">is </w:t>
      </w:r>
      <w:r w:rsidR="00F4037C" w:rsidRPr="00C84020">
        <w:rPr>
          <w:position w:val="-10"/>
          <w:szCs w:val="24"/>
        </w:rPr>
        <w:object w:dxaOrig="1359" w:dyaOrig="360" w14:anchorId="6F8743AD">
          <v:shape id="_x0000_i1425" type="#_x0000_t75" style="width:67.5pt;height:18.75pt" o:ole="" o:preferrelative="f">
            <v:imagedata r:id="rId763" o:title=""/>
            <o:lock v:ext="edit" aspectratio="f"/>
          </v:shape>
          <o:OLEObject Type="Embed" ProgID="Equation.3" ShapeID="_x0000_i1425" DrawAspect="Content" ObjectID="_1519137274" r:id="rId764"/>
        </w:object>
      </w:r>
      <w:r w:rsidRPr="00C84020">
        <w:rPr>
          <w:szCs w:val="24"/>
        </w:rPr>
        <w:t xml:space="preserve"> , then the probability that this difference could have occurred by chance is no larger than </w:t>
      </w:r>
      <w:r w:rsidR="00F4037C" w:rsidRPr="00C84020">
        <w:rPr>
          <w:position w:val="-10"/>
          <w:szCs w:val="24"/>
        </w:rPr>
        <w:object w:dxaOrig="3100" w:dyaOrig="360" w14:anchorId="333C3B82">
          <v:shape id="_x0000_i1426" type="#_x0000_t75" style="width:154.5pt;height:18.75pt" o:ole="" o:preferrelative="f">
            <v:imagedata r:id="rId765" o:title=""/>
            <o:lock v:ext="edit" aspectratio="f"/>
          </v:shape>
          <o:OLEObject Type="Embed" ProgID="Equation.3" ShapeID="_x0000_i1426" DrawAspect="Content" ObjectID="_1519137275" r:id="rId766"/>
        </w:object>
      </w:r>
      <w:r w:rsidRPr="00C84020">
        <w:rPr>
          <w:szCs w:val="24"/>
        </w:rPr>
        <w:t xml:space="preserve">  in the asymptotic limit. A small value of the probability of chance occurrence indicates that the difference is statistically significant and that the model with the higher value of adjusted likelihood ratio index is to be preferred.</w:t>
      </w:r>
    </w:p>
    <w:p w:rsidR="00846368" w:rsidRPr="00C84020" w:rsidRDefault="00DD5CFC" w:rsidP="0090442A">
      <w:pPr>
        <w:spacing w:line="360" w:lineRule="auto"/>
        <w:ind w:firstLine="720"/>
        <w:rPr>
          <w:szCs w:val="24"/>
        </w:rPr>
      </w:pPr>
      <w:r>
        <w:rPr>
          <w:szCs w:val="24"/>
        </w:rPr>
        <w:lastRenderedPageBreak/>
        <w:t>T</w:t>
      </w:r>
      <w:r w:rsidR="006C4312">
        <w:rPr>
          <w:szCs w:val="24"/>
        </w:rPr>
        <w:t xml:space="preserve">he </w:t>
      </w:r>
      <w:r w:rsidR="00846368" w:rsidRPr="00C84020">
        <w:rPr>
          <w:szCs w:val="24"/>
        </w:rPr>
        <w:t>likelihood ratio test (for the com</w:t>
      </w:r>
      <w:r w:rsidR="006C4312">
        <w:rPr>
          <w:szCs w:val="24"/>
        </w:rPr>
        <w:t xml:space="preserve">parison of the LC-MDCP and FDMN-MDCP </w:t>
      </w:r>
      <w:r w:rsidR="00846368" w:rsidRPr="00C84020">
        <w:rPr>
          <w:szCs w:val="24"/>
        </w:rPr>
        <w:t xml:space="preserve">models) and non-nested adjusted likelihood ratio test (for the comparison of the </w:t>
      </w:r>
      <w:r w:rsidR="006C4312">
        <w:rPr>
          <w:szCs w:val="24"/>
        </w:rPr>
        <w:t xml:space="preserve">RC-MDCP and FDMN-MDCP </w:t>
      </w:r>
      <w:r w:rsidR="00846368" w:rsidRPr="00C84020">
        <w:rPr>
          <w:szCs w:val="24"/>
        </w:rPr>
        <w:t>models</w:t>
      </w:r>
      <w:r w:rsidR="006C4312">
        <w:rPr>
          <w:szCs w:val="24"/>
        </w:rPr>
        <w:t>)</w:t>
      </w:r>
      <w:r>
        <w:rPr>
          <w:szCs w:val="24"/>
        </w:rPr>
        <w:t xml:space="preserve"> constitute disaggregate measures of fit that consider performance at the </w:t>
      </w:r>
      <w:r w:rsidR="00941175">
        <w:rPr>
          <w:szCs w:val="24"/>
        </w:rPr>
        <w:t>multivariate and disaggregate level of all combinations of regions</w:t>
      </w:r>
      <w:r w:rsidR="006C4312">
        <w:rPr>
          <w:szCs w:val="24"/>
        </w:rPr>
        <w:t xml:space="preserve">, </w:t>
      </w:r>
      <w:r w:rsidR="00941175">
        <w:rPr>
          <w:szCs w:val="24"/>
        </w:rPr>
        <w:t>While the best data fit measure</w:t>
      </w:r>
      <w:r w:rsidR="00A87962">
        <w:rPr>
          <w:szCs w:val="24"/>
        </w:rPr>
        <w:t>s</w:t>
      </w:r>
      <w:r w:rsidR="00941175">
        <w:rPr>
          <w:szCs w:val="24"/>
        </w:rPr>
        <w:t xml:space="preserve">, these are not very intuitive. So, we </w:t>
      </w:r>
      <w:r w:rsidR="00846368" w:rsidRPr="00C84020">
        <w:rPr>
          <w:szCs w:val="24"/>
        </w:rPr>
        <w:t>also evaluate the performance of the three models intuitively and informally</w:t>
      </w:r>
      <w:r w:rsidR="00941175">
        <w:rPr>
          <w:szCs w:val="24"/>
        </w:rPr>
        <w:t xml:space="preserve"> at an aggregate level</w:t>
      </w:r>
      <w:r>
        <w:rPr>
          <w:szCs w:val="24"/>
        </w:rPr>
        <w:t>.</w:t>
      </w:r>
      <w:r w:rsidR="00941175">
        <w:rPr>
          <w:szCs w:val="24"/>
        </w:rPr>
        <w:t xml:space="preserve"> However, since there are too many multivariate combinations possible of leisure trip-making to the destination regions</w:t>
      </w:r>
      <w:r>
        <w:rPr>
          <w:szCs w:val="24"/>
        </w:rPr>
        <w:t xml:space="preserve"> </w:t>
      </w:r>
      <w:r w:rsidR="00941175">
        <w:rPr>
          <w:szCs w:val="24"/>
        </w:rPr>
        <w:t>and it is impossible to provide fit statistics for all these combinations, we compare the aggregate marginal bivariate predictions (</w:t>
      </w:r>
      <w:r w:rsidR="00A87962">
        <w:rPr>
          <w:szCs w:val="24"/>
        </w:rPr>
        <w:t>with</w:t>
      </w:r>
      <w:r w:rsidR="00941175">
        <w:rPr>
          <w:szCs w:val="24"/>
        </w:rPr>
        <w:t xml:space="preserve"> the true sample values) for combinations of two of the most visited regions – Waikato and Auckland. Specifically, we focus on the percentage of individuals who, during the four-week survey period, visit Waikato but not Auckland, Auckland but not Waikato, both Auckland and Waikato</w:t>
      </w:r>
      <w:r w:rsidR="00062A17">
        <w:rPr>
          <w:szCs w:val="24"/>
        </w:rPr>
        <w:t>, and neither of the two</w:t>
      </w:r>
      <w:r w:rsidR="00941175">
        <w:rPr>
          <w:szCs w:val="24"/>
        </w:rPr>
        <w:t xml:space="preserve">.  </w:t>
      </w:r>
      <w:r w:rsidR="004D71B9">
        <w:rPr>
          <w:szCs w:val="24"/>
        </w:rPr>
        <w:t xml:space="preserve">The prediction procedure is similar to the one used for undertaking the sensitivity analysis in the previous section, except that, for each individual, we compute the probability of visiting each of the </w:t>
      </w:r>
      <w:r w:rsidR="00062A17">
        <w:rPr>
          <w:szCs w:val="24"/>
        </w:rPr>
        <w:t>four</w:t>
      </w:r>
      <w:r w:rsidR="004D71B9">
        <w:rPr>
          <w:szCs w:val="24"/>
        </w:rPr>
        <w:t xml:space="preserve"> combinations of regions as the percentage of times in the 500 realizations that each of the combinations has a non-zero number of visits. </w:t>
      </w:r>
      <w:r w:rsidR="00062A17">
        <w:rPr>
          <w:szCs w:val="24"/>
        </w:rPr>
        <w:t xml:space="preserve">The probabilities for each combination are added up across individuals to obtain the predicted number of individuals falling into each combination category and compared with the actual percentages using the mean absolute percentage error </w:t>
      </w:r>
      <w:r w:rsidR="00C04757">
        <w:rPr>
          <w:szCs w:val="24"/>
        </w:rPr>
        <w:t xml:space="preserve">(MAPE) </w:t>
      </w:r>
      <w:r w:rsidR="00062A17">
        <w:rPr>
          <w:szCs w:val="24"/>
        </w:rPr>
        <w:t xml:space="preserve">statistic. </w:t>
      </w:r>
      <w:r w:rsidR="004D71B9">
        <w:rPr>
          <w:szCs w:val="24"/>
        </w:rPr>
        <w:t xml:space="preserve"> </w:t>
      </w:r>
    </w:p>
    <w:p w:rsidR="001132D1" w:rsidRDefault="00846368" w:rsidP="00552698">
      <w:pPr>
        <w:spacing w:line="360" w:lineRule="auto"/>
        <w:ind w:firstLine="720"/>
        <w:rPr>
          <w:szCs w:val="24"/>
        </w:rPr>
      </w:pPr>
      <w:r w:rsidRPr="00C84020">
        <w:rPr>
          <w:szCs w:val="24"/>
        </w:rPr>
        <w:t>The re</w:t>
      </w:r>
      <w:r w:rsidR="00A87962">
        <w:rPr>
          <w:szCs w:val="24"/>
        </w:rPr>
        <w:t>sults of the data fit comparisons</w:t>
      </w:r>
      <w:r w:rsidR="004D71B9">
        <w:rPr>
          <w:szCs w:val="24"/>
        </w:rPr>
        <w:t xml:space="preserve"> </w:t>
      </w:r>
      <w:r w:rsidRPr="00C84020">
        <w:rPr>
          <w:szCs w:val="24"/>
        </w:rPr>
        <w:t>are present</w:t>
      </w:r>
      <w:r w:rsidR="004D71B9">
        <w:rPr>
          <w:szCs w:val="24"/>
        </w:rPr>
        <w:t xml:space="preserve">ed in Table </w:t>
      </w:r>
      <w:r w:rsidR="007A0D5B">
        <w:rPr>
          <w:szCs w:val="24"/>
        </w:rPr>
        <w:t>8</w:t>
      </w:r>
      <w:r w:rsidRPr="00C84020">
        <w:rPr>
          <w:szCs w:val="24"/>
        </w:rPr>
        <w:t xml:space="preserve">. The first row provides the log-likelihood </w:t>
      </w:r>
      <w:r w:rsidR="00552698">
        <w:rPr>
          <w:szCs w:val="24"/>
        </w:rPr>
        <w:t xml:space="preserve">for the naïve unsegmented model (that is, the </w:t>
      </w:r>
      <w:r w:rsidR="00F4037C" w:rsidRPr="00C84020">
        <w:rPr>
          <w:position w:val="-10"/>
          <w:szCs w:val="24"/>
        </w:rPr>
        <w:object w:dxaOrig="660" w:dyaOrig="320" w14:anchorId="2CDD64AE">
          <v:shape id="_x0000_i1427" type="#_x0000_t75" style="width:33pt;height:15.75pt" o:ole="" o:preferrelative="f">
            <v:imagedata r:id="rId761" o:title=""/>
            <o:lock v:ext="edit" aspectratio="f"/>
          </v:shape>
          <o:OLEObject Type="Embed" ProgID="Equation.3" ShapeID="_x0000_i1427" DrawAspect="Content" ObjectID="_1519137276" r:id="rId767"/>
        </w:object>
      </w:r>
      <w:r w:rsidR="008F1C54">
        <w:rPr>
          <w:szCs w:val="24"/>
        </w:rPr>
        <w:t xml:space="preserve"> </w:t>
      </w:r>
      <w:r w:rsidR="00552698">
        <w:rPr>
          <w:szCs w:val="24"/>
        </w:rPr>
        <w:t>value)</w:t>
      </w:r>
      <w:r w:rsidRPr="00C84020">
        <w:rPr>
          <w:szCs w:val="24"/>
        </w:rPr>
        <w:t>, which is, of course, the same across the three models. The second row indicates the sup</w:t>
      </w:r>
      <w:r w:rsidR="00552698">
        <w:rPr>
          <w:szCs w:val="24"/>
        </w:rPr>
        <w:t>erior performance of the proposed FDMN-MDCP</w:t>
      </w:r>
      <w:r w:rsidRPr="00C84020">
        <w:rPr>
          <w:szCs w:val="24"/>
        </w:rPr>
        <w:t xml:space="preserve"> mode</w:t>
      </w:r>
      <w:r w:rsidR="00552698">
        <w:rPr>
          <w:szCs w:val="24"/>
        </w:rPr>
        <w:t>l in terms of the convergent log-</w:t>
      </w:r>
      <w:r w:rsidRPr="00C84020">
        <w:rPr>
          <w:szCs w:val="24"/>
        </w:rPr>
        <w:t>likelihood value, as does the adjusted likelihood ratio index in the fifth row</w:t>
      </w:r>
      <w:r w:rsidR="00552698">
        <w:rPr>
          <w:szCs w:val="24"/>
        </w:rPr>
        <w:t xml:space="preserve"> (note that the small magnitude of this index is not surprising, given the multitude of different possible multivariate combinations)</w:t>
      </w:r>
      <w:r w:rsidRPr="00C84020">
        <w:rPr>
          <w:szCs w:val="24"/>
        </w:rPr>
        <w:t>. The sixth ro</w:t>
      </w:r>
      <w:r w:rsidR="00552698">
        <w:rPr>
          <w:szCs w:val="24"/>
        </w:rPr>
        <w:t>w formally shows</w:t>
      </w:r>
      <w:r w:rsidR="00CF5606">
        <w:rPr>
          <w:szCs w:val="24"/>
        </w:rPr>
        <w:t xml:space="preserve"> the</w:t>
      </w:r>
      <w:r w:rsidR="00552698">
        <w:rPr>
          <w:szCs w:val="24"/>
        </w:rPr>
        <w:t xml:space="preserve"> </w:t>
      </w:r>
      <w:r w:rsidRPr="00C84020">
        <w:rPr>
          <w:szCs w:val="24"/>
        </w:rPr>
        <w:t>likelihood ratio test re</w:t>
      </w:r>
      <w:r w:rsidR="00552698">
        <w:rPr>
          <w:szCs w:val="24"/>
        </w:rPr>
        <w:t xml:space="preserve">sult of the comparison of the FDMN-MDCP model </w:t>
      </w:r>
      <w:r w:rsidR="00CF5606">
        <w:rPr>
          <w:szCs w:val="24"/>
        </w:rPr>
        <w:t>with</w:t>
      </w:r>
      <w:r w:rsidR="00552698">
        <w:rPr>
          <w:szCs w:val="24"/>
        </w:rPr>
        <w:t xml:space="preserve"> the LC-MDCP</w:t>
      </w:r>
      <w:r w:rsidRPr="00C84020">
        <w:rPr>
          <w:szCs w:val="24"/>
        </w:rPr>
        <w:t xml:space="preserve"> model, indicating th</w:t>
      </w:r>
      <w:r w:rsidR="00552698">
        <w:rPr>
          <w:szCs w:val="24"/>
        </w:rPr>
        <w:t>e clear dominance of the FDMN-MDCP</w:t>
      </w:r>
      <w:r w:rsidRPr="00C84020">
        <w:rPr>
          <w:szCs w:val="24"/>
        </w:rPr>
        <w:t xml:space="preserve"> data fit. The same result is obtained in the next row through a non-nested adjusted likeli</w:t>
      </w:r>
      <w:r w:rsidR="00552698">
        <w:rPr>
          <w:szCs w:val="24"/>
        </w:rPr>
        <w:t>hood ratio test comparing the FDMN-MDCP</w:t>
      </w:r>
      <w:r w:rsidRPr="00C84020">
        <w:rPr>
          <w:szCs w:val="24"/>
        </w:rPr>
        <w:t xml:space="preserve"> model with the </w:t>
      </w:r>
      <w:r w:rsidR="00552698">
        <w:rPr>
          <w:szCs w:val="24"/>
        </w:rPr>
        <w:t xml:space="preserve">RC-MDCP </w:t>
      </w:r>
      <w:r w:rsidRPr="00C84020">
        <w:rPr>
          <w:szCs w:val="24"/>
        </w:rPr>
        <w:t>model; the probability that the adjusted likelihood ratio index differe</w:t>
      </w:r>
      <w:r w:rsidR="00552698">
        <w:rPr>
          <w:szCs w:val="24"/>
        </w:rPr>
        <w:t xml:space="preserve">nce between these </w:t>
      </w:r>
      <w:r w:rsidRPr="00C84020">
        <w:rPr>
          <w:szCs w:val="24"/>
        </w:rPr>
        <w:t xml:space="preserve">models could have occurred by chance is literally zero. </w:t>
      </w:r>
      <w:r w:rsidR="00062A17">
        <w:rPr>
          <w:szCs w:val="24"/>
        </w:rPr>
        <w:t xml:space="preserve">Finally, the last panel of the table first shows the actual percentages of individuals falling in each combination of visiting/not visiting the Waikato and Auckland regions, followed by the </w:t>
      </w:r>
      <w:r w:rsidR="00062A17">
        <w:rPr>
          <w:szCs w:val="24"/>
        </w:rPr>
        <w:lastRenderedPageBreak/>
        <w:t xml:space="preserve">predicted percentages from the three different models. The </w:t>
      </w:r>
      <w:r w:rsidR="00C04757">
        <w:rPr>
          <w:szCs w:val="24"/>
        </w:rPr>
        <w:t>MAPE</w:t>
      </w:r>
      <w:r w:rsidR="00062A17">
        <w:rPr>
          <w:szCs w:val="24"/>
        </w:rPr>
        <w:t xml:space="preserve"> </w:t>
      </w:r>
      <w:r w:rsidR="00CF5606">
        <w:rPr>
          <w:szCs w:val="24"/>
        </w:rPr>
        <w:t xml:space="preserve">values from the three models are </w:t>
      </w:r>
      <w:r w:rsidR="00062A17">
        <w:rPr>
          <w:szCs w:val="24"/>
        </w:rPr>
        <w:t>provided in the last row of the table</w:t>
      </w:r>
      <w:r w:rsidR="00CF5606">
        <w:rPr>
          <w:szCs w:val="24"/>
        </w:rPr>
        <w:t>. The LC-MDCP models has a</w:t>
      </w:r>
      <w:r w:rsidR="00C04757">
        <w:rPr>
          <w:szCs w:val="24"/>
        </w:rPr>
        <w:t xml:space="preserve"> MAPE value that is about three times that of the FDMN-MDCP, while the RC-MDCP model has a MAPE that is about 3.5 times that of the FDMN-MDCP. </w:t>
      </w:r>
    </w:p>
    <w:p w:rsidR="00061A23" w:rsidRPr="00EB3E1B" w:rsidRDefault="001132D1" w:rsidP="00EB3E1B">
      <w:pPr>
        <w:autoSpaceDE w:val="0"/>
        <w:autoSpaceDN w:val="0"/>
        <w:adjustRightInd w:val="0"/>
        <w:spacing w:line="360" w:lineRule="auto"/>
        <w:ind w:firstLine="720"/>
        <w:rPr>
          <w:b/>
          <w:szCs w:val="24"/>
        </w:rPr>
      </w:pPr>
      <w:r w:rsidRPr="00EB3E1B">
        <w:rPr>
          <w:szCs w:val="24"/>
        </w:rPr>
        <w:t xml:space="preserve">All the fit measures discussed thus far are based on model fit on the overall sample used in estimation. </w:t>
      </w:r>
      <w:r w:rsidR="002A216F" w:rsidRPr="00EB3E1B">
        <w:rPr>
          <w:szCs w:val="24"/>
        </w:rPr>
        <w:t>While taken toge</w:t>
      </w:r>
      <w:r w:rsidR="00E570FF" w:rsidRPr="00EB3E1B">
        <w:rPr>
          <w:szCs w:val="24"/>
        </w:rPr>
        <w:t>ther, these fit measures</w:t>
      </w:r>
      <w:r w:rsidR="002A216F" w:rsidRPr="00EB3E1B">
        <w:rPr>
          <w:szCs w:val="24"/>
        </w:rPr>
        <w:t xml:space="preserve"> reveal the superiority of the proposed FDMN-MDCP model, there is still a small possibility that the better performance </w:t>
      </w:r>
      <w:r w:rsidR="00E570FF" w:rsidRPr="00EB3E1B">
        <w:rPr>
          <w:szCs w:val="24"/>
        </w:rPr>
        <w:t xml:space="preserve">of our model </w:t>
      </w:r>
      <w:r w:rsidR="002A216F" w:rsidRPr="00EB3E1B">
        <w:rPr>
          <w:szCs w:val="24"/>
        </w:rPr>
        <w:t xml:space="preserve">is simply an artifact of overfitting and may not translate to </w:t>
      </w:r>
      <w:r w:rsidR="00E570FF" w:rsidRPr="00EB3E1B">
        <w:rPr>
          <w:szCs w:val="24"/>
        </w:rPr>
        <w:t xml:space="preserve">predictive accuracy in other samples. To accommodate for this, </w:t>
      </w:r>
      <w:r w:rsidRPr="00EB3E1B">
        <w:rPr>
          <w:szCs w:val="24"/>
        </w:rPr>
        <w:t>we also evaluated the</w:t>
      </w:r>
      <w:r w:rsidR="00E570FF" w:rsidRPr="00EB3E1B">
        <w:rPr>
          <w:szCs w:val="24"/>
        </w:rPr>
        <w:t xml:space="preserve"> </w:t>
      </w:r>
      <w:r w:rsidRPr="00EB3E1B">
        <w:rPr>
          <w:szCs w:val="24"/>
        </w:rPr>
        <w:t>perfo</w:t>
      </w:r>
      <w:r w:rsidR="00E570FF" w:rsidRPr="00EB3E1B">
        <w:rPr>
          <w:szCs w:val="24"/>
        </w:rPr>
        <w:t xml:space="preserve">rmance of the three </w:t>
      </w:r>
      <w:r w:rsidRPr="00EB3E1B">
        <w:rPr>
          <w:szCs w:val="24"/>
        </w:rPr>
        <w:t>models on various ma</w:t>
      </w:r>
      <w:r w:rsidR="00E570FF" w:rsidRPr="00EB3E1B">
        <w:rPr>
          <w:szCs w:val="24"/>
        </w:rPr>
        <w:t>rket segments of the estimation sample (</w:t>
      </w:r>
      <w:r w:rsidRPr="00EB3E1B">
        <w:rPr>
          <w:szCs w:val="24"/>
        </w:rPr>
        <w:t xml:space="preserve">such predictive fit tests </w:t>
      </w:r>
      <w:r w:rsidR="00E570FF" w:rsidRPr="00EB3E1B">
        <w:rPr>
          <w:szCs w:val="24"/>
        </w:rPr>
        <w:t xml:space="preserve">are sometimes referred to as market segment </w:t>
      </w:r>
      <w:r w:rsidRPr="00EB3E1B">
        <w:rPr>
          <w:szCs w:val="24"/>
        </w:rPr>
        <w:t xml:space="preserve">prediction tests). The intent of using such predictive tests is to examine </w:t>
      </w:r>
      <w:r w:rsidR="00E570FF" w:rsidRPr="00EB3E1B">
        <w:rPr>
          <w:szCs w:val="24"/>
        </w:rPr>
        <w:t xml:space="preserve">the performance of </w:t>
      </w:r>
      <w:r w:rsidRPr="00EB3E1B">
        <w:rPr>
          <w:szCs w:val="24"/>
        </w:rPr>
        <w:t>different models on sub-samples that do not correspond to the overall sample used in estimation.</w:t>
      </w:r>
      <w:r w:rsidR="00E570FF" w:rsidRPr="00EB3E1B">
        <w:rPr>
          <w:szCs w:val="24"/>
        </w:rPr>
        <w:t xml:space="preserve"> </w:t>
      </w:r>
      <w:r w:rsidRPr="00EB3E1B">
        <w:rPr>
          <w:szCs w:val="24"/>
        </w:rPr>
        <w:t>Effectively, the sub-sa</w:t>
      </w:r>
      <w:r w:rsidR="00E570FF" w:rsidRPr="00EB3E1B">
        <w:rPr>
          <w:szCs w:val="24"/>
        </w:rPr>
        <w:t>mples serve a similar role as an</w:t>
      </w:r>
      <w:r w:rsidRPr="00EB3E1B">
        <w:rPr>
          <w:szCs w:val="24"/>
        </w:rPr>
        <w:t xml:space="preserve"> ou</w:t>
      </w:r>
      <w:r w:rsidR="00E570FF" w:rsidRPr="00EB3E1B">
        <w:rPr>
          <w:szCs w:val="24"/>
        </w:rPr>
        <w:t xml:space="preserve">t-of-sample for validation. The </w:t>
      </w:r>
      <w:r w:rsidRPr="00EB3E1B">
        <w:rPr>
          <w:szCs w:val="24"/>
        </w:rPr>
        <w:t>advantage of using the sub-sample approach rather than an out-o</w:t>
      </w:r>
      <w:r w:rsidR="00E570FF" w:rsidRPr="00EB3E1B">
        <w:rPr>
          <w:szCs w:val="24"/>
        </w:rPr>
        <w:t xml:space="preserve">f-sample approach to validation </w:t>
      </w:r>
      <w:r w:rsidRPr="00EB3E1B">
        <w:rPr>
          <w:szCs w:val="24"/>
        </w:rPr>
        <w:t>is that there is no reduction in the size of the sample for estimation</w:t>
      </w:r>
      <w:r w:rsidR="00E570FF" w:rsidRPr="00EB3E1B">
        <w:rPr>
          <w:szCs w:val="24"/>
        </w:rPr>
        <w:t xml:space="preserve">. This is particularly an issue </w:t>
      </w:r>
      <w:r w:rsidRPr="00EB3E1B">
        <w:rPr>
          <w:szCs w:val="24"/>
        </w:rPr>
        <w:t xml:space="preserve">in </w:t>
      </w:r>
      <w:r w:rsidR="00E570FF" w:rsidRPr="00EB3E1B">
        <w:rPr>
          <w:szCs w:val="24"/>
        </w:rPr>
        <w:t xml:space="preserve">models of the type estimated in this paper because of the need to use as much information as possible given the number of parameters to be estimated. If a model shows superior </w:t>
      </w:r>
      <w:r w:rsidRPr="00EB3E1B">
        <w:rPr>
          <w:szCs w:val="24"/>
        </w:rPr>
        <w:t>performance in the subsamples in addition to the overall estimatio</w:t>
      </w:r>
      <w:r w:rsidR="00E570FF" w:rsidRPr="00EB3E1B">
        <w:rPr>
          <w:szCs w:val="24"/>
        </w:rPr>
        <w:t xml:space="preserve">n sample, it is indication that </w:t>
      </w:r>
      <w:r w:rsidRPr="00EB3E1B">
        <w:rPr>
          <w:szCs w:val="24"/>
        </w:rPr>
        <w:t xml:space="preserve">the model indeed provides a better data fit. To </w:t>
      </w:r>
      <w:r w:rsidR="00E570FF" w:rsidRPr="00EB3E1B">
        <w:rPr>
          <w:szCs w:val="24"/>
        </w:rPr>
        <w:t xml:space="preserve">do so, we computed the mean absolute percentage error </w:t>
      </w:r>
      <w:r w:rsidR="00733980" w:rsidRPr="00EB3E1B">
        <w:rPr>
          <w:szCs w:val="24"/>
        </w:rPr>
        <w:t xml:space="preserve">(MAPE) </w:t>
      </w:r>
      <w:r w:rsidR="00E570FF" w:rsidRPr="00EB3E1B">
        <w:rPr>
          <w:szCs w:val="24"/>
        </w:rPr>
        <w:t>for</w:t>
      </w:r>
      <w:r w:rsidR="00733980" w:rsidRPr="00EB3E1B">
        <w:rPr>
          <w:szCs w:val="24"/>
        </w:rPr>
        <w:t xml:space="preserve"> the percentage of individuals </w:t>
      </w:r>
      <w:r w:rsidR="00E570FF" w:rsidRPr="00EB3E1B">
        <w:rPr>
          <w:szCs w:val="24"/>
        </w:rPr>
        <w:t xml:space="preserve">predicted to visit the same four combinations of the two destinations as in Table 8 and for three segmentations of demographic variables: (1) income less than </w:t>
      </w:r>
      <w:r w:rsidR="007716C1" w:rsidRPr="00205739">
        <w:rPr>
          <w:szCs w:val="24"/>
        </w:rPr>
        <w:t>NZ</w:t>
      </w:r>
      <w:r w:rsidR="00733980" w:rsidRPr="00205739">
        <w:rPr>
          <w:szCs w:val="24"/>
        </w:rPr>
        <w:t>$</w:t>
      </w:r>
      <w:r w:rsidR="00E570FF" w:rsidRPr="00205739">
        <w:rPr>
          <w:szCs w:val="24"/>
        </w:rPr>
        <w:t xml:space="preserve">50,000 and income greater than </w:t>
      </w:r>
      <w:r w:rsidR="007716C1" w:rsidRPr="00205739">
        <w:rPr>
          <w:szCs w:val="24"/>
        </w:rPr>
        <w:t>NZ</w:t>
      </w:r>
      <w:r w:rsidR="00733980" w:rsidRPr="00205739">
        <w:rPr>
          <w:szCs w:val="24"/>
        </w:rPr>
        <w:t>$</w:t>
      </w:r>
      <w:r w:rsidR="00E570FF" w:rsidRPr="00205739">
        <w:rPr>
          <w:szCs w:val="24"/>
        </w:rPr>
        <w:t>50,000</w:t>
      </w:r>
      <w:r w:rsidR="00E570FF" w:rsidRPr="00EB3E1B">
        <w:rPr>
          <w:szCs w:val="24"/>
        </w:rPr>
        <w:t xml:space="preserve">, </w:t>
      </w:r>
      <w:r w:rsidR="00733980" w:rsidRPr="00EB3E1B">
        <w:rPr>
          <w:szCs w:val="24"/>
        </w:rPr>
        <w:t xml:space="preserve">(2) nuclear and non-nuclear households, and (3) age less than 48 years and age more than 48 years. </w:t>
      </w:r>
      <w:r w:rsidR="00733980" w:rsidRPr="00205739">
        <w:rPr>
          <w:szCs w:val="24"/>
        </w:rPr>
        <w:t>The overall MAPE values for percentage of individuals predicted to visit the four destination combinations in</w:t>
      </w:r>
      <w:r w:rsidR="00205739" w:rsidRPr="00205739">
        <w:rPr>
          <w:szCs w:val="24"/>
        </w:rPr>
        <w:t xml:space="preserve"> the two income segments were 10.</w:t>
      </w:r>
      <w:r w:rsidR="00111333">
        <w:rPr>
          <w:szCs w:val="24"/>
        </w:rPr>
        <w:t>4</w:t>
      </w:r>
      <w:r w:rsidR="00205739" w:rsidRPr="00205739">
        <w:rPr>
          <w:szCs w:val="24"/>
        </w:rPr>
        <w:t>% and 10.</w:t>
      </w:r>
      <w:r w:rsidR="00111333">
        <w:rPr>
          <w:szCs w:val="24"/>
        </w:rPr>
        <w:t>8</w:t>
      </w:r>
      <w:r w:rsidR="00205739" w:rsidRPr="00205739">
        <w:rPr>
          <w:szCs w:val="24"/>
        </w:rPr>
        <w:t>% from the FDMN-MDCP model, 28.</w:t>
      </w:r>
      <w:r w:rsidR="00111333">
        <w:rPr>
          <w:szCs w:val="24"/>
        </w:rPr>
        <w:t>7</w:t>
      </w:r>
      <w:r w:rsidR="00205739" w:rsidRPr="00205739">
        <w:rPr>
          <w:szCs w:val="24"/>
        </w:rPr>
        <w:t>% and 28.</w:t>
      </w:r>
      <w:r w:rsidR="00111333">
        <w:rPr>
          <w:szCs w:val="24"/>
        </w:rPr>
        <w:t>8</w:t>
      </w:r>
      <w:r w:rsidR="00205739" w:rsidRPr="00205739">
        <w:rPr>
          <w:szCs w:val="24"/>
        </w:rPr>
        <w:t>% from the LC-MDCP model, and 36.</w:t>
      </w:r>
      <w:r w:rsidR="00111333">
        <w:rPr>
          <w:szCs w:val="24"/>
        </w:rPr>
        <w:t>1</w:t>
      </w:r>
      <w:r w:rsidR="00205739" w:rsidRPr="00205739">
        <w:rPr>
          <w:szCs w:val="24"/>
        </w:rPr>
        <w:t>% and 36.3</w:t>
      </w:r>
      <w:r w:rsidR="001A56AD">
        <w:rPr>
          <w:szCs w:val="24"/>
        </w:rPr>
        <w:t>% from the R</w:t>
      </w:r>
      <w:r w:rsidR="00733980" w:rsidRPr="00205739">
        <w:rPr>
          <w:szCs w:val="24"/>
        </w:rPr>
        <w:t>C-MDCP model. The corresponding values for the household structure s</w:t>
      </w:r>
      <w:r w:rsidR="00205739" w:rsidRPr="00205739">
        <w:rPr>
          <w:szCs w:val="24"/>
        </w:rPr>
        <w:t>egmentation were 10.</w:t>
      </w:r>
      <w:r w:rsidR="00111333">
        <w:rPr>
          <w:szCs w:val="24"/>
        </w:rPr>
        <w:t>7</w:t>
      </w:r>
      <w:r w:rsidR="00205739" w:rsidRPr="00205739">
        <w:rPr>
          <w:szCs w:val="24"/>
        </w:rPr>
        <w:t>% and 10.6% from the FDMN-MDCP model, 29.</w:t>
      </w:r>
      <w:r w:rsidR="00111333">
        <w:rPr>
          <w:szCs w:val="24"/>
        </w:rPr>
        <w:t>0</w:t>
      </w:r>
      <w:r w:rsidR="00205739" w:rsidRPr="00205739">
        <w:rPr>
          <w:szCs w:val="24"/>
        </w:rPr>
        <w:t>% and 28.</w:t>
      </w:r>
      <w:r w:rsidR="00111333">
        <w:rPr>
          <w:szCs w:val="24"/>
        </w:rPr>
        <w:t>7</w:t>
      </w:r>
      <w:r w:rsidR="00205739" w:rsidRPr="00205739">
        <w:rPr>
          <w:szCs w:val="24"/>
        </w:rPr>
        <w:t>% from the LC-MDCP model, and 36.</w:t>
      </w:r>
      <w:r w:rsidR="00111333">
        <w:rPr>
          <w:szCs w:val="24"/>
        </w:rPr>
        <w:t>2</w:t>
      </w:r>
      <w:r w:rsidR="00205739" w:rsidRPr="00205739">
        <w:rPr>
          <w:szCs w:val="24"/>
        </w:rPr>
        <w:t>% and 35.3</w:t>
      </w:r>
      <w:r w:rsidR="001A56AD">
        <w:rPr>
          <w:szCs w:val="24"/>
        </w:rPr>
        <w:t>% from the R</w:t>
      </w:r>
      <w:r w:rsidR="00733980" w:rsidRPr="00205739">
        <w:rPr>
          <w:szCs w:val="24"/>
        </w:rPr>
        <w:t xml:space="preserve">C-MDCP model, and </w:t>
      </w:r>
      <w:r w:rsidR="00205739" w:rsidRPr="00205739">
        <w:rPr>
          <w:szCs w:val="24"/>
        </w:rPr>
        <w:t>for the age segmentation were 9.</w:t>
      </w:r>
      <w:r w:rsidR="00111333">
        <w:rPr>
          <w:szCs w:val="24"/>
        </w:rPr>
        <w:t>8</w:t>
      </w:r>
      <w:r w:rsidR="00205739" w:rsidRPr="00205739">
        <w:rPr>
          <w:szCs w:val="24"/>
        </w:rPr>
        <w:t>% and 9.</w:t>
      </w:r>
      <w:r w:rsidR="00111333">
        <w:rPr>
          <w:szCs w:val="24"/>
        </w:rPr>
        <w:t>5</w:t>
      </w:r>
      <w:r w:rsidR="00205739" w:rsidRPr="00205739">
        <w:rPr>
          <w:szCs w:val="24"/>
        </w:rPr>
        <w:t>% from the FDMN-MDCP model, 28.</w:t>
      </w:r>
      <w:r w:rsidR="00111333">
        <w:rPr>
          <w:szCs w:val="24"/>
        </w:rPr>
        <w:t>3</w:t>
      </w:r>
      <w:r w:rsidR="00205739" w:rsidRPr="00205739">
        <w:rPr>
          <w:szCs w:val="24"/>
        </w:rPr>
        <w:t>% and 27.</w:t>
      </w:r>
      <w:r w:rsidR="00111333">
        <w:rPr>
          <w:szCs w:val="24"/>
        </w:rPr>
        <w:t>9</w:t>
      </w:r>
      <w:r w:rsidR="00733980" w:rsidRPr="00205739">
        <w:rPr>
          <w:szCs w:val="24"/>
        </w:rPr>
        <w:t xml:space="preserve">% from the LC-MDCP model, and </w:t>
      </w:r>
      <w:r w:rsidR="00111333">
        <w:rPr>
          <w:szCs w:val="24"/>
        </w:rPr>
        <w:t>36.0</w:t>
      </w:r>
      <w:r w:rsidR="00205739" w:rsidRPr="00205739">
        <w:rPr>
          <w:szCs w:val="24"/>
        </w:rPr>
        <w:t>% and 35.1</w:t>
      </w:r>
      <w:r w:rsidR="00733980" w:rsidRPr="00205739">
        <w:rPr>
          <w:szCs w:val="24"/>
        </w:rPr>
        <w:t xml:space="preserve">% </w:t>
      </w:r>
      <w:r w:rsidR="00733980" w:rsidRPr="00205739">
        <w:rPr>
          <w:szCs w:val="24"/>
        </w:rPr>
        <w:lastRenderedPageBreak/>
        <w:t>from th</w:t>
      </w:r>
      <w:r w:rsidR="001A56AD">
        <w:rPr>
          <w:szCs w:val="24"/>
        </w:rPr>
        <w:t>e R</w:t>
      </w:r>
      <w:r w:rsidR="00733980" w:rsidRPr="00205739">
        <w:rPr>
          <w:szCs w:val="24"/>
        </w:rPr>
        <w:t xml:space="preserve">C-MDCP model. </w:t>
      </w:r>
      <w:r w:rsidR="00EB3E1B" w:rsidRPr="00205739">
        <w:rPr>
          <w:szCs w:val="24"/>
        </w:rPr>
        <w:t xml:space="preserve">All in all, </w:t>
      </w:r>
      <w:r w:rsidR="00552698" w:rsidRPr="00205739">
        <w:rPr>
          <w:szCs w:val="24"/>
        </w:rPr>
        <w:t xml:space="preserve">the FDMN-MDCP </w:t>
      </w:r>
      <w:r w:rsidR="00846368" w:rsidRPr="00205739">
        <w:rPr>
          <w:szCs w:val="24"/>
        </w:rPr>
        <w:t xml:space="preserve">model clearly outperforms the other two models </w:t>
      </w:r>
      <w:r w:rsidR="00EB3E1B" w:rsidRPr="00205739">
        <w:rPr>
          <w:szCs w:val="24"/>
        </w:rPr>
        <w:t>even in such a predictive exercise.</w:t>
      </w:r>
    </w:p>
    <w:p w:rsidR="00061A23" w:rsidRDefault="00061A23" w:rsidP="00BB5FDF">
      <w:pPr>
        <w:spacing w:line="360" w:lineRule="auto"/>
        <w:rPr>
          <w:b/>
          <w:szCs w:val="24"/>
        </w:rPr>
      </w:pPr>
    </w:p>
    <w:p w:rsidR="00BB5FDF" w:rsidRPr="00677E53" w:rsidRDefault="00BB5FDF" w:rsidP="00BB5FDF">
      <w:pPr>
        <w:spacing w:line="360" w:lineRule="auto"/>
        <w:rPr>
          <w:b/>
          <w:szCs w:val="24"/>
        </w:rPr>
      </w:pPr>
      <w:r>
        <w:rPr>
          <w:b/>
          <w:szCs w:val="24"/>
        </w:rPr>
        <w:t xml:space="preserve">5. </w:t>
      </w:r>
      <w:r w:rsidRPr="00677E53">
        <w:rPr>
          <w:b/>
          <w:szCs w:val="24"/>
        </w:rPr>
        <w:t>CONCLUSIONS</w:t>
      </w:r>
    </w:p>
    <w:p w:rsidR="00BB5FDF" w:rsidRDefault="00FA04BB" w:rsidP="00BB5FDF">
      <w:pPr>
        <w:spacing w:line="360" w:lineRule="auto"/>
      </w:pPr>
      <w:r>
        <w:rPr>
          <w:szCs w:val="24"/>
        </w:rPr>
        <w:t>This paper has proposed a new econometric formulation and a</w:t>
      </w:r>
      <w:r w:rsidR="00BF0602">
        <w:rPr>
          <w:szCs w:val="24"/>
        </w:rPr>
        <w:t xml:space="preserve"> complete blueprint of an</w:t>
      </w:r>
      <w:r>
        <w:rPr>
          <w:szCs w:val="24"/>
        </w:rPr>
        <w:t xml:space="preserve"> associated estimation method for a finite discrete mixture of </w:t>
      </w:r>
      <w:proofErr w:type="spellStart"/>
      <w:r>
        <w:rPr>
          <w:szCs w:val="24"/>
        </w:rPr>
        <w:t>normal</w:t>
      </w:r>
      <w:r w:rsidR="00BF0602">
        <w:rPr>
          <w:szCs w:val="24"/>
        </w:rPr>
        <w:t>s</w:t>
      </w:r>
      <w:proofErr w:type="spellEnd"/>
      <w:r>
        <w:rPr>
          <w:szCs w:val="24"/>
        </w:rPr>
        <w:t xml:space="preserve"> version of the multiple discrete-continuous probit </w:t>
      </w:r>
      <w:r w:rsidR="00BF0602">
        <w:rPr>
          <w:szCs w:val="24"/>
        </w:rPr>
        <w:t xml:space="preserve">(or FDMN-MDCP) </w:t>
      </w:r>
      <w:r>
        <w:rPr>
          <w:szCs w:val="24"/>
        </w:rPr>
        <w:t>model</w:t>
      </w:r>
      <w:r w:rsidR="00BB5FDF" w:rsidRPr="009F6530">
        <w:t>.</w:t>
      </w:r>
      <w:r w:rsidR="00BF22E4">
        <w:t xml:space="preserve"> The model allows </w:t>
      </w:r>
      <w:r w:rsidR="00BF22E4">
        <w:rPr>
          <w:szCs w:val="24"/>
        </w:rPr>
        <w:t xml:space="preserve">consumers to choose multiple alternatives at the same time, along with the continuous dimension of the amount of consumption, and captures heterogeneity in the response coefficients of the baseline utility </w:t>
      </w:r>
      <w:r w:rsidR="004E7366">
        <w:rPr>
          <w:szCs w:val="24"/>
        </w:rPr>
        <w:t>function</w:t>
      </w:r>
      <w:r w:rsidR="00BF22E4">
        <w:rPr>
          <w:szCs w:val="24"/>
        </w:rPr>
        <w:t>.</w:t>
      </w:r>
      <w:r>
        <w:t xml:space="preserve"> </w:t>
      </w:r>
      <w:r>
        <w:rPr>
          <w:szCs w:val="24"/>
        </w:rPr>
        <w:t xml:space="preserve">This is </w:t>
      </w:r>
      <w:r w:rsidR="00BF0602">
        <w:rPr>
          <w:szCs w:val="24"/>
        </w:rPr>
        <w:t xml:space="preserve">a very </w:t>
      </w:r>
      <w:r>
        <w:rPr>
          <w:szCs w:val="24"/>
        </w:rPr>
        <w:t xml:space="preserve">general way </w:t>
      </w:r>
      <w:r w:rsidR="00BF0602">
        <w:rPr>
          <w:szCs w:val="24"/>
        </w:rPr>
        <w:t>of</w:t>
      </w:r>
      <w:r>
        <w:rPr>
          <w:szCs w:val="24"/>
        </w:rPr>
        <w:t xml:space="preserve"> includ</w:t>
      </w:r>
      <w:r w:rsidR="00BF0602">
        <w:rPr>
          <w:szCs w:val="24"/>
        </w:rPr>
        <w:t>ing</w:t>
      </w:r>
      <w:r>
        <w:rPr>
          <w:szCs w:val="24"/>
        </w:rPr>
        <w:t xml:space="preserve"> heterogeneity in the sensitivity to exogenous variables in the multiple discrete-continuous </w:t>
      </w:r>
      <w:proofErr w:type="gramStart"/>
      <w:r>
        <w:rPr>
          <w:szCs w:val="24"/>
        </w:rPr>
        <w:t>context</w:t>
      </w:r>
      <w:proofErr w:type="gramEnd"/>
      <w:r w:rsidR="00BF0602">
        <w:rPr>
          <w:szCs w:val="24"/>
        </w:rPr>
        <w:t>, with</w:t>
      </w:r>
      <w:r w:rsidR="004E7366">
        <w:rPr>
          <w:szCs w:val="24"/>
        </w:rPr>
        <w:t xml:space="preserve"> </w:t>
      </w:r>
      <w:r w:rsidR="00F03CED" w:rsidRPr="00F13B58">
        <w:rPr>
          <w:szCs w:val="24"/>
        </w:rPr>
        <w:t xml:space="preserve">the normally distributed random parameters approach and the latent class approach </w:t>
      </w:r>
      <w:r w:rsidR="00BF0602">
        <w:rPr>
          <w:szCs w:val="24"/>
        </w:rPr>
        <w:t xml:space="preserve">constituting </w:t>
      </w:r>
      <w:r w:rsidR="00F03CED">
        <w:rPr>
          <w:szCs w:val="24"/>
        </w:rPr>
        <w:t>special cases</w:t>
      </w:r>
      <w:r w:rsidR="00F03CED" w:rsidRPr="00F13B58">
        <w:rPr>
          <w:szCs w:val="24"/>
        </w:rPr>
        <w:t>.</w:t>
      </w:r>
    </w:p>
    <w:p w:rsidR="00B2406D" w:rsidRDefault="00BB5FDF" w:rsidP="00B2406D">
      <w:pPr>
        <w:autoSpaceDE w:val="0"/>
        <w:autoSpaceDN w:val="0"/>
        <w:adjustRightInd w:val="0"/>
        <w:spacing w:line="360" w:lineRule="auto"/>
        <w:ind w:firstLine="720"/>
        <w:rPr>
          <w:szCs w:val="24"/>
        </w:rPr>
      </w:pPr>
      <w:r>
        <w:t xml:space="preserve">A simulation exercise is undertaken to evaluate the </w:t>
      </w:r>
      <w:r w:rsidRPr="00871D8B">
        <w:t>ability of the proposed appro</w:t>
      </w:r>
      <w:r>
        <w:t>ach to recover parameters from simulated datasets</w:t>
      </w:r>
      <w:r w:rsidR="00BF0602">
        <w:t>.</w:t>
      </w:r>
      <w:r>
        <w:t xml:space="preserve"> </w:t>
      </w:r>
      <w:r w:rsidRPr="00871D8B">
        <w:t xml:space="preserve">The results </w:t>
      </w:r>
      <w:r>
        <w:t xml:space="preserve">from the experiments </w:t>
      </w:r>
      <w:r w:rsidRPr="00871D8B">
        <w:t xml:space="preserve">show that </w:t>
      </w:r>
      <w:r>
        <w:t>the</w:t>
      </w:r>
      <w:r w:rsidRPr="00871D8B">
        <w:t xml:space="preserve"> proposed </w:t>
      </w:r>
      <w:r>
        <w:t>inference approach</w:t>
      </w:r>
      <w:r w:rsidR="009F0EBC">
        <w:t>, which is computationally fast and straightforward to implement,</w:t>
      </w:r>
      <w:r>
        <w:t xml:space="preserve"> </w:t>
      </w:r>
      <w:r w:rsidRPr="00871D8B">
        <w:t>does</w:t>
      </w:r>
      <w:r>
        <w:t xml:space="preserve"> </w:t>
      </w:r>
      <w:r w:rsidR="009F0EBC">
        <w:t xml:space="preserve">very </w:t>
      </w:r>
      <w:r w:rsidRPr="00871D8B">
        <w:t xml:space="preserve">well in recovering the </w:t>
      </w:r>
      <w:r>
        <w:t xml:space="preserve">true </w:t>
      </w:r>
      <w:r w:rsidRPr="00871D8B">
        <w:t>parameters</w:t>
      </w:r>
      <w:r>
        <w:t xml:space="preserve"> used in the data generation</w:t>
      </w:r>
      <w:r w:rsidRPr="00871D8B">
        <w:t>.</w:t>
      </w:r>
      <w:r w:rsidR="00BE5C0C">
        <w:t xml:space="preserve"> Also</w:t>
      </w:r>
      <w:r w:rsidR="00BF0602">
        <w:t>,</w:t>
      </w:r>
      <w:r w:rsidR="00BE5C0C">
        <w:t xml:space="preserve"> the </w:t>
      </w:r>
      <w:r w:rsidR="00BF0602">
        <w:t xml:space="preserve">simulation results show that ignoring the continuous component of the mixing (as reflected in the LC-MDCP model) or ignoring the discrete component of the mixing (as in the RC-MDCP model) when the true data is generated using an </w:t>
      </w:r>
      <w:r w:rsidR="00BE5C0C">
        <w:t xml:space="preserve">FDMN MDCP </w:t>
      </w:r>
      <w:r w:rsidR="00BF0602">
        <w:t xml:space="preserve">structure leads to substantial </w:t>
      </w:r>
      <w:r w:rsidR="004E7366">
        <w:t>parameter bias</w:t>
      </w:r>
      <w:r w:rsidR="00BF0602">
        <w:t xml:space="preserve">. The average absolute percentage bias (APB) for the LC-MDCP model is about </w:t>
      </w:r>
      <w:r w:rsidR="00813A00">
        <w:t>28.5</w:t>
      </w:r>
      <w:r w:rsidR="00BF0602">
        <w:t xml:space="preserve">%, and for the RC-MDCP model is 26%, relative to the APB for the correct FDMN-MDCP model </w:t>
      </w:r>
      <w:r w:rsidR="004E7366">
        <w:t xml:space="preserve">which is </w:t>
      </w:r>
      <w:r w:rsidR="00BF0602">
        <w:t xml:space="preserve">of </w:t>
      </w:r>
      <w:r w:rsidR="009F0EBC">
        <w:t>the order of 3%. Clear</w:t>
      </w:r>
      <w:r w:rsidR="00D205C5">
        <w:t>ly, the repercussion</w:t>
      </w:r>
      <w:r w:rsidR="009F0EBC">
        <w:t xml:space="preserve"> of imposing incorrect restrictions is very</w:t>
      </w:r>
      <w:r w:rsidR="004E7366">
        <w:t xml:space="preserve"> severe on parameter bias</w:t>
      </w:r>
      <w:r w:rsidR="009F0EBC">
        <w:t xml:space="preserve">. </w:t>
      </w:r>
      <w:r w:rsidR="00B2406D" w:rsidRPr="00B2406D">
        <w:rPr>
          <w:szCs w:val="24"/>
        </w:rPr>
        <w:t xml:space="preserve"> </w:t>
      </w:r>
    </w:p>
    <w:p w:rsidR="00B2406D" w:rsidRPr="00B2406D" w:rsidRDefault="00B2406D" w:rsidP="00B2406D">
      <w:pPr>
        <w:autoSpaceDE w:val="0"/>
        <w:autoSpaceDN w:val="0"/>
        <w:adjustRightInd w:val="0"/>
        <w:spacing w:line="360" w:lineRule="auto"/>
        <w:ind w:firstLine="720"/>
        <w:rPr>
          <w:szCs w:val="24"/>
        </w:rPr>
      </w:pPr>
      <w:r>
        <w:rPr>
          <w:szCs w:val="24"/>
        </w:rPr>
        <w:t xml:space="preserve">The paper demonstrates the application of the </w:t>
      </w:r>
      <w:r w:rsidRPr="00677E53">
        <w:rPr>
          <w:szCs w:val="24"/>
        </w:rPr>
        <w:t>proposed</w:t>
      </w:r>
      <w:r>
        <w:rPr>
          <w:szCs w:val="24"/>
        </w:rPr>
        <w:t xml:space="preserve"> approach through a study of individuals’</w:t>
      </w:r>
      <w:r w:rsidRPr="00677E53">
        <w:rPr>
          <w:szCs w:val="24"/>
        </w:rPr>
        <w:t xml:space="preserve"> </w:t>
      </w:r>
      <w:r>
        <w:rPr>
          <w:szCs w:val="24"/>
        </w:rPr>
        <w:t>recreational (</w:t>
      </w:r>
      <w:r w:rsidRPr="00BB4AE0">
        <w:rPr>
          <w:i/>
          <w:szCs w:val="24"/>
        </w:rPr>
        <w:t>i.e</w:t>
      </w:r>
      <w:r>
        <w:rPr>
          <w:szCs w:val="24"/>
        </w:rPr>
        <w:t xml:space="preserve">., long distance leisure trips of over </w:t>
      </w:r>
      <w:r w:rsidR="00B32783">
        <w:rPr>
          <w:szCs w:val="24"/>
        </w:rPr>
        <w:t>25 miles</w:t>
      </w:r>
      <w:r>
        <w:rPr>
          <w:szCs w:val="24"/>
        </w:rPr>
        <w:t xml:space="preserve"> one-way) </w:t>
      </w:r>
      <w:r w:rsidRPr="00677E53">
        <w:rPr>
          <w:szCs w:val="24"/>
        </w:rPr>
        <w:t xml:space="preserve">choice among </w:t>
      </w:r>
      <w:r>
        <w:rPr>
          <w:szCs w:val="24"/>
        </w:rPr>
        <w:t xml:space="preserve">alternative </w:t>
      </w:r>
      <w:r w:rsidRPr="00677E53">
        <w:rPr>
          <w:szCs w:val="24"/>
        </w:rPr>
        <w:t>destination locations and the number of trips to each recreational destination location</w:t>
      </w:r>
      <w:r>
        <w:rPr>
          <w:szCs w:val="24"/>
        </w:rPr>
        <w:t>,</w:t>
      </w:r>
      <w:r w:rsidRPr="00677E53">
        <w:rPr>
          <w:szCs w:val="24"/>
        </w:rPr>
        <w:t xml:space="preserve"> using data drawn from </w:t>
      </w:r>
      <w:r>
        <w:rPr>
          <w:szCs w:val="24"/>
        </w:rPr>
        <w:t xml:space="preserve">the </w:t>
      </w:r>
      <w:r>
        <w:t>2012 New Zealand Domestic Travel Survey (DTS)</w:t>
      </w:r>
      <w:r w:rsidR="004E7366">
        <w:rPr>
          <w:szCs w:val="24"/>
        </w:rPr>
        <w:t>. T</w:t>
      </w:r>
      <w:r>
        <w:t xml:space="preserve">he Bayesian </w:t>
      </w:r>
      <w:r w:rsidR="004E7366">
        <w:t xml:space="preserve">Information Criterion indicates </w:t>
      </w:r>
      <w:r>
        <w:t>that t</w:t>
      </w:r>
      <w:r w:rsidR="004E7366">
        <w:t xml:space="preserve">he preferred specification is </w:t>
      </w:r>
      <w:r>
        <w:t xml:space="preserve">a three-segment solution, </w:t>
      </w:r>
      <w:r w:rsidR="004E7366">
        <w:t xml:space="preserve">with </w:t>
      </w:r>
      <w:r>
        <w:t xml:space="preserve">one segment loading on high flying low family commitment (HFLFC) individuals, the second on low income parents (LIP), and the third on couple baby-boomers (CBB). In a comparative </w:t>
      </w:r>
      <w:r>
        <w:lastRenderedPageBreak/>
        <w:t>empirical assessment of the FDMN-MDCP with the simpler LC-MDCP and</w:t>
      </w:r>
      <w:r w:rsidR="004E7366">
        <w:t xml:space="preserve"> RC-MDCP models, the FDMN-MDCP came</w:t>
      </w:r>
      <w:r>
        <w:t xml:space="preserve"> out clearly as the winner in terms of data fit. </w:t>
      </w:r>
    </w:p>
    <w:p w:rsidR="00B2406D" w:rsidRDefault="00B2406D" w:rsidP="00B72A05">
      <w:pPr>
        <w:autoSpaceDE w:val="0"/>
        <w:autoSpaceDN w:val="0"/>
        <w:adjustRightInd w:val="0"/>
        <w:spacing w:line="360" w:lineRule="auto"/>
        <w:ind w:firstLine="720"/>
      </w:pPr>
      <w:r>
        <w:t xml:space="preserve">The results of the preferred three-segment solution showed heterogeneity (in the form of a continuous normal distribution) in sensitivity to cost and urban land cover within each latent segment, and </w:t>
      </w:r>
      <w:r w:rsidR="00D85451">
        <w:t>differences</w:t>
      </w:r>
      <w:r>
        <w:t xml:space="preserve"> </w:t>
      </w:r>
      <w:r w:rsidR="00D85451">
        <w:t xml:space="preserve">(across the three latent segments) </w:t>
      </w:r>
      <w:r>
        <w:t xml:space="preserve">in the response to the presence of a ferry ride, </w:t>
      </w:r>
      <w:r w:rsidR="004E7366">
        <w:t xml:space="preserve">travel </w:t>
      </w:r>
      <w:r>
        <w:t xml:space="preserve">cost, land cover accessibility measures, and the land cover diversity </w:t>
      </w:r>
      <w:r w:rsidR="00D85451">
        <w:t xml:space="preserve">accessibility index. </w:t>
      </w:r>
      <w:r>
        <w:t>These differences, in combination with the soc</w:t>
      </w:r>
      <w:r w:rsidR="00D85451">
        <w:t xml:space="preserve">io-demographic </w:t>
      </w:r>
      <w:r>
        <w:t>characteristics of individuals in each segment, provide important information for effective targe</w:t>
      </w:r>
      <w:r w:rsidR="00D85451">
        <w:t>ting and strategic positioning to increase destination competitiveness</w:t>
      </w:r>
      <w:r>
        <w:t xml:space="preserve">. More generally, the </w:t>
      </w:r>
      <w:r w:rsidR="00D85451">
        <w:t xml:space="preserve">FDMN-MDCP formulation appears to be a valuable methodology for marketing and positioning in markets that are characterized </w:t>
      </w:r>
      <w:proofErr w:type="gramStart"/>
      <w:r w:rsidR="00D85451">
        <w:t>by multiple discreteness</w:t>
      </w:r>
      <w:proofErr w:type="gramEnd"/>
      <w:r w:rsidR="00D85451">
        <w:t>. Future research should focus on applying the FDMN-MDCP formulation to other multiple discrete contexts. Also, while the application to recreational des</w:t>
      </w:r>
      <w:r w:rsidR="004E7366">
        <w:t xml:space="preserve">tination choice in this paper demonstrates </w:t>
      </w:r>
      <w:r w:rsidR="00D85451">
        <w:t>the value of the formula</w:t>
      </w:r>
      <w:r w:rsidR="004E7366">
        <w:t xml:space="preserve">tion, future work </w:t>
      </w:r>
      <w:r w:rsidR="00D85451">
        <w:t>should consider a much richer set o</w:t>
      </w:r>
      <w:r w:rsidR="004E7366">
        <w:t xml:space="preserve">f destination region attributes. </w:t>
      </w:r>
    </w:p>
    <w:p w:rsidR="00576B82" w:rsidRDefault="00576B82" w:rsidP="00B72A05">
      <w:pPr>
        <w:autoSpaceDE w:val="0"/>
        <w:autoSpaceDN w:val="0"/>
        <w:adjustRightInd w:val="0"/>
        <w:spacing w:line="360" w:lineRule="auto"/>
        <w:ind w:firstLine="720"/>
      </w:pPr>
    </w:p>
    <w:p w:rsidR="000453B3" w:rsidRPr="00576B82" w:rsidRDefault="000453B3" w:rsidP="00B72A05">
      <w:pPr>
        <w:spacing w:line="360" w:lineRule="auto"/>
        <w:rPr>
          <w:b/>
        </w:rPr>
      </w:pPr>
      <w:r w:rsidRPr="00576B82">
        <w:rPr>
          <w:b/>
        </w:rPr>
        <w:t>ACKNOWLEDGMENTS</w:t>
      </w:r>
    </w:p>
    <w:p w:rsidR="00576B82" w:rsidRDefault="00576B82" w:rsidP="00B72A05">
      <w:pPr>
        <w:autoSpaceDE w:val="0"/>
        <w:autoSpaceDN w:val="0"/>
        <w:adjustRightInd w:val="0"/>
        <w:spacing w:line="360" w:lineRule="auto"/>
      </w:pPr>
      <w:r w:rsidRPr="00576B82">
        <w:t xml:space="preserve">This research was partially supported by the U.S. Department of Transportation through the Data-Supported Transportation Operations and Planning (D-STOP) Tier 1 University Transportation Center. The </w:t>
      </w:r>
      <w:r>
        <w:t xml:space="preserve">first </w:t>
      </w:r>
      <w:r w:rsidRPr="00576B82">
        <w:t>author would like to acknowledge support from a Humboldt Research Award from the Alexander von Humboldt Foundation, Germany.</w:t>
      </w:r>
      <w:r w:rsidR="00F72D8B">
        <w:t xml:space="preserve"> </w:t>
      </w:r>
      <w:r w:rsidR="00A20841" w:rsidRPr="00ED27FE">
        <w:rPr>
          <w:color w:val="000000"/>
          <w:szCs w:val="24"/>
        </w:rPr>
        <w:t xml:space="preserve">The authors are grateful to </w:t>
      </w:r>
      <w:r w:rsidR="00A20841" w:rsidRPr="00ED27FE">
        <w:rPr>
          <w:szCs w:val="24"/>
        </w:rPr>
        <w:t xml:space="preserve">Lisa Macias </w:t>
      </w:r>
      <w:r w:rsidR="00A20841" w:rsidRPr="00ED27FE">
        <w:rPr>
          <w:color w:val="000000"/>
          <w:szCs w:val="24"/>
        </w:rPr>
        <w:t xml:space="preserve">for her help in formatting this document, and to anonymous </w:t>
      </w:r>
      <w:r w:rsidR="00A20841" w:rsidRPr="00CF0C5A">
        <w:rPr>
          <w:rFonts w:eastAsia="Times New Roman"/>
          <w:szCs w:val="24"/>
        </w:rPr>
        <w:t>referees who provided useful comments on an earlier version of the paper</w:t>
      </w:r>
      <w:r w:rsidR="00A20841">
        <w:rPr>
          <w:color w:val="000000"/>
          <w:szCs w:val="24"/>
        </w:rPr>
        <w:t>.</w:t>
      </w:r>
    </w:p>
    <w:p w:rsidR="00726FED" w:rsidRDefault="00726FED" w:rsidP="00B72A05">
      <w:pPr>
        <w:spacing w:line="360" w:lineRule="auto"/>
        <w:rPr>
          <w:b/>
          <w:lang w:val="es-CL"/>
        </w:rPr>
      </w:pPr>
      <w:r>
        <w:rPr>
          <w:b/>
          <w:lang w:val="es-CL"/>
        </w:rPr>
        <w:br w:type="page"/>
      </w:r>
    </w:p>
    <w:p w:rsidR="00EF6F7F" w:rsidRPr="00F05E90" w:rsidRDefault="00EF6F7F" w:rsidP="00B72A05">
      <w:pPr>
        <w:spacing w:line="360" w:lineRule="auto"/>
        <w:rPr>
          <w:b/>
          <w:lang w:val="es-CL"/>
        </w:rPr>
      </w:pPr>
      <w:bookmarkStart w:id="0" w:name="_GoBack"/>
      <w:bookmarkEnd w:id="0"/>
      <w:r w:rsidRPr="00F05E90">
        <w:rPr>
          <w:b/>
          <w:lang w:val="es-CL"/>
        </w:rPr>
        <w:lastRenderedPageBreak/>
        <w:t>REFERENCES</w:t>
      </w:r>
    </w:p>
    <w:p w:rsidR="002411B1" w:rsidRPr="00772DA3" w:rsidRDefault="002411B1" w:rsidP="00772DA3">
      <w:pPr>
        <w:autoSpaceDE w:val="0"/>
        <w:autoSpaceDN w:val="0"/>
        <w:adjustRightInd w:val="0"/>
        <w:spacing w:after="120"/>
        <w:ind w:left="360" w:hanging="360"/>
        <w:rPr>
          <w:szCs w:val="24"/>
        </w:rPr>
      </w:pPr>
      <w:r w:rsidRPr="00772DA3">
        <w:rPr>
          <w:szCs w:val="24"/>
          <w:lang w:val="es-CL"/>
        </w:rPr>
        <w:t xml:space="preserve">Amador, F.J., R. Gonzales and J. Ortuzar (2005). </w:t>
      </w:r>
      <w:r w:rsidRPr="00772DA3">
        <w:rPr>
          <w:szCs w:val="24"/>
        </w:rPr>
        <w:t xml:space="preserve">Preference heterogeneity and willingness to pay for travel time savings. </w:t>
      </w:r>
      <w:r w:rsidRPr="00772DA3">
        <w:rPr>
          <w:i/>
          <w:szCs w:val="24"/>
        </w:rPr>
        <w:t>Transportation</w:t>
      </w:r>
      <w:r w:rsidRPr="00772DA3">
        <w:rPr>
          <w:szCs w:val="24"/>
        </w:rPr>
        <w:t>, 32(6), 627-647.</w:t>
      </w:r>
    </w:p>
    <w:p w:rsidR="00C54772" w:rsidRPr="00772DA3" w:rsidRDefault="005E2179" w:rsidP="00772DA3">
      <w:pPr>
        <w:autoSpaceDE w:val="0"/>
        <w:autoSpaceDN w:val="0"/>
        <w:adjustRightInd w:val="0"/>
        <w:spacing w:after="120"/>
        <w:ind w:left="360" w:hanging="360"/>
        <w:rPr>
          <w:szCs w:val="24"/>
        </w:rPr>
      </w:pPr>
      <w:r w:rsidRPr="00772DA3">
        <w:rPr>
          <w:szCs w:val="24"/>
        </w:rPr>
        <w:t>Allenby, G.</w:t>
      </w:r>
      <w:r w:rsidR="00C54772" w:rsidRPr="00772DA3">
        <w:rPr>
          <w:szCs w:val="24"/>
        </w:rPr>
        <w:t xml:space="preserve">M. (1990). </w:t>
      </w:r>
      <w:proofErr w:type="gramStart"/>
      <w:r w:rsidR="00C54772" w:rsidRPr="00772DA3">
        <w:rPr>
          <w:szCs w:val="24"/>
        </w:rPr>
        <w:t>Cross-validation, the Bayes theorem, and small-sample bias.</w:t>
      </w:r>
      <w:proofErr w:type="gramEnd"/>
      <w:r w:rsidR="00C54772" w:rsidRPr="00772DA3">
        <w:rPr>
          <w:szCs w:val="24"/>
        </w:rPr>
        <w:t xml:space="preserve"> </w:t>
      </w:r>
      <w:r w:rsidR="00C54772" w:rsidRPr="00772DA3">
        <w:rPr>
          <w:i/>
          <w:szCs w:val="24"/>
        </w:rPr>
        <w:t>Journal of Business &amp; Economic Statistics</w:t>
      </w:r>
      <w:r w:rsidR="00C54772" w:rsidRPr="00772DA3">
        <w:rPr>
          <w:szCs w:val="24"/>
        </w:rPr>
        <w:t>, 8(2), 171-178.</w:t>
      </w:r>
    </w:p>
    <w:p w:rsidR="002411B1" w:rsidRPr="00772DA3" w:rsidRDefault="005E2179" w:rsidP="00772DA3">
      <w:pPr>
        <w:autoSpaceDE w:val="0"/>
        <w:autoSpaceDN w:val="0"/>
        <w:adjustRightInd w:val="0"/>
        <w:spacing w:after="120"/>
        <w:ind w:left="360" w:hanging="360"/>
        <w:rPr>
          <w:szCs w:val="24"/>
        </w:rPr>
      </w:pPr>
      <w:proofErr w:type="gramStart"/>
      <w:r w:rsidRPr="00772DA3">
        <w:rPr>
          <w:szCs w:val="24"/>
        </w:rPr>
        <w:t xml:space="preserve">Balcombe, K., A. </w:t>
      </w:r>
      <w:proofErr w:type="spellStart"/>
      <w:r w:rsidRPr="00772DA3">
        <w:rPr>
          <w:szCs w:val="24"/>
        </w:rPr>
        <w:t>Chalak</w:t>
      </w:r>
      <w:proofErr w:type="spellEnd"/>
      <w:r w:rsidRPr="00772DA3">
        <w:rPr>
          <w:szCs w:val="24"/>
        </w:rPr>
        <w:t xml:space="preserve"> and I.</w:t>
      </w:r>
      <w:r w:rsidR="002411B1" w:rsidRPr="00772DA3">
        <w:rPr>
          <w:szCs w:val="24"/>
        </w:rPr>
        <w:t>M. Fraser (2009).</w:t>
      </w:r>
      <w:proofErr w:type="gramEnd"/>
      <w:r w:rsidR="002411B1" w:rsidRPr="00772DA3">
        <w:rPr>
          <w:szCs w:val="24"/>
        </w:rPr>
        <w:t xml:space="preserve"> </w:t>
      </w:r>
      <w:proofErr w:type="gramStart"/>
      <w:r w:rsidR="002411B1" w:rsidRPr="00772DA3">
        <w:rPr>
          <w:szCs w:val="24"/>
        </w:rPr>
        <w:t xml:space="preserve">Model selection for the mixed logit with </w:t>
      </w:r>
      <w:r w:rsidR="00F6425C" w:rsidRPr="00772DA3">
        <w:rPr>
          <w:szCs w:val="24"/>
        </w:rPr>
        <w:t>Bayesian</w:t>
      </w:r>
      <w:r w:rsidR="002411B1" w:rsidRPr="00772DA3">
        <w:rPr>
          <w:szCs w:val="24"/>
        </w:rPr>
        <w:t xml:space="preserve"> estimation.</w:t>
      </w:r>
      <w:proofErr w:type="gramEnd"/>
      <w:r w:rsidR="002411B1" w:rsidRPr="00772DA3">
        <w:rPr>
          <w:szCs w:val="24"/>
        </w:rPr>
        <w:t xml:space="preserve"> </w:t>
      </w:r>
      <w:r w:rsidR="002411B1" w:rsidRPr="00772DA3">
        <w:rPr>
          <w:i/>
          <w:szCs w:val="24"/>
        </w:rPr>
        <w:t>Journal of Environmental Economics and Management</w:t>
      </w:r>
      <w:r w:rsidR="002411B1" w:rsidRPr="00772DA3">
        <w:rPr>
          <w:szCs w:val="24"/>
        </w:rPr>
        <w:t>, 57(2), 226-237.</w:t>
      </w:r>
    </w:p>
    <w:p w:rsidR="002411B1" w:rsidRPr="00772DA3" w:rsidRDefault="002411B1" w:rsidP="00772DA3">
      <w:pPr>
        <w:autoSpaceDE w:val="0"/>
        <w:autoSpaceDN w:val="0"/>
        <w:adjustRightInd w:val="0"/>
        <w:spacing w:after="120"/>
        <w:ind w:left="360" w:hanging="360"/>
        <w:rPr>
          <w:szCs w:val="24"/>
        </w:rPr>
      </w:pPr>
      <w:proofErr w:type="gramStart"/>
      <w:r w:rsidRPr="00772DA3">
        <w:rPr>
          <w:szCs w:val="24"/>
        </w:rPr>
        <w:t xml:space="preserve">Bastin, F., C. Cirillo and P.L. </w:t>
      </w:r>
      <w:proofErr w:type="spellStart"/>
      <w:r w:rsidRPr="00772DA3">
        <w:rPr>
          <w:szCs w:val="24"/>
        </w:rPr>
        <w:t>Toint</w:t>
      </w:r>
      <w:proofErr w:type="spellEnd"/>
      <w:r w:rsidRPr="00772DA3">
        <w:rPr>
          <w:szCs w:val="24"/>
        </w:rPr>
        <w:t xml:space="preserve"> (2010).</w:t>
      </w:r>
      <w:proofErr w:type="gramEnd"/>
      <w:r w:rsidRPr="00772DA3">
        <w:rPr>
          <w:szCs w:val="24"/>
        </w:rPr>
        <w:t xml:space="preserve"> </w:t>
      </w:r>
      <w:proofErr w:type="gramStart"/>
      <w:r w:rsidRPr="00772DA3">
        <w:rPr>
          <w:szCs w:val="24"/>
        </w:rPr>
        <w:t>Estimating non-parametric random utility models, with an application to the value of time in heterogeneous populations.</w:t>
      </w:r>
      <w:proofErr w:type="gramEnd"/>
      <w:r w:rsidRPr="00772DA3">
        <w:rPr>
          <w:szCs w:val="24"/>
        </w:rPr>
        <w:t xml:space="preserve"> </w:t>
      </w:r>
      <w:r w:rsidRPr="00772DA3">
        <w:rPr>
          <w:i/>
          <w:szCs w:val="24"/>
        </w:rPr>
        <w:t>Transportation Science</w:t>
      </w:r>
      <w:r w:rsidRPr="00772DA3">
        <w:rPr>
          <w:szCs w:val="24"/>
        </w:rPr>
        <w:t>, 44(4) 537-549.</w:t>
      </w:r>
    </w:p>
    <w:p w:rsidR="002411B1" w:rsidRDefault="005E2179" w:rsidP="00772DA3">
      <w:pPr>
        <w:autoSpaceDE w:val="0"/>
        <w:autoSpaceDN w:val="0"/>
        <w:adjustRightInd w:val="0"/>
        <w:spacing w:after="120"/>
        <w:ind w:left="360" w:hanging="360"/>
        <w:rPr>
          <w:szCs w:val="24"/>
          <w:shd w:val="clear" w:color="auto" w:fill="FFFFFF"/>
        </w:rPr>
      </w:pPr>
      <w:r w:rsidRPr="00772DA3">
        <w:rPr>
          <w:szCs w:val="24"/>
          <w:shd w:val="clear" w:color="auto" w:fill="FFFFFF"/>
        </w:rPr>
        <w:t>Bhat, C.</w:t>
      </w:r>
      <w:r w:rsidR="00BD713C" w:rsidRPr="00772DA3">
        <w:rPr>
          <w:szCs w:val="24"/>
          <w:shd w:val="clear" w:color="auto" w:fill="FFFFFF"/>
        </w:rPr>
        <w:t xml:space="preserve">R. (1997). </w:t>
      </w:r>
      <w:proofErr w:type="gramStart"/>
      <w:r w:rsidR="00BD713C" w:rsidRPr="00772DA3">
        <w:rPr>
          <w:szCs w:val="24"/>
          <w:shd w:val="clear" w:color="auto" w:fill="FFFFFF"/>
        </w:rPr>
        <w:t>An endogenous segmentation mode choice model with an application to intercity travel.</w:t>
      </w:r>
      <w:proofErr w:type="gramEnd"/>
      <w:r w:rsidR="00BD713C" w:rsidRPr="00772DA3">
        <w:rPr>
          <w:rStyle w:val="apple-converted-space"/>
          <w:szCs w:val="24"/>
          <w:shd w:val="clear" w:color="auto" w:fill="FFFFFF"/>
        </w:rPr>
        <w:t> </w:t>
      </w:r>
      <w:r w:rsidR="00BD713C" w:rsidRPr="00772DA3">
        <w:rPr>
          <w:i/>
          <w:iCs/>
          <w:szCs w:val="24"/>
          <w:shd w:val="clear" w:color="auto" w:fill="FFFFFF"/>
        </w:rPr>
        <w:t>Transportation Science</w:t>
      </w:r>
      <w:r w:rsidR="00BD713C" w:rsidRPr="00772DA3">
        <w:rPr>
          <w:szCs w:val="24"/>
          <w:shd w:val="clear" w:color="auto" w:fill="FFFFFF"/>
        </w:rPr>
        <w:t>,</w:t>
      </w:r>
      <w:r w:rsidR="00BD713C" w:rsidRPr="00772DA3">
        <w:rPr>
          <w:rStyle w:val="apple-converted-space"/>
          <w:szCs w:val="24"/>
          <w:shd w:val="clear" w:color="auto" w:fill="FFFFFF"/>
        </w:rPr>
        <w:t> </w:t>
      </w:r>
      <w:r w:rsidR="00BD713C" w:rsidRPr="00772DA3">
        <w:rPr>
          <w:iCs/>
          <w:szCs w:val="24"/>
          <w:shd w:val="clear" w:color="auto" w:fill="FFFFFF"/>
        </w:rPr>
        <w:t>31</w:t>
      </w:r>
      <w:r w:rsidR="00BD713C" w:rsidRPr="00772DA3">
        <w:rPr>
          <w:szCs w:val="24"/>
          <w:shd w:val="clear" w:color="auto" w:fill="FFFFFF"/>
        </w:rPr>
        <w:t>(1), 34-48.</w:t>
      </w:r>
    </w:p>
    <w:p w:rsidR="00186DA0" w:rsidRPr="00186DA0" w:rsidRDefault="00186DA0" w:rsidP="00772DA3">
      <w:pPr>
        <w:autoSpaceDE w:val="0"/>
        <w:autoSpaceDN w:val="0"/>
        <w:adjustRightInd w:val="0"/>
        <w:spacing w:after="120"/>
        <w:ind w:left="360" w:hanging="360"/>
        <w:rPr>
          <w:szCs w:val="24"/>
        </w:rPr>
      </w:pPr>
      <w:r w:rsidRPr="00186DA0">
        <w:rPr>
          <w:szCs w:val="24"/>
        </w:rPr>
        <w:t xml:space="preserve">Bhat, C.R. (2000), </w:t>
      </w:r>
      <w:proofErr w:type="gramStart"/>
      <w:r w:rsidRPr="00A55C05">
        <w:rPr>
          <w:szCs w:val="24"/>
        </w:rPr>
        <w:t>A</w:t>
      </w:r>
      <w:proofErr w:type="gramEnd"/>
      <w:r w:rsidRPr="00A55C05">
        <w:rPr>
          <w:szCs w:val="24"/>
        </w:rPr>
        <w:t xml:space="preserve"> multi-level cross-classified model for discrete response variables</w:t>
      </w:r>
      <w:r w:rsidRPr="00186DA0">
        <w:rPr>
          <w:szCs w:val="24"/>
        </w:rPr>
        <w:t xml:space="preserve">, </w:t>
      </w:r>
      <w:r w:rsidRPr="00186DA0">
        <w:rPr>
          <w:i/>
          <w:iCs/>
          <w:szCs w:val="24"/>
        </w:rPr>
        <w:t>Transportation Research Part B</w:t>
      </w:r>
      <w:r w:rsidRPr="00186DA0">
        <w:rPr>
          <w:szCs w:val="24"/>
        </w:rPr>
        <w:t>, 34(7), 567-582.</w:t>
      </w:r>
    </w:p>
    <w:p w:rsidR="002801A2" w:rsidRPr="00186DA0" w:rsidRDefault="002801A2" w:rsidP="00772DA3">
      <w:pPr>
        <w:autoSpaceDE w:val="0"/>
        <w:autoSpaceDN w:val="0"/>
        <w:adjustRightInd w:val="0"/>
        <w:spacing w:after="120"/>
        <w:ind w:left="360" w:hanging="360"/>
        <w:rPr>
          <w:szCs w:val="24"/>
        </w:rPr>
      </w:pPr>
      <w:r w:rsidRPr="00186DA0">
        <w:rPr>
          <w:szCs w:val="24"/>
        </w:rPr>
        <w:t xml:space="preserve">Bhat, C. R. (2001). Quasi-random maximum simulated likelihood estimation of the mixed multinomial logit model. </w:t>
      </w:r>
      <w:r w:rsidR="00160142">
        <w:rPr>
          <w:i/>
          <w:iCs/>
          <w:szCs w:val="24"/>
        </w:rPr>
        <w:t>Transportation Research Part B</w:t>
      </w:r>
      <w:r w:rsidRPr="00186DA0">
        <w:rPr>
          <w:szCs w:val="24"/>
        </w:rPr>
        <w:t>, 35(7), 677-693.</w:t>
      </w:r>
    </w:p>
    <w:p w:rsidR="003A77E2" w:rsidRPr="00772DA3" w:rsidRDefault="00BF35C3" w:rsidP="00772DA3">
      <w:pPr>
        <w:autoSpaceDE w:val="0"/>
        <w:autoSpaceDN w:val="0"/>
        <w:adjustRightInd w:val="0"/>
        <w:spacing w:after="120"/>
        <w:ind w:left="360" w:hanging="360"/>
        <w:rPr>
          <w:szCs w:val="24"/>
        </w:rPr>
      </w:pPr>
      <w:r w:rsidRPr="00772DA3">
        <w:rPr>
          <w:szCs w:val="24"/>
        </w:rPr>
        <w:t>Bhat, C.R.</w:t>
      </w:r>
      <w:r w:rsidR="003A77E2" w:rsidRPr="00772DA3">
        <w:rPr>
          <w:szCs w:val="24"/>
        </w:rPr>
        <w:t xml:space="preserve"> </w:t>
      </w:r>
      <w:r w:rsidR="00A52D49" w:rsidRPr="00772DA3">
        <w:rPr>
          <w:szCs w:val="24"/>
        </w:rPr>
        <w:t>(</w:t>
      </w:r>
      <w:r w:rsidR="003A77E2" w:rsidRPr="00772DA3">
        <w:rPr>
          <w:szCs w:val="24"/>
        </w:rPr>
        <w:t>2008</w:t>
      </w:r>
      <w:r w:rsidR="00A52D49" w:rsidRPr="00772DA3">
        <w:rPr>
          <w:szCs w:val="24"/>
        </w:rPr>
        <w:t>)</w:t>
      </w:r>
      <w:r w:rsidR="003A77E2" w:rsidRPr="00772DA3">
        <w:rPr>
          <w:szCs w:val="24"/>
        </w:rPr>
        <w:t>. The multiple discrete</w:t>
      </w:r>
      <w:r w:rsidR="00DE6C8B" w:rsidRPr="00772DA3">
        <w:rPr>
          <w:szCs w:val="24"/>
        </w:rPr>
        <w:t>-</w:t>
      </w:r>
      <w:r w:rsidR="003A77E2" w:rsidRPr="00772DA3">
        <w:rPr>
          <w:szCs w:val="24"/>
        </w:rPr>
        <w:t xml:space="preserve">continuous extreme value (MDCEV) </w:t>
      </w:r>
      <w:proofErr w:type="gramStart"/>
      <w:r w:rsidR="003A77E2" w:rsidRPr="00772DA3">
        <w:rPr>
          <w:szCs w:val="24"/>
        </w:rPr>
        <w:t>model</w:t>
      </w:r>
      <w:proofErr w:type="gramEnd"/>
      <w:r w:rsidR="003A77E2" w:rsidRPr="00772DA3">
        <w:rPr>
          <w:szCs w:val="24"/>
        </w:rPr>
        <w:t xml:space="preserve">: Role of utility function parameters, identification considerations, and model extensions. </w:t>
      </w:r>
      <w:r w:rsidR="003A77E2" w:rsidRPr="00772DA3">
        <w:rPr>
          <w:i/>
          <w:szCs w:val="24"/>
        </w:rPr>
        <w:t>Transportation Research Part B</w:t>
      </w:r>
      <w:r w:rsidR="005E2179" w:rsidRPr="00772DA3">
        <w:rPr>
          <w:szCs w:val="24"/>
        </w:rPr>
        <w:t>,</w:t>
      </w:r>
      <w:r w:rsidR="003A77E2" w:rsidRPr="00772DA3">
        <w:rPr>
          <w:szCs w:val="24"/>
        </w:rPr>
        <w:t xml:space="preserve"> 42(3), 274-303.</w:t>
      </w:r>
    </w:p>
    <w:p w:rsidR="00BF35C3" w:rsidRPr="00772DA3" w:rsidRDefault="00BF35C3" w:rsidP="00772DA3">
      <w:pPr>
        <w:autoSpaceDE w:val="0"/>
        <w:autoSpaceDN w:val="0"/>
        <w:adjustRightInd w:val="0"/>
        <w:spacing w:after="120"/>
        <w:ind w:left="360" w:hanging="360"/>
        <w:rPr>
          <w:szCs w:val="24"/>
        </w:rPr>
      </w:pPr>
      <w:r w:rsidRPr="00772DA3">
        <w:rPr>
          <w:szCs w:val="24"/>
        </w:rPr>
        <w:t xml:space="preserve">Bhat, C.R. (2011). </w:t>
      </w:r>
      <w:proofErr w:type="gramStart"/>
      <w:r w:rsidRPr="00772DA3">
        <w:rPr>
          <w:szCs w:val="24"/>
        </w:rPr>
        <w:t>The maximum approximate composite marginal likelihood (MACML) estimation of multinomial probit-based unordered response choice models.</w:t>
      </w:r>
      <w:proofErr w:type="gramEnd"/>
      <w:r w:rsidRPr="00772DA3">
        <w:rPr>
          <w:szCs w:val="24"/>
        </w:rPr>
        <w:t xml:space="preserve"> </w:t>
      </w:r>
      <w:r w:rsidRPr="00772DA3">
        <w:rPr>
          <w:i/>
          <w:szCs w:val="24"/>
        </w:rPr>
        <w:t>Transportation Research Part B</w:t>
      </w:r>
      <w:r w:rsidRPr="00772DA3">
        <w:rPr>
          <w:szCs w:val="24"/>
        </w:rPr>
        <w:t xml:space="preserve">, 45, 923-939. </w:t>
      </w:r>
    </w:p>
    <w:p w:rsidR="00C54772" w:rsidRPr="00772DA3" w:rsidRDefault="005E2179" w:rsidP="00772DA3">
      <w:pPr>
        <w:autoSpaceDE w:val="0"/>
        <w:autoSpaceDN w:val="0"/>
        <w:adjustRightInd w:val="0"/>
        <w:spacing w:after="120"/>
        <w:ind w:left="360" w:hanging="360"/>
        <w:rPr>
          <w:szCs w:val="24"/>
        </w:rPr>
      </w:pPr>
      <w:proofErr w:type="gramStart"/>
      <w:r w:rsidRPr="00772DA3">
        <w:rPr>
          <w:szCs w:val="24"/>
        </w:rPr>
        <w:t>Bhat, C.</w:t>
      </w:r>
      <w:r w:rsidR="00C54772" w:rsidRPr="00772DA3">
        <w:rPr>
          <w:szCs w:val="24"/>
        </w:rPr>
        <w:t xml:space="preserve">R., and </w:t>
      </w:r>
      <w:r w:rsidRPr="00772DA3">
        <w:rPr>
          <w:szCs w:val="24"/>
        </w:rPr>
        <w:t xml:space="preserve">R. </w:t>
      </w:r>
      <w:r w:rsidR="00C54772" w:rsidRPr="00772DA3">
        <w:rPr>
          <w:szCs w:val="24"/>
        </w:rPr>
        <w:t>Gossen (2004).</w:t>
      </w:r>
      <w:proofErr w:type="gramEnd"/>
      <w:r w:rsidR="00C54772" w:rsidRPr="00772DA3">
        <w:rPr>
          <w:szCs w:val="24"/>
        </w:rPr>
        <w:t xml:space="preserve"> </w:t>
      </w:r>
      <w:proofErr w:type="gramStart"/>
      <w:r w:rsidR="00C54772" w:rsidRPr="00772DA3">
        <w:rPr>
          <w:szCs w:val="24"/>
        </w:rPr>
        <w:t>A mixed multinomial logit model analysis of weekend recreational episode type choice.</w:t>
      </w:r>
      <w:proofErr w:type="gramEnd"/>
      <w:r w:rsidR="00C54772" w:rsidRPr="00772DA3">
        <w:rPr>
          <w:szCs w:val="24"/>
        </w:rPr>
        <w:t xml:space="preserve"> </w:t>
      </w:r>
      <w:r w:rsidR="00C54772" w:rsidRPr="00772DA3">
        <w:rPr>
          <w:i/>
          <w:szCs w:val="24"/>
        </w:rPr>
        <w:t>Transportation Research Part B</w:t>
      </w:r>
      <w:r w:rsidR="00C54772" w:rsidRPr="00772DA3">
        <w:rPr>
          <w:szCs w:val="24"/>
        </w:rPr>
        <w:t>, 38(9), 767-787.</w:t>
      </w:r>
    </w:p>
    <w:p w:rsidR="00FF41EE" w:rsidRPr="00772DA3" w:rsidRDefault="00FF41EE" w:rsidP="00772DA3">
      <w:pPr>
        <w:autoSpaceDE w:val="0"/>
        <w:autoSpaceDN w:val="0"/>
        <w:adjustRightInd w:val="0"/>
        <w:spacing w:after="120"/>
        <w:ind w:left="360" w:hanging="360"/>
        <w:rPr>
          <w:szCs w:val="24"/>
        </w:rPr>
      </w:pPr>
      <w:proofErr w:type="gramStart"/>
      <w:r w:rsidRPr="00772DA3">
        <w:rPr>
          <w:szCs w:val="24"/>
        </w:rPr>
        <w:t>Bhat, C.R., and R. Sidharthan (2012).</w:t>
      </w:r>
      <w:proofErr w:type="gramEnd"/>
      <w:r w:rsidRPr="00772DA3">
        <w:rPr>
          <w:szCs w:val="24"/>
        </w:rPr>
        <w:t xml:space="preserve"> A new approach to specify and estimate non-normally mixed multinomial probit models. </w:t>
      </w:r>
      <w:r w:rsidRPr="00772DA3">
        <w:rPr>
          <w:i/>
          <w:szCs w:val="24"/>
        </w:rPr>
        <w:t>Transportation Research Part B</w:t>
      </w:r>
      <w:r w:rsidRPr="00772DA3">
        <w:rPr>
          <w:szCs w:val="24"/>
        </w:rPr>
        <w:t>, 46, 817-833.</w:t>
      </w:r>
    </w:p>
    <w:p w:rsidR="00140594" w:rsidRPr="00772DA3" w:rsidRDefault="00140594" w:rsidP="00772DA3">
      <w:pPr>
        <w:autoSpaceDE w:val="0"/>
        <w:autoSpaceDN w:val="0"/>
        <w:adjustRightInd w:val="0"/>
        <w:spacing w:after="120"/>
        <w:ind w:left="360" w:hanging="360"/>
        <w:rPr>
          <w:szCs w:val="24"/>
        </w:rPr>
      </w:pPr>
      <w:proofErr w:type="gramStart"/>
      <w:r w:rsidRPr="00772DA3">
        <w:rPr>
          <w:szCs w:val="24"/>
        </w:rPr>
        <w:t xml:space="preserve">Bhat, C.R., </w:t>
      </w:r>
      <w:r w:rsidR="00821518" w:rsidRPr="00772DA3">
        <w:rPr>
          <w:szCs w:val="24"/>
        </w:rPr>
        <w:t xml:space="preserve">M. </w:t>
      </w:r>
      <w:r w:rsidR="00C83D7E" w:rsidRPr="00772DA3">
        <w:rPr>
          <w:szCs w:val="24"/>
        </w:rPr>
        <w:t>Castro and M. Khan (2013).</w:t>
      </w:r>
      <w:proofErr w:type="gramEnd"/>
      <w:r w:rsidRPr="00772DA3">
        <w:rPr>
          <w:szCs w:val="24"/>
        </w:rPr>
        <w:t xml:space="preserve"> A new estimation approach for the multiple discrete-continuous probit (MDCP) choice </w:t>
      </w:r>
      <w:proofErr w:type="gramStart"/>
      <w:r w:rsidRPr="00772DA3">
        <w:rPr>
          <w:szCs w:val="24"/>
        </w:rPr>
        <w:t>model</w:t>
      </w:r>
      <w:proofErr w:type="gramEnd"/>
      <w:r w:rsidRPr="00772DA3">
        <w:rPr>
          <w:szCs w:val="24"/>
        </w:rPr>
        <w:t xml:space="preserve">. </w:t>
      </w:r>
      <w:r w:rsidRPr="00772DA3">
        <w:rPr>
          <w:i/>
          <w:szCs w:val="24"/>
        </w:rPr>
        <w:t>Transportation Research Part B</w:t>
      </w:r>
      <w:r w:rsidRPr="00772DA3">
        <w:rPr>
          <w:szCs w:val="24"/>
        </w:rPr>
        <w:t>, 55, 1-22.</w:t>
      </w:r>
    </w:p>
    <w:p w:rsidR="005E2179" w:rsidRPr="00772DA3" w:rsidRDefault="005E2179" w:rsidP="00772DA3">
      <w:pPr>
        <w:autoSpaceDE w:val="0"/>
        <w:autoSpaceDN w:val="0"/>
        <w:adjustRightInd w:val="0"/>
        <w:spacing w:after="120"/>
        <w:ind w:left="360" w:hanging="360"/>
        <w:rPr>
          <w:szCs w:val="24"/>
        </w:rPr>
      </w:pPr>
      <w:proofErr w:type="gramStart"/>
      <w:r w:rsidRPr="00772DA3">
        <w:rPr>
          <w:szCs w:val="24"/>
        </w:rPr>
        <w:t xml:space="preserve">Bhat, C.R., A. </w:t>
      </w:r>
      <w:proofErr w:type="spellStart"/>
      <w:r w:rsidRPr="00772DA3">
        <w:rPr>
          <w:szCs w:val="24"/>
        </w:rPr>
        <w:t>Govindarajan</w:t>
      </w:r>
      <w:proofErr w:type="spellEnd"/>
      <w:r w:rsidRPr="00772DA3">
        <w:rPr>
          <w:szCs w:val="24"/>
        </w:rPr>
        <w:t xml:space="preserve">, and V. </w:t>
      </w:r>
      <w:proofErr w:type="spellStart"/>
      <w:r w:rsidRPr="00772DA3">
        <w:rPr>
          <w:szCs w:val="24"/>
        </w:rPr>
        <w:t>Pulugurta</w:t>
      </w:r>
      <w:proofErr w:type="spellEnd"/>
      <w:r w:rsidRPr="00772DA3">
        <w:rPr>
          <w:szCs w:val="24"/>
        </w:rPr>
        <w:t xml:space="preserve"> (1998).</w:t>
      </w:r>
      <w:proofErr w:type="gramEnd"/>
      <w:r w:rsidRPr="00772DA3">
        <w:rPr>
          <w:szCs w:val="24"/>
        </w:rPr>
        <w:t xml:space="preserve"> Disaggregate attraction-end choice modeling. </w:t>
      </w:r>
      <w:r w:rsidRPr="00772DA3">
        <w:rPr>
          <w:i/>
          <w:iCs/>
          <w:szCs w:val="24"/>
        </w:rPr>
        <w:t>Transportation Research Record</w:t>
      </w:r>
      <w:r w:rsidRPr="00772DA3">
        <w:rPr>
          <w:szCs w:val="24"/>
        </w:rPr>
        <w:t>, 1645, 60-68.</w:t>
      </w:r>
    </w:p>
    <w:p w:rsidR="00014C27" w:rsidRPr="00772DA3" w:rsidRDefault="00014C27" w:rsidP="00772DA3">
      <w:pPr>
        <w:autoSpaceDE w:val="0"/>
        <w:autoSpaceDN w:val="0"/>
        <w:adjustRightInd w:val="0"/>
        <w:spacing w:after="120"/>
        <w:ind w:left="360" w:hanging="360"/>
        <w:rPr>
          <w:szCs w:val="24"/>
        </w:rPr>
      </w:pPr>
      <w:proofErr w:type="spellStart"/>
      <w:proofErr w:type="gramStart"/>
      <w:r w:rsidRPr="00772DA3">
        <w:rPr>
          <w:szCs w:val="24"/>
          <w:shd w:val="clear" w:color="auto" w:fill="FFFFFF"/>
        </w:rPr>
        <w:t>Bujosa</w:t>
      </w:r>
      <w:proofErr w:type="spellEnd"/>
      <w:r w:rsidRPr="00772DA3">
        <w:rPr>
          <w:szCs w:val="24"/>
          <w:shd w:val="clear" w:color="auto" w:fill="FFFFFF"/>
        </w:rPr>
        <w:t xml:space="preserve">, A., A. </w:t>
      </w:r>
      <w:proofErr w:type="spellStart"/>
      <w:r w:rsidRPr="00772DA3">
        <w:rPr>
          <w:szCs w:val="24"/>
          <w:shd w:val="clear" w:color="auto" w:fill="FFFFFF"/>
        </w:rPr>
        <w:t>Riera</w:t>
      </w:r>
      <w:proofErr w:type="spellEnd"/>
      <w:r w:rsidRPr="00772DA3">
        <w:rPr>
          <w:szCs w:val="24"/>
          <w:shd w:val="clear" w:color="auto" w:fill="FFFFFF"/>
        </w:rPr>
        <w:t xml:space="preserve"> and R. L. Hicks (2010).</w:t>
      </w:r>
      <w:proofErr w:type="gramEnd"/>
      <w:r w:rsidRPr="00772DA3">
        <w:rPr>
          <w:szCs w:val="24"/>
          <w:shd w:val="clear" w:color="auto" w:fill="FFFFFF"/>
        </w:rPr>
        <w:t xml:space="preserve"> </w:t>
      </w:r>
      <w:proofErr w:type="gramStart"/>
      <w:r w:rsidRPr="00772DA3">
        <w:rPr>
          <w:szCs w:val="24"/>
          <w:shd w:val="clear" w:color="auto" w:fill="FFFFFF"/>
        </w:rPr>
        <w:t>Combining discrete and continuous representations of preference heterogeneity: a latent class approach.</w:t>
      </w:r>
      <w:proofErr w:type="gramEnd"/>
      <w:r w:rsidRPr="00772DA3">
        <w:rPr>
          <w:rStyle w:val="apple-converted-space"/>
          <w:szCs w:val="24"/>
          <w:shd w:val="clear" w:color="auto" w:fill="FFFFFF"/>
        </w:rPr>
        <w:t> </w:t>
      </w:r>
      <w:r w:rsidRPr="00772DA3">
        <w:rPr>
          <w:i/>
          <w:iCs/>
          <w:szCs w:val="24"/>
          <w:shd w:val="clear" w:color="auto" w:fill="FFFFFF"/>
        </w:rPr>
        <w:t>Environmental and Resource Economics</w:t>
      </w:r>
      <w:r w:rsidRPr="00772DA3">
        <w:rPr>
          <w:szCs w:val="24"/>
          <w:shd w:val="clear" w:color="auto" w:fill="FFFFFF"/>
        </w:rPr>
        <w:t>,</w:t>
      </w:r>
      <w:r w:rsidRPr="00772DA3">
        <w:rPr>
          <w:rStyle w:val="apple-converted-space"/>
          <w:szCs w:val="24"/>
          <w:shd w:val="clear" w:color="auto" w:fill="FFFFFF"/>
        </w:rPr>
        <w:t> </w:t>
      </w:r>
      <w:r w:rsidRPr="00772DA3">
        <w:rPr>
          <w:iCs/>
          <w:szCs w:val="24"/>
          <w:shd w:val="clear" w:color="auto" w:fill="FFFFFF"/>
        </w:rPr>
        <w:t>47</w:t>
      </w:r>
      <w:r w:rsidRPr="00772DA3">
        <w:rPr>
          <w:szCs w:val="24"/>
          <w:shd w:val="clear" w:color="auto" w:fill="FFFFFF"/>
        </w:rPr>
        <w:t>(4), 477-493.</w:t>
      </w:r>
    </w:p>
    <w:p w:rsidR="003A77E2" w:rsidRPr="00772DA3" w:rsidRDefault="00014C27" w:rsidP="00772DA3">
      <w:pPr>
        <w:keepLines/>
        <w:autoSpaceDE w:val="0"/>
        <w:autoSpaceDN w:val="0"/>
        <w:adjustRightInd w:val="0"/>
        <w:spacing w:after="120"/>
        <w:ind w:left="360" w:hanging="360"/>
        <w:rPr>
          <w:szCs w:val="24"/>
        </w:rPr>
      </w:pPr>
      <w:r w:rsidRPr="00772DA3">
        <w:rPr>
          <w:szCs w:val="24"/>
          <w:lang w:val="sv-SE"/>
        </w:rPr>
        <w:t xml:space="preserve">Campbell, D., E. Doherty, S. Hynes and T. Van Rensburg (2010). </w:t>
      </w:r>
      <w:proofErr w:type="gramStart"/>
      <w:r w:rsidRPr="00772DA3">
        <w:rPr>
          <w:szCs w:val="24"/>
        </w:rPr>
        <w:t>Combining discrete and continuous mixing approaches to accommodate heterogeneity in price sensitivities in environmental choice analysis.</w:t>
      </w:r>
      <w:proofErr w:type="gramEnd"/>
      <w:r w:rsidRPr="00772DA3">
        <w:rPr>
          <w:szCs w:val="24"/>
        </w:rPr>
        <w:t xml:space="preserve"> </w:t>
      </w:r>
      <w:proofErr w:type="gramStart"/>
      <w:r w:rsidRPr="00772DA3">
        <w:rPr>
          <w:i/>
          <w:szCs w:val="24"/>
        </w:rPr>
        <w:t>84th Agricultural Economics Society Annual Conference</w:t>
      </w:r>
      <w:r w:rsidRPr="00772DA3">
        <w:rPr>
          <w:szCs w:val="24"/>
        </w:rPr>
        <w:t>, March 29-31, Edinburgh, Scotland.</w:t>
      </w:r>
      <w:proofErr w:type="gramEnd"/>
    </w:p>
    <w:p w:rsidR="003A77E2" w:rsidRPr="00772DA3" w:rsidRDefault="00821518" w:rsidP="00772DA3">
      <w:pPr>
        <w:autoSpaceDE w:val="0"/>
        <w:autoSpaceDN w:val="0"/>
        <w:adjustRightInd w:val="0"/>
        <w:spacing w:after="120"/>
        <w:ind w:left="360" w:hanging="360"/>
        <w:rPr>
          <w:szCs w:val="24"/>
        </w:rPr>
      </w:pPr>
      <w:proofErr w:type="gramStart"/>
      <w:r w:rsidRPr="00772DA3">
        <w:rPr>
          <w:szCs w:val="24"/>
        </w:rPr>
        <w:lastRenderedPageBreak/>
        <w:t xml:space="preserve">Castro, M., </w:t>
      </w:r>
      <w:r w:rsidR="003A77E2" w:rsidRPr="00772DA3">
        <w:rPr>
          <w:szCs w:val="24"/>
        </w:rPr>
        <w:t>C.R.</w:t>
      </w:r>
      <w:r w:rsidRPr="00772DA3">
        <w:rPr>
          <w:szCs w:val="24"/>
        </w:rPr>
        <w:t xml:space="preserve"> Bhat</w:t>
      </w:r>
      <w:r w:rsidR="003A77E2" w:rsidRPr="00772DA3">
        <w:rPr>
          <w:szCs w:val="24"/>
        </w:rPr>
        <w:t>,</w:t>
      </w:r>
      <w:r w:rsidRPr="00772DA3">
        <w:rPr>
          <w:szCs w:val="24"/>
        </w:rPr>
        <w:t xml:space="preserve"> R.M. Pendyala and S.R.</w:t>
      </w:r>
      <w:r w:rsidR="003A77E2" w:rsidRPr="00772DA3">
        <w:rPr>
          <w:szCs w:val="24"/>
        </w:rPr>
        <w:t xml:space="preserve"> </w:t>
      </w:r>
      <w:proofErr w:type="spellStart"/>
      <w:r w:rsidR="003A77E2" w:rsidRPr="00772DA3">
        <w:rPr>
          <w:szCs w:val="24"/>
        </w:rPr>
        <w:t>Jara</w:t>
      </w:r>
      <w:proofErr w:type="spellEnd"/>
      <w:r w:rsidR="003A77E2" w:rsidRPr="00772DA3">
        <w:rPr>
          <w:szCs w:val="24"/>
        </w:rPr>
        <w:t xml:space="preserve">-Diaz </w:t>
      </w:r>
      <w:r w:rsidR="00A52D49" w:rsidRPr="00772DA3">
        <w:rPr>
          <w:szCs w:val="24"/>
        </w:rPr>
        <w:t>(</w:t>
      </w:r>
      <w:r w:rsidR="003A77E2" w:rsidRPr="00772DA3">
        <w:rPr>
          <w:szCs w:val="24"/>
        </w:rPr>
        <w:t>2012</w:t>
      </w:r>
      <w:r w:rsidR="00A52D49" w:rsidRPr="00772DA3">
        <w:rPr>
          <w:szCs w:val="24"/>
        </w:rPr>
        <w:t>)</w:t>
      </w:r>
      <w:r w:rsidR="003A77E2" w:rsidRPr="00772DA3">
        <w:rPr>
          <w:szCs w:val="24"/>
        </w:rPr>
        <w:t>.</w:t>
      </w:r>
      <w:proofErr w:type="gramEnd"/>
      <w:r w:rsidR="003A77E2" w:rsidRPr="00772DA3">
        <w:rPr>
          <w:szCs w:val="24"/>
        </w:rPr>
        <w:t xml:space="preserve"> Accommodating multiple constraints in the multiple discrete-continuous extreme value (MDCEV) choice </w:t>
      </w:r>
      <w:proofErr w:type="gramStart"/>
      <w:r w:rsidR="003A77E2" w:rsidRPr="00772DA3">
        <w:rPr>
          <w:szCs w:val="24"/>
        </w:rPr>
        <w:t>model</w:t>
      </w:r>
      <w:proofErr w:type="gramEnd"/>
      <w:r w:rsidR="003A77E2" w:rsidRPr="00772DA3">
        <w:rPr>
          <w:szCs w:val="24"/>
        </w:rPr>
        <w:t xml:space="preserve">. </w:t>
      </w:r>
      <w:r w:rsidR="003A77E2" w:rsidRPr="00772DA3">
        <w:rPr>
          <w:i/>
          <w:szCs w:val="24"/>
        </w:rPr>
        <w:t>Transportation Research Part B</w:t>
      </w:r>
      <w:r w:rsidR="00014C27" w:rsidRPr="00772DA3">
        <w:rPr>
          <w:szCs w:val="24"/>
        </w:rPr>
        <w:t>,</w:t>
      </w:r>
      <w:r w:rsidR="003A77E2" w:rsidRPr="00772DA3">
        <w:rPr>
          <w:szCs w:val="24"/>
        </w:rPr>
        <w:t xml:space="preserve"> 46(6), 729-743.</w:t>
      </w:r>
    </w:p>
    <w:p w:rsidR="00BD713C" w:rsidRDefault="00BD713C" w:rsidP="00772DA3">
      <w:pPr>
        <w:autoSpaceDE w:val="0"/>
        <w:autoSpaceDN w:val="0"/>
        <w:adjustRightInd w:val="0"/>
        <w:spacing w:after="120"/>
        <w:ind w:left="360" w:hanging="360"/>
        <w:rPr>
          <w:szCs w:val="24"/>
        </w:rPr>
      </w:pPr>
      <w:r w:rsidRPr="00772DA3">
        <w:rPr>
          <w:szCs w:val="24"/>
          <w:lang w:val="it-IT"/>
        </w:rPr>
        <w:t xml:space="preserve">Cherchi, E., C. Cirillo and J. Polak (2009). </w:t>
      </w:r>
      <w:r w:rsidRPr="00772DA3">
        <w:rPr>
          <w:szCs w:val="24"/>
        </w:rPr>
        <w:t xml:space="preserve">User benefit assessment in presence of random taste heterogeneity: comparison between parametric and nonparametric models. </w:t>
      </w:r>
      <w:r w:rsidRPr="00772DA3">
        <w:rPr>
          <w:i/>
          <w:szCs w:val="24"/>
        </w:rPr>
        <w:t>Transportation Research Record</w:t>
      </w:r>
      <w:r w:rsidRPr="00772DA3">
        <w:rPr>
          <w:szCs w:val="24"/>
        </w:rPr>
        <w:t xml:space="preserve">, 2132, 78-86. </w:t>
      </w:r>
    </w:p>
    <w:p w:rsidR="00FD7934" w:rsidRDefault="00FD7934" w:rsidP="00772DA3">
      <w:pPr>
        <w:autoSpaceDE w:val="0"/>
        <w:autoSpaceDN w:val="0"/>
        <w:adjustRightInd w:val="0"/>
        <w:spacing w:after="120"/>
        <w:ind w:left="360" w:hanging="360"/>
        <w:rPr>
          <w:szCs w:val="24"/>
        </w:rPr>
      </w:pPr>
      <w:proofErr w:type="gramStart"/>
      <w:r w:rsidRPr="00FD7934">
        <w:rPr>
          <w:szCs w:val="24"/>
        </w:rPr>
        <w:t xml:space="preserve">Ferdous, N., R.M. Pendyala, C.R. Bhat, and K.C. Konduri (2011) Modeling the Influence of Family, Social Context, and Spatial Proximity on Use of </w:t>
      </w:r>
      <w:proofErr w:type="spellStart"/>
      <w:r w:rsidRPr="00FD7934">
        <w:rPr>
          <w:szCs w:val="24"/>
        </w:rPr>
        <w:t>Nonmotorized</w:t>
      </w:r>
      <w:proofErr w:type="spellEnd"/>
      <w:r w:rsidRPr="00FD7934">
        <w:rPr>
          <w:szCs w:val="24"/>
        </w:rPr>
        <w:t xml:space="preserve"> Transport Mode.</w:t>
      </w:r>
      <w:proofErr w:type="gramEnd"/>
      <w:r w:rsidRPr="00FD7934">
        <w:rPr>
          <w:szCs w:val="24"/>
        </w:rPr>
        <w:t xml:space="preserve"> </w:t>
      </w:r>
      <w:r w:rsidRPr="00FD7934">
        <w:rPr>
          <w:i/>
          <w:szCs w:val="24"/>
        </w:rPr>
        <w:t>Transportation Research Record</w:t>
      </w:r>
      <w:r w:rsidRPr="00FD7934">
        <w:rPr>
          <w:szCs w:val="24"/>
        </w:rPr>
        <w:t>, 2230, 111-120.</w:t>
      </w:r>
    </w:p>
    <w:p w:rsidR="001645E2" w:rsidRPr="00772DA3" w:rsidRDefault="001645E2" w:rsidP="00772DA3">
      <w:pPr>
        <w:autoSpaceDE w:val="0"/>
        <w:autoSpaceDN w:val="0"/>
        <w:adjustRightInd w:val="0"/>
        <w:spacing w:after="120"/>
        <w:ind w:left="360" w:hanging="360"/>
        <w:rPr>
          <w:szCs w:val="24"/>
        </w:rPr>
      </w:pPr>
      <w:r w:rsidRPr="001645E2">
        <w:rPr>
          <w:szCs w:val="24"/>
        </w:rPr>
        <w:t xml:space="preserve">Fonseca, J. R. (2010). </w:t>
      </w:r>
      <w:proofErr w:type="gramStart"/>
      <w:r w:rsidRPr="001645E2">
        <w:rPr>
          <w:szCs w:val="24"/>
        </w:rPr>
        <w:t>On the performance of information criteria in latent segment models.</w:t>
      </w:r>
      <w:proofErr w:type="gramEnd"/>
      <w:r w:rsidRPr="001645E2">
        <w:rPr>
          <w:szCs w:val="24"/>
        </w:rPr>
        <w:t xml:space="preserve"> </w:t>
      </w:r>
      <w:proofErr w:type="gramStart"/>
      <w:r w:rsidRPr="001645E2">
        <w:rPr>
          <w:i/>
          <w:szCs w:val="24"/>
        </w:rPr>
        <w:t>World Academy of Science, Engineering and Technology</w:t>
      </w:r>
      <w:r w:rsidRPr="001645E2">
        <w:rPr>
          <w:szCs w:val="24"/>
        </w:rPr>
        <w:t>, 6</w:t>
      </w:r>
      <w:r w:rsidR="003A1E9C">
        <w:rPr>
          <w:szCs w:val="24"/>
        </w:rPr>
        <w:t>3</w:t>
      </w:r>
      <w:r w:rsidRPr="001645E2">
        <w:rPr>
          <w:szCs w:val="24"/>
        </w:rPr>
        <w:t>.</w:t>
      </w:r>
      <w:proofErr w:type="gramEnd"/>
    </w:p>
    <w:p w:rsidR="002411B1" w:rsidRPr="00772DA3" w:rsidRDefault="002411B1" w:rsidP="00772DA3">
      <w:pPr>
        <w:autoSpaceDE w:val="0"/>
        <w:autoSpaceDN w:val="0"/>
        <w:adjustRightInd w:val="0"/>
        <w:spacing w:after="120"/>
        <w:ind w:left="360" w:hanging="360"/>
        <w:rPr>
          <w:szCs w:val="24"/>
        </w:rPr>
      </w:pPr>
      <w:proofErr w:type="spellStart"/>
      <w:proofErr w:type="gramStart"/>
      <w:r w:rsidRPr="00772DA3">
        <w:rPr>
          <w:szCs w:val="24"/>
        </w:rPr>
        <w:t>Fosgerau</w:t>
      </w:r>
      <w:proofErr w:type="spellEnd"/>
      <w:r w:rsidRPr="00772DA3">
        <w:rPr>
          <w:szCs w:val="24"/>
        </w:rPr>
        <w:t>, M. (2005).</w:t>
      </w:r>
      <w:proofErr w:type="gramEnd"/>
      <w:r w:rsidRPr="00772DA3">
        <w:rPr>
          <w:szCs w:val="24"/>
        </w:rPr>
        <w:t xml:space="preserve"> </w:t>
      </w:r>
      <w:proofErr w:type="gramStart"/>
      <w:r w:rsidRPr="00772DA3">
        <w:rPr>
          <w:szCs w:val="24"/>
        </w:rPr>
        <w:t>Unit income elasticity of the value of travel time savings.</w:t>
      </w:r>
      <w:proofErr w:type="gramEnd"/>
      <w:r w:rsidRPr="00772DA3">
        <w:rPr>
          <w:szCs w:val="24"/>
        </w:rPr>
        <w:t xml:space="preserve"> </w:t>
      </w:r>
      <w:proofErr w:type="gramStart"/>
      <w:r w:rsidRPr="00772DA3">
        <w:rPr>
          <w:szCs w:val="24"/>
        </w:rPr>
        <w:t xml:space="preserve">Presented at </w:t>
      </w:r>
      <w:r w:rsidRPr="00772DA3">
        <w:rPr>
          <w:rStyle w:val="googqs-tidbit1"/>
          <w:color w:val="000000"/>
          <w:szCs w:val="24"/>
          <w:specVanish w:val="0"/>
        </w:rPr>
        <w:t>8th NECTAR Conference, Las Palmas G.C., June 2-4</w:t>
      </w:r>
      <w:r w:rsidRPr="00772DA3">
        <w:rPr>
          <w:szCs w:val="24"/>
        </w:rPr>
        <w:t>.</w:t>
      </w:r>
      <w:proofErr w:type="gramEnd"/>
    </w:p>
    <w:p w:rsidR="00A70EF4" w:rsidRDefault="000463B7" w:rsidP="00772DA3">
      <w:pPr>
        <w:spacing w:after="120"/>
        <w:ind w:left="360" w:hanging="360"/>
        <w:rPr>
          <w:szCs w:val="24"/>
        </w:rPr>
      </w:pPr>
      <w:r w:rsidRPr="00772DA3">
        <w:rPr>
          <w:szCs w:val="24"/>
        </w:rPr>
        <w:t>Fotheringham, A.S.</w:t>
      </w:r>
      <w:r w:rsidR="00A70EF4" w:rsidRPr="00772DA3">
        <w:rPr>
          <w:szCs w:val="24"/>
        </w:rPr>
        <w:t xml:space="preserve"> </w:t>
      </w:r>
      <w:r w:rsidRPr="00772DA3">
        <w:rPr>
          <w:szCs w:val="24"/>
        </w:rPr>
        <w:t>(</w:t>
      </w:r>
      <w:r w:rsidR="00A70EF4" w:rsidRPr="00772DA3">
        <w:rPr>
          <w:szCs w:val="24"/>
        </w:rPr>
        <w:t>1983</w:t>
      </w:r>
      <w:r w:rsidRPr="00772DA3">
        <w:rPr>
          <w:szCs w:val="24"/>
        </w:rPr>
        <w:t>)</w:t>
      </w:r>
      <w:r w:rsidR="00A70EF4" w:rsidRPr="00772DA3">
        <w:rPr>
          <w:szCs w:val="24"/>
        </w:rPr>
        <w:t xml:space="preserve">. </w:t>
      </w:r>
      <w:proofErr w:type="gramStart"/>
      <w:r w:rsidR="00A70EF4" w:rsidRPr="00772DA3">
        <w:rPr>
          <w:szCs w:val="24"/>
        </w:rPr>
        <w:t>Some theoretical aspects of destination choice and their relevance to production-constrained gravity models.</w:t>
      </w:r>
      <w:proofErr w:type="gramEnd"/>
      <w:r w:rsidR="00A70EF4" w:rsidRPr="00772DA3">
        <w:rPr>
          <w:szCs w:val="24"/>
        </w:rPr>
        <w:t xml:space="preserve"> </w:t>
      </w:r>
      <w:proofErr w:type="gramStart"/>
      <w:r w:rsidR="00A70EF4" w:rsidRPr="00772DA3">
        <w:rPr>
          <w:i/>
          <w:szCs w:val="24"/>
        </w:rPr>
        <w:t>Environment and Planning A</w:t>
      </w:r>
      <w:r w:rsidR="005E2179" w:rsidRPr="00772DA3">
        <w:rPr>
          <w:szCs w:val="24"/>
        </w:rPr>
        <w:t>,</w:t>
      </w:r>
      <w:r w:rsidR="00A70EF4" w:rsidRPr="00772DA3">
        <w:rPr>
          <w:szCs w:val="24"/>
        </w:rPr>
        <w:t xml:space="preserve"> 15(8), 1121-1132.</w:t>
      </w:r>
      <w:proofErr w:type="gramEnd"/>
    </w:p>
    <w:p w:rsidR="00FD7934" w:rsidRDefault="00FD7934" w:rsidP="00FD7934">
      <w:pPr>
        <w:spacing w:after="120"/>
        <w:ind w:left="360" w:hanging="360"/>
        <w:rPr>
          <w:szCs w:val="24"/>
        </w:rPr>
      </w:pPr>
      <w:proofErr w:type="spellStart"/>
      <w:proofErr w:type="gramStart"/>
      <w:r w:rsidRPr="00FD7934">
        <w:rPr>
          <w:szCs w:val="24"/>
        </w:rPr>
        <w:t>Frühwirth-Schnatter</w:t>
      </w:r>
      <w:proofErr w:type="spellEnd"/>
      <w:r w:rsidRPr="00FD7934">
        <w:rPr>
          <w:szCs w:val="24"/>
        </w:rPr>
        <w:t>, S. (2011).</w:t>
      </w:r>
      <w:proofErr w:type="gramEnd"/>
      <w:r w:rsidRPr="00FD7934">
        <w:rPr>
          <w:szCs w:val="24"/>
        </w:rPr>
        <w:t xml:space="preserve"> Label switching under model uncertainty. </w:t>
      </w:r>
      <w:r w:rsidRPr="00FD7934">
        <w:rPr>
          <w:i/>
          <w:szCs w:val="24"/>
        </w:rPr>
        <w:t>Mixtures: Estimation and Application</w:t>
      </w:r>
      <w:r>
        <w:rPr>
          <w:szCs w:val="24"/>
        </w:rPr>
        <w:t>, 213-239.</w:t>
      </w:r>
      <w:r w:rsidRPr="00FD7934">
        <w:rPr>
          <w:szCs w:val="24"/>
        </w:rPr>
        <w:tab/>
      </w:r>
    </w:p>
    <w:p w:rsidR="008852EA" w:rsidRPr="00772DA3" w:rsidRDefault="008852EA" w:rsidP="00772DA3">
      <w:pPr>
        <w:spacing w:after="120"/>
        <w:ind w:left="360" w:hanging="360"/>
        <w:rPr>
          <w:szCs w:val="24"/>
        </w:rPr>
      </w:pPr>
      <w:proofErr w:type="spellStart"/>
      <w:proofErr w:type="gramStart"/>
      <w:r w:rsidRPr="008852EA">
        <w:rPr>
          <w:szCs w:val="24"/>
        </w:rPr>
        <w:t>Geweke</w:t>
      </w:r>
      <w:proofErr w:type="spellEnd"/>
      <w:r w:rsidRPr="008852EA">
        <w:rPr>
          <w:szCs w:val="24"/>
        </w:rPr>
        <w:t xml:space="preserve">, J. and M. Keane (1999) Mixture of </w:t>
      </w:r>
      <w:proofErr w:type="spellStart"/>
      <w:r w:rsidRPr="008852EA">
        <w:rPr>
          <w:szCs w:val="24"/>
        </w:rPr>
        <w:t>normals</w:t>
      </w:r>
      <w:proofErr w:type="spellEnd"/>
      <w:r w:rsidRPr="008852EA">
        <w:rPr>
          <w:szCs w:val="24"/>
        </w:rPr>
        <w:t xml:space="preserve"> probit models.</w:t>
      </w:r>
      <w:proofErr w:type="gramEnd"/>
      <w:r w:rsidRPr="008852EA">
        <w:rPr>
          <w:szCs w:val="24"/>
        </w:rPr>
        <w:t xml:space="preserve"> In C. Hsiao, M.H. </w:t>
      </w:r>
      <w:proofErr w:type="spellStart"/>
      <w:r w:rsidRPr="008852EA">
        <w:rPr>
          <w:szCs w:val="24"/>
        </w:rPr>
        <w:t>Pesaran</w:t>
      </w:r>
      <w:proofErr w:type="spellEnd"/>
      <w:r w:rsidRPr="008852EA">
        <w:rPr>
          <w:szCs w:val="24"/>
        </w:rPr>
        <w:t xml:space="preserve">, K.L. </w:t>
      </w:r>
      <w:proofErr w:type="spellStart"/>
      <w:r w:rsidRPr="008852EA">
        <w:rPr>
          <w:szCs w:val="24"/>
        </w:rPr>
        <w:t>Lahiri</w:t>
      </w:r>
      <w:proofErr w:type="spellEnd"/>
      <w:r w:rsidRPr="008852EA">
        <w:rPr>
          <w:szCs w:val="24"/>
        </w:rPr>
        <w:t>, and L.F. Lee (eds.) Analysis of Panel and Limited Dependent Variables, 49-78, Cambridge University Press, Cambridge.</w:t>
      </w:r>
    </w:p>
    <w:p w:rsidR="00BD713C" w:rsidRPr="00772DA3" w:rsidRDefault="00BD713C" w:rsidP="00772DA3">
      <w:pPr>
        <w:spacing w:after="120"/>
        <w:ind w:left="360" w:hanging="360"/>
        <w:rPr>
          <w:szCs w:val="24"/>
        </w:rPr>
      </w:pPr>
      <w:proofErr w:type="gramStart"/>
      <w:r w:rsidRPr="00772DA3">
        <w:rPr>
          <w:szCs w:val="24"/>
        </w:rPr>
        <w:t xml:space="preserve">Greene, W.H. and D.A. </w:t>
      </w:r>
      <w:proofErr w:type="spellStart"/>
      <w:r w:rsidRPr="00772DA3">
        <w:rPr>
          <w:szCs w:val="24"/>
        </w:rPr>
        <w:t>Hensher</w:t>
      </w:r>
      <w:proofErr w:type="spellEnd"/>
      <w:r w:rsidRPr="00772DA3">
        <w:rPr>
          <w:szCs w:val="24"/>
        </w:rPr>
        <w:t xml:space="preserve"> (2003).</w:t>
      </w:r>
      <w:proofErr w:type="gramEnd"/>
      <w:r w:rsidRPr="00772DA3">
        <w:rPr>
          <w:szCs w:val="24"/>
        </w:rPr>
        <w:t xml:space="preserve"> A latent class model for discrete choice analysis: contrasts with mixed logit. </w:t>
      </w:r>
      <w:r w:rsidRPr="00772DA3">
        <w:rPr>
          <w:i/>
          <w:iCs/>
          <w:szCs w:val="24"/>
        </w:rPr>
        <w:t>Transportation Research Part B</w:t>
      </w:r>
      <w:r w:rsidRPr="00772DA3">
        <w:rPr>
          <w:iCs/>
          <w:szCs w:val="24"/>
        </w:rPr>
        <w:t xml:space="preserve">, </w:t>
      </w:r>
      <w:r w:rsidRPr="00772DA3">
        <w:rPr>
          <w:szCs w:val="24"/>
        </w:rPr>
        <w:t xml:space="preserve">37(8), 681-698. </w:t>
      </w:r>
    </w:p>
    <w:p w:rsidR="005E2179" w:rsidRPr="00772DA3" w:rsidRDefault="005E2179" w:rsidP="00772DA3">
      <w:pPr>
        <w:spacing w:after="120"/>
        <w:ind w:left="360" w:hanging="360"/>
        <w:rPr>
          <w:szCs w:val="24"/>
          <w:shd w:val="clear" w:color="auto" w:fill="FFFFFF"/>
        </w:rPr>
      </w:pPr>
      <w:proofErr w:type="gramStart"/>
      <w:r w:rsidRPr="00772DA3">
        <w:rPr>
          <w:szCs w:val="24"/>
          <w:shd w:val="clear" w:color="auto" w:fill="FFFFFF"/>
        </w:rPr>
        <w:t xml:space="preserve">Greene, W.H. and D.A. </w:t>
      </w:r>
      <w:proofErr w:type="spellStart"/>
      <w:r w:rsidRPr="00772DA3">
        <w:rPr>
          <w:szCs w:val="24"/>
          <w:shd w:val="clear" w:color="auto" w:fill="FFFFFF"/>
        </w:rPr>
        <w:t>Hensher</w:t>
      </w:r>
      <w:proofErr w:type="spellEnd"/>
      <w:r w:rsidRPr="00772DA3">
        <w:rPr>
          <w:szCs w:val="24"/>
          <w:shd w:val="clear" w:color="auto" w:fill="FFFFFF"/>
        </w:rPr>
        <w:t xml:space="preserve"> (2013).</w:t>
      </w:r>
      <w:proofErr w:type="gramEnd"/>
      <w:r w:rsidRPr="00772DA3">
        <w:rPr>
          <w:szCs w:val="24"/>
          <w:shd w:val="clear" w:color="auto" w:fill="FFFFFF"/>
        </w:rPr>
        <w:t xml:space="preserve"> Revealing additional dimensions of preference heterogeneity in a latent class mixed multinomial logit model. </w:t>
      </w:r>
      <w:r w:rsidRPr="00772DA3">
        <w:rPr>
          <w:i/>
          <w:iCs/>
          <w:szCs w:val="24"/>
          <w:shd w:val="clear" w:color="auto" w:fill="FFFFFF"/>
        </w:rPr>
        <w:t>Applied Economics</w:t>
      </w:r>
      <w:r w:rsidRPr="00772DA3">
        <w:rPr>
          <w:szCs w:val="24"/>
          <w:shd w:val="clear" w:color="auto" w:fill="FFFFFF"/>
        </w:rPr>
        <w:t>,</w:t>
      </w:r>
      <w:r w:rsidRPr="00772DA3">
        <w:rPr>
          <w:rStyle w:val="apple-converted-space"/>
          <w:szCs w:val="24"/>
          <w:shd w:val="clear" w:color="auto" w:fill="FFFFFF"/>
        </w:rPr>
        <w:t> </w:t>
      </w:r>
      <w:r w:rsidRPr="00772DA3">
        <w:rPr>
          <w:iCs/>
          <w:szCs w:val="24"/>
          <w:shd w:val="clear" w:color="auto" w:fill="FFFFFF"/>
        </w:rPr>
        <w:t>45</w:t>
      </w:r>
      <w:r w:rsidRPr="00772DA3">
        <w:rPr>
          <w:szCs w:val="24"/>
          <w:shd w:val="clear" w:color="auto" w:fill="FFFFFF"/>
        </w:rPr>
        <w:t>(14), 1897-1902.</w:t>
      </w:r>
    </w:p>
    <w:p w:rsidR="002411B1" w:rsidRPr="00772DA3" w:rsidRDefault="005E2179" w:rsidP="00772DA3">
      <w:pPr>
        <w:spacing w:after="120"/>
        <w:ind w:left="360" w:hanging="360"/>
        <w:rPr>
          <w:szCs w:val="24"/>
        </w:rPr>
      </w:pPr>
      <w:proofErr w:type="gramStart"/>
      <w:r w:rsidRPr="00772DA3">
        <w:rPr>
          <w:szCs w:val="24"/>
        </w:rPr>
        <w:t xml:space="preserve">Greene W.H., D.A. </w:t>
      </w:r>
      <w:proofErr w:type="spellStart"/>
      <w:r w:rsidRPr="00772DA3">
        <w:rPr>
          <w:szCs w:val="24"/>
        </w:rPr>
        <w:t>Hensher</w:t>
      </w:r>
      <w:proofErr w:type="spellEnd"/>
      <w:r w:rsidRPr="00772DA3">
        <w:rPr>
          <w:szCs w:val="24"/>
        </w:rPr>
        <w:t xml:space="preserve"> and J.</w:t>
      </w:r>
      <w:r w:rsidR="002411B1" w:rsidRPr="00772DA3">
        <w:rPr>
          <w:szCs w:val="24"/>
        </w:rPr>
        <w:t>M. Rose (2006).</w:t>
      </w:r>
      <w:proofErr w:type="gramEnd"/>
      <w:r w:rsidR="002411B1" w:rsidRPr="00772DA3">
        <w:rPr>
          <w:szCs w:val="24"/>
        </w:rPr>
        <w:t xml:space="preserve"> Accounting for heterogeneity in the variance of the unobserved effects in mixed logit models (NW transport study data). </w:t>
      </w:r>
      <w:r w:rsidR="002411B1" w:rsidRPr="00772DA3">
        <w:rPr>
          <w:i/>
          <w:szCs w:val="24"/>
        </w:rPr>
        <w:t>Transportation Research Part B</w:t>
      </w:r>
      <w:r w:rsidR="002411B1" w:rsidRPr="00772DA3">
        <w:rPr>
          <w:szCs w:val="24"/>
        </w:rPr>
        <w:t>, 40(1), 75-92.</w:t>
      </w:r>
    </w:p>
    <w:p w:rsidR="00346554" w:rsidRPr="00772DA3" w:rsidRDefault="00346554" w:rsidP="00772DA3">
      <w:pPr>
        <w:spacing w:after="120"/>
        <w:ind w:left="360" w:hanging="360"/>
        <w:rPr>
          <w:szCs w:val="24"/>
          <w:shd w:val="clear" w:color="auto" w:fill="FFFFFF"/>
        </w:rPr>
      </w:pPr>
      <w:proofErr w:type="spellStart"/>
      <w:r w:rsidRPr="00772DA3">
        <w:rPr>
          <w:szCs w:val="24"/>
          <w:shd w:val="clear" w:color="auto" w:fill="FFFFFF"/>
        </w:rPr>
        <w:t>Hanemann</w:t>
      </w:r>
      <w:proofErr w:type="spellEnd"/>
      <w:r w:rsidRPr="00772DA3">
        <w:rPr>
          <w:szCs w:val="24"/>
          <w:shd w:val="clear" w:color="auto" w:fill="FFFFFF"/>
        </w:rPr>
        <w:t xml:space="preserve">, W.M. (1978). A methodological and empirical study of the recreation benefits from water quality improvement. </w:t>
      </w:r>
      <w:proofErr w:type="gramStart"/>
      <w:r w:rsidRPr="00772DA3">
        <w:rPr>
          <w:szCs w:val="24"/>
          <w:shd w:val="clear" w:color="auto" w:fill="FFFFFF"/>
        </w:rPr>
        <w:t>Ph.D. dissertation, Department of Economics, Harvard University.</w:t>
      </w:r>
      <w:proofErr w:type="gramEnd"/>
    </w:p>
    <w:p w:rsidR="005E2179" w:rsidRPr="00772DA3" w:rsidRDefault="005E2179" w:rsidP="00772DA3">
      <w:pPr>
        <w:spacing w:after="120"/>
        <w:ind w:left="360" w:hanging="360"/>
        <w:rPr>
          <w:szCs w:val="24"/>
        </w:rPr>
      </w:pPr>
      <w:proofErr w:type="spellStart"/>
      <w:r w:rsidRPr="00772DA3">
        <w:rPr>
          <w:szCs w:val="24"/>
        </w:rPr>
        <w:t>Hanemann</w:t>
      </w:r>
      <w:proofErr w:type="spellEnd"/>
      <w:r w:rsidRPr="00772DA3">
        <w:rPr>
          <w:szCs w:val="24"/>
        </w:rPr>
        <w:t xml:space="preserve">, W.M., L. Pendleton, C. </w:t>
      </w:r>
      <w:proofErr w:type="spellStart"/>
      <w:r w:rsidRPr="00772DA3">
        <w:rPr>
          <w:szCs w:val="24"/>
        </w:rPr>
        <w:t>Mohn</w:t>
      </w:r>
      <w:proofErr w:type="spellEnd"/>
      <w:r w:rsidRPr="00772DA3">
        <w:rPr>
          <w:szCs w:val="24"/>
        </w:rPr>
        <w:t xml:space="preserve">, J. </w:t>
      </w:r>
      <w:proofErr w:type="spellStart"/>
      <w:r w:rsidRPr="00772DA3">
        <w:rPr>
          <w:szCs w:val="24"/>
        </w:rPr>
        <w:t>Hilger</w:t>
      </w:r>
      <w:proofErr w:type="spellEnd"/>
      <w:r w:rsidRPr="00772DA3">
        <w:rPr>
          <w:szCs w:val="24"/>
        </w:rPr>
        <w:t xml:space="preserve">, K. </w:t>
      </w:r>
      <w:proofErr w:type="spellStart"/>
      <w:r w:rsidRPr="00772DA3">
        <w:rPr>
          <w:szCs w:val="24"/>
        </w:rPr>
        <w:t>Kuriyama</w:t>
      </w:r>
      <w:proofErr w:type="spellEnd"/>
      <w:r w:rsidRPr="00772DA3">
        <w:rPr>
          <w:szCs w:val="24"/>
        </w:rPr>
        <w:t xml:space="preserve">, D. Layton, C. Busch, and F. Vasquez (2004). Using revealed preference models to estimate the effect of coastal water quality on beach choice in Southern California. </w:t>
      </w:r>
      <w:proofErr w:type="gramStart"/>
      <w:r w:rsidRPr="00772DA3">
        <w:rPr>
          <w:szCs w:val="24"/>
        </w:rPr>
        <w:t>University of California at Berkeley, report to the U.S. National Oceanic and Atmospheric Administration.</w:t>
      </w:r>
      <w:proofErr w:type="gramEnd"/>
      <w:r w:rsidRPr="00772DA3">
        <w:rPr>
          <w:szCs w:val="24"/>
        </w:rPr>
        <w:t xml:space="preserve"> </w:t>
      </w:r>
    </w:p>
    <w:p w:rsidR="003A77E2" w:rsidRPr="00772DA3" w:rsidRDefault="005E2179" w:rsidP="00772DA3">
      <w:pPr>
        <w:spacing w:after="120"/>
        <w:ind w:left="360" w:hanging="360"/>
        <w:rPr>
          <w:szCs w:val="24"/>
        </w:rPr>
      </w:pPr>
      <w:proofErr w:type="spellStart"/>
      <w:proofErr w:type="gramStart"/>
      <w:r w:rsidRPr="00772DA3">
        <w:rPr>
          <w:szCs w:val="24"/>
        </w:rPr>
        <w:t>Hensher</w:t>
      </w:r>
      <w:proofErr w:type="spellEnd"/>
      <w:r w:rsidRPr="00772DA3">
        <w:rPr>
          <w:szCs w:val="24"/>
        </w:rPr>
        <w:t>, D.A., J.M. Rose and W.</w:t>
      </w:r>
      <w:r w:rsidR="002411B1" w:rsidRPr="00772DA3">
        <w:rPr>
          <w:szCs w:val="24"/>
        </w:rPr>
        <w:t>H. Greene (2005).</w:t>
      </w:r>
      <w:proofErr w:type="gramEnd"/>
      <w:r w:rsidR="002411B1" w:rsidRPr="00772DA3">
        <w:rPr>
          <w:szCs w:val="24"/>
        </w:rPr>
        <w:t xml:space="preserve"> </w:t>
      </w:r>
      <w:proofErr w:type="gramStart"/>
      <w:r w:rsidR="002411B1" w:rsidRPr="00772DA3">
        <w:rPr>
          <w:i/>
          <w:szCs w:val="24"/>
        </w:rPr>
        <w:t>Applied Choice Analysis: A Primer</w:t>
      </w:r>
      <w:r w:rsidR="002411B1" w:rsidRPr="00772DA3">
        <w:rPr>
          <w:szCs w:val="24"/>
        </w:rPr>
        <w:t>.</w:t>
      </w:r>
      <w:proofErr w:type="gramEnd"/>
      <w:r w:rsidR="002411B1" w:rsidRPr="00772DA3">
        <w:rPr>
          <w:szCs w:val="24"/>
        </w:rPr>
        <w:t xml:space="preserve"> </w:t>
      </w:r>
      <w:proofErr w:type="gramStart"/>
      <w:r w:rsidR="002411B1" w:rsidRPr="00772DA3">
        <w:rPr>
          <w:szCs w:val="24"/>
        </w:rPr>
        <w:t>Cambridge University Press, Cambridge, U.K.</w:t>
      </w:r>
      <w:proofErr w:type="gramEnd"/>
    </w:p>
    <w:p w:rsidR="00BF3C9B" w:rsidRPr="00772DA3" w:rsidRDefault="005E2179" w:rsidP="00772DA3">
      <w:pPr>
        <w:spacing w:after="120"/>
        <w:ind w:left="360" w:hanging="360"/>
        <w:rPr>
          <w:szCs w:val="24"/>
        </w:rPr>
      </w:pPr>
      <w:proofErr w:type="spellStart"/>
      <w:r w:rsidRPr="00772DA3">
        <w:rPr>
          <w:szCs w:val="24"/>
        </w:rPr>
        <w:t>Iso-Ahola</w:t>
      </w:r>
      <w:proofErr w:type="spellEnd"/>
      <w:r w:rsidRPr="00772DA3">
        <w:rPr>
          <w:szCs w:val="24"/>
        </w:rPr>
        <w:t>, S.</w:t>
      </w:r>
      <w:r w:rsidR="00BF3C9B" w:rsidRPr="00772DA3">
        <w:rPr>
          <w:szCs w:val="24"/>
        </w:rPr>
        <w:t xml:space="preserve">E. (1983). </w:t>
      </w:r>
      <w:proofErr w:type="gramStart"/>
      <w:r w:rsidR="00BF3C9B" w:rsidRPr="00772DA3">
        <w:rPr>
          <w:szCs w:val="24"/>
        </w:rPr>
        <w:t>Towards a social psychology of recreational travel.</w:t>
      </w:r>
      <w:proofErr w:type="gramEnd"/>
      <w:r w:rsidR="00BF3C9B" w:rsidRPr="00772DA3">
        <w:rPr>
          <w:szCs w:val="24"/>
        </w:rPr>
        <w:t xml:space="preserve"> </w:t>
      </w:r>
      <w:r w:rsidR="00BF3C9B" w:rsidRPr="00772DA3">
        <w:rPr>
          <w:i/>
          <w:szCs w:val="24"/>
        </w:rPr>
        <w:t>Leisure Studies</w:t>
      </w:r>
      <w:r w:rsidR="00BF3C9B" w:rsidRPr="00772DA3">
        <w:rPr>
          <w:szCs w:val="24"/>
        </w:rPr>
        <w:t>, 2(1), 45-56.</w:t>
      </w:r>
    </w:p>
    <w:p w:rsidR="003A77E2" w:rsidRPr="00772DA3" w:rsidRDefault="003A77E2" w:rsidP="00772DA3">
      <w:pPr>
        <w:autoSpaceDE w:val="0"/>
        <w:autoSpaceDN w:val="0"/>
        <w:adjustRightInd w:val="0"/>
        <w:spacing w:after="120"/>
        <w:ind w:left="360" w:hanging="360"/>
        <w:rPr>
          <w:szCs w:val="24"/>
        </w:rPr>
      </w:pPr>
      <w:proofErr w:type="gramStart"/>
      <w:r w:rsidRPr="00772DA3">
        <w:rPr>
          <w:szCs w:val="24"/>
        </w:rPr>
        <w:lastRenderedPageBreak/>
        <w:t>Kim,</w:t>
      </w:r>
      <w:r w:rsidR="00821518" w:rsidRPr="00772DA3">
        <w:rPr>
          <w:szCs w:val="24"/>
        </w:rPr>
        <w:t xml:space="preserve"> J., G.M. Allenby and P.E. Rossi</w:t>
      </w:r>
      <w:r w:rsidRPr="00772DA3">
        <w:rPr>
          <w:szCs w:val="24"/>
        </w:rPr>
        <w:t xml:space="preserve"> </w:t>
      </w:r>
      <w:r w:rsidR="00A52D49" w:rsidRPr="00772DA3">
        <w:rPr>
          <w:szCs w:val="24"/>
        </w:rPr>
        <w:t>(</w:t>
      </w:r>
      <w:r w:rsidRPr="00772DA3">
        <w:rPr>
          <w:szCs w:val="24"/>
        </w:rPr>
        <w:t>2002</w:t>
      </w:r>
      <w:r w:rsidR="00A52D49" w:rsidRPr="00772DA3">
        <w:rPr>
          <w:szCs w:val="24"/>
        </w:rPr>
        <w:t>)</w:t>
      </w:r>
      <w:r w:rsidRPr="00772DA3">
        <w:rPr>
          <w:szCs w:val="24"/>
        </w:rPr>
        <w:t>.</w:t>
      </w:r>
      <w:proofErr w:type="gramEnd"/>
      <w:r w:rsidRPr="00772DA3">
        <w:rPr>
          <w:szCs w:val="24"/>
        </w:rPr>
        <w:t xml:space="preserve"> </w:t>
      </w:r>
      <w:proofErr w:type="gramStart"/>
      <w:r w:rsidRPr="00772DA3">
        <w:rPr>
          <w:szCs w:val="24"/>
        </w:rPr>
        <w:t>Modeling consumer demand for variety.</w:t>
      </w:r>
      <w:proofErr w:type="gramEnd"/>
      <w:r w:rsidRPr="00772DA3">
        <w:rPr>
          <w:szCs w:val="24"/>
        </w:rPr>
        <w:t xml:space="preserve"> </w:t>
      </w:r>
      <w:proofErr w:type="gramStart"/>
      <w:r w:rsidRPr="00772DA3">
        <w:rPr>
          <w:i/>
          <w:szCs w:val="24"/>
        </w:rPr>
        <w:t>Marketing Science</w:t>
      </w:r>
      <w:r w:rsidR="008C6379" w:rsidRPr="00160142">
        <w:rPr>
          <w:szCs w:val="24"/>
        </w:rPr>
        <w:t>,</w:t>
      </w:r>
      <w:r w:rsidRPr="00772DA3">
        <w:rPr>
          <w:i/>
          <w:szCs w:val="24"/>
        </w:rPr>
        <w:t xml:space="preserve"> </w:t>
      </w:r>
      <w:r w:rsidRPr="00772DA3">
        <w:rPr>
          <w:szCs w:val="24"/>
        </w:rPr>
        <w:t>21(3), 229-250.</w:t>
      </w:r>
      <w:proofErr w:type="gramEnd"/>
    </w:p>
    <w:p w:rsidR="004C4DE1" w:rsidRPr="00772DA3" w:rsidRDefault="004C4DE1" w:rsidP="00772DA3">
      <w:pPr>
        <w:autoSpaceDE w:val="0"/>
        <w:autoSpaceDN w:val="0"/>
        <w:adjustRightInd w:val="0"/>
        <w:spacing w:after="120"/>
        <w:ind w:left="360" w:hanging="360"/>
        <w:rPr>
          <w:szCs w:val="24"/>
        </w:rPr>
      </w:pPr>
      <w:proofErr w:type="spellStart"/>
      <w:proofErr w:type="gramStart"/>
      <w:r w:rsidRPr="00772DA3">
        <w:rPr>
          <w:szCs w:val="24"/>
        </w:rPr>
        <w:t>Kuriyama</w:t>
      </w:r>
      <w:proofErr w:type="spellEnd"/>
      <w:r w:rsidRPr="00772DA3">
        <w:rPr>
          <w:szCs w:val="24"/>
        </w:rPr>
        <w:t xml:space="preserve">, K., W.M. </w:t>
      </w:r>
      <w:proofErr w:type="spellStart"/>
      <w:r w:rsidRPr="00772DA3">
        <w:rPr>
          <w:szCs w:val="24"/>
        </w:rPr>
        <w:t>Hanemann</w:t>
      </w:r>
      <w:proofErr w:type="spellEnd"/>
      <w:r w:rsidRPr="00772DA3">
        <w:rPr>
          <w:szCs w:val="24"/>
        </w:rPr>
        <w:t xml:space="preserve"> and J.R. </w:t>
      </w:r>
      <w:proofErr w:type="spellStart"/>
      <w:r w:rsidRPr="00772DA3">
        <w:rPr>
          <w:szCs w:val="24"/>
        </w:rPr>
        <w:t>Hilger</w:t>
      </w:r>
      <w:proofErr w:type="spellEnd"/>
      <w:r w:rsidRPr="00772DA3">
        <w:rPr>
          <w:szCs w:val="24"/>
        </w:rPr>
        <w:t xml:space="preserve"> (2010).</w:t>
      </w:r>
      <w:proofErr w:type="gramEnd"/>
      <w:r w:rsidRPr="00772DA3">
        <w:rPr>
          <w:szCs w:val="24"/>
        </w:rPr>
        <w:t xml:space="preserve"> A latent segmentation approach to a Kuhn-Tucker model: an application to recreation demand. </w:t>
      </w:r>
      <w:r w:rsidRPr="00772DA3">
        <w:rPr>
          <w:i/>
          <w:szCs w:val="24"/>
        </w:rPr>
        <w:t>Environmental Economics and Management</w:t>
      </w:r>
      <w:r w:rsidRPr="00772DA3">
        <w:rPr>
          <w:szCs w:val="24"/>
        </w:rPr>
        <w:t xml:space="preserve">, 60(3), 209-220. </w:t>
      </w:r>
    </w:p>
    <w:p w:rsidR="005E2179" w:rsidRPr="00772DA3" w:rsidRDefault="005E2179" w:rsidP="00772DA3">
      <w:pPr>
        <w:autoSpaceDE w:val="0"/>
        <w:autoSpaceDN w:val="0"/>
        <w:adjustRightInd w:val="0"/>
        <w:spacing w:after="120"/>
        <w:ind w:left="360" w:hanging="360"/>
        <w:rPr>
          <w:szCs w:val="24"/>
        </w:rPr>
      </w:pPr>
      <w:proofErr w:type="spellStart"/>
      <w:proofErr w:type="gramStart"/>
      <w:r w:rsidRPr="00772DA3">
        <w:rPr>
          <w:szCs w:val="24"/>
        </w:rPr>
        <w:t>Kuriyama</w:t>
      </w:r>
      <w:proofErr w:type="spellEnd"/>
      <w:r w:rsidRPr="00772DA3">
        <w:rPr>
          <w:szCs w:val="24"/>
        </w:rPr>
        <w:t xml:space="preserve">, K., Y. Shoji, and T. </w:t>
      </w:r>
      <w:proofErr w:type="spellStart"/>
      <w:r w:rsidRPr="00772DA3">
        <w:rPr>
          <w:szCs w:val="24"/>
        </w:rPr>
        <w:t>Tsuge</w:t>
      </w:r>
      <w:proofErr w:type="spellEnd"/>
      <w:r w:rsidRPr="00772DA3">
        <w:rPr>
          <w:szCs w:val="24"/>
        </w:rPr>
        <w:t xml:space="preserve"> (2011).</w:t>
      </w:r>
      <w:proofErr w:type="gramEnd"/>
      <w:r w:rsidRPr="00772DA3">
        <w:rPr>
          <w:szCs w:val="24"/>
        </w:rPr>
        <w:t xml:space="preserve"> </w:t>
      </w:r>
      <w:proofErr w:type="gramStart"/>
      <w:r w:rsidRPr="00772DA3">
        <w:rPr>
          <w:szCs w:val="24"/>
        </w:rPr>
        <w:t>Estimating value of mortality risk reduction using the Kuhn-Tucker model: an application to recreation demand.</w:t>
      </w:r>
      <w:proofErr w:type="gramEnd"/>
      <w:r w:rsidRPr="00772DA3">
        <w:rPr>
          <w:szCs w:val="24"/>
        </w:rPr>
        <w:t xml:space="preserve"> </w:t>
      </w:r>
      <w:proofErr w:type="gramStart"/>
      <w:r w:rsidRPr="00772DA3">
        <w:rPr>
          <w:szCs w:val="24"/>
        </w:rPr>
        <w:t>Working Paper, Graduate School of Agriculture, Kyoto University.</w:t>
      </w:r>
      <w:proofErr w:type="gramEnd"/>
    </w:p>
    <w:p w:rsidR="008F1C54" w:rsidRPr="00772DA3" w:rsidRDefault="008F1C54" w:rsidP="008F1C54">
      <w:pPr>
        <w:autoSpaceDE w:val="0"/>
        <w:autoSpaceDN w:val="0"/>
        <w:adjustRightInd w:val="0"/>
        <w:spacing w:after="120"/>
        <w:ind w:left="360" w:hanging="360"/>
        <w:rPr>
          <w:szCs w:val="24"/>
        </w:rPr>
      </w:pPr>
      <w:proofErr w:type="gramStart"/>
      <w:r w:rsidRPr="00772DA3">
        <w:rPr>
          <w:szCs w:val="24"/>
        </w:rPr>
        <w:t>LaMondia, J.J., and C.R. Bhat (2012).</w:t>
      </w:r>
      <w:proofErr w:type="gramEnd"/>
      <w:r w:rsidRPr="00772DA3">
        <w:rPr>
          <w:szCs w:val="24"/>
        </w:rPr>
        <w:t xml:space="preserve"> </w:t>
      </w:r>
      <w:proofErr w:type="gramStart"/>
      <w:r w:rsidRPr="00772DA3">
        <w:rPr>
          <w:szCs w:val="24"/>
        </w:rPr>
        <w:t>A conceptual and methodological framework of leisure activity loyalty accommodating the travel context.</w:t>
      </w:r>
      <w:proofErr w:type="gramEnd"/>
      <w:r w:rsidRPr="00772DA3">
        <w:rPr>
          <w:szCs w:val="24"/>
        </w:rPr>
        <w:t xml:space="preserve"> </w:t>
      </w:r>
      <w:r w:rsidRPr="00772DA3">
        <w:rPr>
          <w:i/>
          <w:szCs w:val="24"/>
        </w:rPr>
        <w:t>Transportation</w:t>
      </w:r>
      <w:r w:rsidRPr="00772DA3">
        <w:rPr>
          <w:szCs w:val="24"/>
        </w:rPr>
        <w:t>, 39(2), 321-349.</w:t>
      </w:r>
    </w:p>
    <w:p w:rsidR="00BF3C9B" w:rsidRPr="00772DA3" w:rsidRDefault="00BF3C9B" w:rsidP="00772DA3">
      <w:pPr>
        <w:autoSpaceDE w:val="0"/>
        <w:autoSpaceDN w:val="0"/>
        <w:adjustRightInd w:val="0"/>
        <w:spacing w:after="120"/>
        <w:ind w:left="360" w:hanging="360"/>
        <w:rPr>
          <w:szCs w:val="24"/>
        </w:rPr>
      </w:pPr>
      <w:proofErr w:type="gramStart"/>
      <w:r w:rsidRPr="00772DA3">
        <w:rPr>
          <w:szCs w:val="24"/>
        </w:rPr>
        <w:t xml:space="preserve">LaMondia, J.J., </w:t>
      </w:r>
      <w:r w:rsidR="005E2179" w:rsidRPr="00772DA3">
        <w:rPr>
          <w:szCs w:val="24"/>
        </w:rPr>
        <w:t xml:space="preserve">C.R. </w:t>
      </w:r>
      <w:r w:rsidRPr="00772DA3">
        <w:rPr>
          <w:szCs w:val="24"/>
        </w:rPr>
        <w:t xml:space="preserve">Bhat, </w:t>
      </w:r>
      <w:r w:rsidR="005E2179" w:rsidRPr="00772DA3">
        <w:rPr>
          <w:szCs w:val="24"/>
        </w:rPr>
        <w:t xml:space="preserve">and D.A. </w:t>
      </w:r>
      <w:proofErr w:type="spellStart"/>
      <w:r w:rsidR="005E2179" w:rsidRPr="00772DA3">
        <w:rPr>
          <w:szCs w:val="24"/>
        </w:rPr>
        <w:t>Hensher</w:t>
      </w:r>
      <w:proofErr w:type="spellEnd"/>
      <w:r w:rsidR="005E2179" w:rsidRPr="00772DA3">
        <w:rPr>
          <w:szCs w:val="24"/>
        </w:rPr>
        <w:t xml:space="preserve"> </w:t>
      </w:r>
      <w:r w:rsidRPr="00772DA3">
        <w:rPr>
          <w:szCs w:val="24"/>
        </w:rPr>
        <w:t>(2008).</w:t>
      </w:r>
      <w:proofErr w:type="gramEnd"/>
      <w:r w:rsidRPr="00772DA3">
        <w:rPr>
          <w:szCs w:val="24"/>
        </w:rPr>
        <w:t xml:space="preserve"> An annual time use model for domestic vacation travel. </w:t>
      </w:r>
      <w:r w:rsidRPr="00772DA3">
        <w:rPr>
          <w:i/>
          <w:szCs w:val="24"/>
        </w:rPr>
        <w:t>Journal of Choice Modelling</w:t>
      </w:r>
      <w:r w:rsidR="005E2179" w:rsidRPr="00772DA3">
        <w:rPr>
          <w:szCs w:val="24"/>
        </w:rPr>
        <w:t>,</w:t>
      </w:r>
      <w:r w:rsidRPr="00772DA3">
        <w:rPr>
          <w:szCs w:val="24"/>
        </w:rPr>
        <w:t xml:space="preserve"> 1(1), 70-97.</w:t>
      </w:r>
    </w:p>
    <w:p w:rsidR="00BF3C9B" w:rsidRDefault="00BF3C9B" w:rsidP="00772DA3">
      <w:pPr>
        <w:autoSpaceDE w:val="0"/>
        <w:autoSpaceDN w:val="0"/>
        <w:adjustRightInd w:val="0"/>
        <w:spacing w:after="120"/>
        <w:ind w:left="360" w:hanging="360"/>
        <w:rPr>
          <w:szCs w:val="24"/>
        </w:rPr>
      </w:pPr>
      <w:proofErr w:type="gramStart"/>
      <w:r w:rsidRPr="00772DA3">
        <w:rPr>
          <w:szCs w:val="24"/>
        </w:rPr>
        <w:t xml:space="preserve">LaMondia, J.J., </w:t>
      </w:r>
      <w:r w:rsidR="005E2179" w:rsidRPr="00772DA3">
        <w:rPr>
          <w:szCs w:val="24"/>
        </w:rPr>
        <w:t xml:space="preserve">T. </w:t>
      </w:r>
      <w:r w:rsidRPr="00772DA3">
        <w:rPr>
          <w:szCs w:val="24"/>
        </w:rPr>
        <w:t xml:space="preserve">Snell, </w:t>
      </w:r>
      <w:r w:rsidR="005E2179" w:rsidRPr="00772DA3">
        <w:rPr>
          <w:szCs w:val="24"/>
        </w:rPr>
        <w:t xml:space="preserve">and C.R. Bhat </w:t>
      </w:r>
      <w:r w:rsidRPr="00772DA3">
        <w:rPr>
          <w:szCs w:val="24"/>
        </w:rPr>
        <w:t>(2010).</w:t>
      </w:r>
      <w:proofErr w:type="gramEnd"/>
      <w:r w:rsidRPr="00772DA3">
        <w:rPr>
          <w:szCs w:val="24"/>
        </w:rPr>
        <w:t xml:space="preserve"> Traveler behavior and values analysis in the context of vacation destination and travel mode choices: European Union case study. </w:t>
      </w:r>
      <w:r w:rsidRPr="00772DA3">
        <w:rPr>
          <w:i/>
          <w:szCs w:val="24"/>
        </w:rPr>
        <w:t>Transportation Research Record</w:t>
      </w:r>
      <w:r w:rsidRPr="00772DA3">
        <w:rPr>
          <w:szCs w:val="24"/>
        </w:rPr>
        <w:t>, 2156, 140-149. </w:t>
      </w:r>
    </w:p>
    <w:p w:rsidR="00FD7934" w:rsidRPr="00772DA3" w:rsidRDefault="008F1C54" w:rsidP="00FD7934">
      <w:pPr>
        <w:spacing w:after="120"/>
        <w:ind w:left="360" w:hanging="360"/>
        <w:rPr>
          <w:szCs w:val="24"/>
        </w:rPr>
      </w:pPr>
      <w:proofErr w:type="gramStart"/>
      <w:r w:rsidRPr="00772DA3">
        <w:rPr>
          <w:szCs w:val="24"/>
        </w:rPr>
        <w:t>Ministry of Business, Innovation and Employment (2008).</w:t>
      </w:r>
      <w:proofErr w:type="gramEnd"/>
      <w:r w:rsidRPr="00772DA3">
        <w:rPr>
          <w:szCs w:val="24"/>
        </w:rPr>
        <w:t xml:space="preserve"> </w:t>
      </w:r>
      <w:proofErr w:type="gramStart"/>
      <w:r w:rsidRPr="00772DA3">
        <w:rPr>
          <w:szCs w:val="24"/>
        </w:rPr>
        <w:t>Tourism sector profile.</w:t>
      </w:r>
      <w:proofErr w:type="gramEnd"/>
      <w:r w:rsidRPr="00772DA3">
        <w:rPr>
          <w:szCs w:val="24"/>
        </w:rPr>
        <w:t xml:space="preserve"> Available at: </w:t>
      </w:r>
      <w:r w:rsidRPr="008F1C54">
        <w:rPr>
          <w:szCs w:val="24"/>
        </w:rPr>
        <w:t>http://www.med.govt.nz/sectors-industries/tourism/tourism-research-data/other-research-and-reports/sector-profiles</w:t>
      </w:r>
      <w:r w:rsidRPr="00772DA3">
        <w:rPr>
          <w:szCs w:val="24"/>
        </w:rPr>
        <w:t xml:space="preserve">  </w:t>
      </w:r>
    </w:p>
    <w:p w:rsidR="000D69AF" w:rsidRDefault="000D69AF" w:rsidP="00772DA3">
      <w:pPr>
        <w:autoSpaceDE w:val="0"/>
        <w:autoSpaceDN w:val="0"/>
        <w:adjustRightInd w:val="0"/>
        <w:spacing w:after="120"/>
        <w:ind w:left="360" w:hanging="360"/>
        <w:rPr>
          <w:szCs w:val="24"/>
        </w:rPr>
      </w:pPr>
      <w:proofErr w:type="gramStart"/>
      <w:r w:rsidRPr="00772DA3">
        <w:rPr>
          <w:szCs w:val="24"/>
        </w:rPr>
        <w:t xml:space="preserve">Ministry of Business, Innovation </w:t>
      </w:r>
      <w:r w:rsidR="008F1C54">
        <w:rPr>
          <w:szCs w:val="24"/>
        </w:rPr>
        <w:t>and</w:t>
      </w:r>
      <w:r w:rsidRPr="00772DA3">
        <w:rPr>
          <w:szCs w:val="24"/>
        </w:rPr>
        <w:t xml:space="preserve"> Employment (2013).</w:t>
      </w:r>
      <w:proofErr w:type="gramEnd"/>
      <w:r w:rsidRPr="00772DA3">
        <w:rPr>
          <w:szCs w:val="24"/>
        </w:rPr>
        <w:t xml:space="preserve"> </w:t>
      </w:r>
      <w:proofErr w:type="gramStart"/>
      <w:r w:rsidRPr="00772DA3">
        <w:rPr>
          <w:szCs w:val="24"/>
        </w:rPr>
        <w:t>Statement of Intent.</w:t>
      </w:r>
      <w:proofErr w:type="gramEnd"/>
      <w:r w:rsidRPr="00772DA3">
        <w:rPr>
          <w:szCs w:val="24"/>
        </w:rPr>
        <w:t xml:space="preserve"> May 2013. Available at: </w:t>
      </w:r>
      <w:r w:rsidR="00FD7934" w:rsidRPr="00FD7934">
        <w:rPr>
          <w:szCs w:val="24"/>
        </w:rPr>
        <w:t>http://www.mbie.govt.nz/about-us/publications/soi/Ministry-of-Business-Innovation-and-Employment-SOI-2013.pdf</w:t>
      </w:r>
    </w:p>
    <w:p w:rsidR="00FD7934" w:rsidRPr="00772DA3" w:rsidRDefault="00FD7934" w:rsidP="00772DA3">
      <w:pPr>
        <w:autoSpaceDE w:val="0"/>
        <w:autoSpaceDN w:val="0"/>
        <w:adjustRightInd w:val="0"/>
        <w:spacing w:after="120"/>
        <w:ind w:left="360" w:hanging="360"/>
        <w:rPr>
          <w:szCs w:val="24"/>
        </w:rPr>
      </w:pPr>
      <w:proofErr w:type="spellStart"/>
      <w:r>
        <w:rPr>
          <w:szCs w:val="24"/>
        </w:rPr>
        <w:t>Mittelhammer</w:t>
      </w:r>
      <w:proofErr w:type="spellEnd"/>
      <w:r>
        <w:rPr>
          <w:szCs w:val="24"/>
        </w:rPr>
        <w:t>, R. C., and G. Judge</w:t>
      </w:r>
      <w:r w:rsidRPr="00FD7934">
        <w:rPr>
          <w:szCs w:val="24"/>
        </w:rPr>
        <w:t xml:space="preserve"> (2011). </w:t>
      </w:r>
      <w:proofErr w:type="gramStart"/>
      <w:r w:rsidRPr="00FD7934">
        <w:rPr>
          <w:szCs w:val="24"/>
        </w:rPr>
        <w:t>A family of empirical likelihood functions and estimators for the binary response model</w:t>
      </w:r>
      <w:r w:rsidRPr="00FD7934">
        <w:rPr>
          <w:i/>
          <w:szCs w:val="24"/>
        </w:rPr>
        <w:t>.</w:t>
      </w:r>
      <w:proofErr w:type="gramEnd"/>
      <w:r w:rsidRPr="00FD7934">
        <w:rPr>
          <w:i/>
          <w:szCs w:val="24"/>
        </w:rPr>
        <w:t xml:space="preserve"> Journal of Econometrics</w:t>
      </w:r>
      <w:r w:rsidRPr="00FD7934">
        <w:rPr>
          <w:szCs w:val="24"/>
        </w:rPr>
        <w:t>, 164(2), 207-217.</w:t>
      </w:r>
    </w:p>
    <w:p w:rsidR="00D51F02" w:rsidRPr="002F72BE" w:rsidRDefault="00D51F02" w:rsidP="002F72BE">
      <w:pPr>
        <w:autoSpaceDE w:val="0"/>
        <w:autoSpaceDN w:val="0"/>
        <w:adjustRightInd w:val="0"/>
        <w:spacing w:after="120"/>
        <w:ind w:left="360" w:hanging="360"/>
        <w:rPr>
          <w:szCs w:val="24"/>
        </w:rPr>
      </w:pPr>
      <w:proofErr w:type="gramStart"/>
      <w:r w:rsidRPr="002F72BE">
        <w:rPr>
          <w:szCs w:val="24"/>
        </w:rPr>
        <w:t>Neath, A. A. and Cavanaugh, J. E. (2012).</w:t>
      </w:r>
      <w:proofErr w:type="gramEnd"/>
      <w:r w:rsidRPr="002F72BE">
        <w:rPr>
          <w:szCs w:val="24"/>
        </w:rPr>
        <w:t xml:space="preserve"> The Bayesian information criterion: Background, derivation, and applications. </w:t>
      </w:r>
      <w:r w:rsidRPr="002F72BE">
        <w:rPr>
          <w:i/>
          <w:szCs w:val="24"/>
        </w:rPr>
        <w:t>WIREs Computational Statistics</w:t>
      </w:r>
      <w:r w:rsidRPr="002F72BE">
        <w:rPr>
          <w:szCs w:val="24"/>
        </w:rPr>
        <w:t xml:space="preserve"> 4, 199-203.</w:t>
      </w:r>
    </w:p>
    <w:p w:rsidR="00485B1F" w:rsidRPr="00772DA3" w:rsidRDefault="00485B1F" w:rsidP="00D51F02">
      <w:pPr>
        <w:autoSpaceDE w:val="0"/>
        <w:autoSpaceDN w:val="0"/>
        <w:adjustRightInd w:val="0"/>
        <w:spacing w:after="120"/>
        <w:ind w:left="360" w:hanging="360"/>
        <w:rPr>
          <w:szCs w:val="24"/>
        </w:rPr>
      </w:pPr>
      <w:proofErr w:type="gramStart"/>
      <w:r w:rsidRPr="00772DA3">
        <w:rPr>
          <w:szCs w:val="24"/>
        </w:rPr>
        <w:t>New Zealand Tourism Strategy (2015).</w:t>
      </w:r>
      <w:proofErr w:type="gramEnd"/>
      <w:r w:rsidRPr="00772DA3">
        <w:rPr>
          <w:szCs w:val="24"/>
        </w:rPr>
        <w:t xml:space="preserve">  Available at: http://www.tianz.org.nz/content/library/FINAL_NZTS2015_HR.pdf</w:t>
      </w:r>
    </w:p>
    <w:p w:rsidR="00386E9E" w:rsidRPr="00772DA3" w:rsidRDefault="00386E9E" w:rsidP="00772DA3">
      <w:pPr>
        <w:autoSpaceDE w:val="0"/>
        <w:autoSpaceDN w:val="0"/>
        <w:adjustRightInd w:val="0"/>
        <w:spacing w:after="120"/>
        <w:ind w:left="360" w:hanging="360"/>
        <w:rPr>
          <w:szCs w:val="24"/>
        </w:rPr>
      </w:pPr>
      <w:proofErr w:type="gramStart"/>
      <w:r w:rsidRPr="00772DA3">
        <w:rPr>
          <w:szCs w:val="24"/>
        </w:rPr>
        <w:t>Peters, M., and B.R. Clarkson (2010).</w:t>
      </w:r>
      <w:proofErr w:type="gramEnd"/>
      <w:r w:rsidRPr="00772DA3">
        <w:rPr>
          <w:szCs w:val="24"/>
        </w:rPr>
        <w:t xml:space="preserve"> Wetland restoration: a handbook for New Zealand freshwater system. Lincoln, N.Z: Manaaki Whenua Press. </w:t>
      </w:r>
      <w:proofErr w:type="gramStart"/>
      <w:r w:rsidRPr="00772DA3">
        <w:rPr>
          <w:szCs w:val="24"/>
        </w:rPr>
        <w:t>ISBN 978-0-478-34706-7.</w:t>
      </w:r>
      <w:proofErr w:type="gramEnd"/>
    </w:p>
    <w:p w:rsidR="003A77E2" w:rsidRPr="00772DA3" w:rsidRDefault="00CC4583" w:rsidP="00772DA3">
      <w:pPr>
        <w:spacing w:after="120"/>
        <w:ind w:left="360" w:hanging="360"/>
        <w:rPr>
          <w:szCs w:val="24"/>
        </w:rPr>
      </w:pPr>
      <w:r w:rsidRPr="00772DA3">
        <w:rPr>
          <w:szCs w:val="24"/>
        </w:rPr>
        <w:t>Pinjari, A.R.</w:t>
      </w:r>
      <w:r w:rsidR="003A77E2" w:rsidRPr="00772DA3">
        <w:rPr>
          <w:szCs w:val="24"/>
        </w:rPr>
        <w:t xml:space="preserve"> </w:t>
      </w:r>
      <w:r w:rsidR="00A52D49" w:rsidRPr="00772DA3">
        <w:rPr>
          <w:szCs w:val="24"/>
        </w:rPr>
        <w:t>(</w:t>
      </w:r>
      <w:r w:rsidR="003A77E2" w:rsidRPr="00772DA3">
        <w:rPr>
          <w:szCs w:val="24"/>
        </w:rPr>
        <w:t>2011</w:t>
      </w:r>
      <w:r w:rsidR="00A52D49" w:rsidRPr="00772DA3">
        <w:rPr>
          <w:szCs w:val="24"/>
        </w:rPr>
        <w:t>)</w:t>
      </w:r>
      <w:r w:rsidR="003A77E2" w:rsidRPr="00772DA3">
        <w:rPr>
          <w:szCs w:val="24"/>
        </w:rPr>
        <w:t xml:space="preserve">. </w:t>
      </w:r>
      <w:proofErr w:type="gramStart"/>
      <w:r w:rsidR="003A77E2" w:rsidRPr="00772DA3">
        <w:rPr>
          <w:szCs w:val="24"/>
        </w:rPr>
        <w:t>Generalized extreme value (GEV)-based error structures for multiple discrete-continuous choice models.</w:t>
      </w:r>
      <w:proofErr w:type="gramEnd"/>
      <w:r w:rsidR="003A77E2" w:rsidRPr="00772DA3">
        <w:rPr>
          <w:szCs w:val="24"/>
        </w:rPr>
        <w:t xml:space="preserve"> </w:t>
      </w:r>
      <w:r w:rsidR="003A77E2" w:rsidRPr="00772DA3">
        <w:rPr>
          <w:i/>
          <w:szCs w:val="24"/>
        </w:rPr>
        <w:t>Transportation Research Part B</w:t>
      </w:r>
      <w:r w:rsidRPr="00772DA3">
        <w:rPr>
          <w:szCs w:val="24"/>
        </w:rPr>
        <w:t>,</w:t>
      </w:r>
      <w:r w:rsidR="003A77E2" w:rsidRPr="00772DA3">
        <w:rPr>
          <w:szCs w:val="24"/>
        </w:rPr>
        <w:t xml:space="preserve"> 45(3), 474-489.</w:t>
      </w:r>
    </w:p>
    <w:p w:rsidR="005E2179" w:rsidRDefault="005E2179" w:rsidP="00772DA3">
      <w:pPr>
        <w:pStyle w:val="Default"/>
        <w:spacing w:after="120"/>
        <w:ind w:left="360" w:hanging="360"/>
        <w:jc w:val="both"/>
        <w:rPr>
          <w:rFonts w:ascii="Times New Roman" w:hAnsi="Times New Roman" w:cs="Times New Roman"/>
          <w:color w:val="auto"/>
        </w:rPr>
      </w:pPr>
      <w:proofErr w:type="gramStart"/>
      <w:r w:rsidRPr="00772DA3">
        <w:rPr>
          <w:rFonts w:ascii="Times New Roman" w:hAnsi="Times New Roman" w:cs="Times New Roman"/>
          <w:color w:val="auto"/>
        </w:rPr>
        <w:t>Pinjari, A.R., and C.R. Bhat (2011).</w:t>
      </w:r>
      <w:proofErr w:type="gramEnd"/>
      <w:r w:rsidRPr="00772DA3">
        <w:rPr>
          <w:rFonts w:ascii="Times New Roman" w:hAnsi="Times New Roman" w:cs="Times New Roman"/>
          <w:color w:val="auto"/>
        </w:rPr>
        <w:t xml:space="preserve"> An efficient forecasting procedure for Kuhn-Tucker consumer demand model systems: application to residential energy consumption analysis. </w:t>
      </w:r>
      <w:proofErr w:type="gramStart"/>
      <w:r w:rsidRPr="00772DA3">
        <w:rPr>
          <w:rFonts w:ascii="Times New Roman" w:hAnsi="Times New Roman" w:cs="Times New Roman"/>
          <w:color w:val="auto"/>
        </w:rPr>
        <w:t>Technical paper, Department of Civil and Environmental Engineering, University of South Florida.</w:t>
      </w:r>
      <w:proofErr w:type="gramEnd"/>
    </w:p>
    <w:p w:rsidR="00CC4AD6" w:rsidRPr="00772DA3" w:rsidRDefault="00CC4AD6" w:rsidP="00772DA3">
      <w:pPr>
        <w:spacing w:after="120"/>
        <w:ind w:left="360" w:hanging="360"/>
        <w:rPr>
          <w:szCs w:val="24"/>
        </w:rPr>
      </w:pPr>
      <w:proofErr w:type="spellStart"/>
      <w:proofErr w:type="gramStart"/>
      <w:r w:rsidRPr="00772DA3">
        <w:rPr>
          <w:szCs w:val="24"/>
        </w:rPr>
        <w:t>Sobhani</w:t>
      </w:r>
      <w:proofErr w:type="spellEnd"/>
      <w:r w:rsidRPr="00772DA3">
        <w:rPr>
          <w:szCs w:val="24"/>
        </w:rPr>
        <w:t>, A., N. Eluru and A. Faghih-Imani (2013).</w:t>
      </w:r>
      <w:proofErr w:type="gramEnd"/>
      <w:r w:rsidRPr="00772DA3">
        <w:rPr>
          <w:szCs w:val="24"/>
        </w:rPr>
        <w:t xml:space="preserve"> </w:t>
      </w:r>
      <w:r w:rsidR="001743EE" w:rsidRPr="00772DA3">
        <w:rPr>
          <w:szCs w:val="24"/>
        </w:rPr>
        <w:t xml:space="preserve">A latent segmentation based multiple discrete continuous extreme value </w:t>
      </w:r>
      <w:proofErr w:type="gramStart"/>
      <w:r w:rsidR="001743EE" w:rsidRPr="00772DA3">
        <w:rPr>
          <w:szCs w:val="24"/>
        </w:rPr>
        <w:t>model</w:t>
      </w:r>
      <w:proofErr w:type="gramEnd"/>
      <w:r w:rsidR="001743EE" w:rsidRPr="00772DA3">
        <w:rPr>
          <w:szCs w:val="24"/>
        </w:rPr>
        <w:t xml:space="preserve">. </w:t>
      </w:r>
      <w:r w:rsidR="001743EE" w:rsidRPr="00772DA3">
        <w:rPr>
          <w:i/>
          <w:szCs w:val="24"/>
        </w:rPr>
        <w:t>Transportation Research Part B</w:t>
      </w:r>
      <w:r w:rsidR="001743EE" w:rsidRPr="00772DA3">
        <w:rPr>
          <w:szCs w:val="24"/>
        </w:rPr>
        <w:t>, 58, 154-169.</w:t>
      </w:r>
    </w:p>
    <w:p w:rsidR="00485B1F" w:rsidRDefault="00485B1F" w:rsidP="00772DA3">
      <w:pPr>
        <w:spacing w:after="120"/>
        <w:ind w:left="360" w:hanging="360"/>
        <w:rPr>
          <w:szCs w:val="24"/>
        </w:rPr>
      </w:pPr>
      <w:proofErr w:type="gramStart"/>
      <w:r w:rsidRPr="00772DA3">
        <w:rPr>
          <w:szCs w:val="24"/>
        </w:rPr>
        <w:t>Statistics New Zealand (20</w:t>
      </w:r>
      <w:r w:rsidR="00A357BD" w:rsidRPr="00772DA3">
        <w:rPr>
          <w:szCs w:val="24"/>
        </w:rPr>
        <w:t>13</w:t>
      </w:r>
      <w:r w:rsidRPr="00772DA3">
        <w:rPr>
          <w:szCs w:val="24"/>
        </w:rPr>
        <w:t>).</w:t>
      </w:r>
      <w:proofErr w:type="gramEnd"/>
      <w:r w:rsidRPr="00772DA3">
        <w:rPr>
          <w:szCs w:val="24"/>
        </w:rPr>
        <w:t xml:space="preserve"> </w:t>
      </w:r>
      <w:proofErr w:type="gramStart"/>
      <w:r w:rsidRPr="00772DA3">
        <w:rPr>
          <w:szCs w:val="24"/>
        </w:rPr>
        <w:t>Tourism Satellite Account.</w:t>
      </w:r>
      <w:proofErr w:type="gramEnd"/>
      <w:r w:rsidRPr="00772DA3">
        <w:rPr>
          <w:szCs w:val="24"/>
        </w:rPr>
        <w:t xml:space="preserve"> </w:t>
      </w:r>
      <w:proofErr w:type="spellStart"/>
      <w:proofErr w:type="gramStart"/>
      <w:r w:rsidRPr="00772DA3">
        <w:rPr>
          <w:szCs w:val="24"/>
        </w:rPr>
        <w:t>Tatauranga</w:t>
      </w:r>
      <w:proofErr w:type="spellEnd"/>
      <w:r w:rsidRPr="00772DA3">
        <w:rPr>
          <w:szCs w:val="24"/>
        </w:rPr>
        <w:t xml:space="preserve"> </w:t>
      </w:r>
      <w:proofErr w:type="spellStart"/>
      <w:r w:rsidRPr="00772DA3">
        <w:rPr>
          <w:szCs w:val="24"/>
        </w:rPr>
        <w:t>Aotearoa</w:t>
      </w:r>
      <w:proofErr w:type="spellEnd"/>
      <w:r w:rsidRPr="00772DA3">
        <w:rPr>
          <w:szCs w:val="24"/>
        </w:rPr>
        <w:t>, Wellington, New Zealand.</w:t>
      </w:r>
      <w:proofErr w:type="gramEnd"/>
    </w:p>
    <w:p w:rsidR="008F1C54" w:rsidRPr="00772DA3" w:rsidRDefault="008F1C54" w:rsidP="008F1C54">
      <w:pPr>
        <w:autoSpaceDE w:val="0"/>
        <w:autoSpaceDN w:val="0"/>
        <w:adjustRightInd w:val="0"/>
        <w:spacing w:after="120"/>
        <w:ind w:left="360" w:hanging="360"/>
        <w:rPr>
          <w:szCs w:val="24"/>
        </w:rPr>
      </w:pPr>
      <w:proofErr w:type="gramStart"/>
      <w:r w:rsidRPr="00772DA3">
        <w:rPr>
          <w:szCs w:val="24"/>
        </w:rPr>
        <w:lastRenderedPageBreak/>
        <w:t xml:space="preserve">Torres, C., N. Hanley and A. </w:t>
      </w:r>
      <w:proofErr w:type="spellStart"/>
      <w:r w:rsidRPr="00772DA3">
        <w:rPr>
          <w:szCs w:val="24"/>
        </w:rPr>
        <w:t>Riera</w:t>
      </w:r>
      <w:proofErr w:type="spellEnd"/>
      <w:r w:rsidRPr="00772DA3">
        <w:rPr>
          <w:szCs w:val="24"/>
        </w:rPr>
        <w:t xml:space="preserve"> (2011).</w:t>
      </w:r>
      <w:proofErr w:type="gramEnd"/>
      <w:r w:rsidRPr="00772DA3">
        <w:rPr>
          <w:szCs w:val="24"/>
        </w:rPr>
        <w:t xml:space="preserve"> How wrong can you be? Implications of incorrect utility </w:t>
      </w:r>
      <w:proofErr w:type="gramStart"/>
      <w:r w:rsidRPr="00772DA3">
        <w:rPr>
          <w:szCs w:val="24"/>
        </w:rPr>
        <w:t>function</w:t>
      </w:r>
      <w:proofErr w:type="gramEnd"/>
      <w:r w:rsidRPr="00772DA3">
        <w:rPr>
          <w:szCs w:val="24"/>
        </w:rPr>
        <w:t xml:space="preserve"> specification for welfare measurement in choice experiments. </w:t>
      </w:r>
      <w:r w:rsidRPr="00772DA3">
        <w:rPr>
          <w:i/>
          <w:szCs w:val="24"/>
        </w:rPr>
        <w:t>Journal of Environmental Economics and Management</w:t>
      </w:r>
      <w:r w:rsidRPr="00772DA3">
        <w:rPr>
          <w:szCs w:val="24"/>
        </w:rPr>
        <w:t>, 62(1), 111-121.</w:t>
      </w:r>
    </w:p>
    <w:p w:rsidR="000D69AF" w:rsidRPr="008F1C54" w:rsidRDefault="000D69AF" w:rsidP="008F1C54">
      <w:pPr>
        <w:spacing w:after="120"/>
        <w:ind w:left="360" w:hanging="360"/>
        <w:jc w:val="left"/>
        <w:rPr>
          <w:szCs w:val="24"/>
        </w:rPr>
      </w:pPr>
      <w:proofErr w:type="gramStart"/>
      <w:r w:rsidRPr="008F1C54">
        <w:rPr>
          <w:szCs w:val="24"/>
        </w:rPr>
        <w:t>Tourism Industry Association (2012).</w:t>
      </w:r>
      <w:proofErr w:type="gramEnd"/>
      <w:r w:rsidRPr="008F1C54">
        <w:rPr>
          <w:szCs w:val="24"/>
        </w:rPr>
        <w:t xml:space="preserve"> </w:t>
      </w:r>
      <w:proofErr w:type="gramStart"/>
      <w:r w:rsidRPr="008F1C54">
        <w:rPr>
          <w:szCs w:val="24"/>
        </w:rPr>
        <w:t>New Zealand Tourism Industry Associati</w:t>
      </w:r>
      <w:r w:rsidR="008F1C54" w:rsidRPr="008F1C54">
        <w:rPr>
          <w:szCs w:val="24"/>
        </w:rPr>
        <w:t>on Annual Report.</w:t>
      </w:r>
      <w:proofErr w:type="gramEnd"/>
      <w:r w:rsidR="008F1C54" w:rsidRPr="008F1C54">
        <w:rPr>
          <w:szCs w:val="24"/>
        </w:rPr>
        <w:t xml:space="preserve"> Available at: </w:t>
      </w:r>
      <w:r w:rsidRPr="008F1C54">
        <w:rPr>
          <w:szCs w:val="24"/>
        </w:rPr>
        <w:t>https://www.tianz.org.nz/content/library/TIA_Annual_Report_1112v11_ONLINE.pdf</w:t>
      </w:r>
    </w:p>
    <w:p w:rsidR="00777DE9" w:rsidRPr="00772DA3" w:rsidRDefault="00777DE9" w:rsidP="00772DA3">
      <w:pPr>
        <w:autoSpaceDE w:val="0"/>
        <w:autoSpaceDN w:val="0"/>
        <w:adjustRightInd w:val="0"/>
        <w:spacing w:after="120"/>
        <w:ind w:left="360" w:hanging="360"/>
        <w:rPr>
          <w:szCs w:val="24"/>
        </w:rPr>
      </w:pPr>
      <w:proofErr w:type="gramStart"/>
      <w:r w:rsidRPr="00772DA3">
        <w:rPr>
          <w:szCs w:val="24"/>
        </w:rPr>
        <w:t>Train, K.E. (1998).</w:t>
      </w:r>
      <w:proofErr w:type="gramEnd"/>
      <w:r w:rsidRPr="00772DA3">
        <w:rPr>
          <w:szCs w:val="24"/>
        </w:rPr>
        <w:t xml:space="preserve"> Recreation demand models with taste variation. </w:t>
      </w:r>
      <w:r w:rsidRPr="00772DA3">
        <w:rPr>
          <w:i/>
          <w:szCs w:val="24"/>
        </w:rPr>
        <w:t>Land Economics</w:t>
      </w:r>
      <w:r w:rsidRPr="00772DA3">
        <w:rPr>
          <w:szCs w:val="24"/>
        </w:rPr>
        <w:t xml:space="preserve">, 74, 230-239. </w:t>
      </w:r>
    </w:p>
    <w:p w:rsidR="00A52D49" w:rsidRPr="00772DA3" w:rsidRDefault="00BD713C" w:rsidP="00772DA3">
      <w:pPr>
        <w:autoSpaceDE w:val="0"/>
        <w:autoSpaceDN w:val="0"/>
        <w:adjustRightInd w:val="0"/>
        <w:spacing w:after="120"/>
        <w:ind w:left="360" w:hanging="360"/>
        <w:rPr>
          <w:szCs w:val="24"/>
        </w:rPr>
      </w:pPr>
      <w:proofErr w:type="gramStart"/>
      <w:r w:rsidRPr="00772DA3">
        <w:rPr>
          <w:szCs w:val="24"/>
        </w:rPr>
        <w:t>Train, K.E. (2008).</w:t>
      </w:r>
      <w:proofErr w:type="gramEnd"/>
      <w:r w:rsidRPr="00772DA3">
        <w:rPr>
          <w:szCs w:val="24"/>
        </w:rPr>
        <w:t xml:space="preserve"> </w:t>
      </w:r>
      <w:proofErr w:type="gramStart"/>
      <w:r w:rsidRPr="00772DA3">
        <w:rPr>
          <w:szCs w:val="24"/>
        </w:rPr>
        <w:t>EM algorithms for nonparametric estimation of mixing distributions.</w:t>
      </w:r>
      <w:proofErr w:type="gramEnd"/>
      <w:r w:rsidRPr="00772DA3">
        <w:rPr>
          <w:szCs w:val="24"/>
        </w:rPr>
        <w:t xml:space="preserve"> </w:t>
      </w:r>
      <w:r w:rsidRPr="00772DA3">
        <w:rPr>
          <w:i/>
          <w:szCs w:val="24"/>
        </w:rPr>
        <w:t>Journal of Choice Modelling</w:t>
      </w:r>
      <w:r w:rsidRPr="00772DA3">
        <w:rPr>
          <w:szCs w:val="24"/>
        </w:rPr>
        <w:t>, 1(1), 40-69</w:t>
      </w:r>
      <w:r w:rsidR="00371DB8" w:rsidRPr="00772DA3">
        <w:rPr>
          <w:szCs w:val="24"/>
        </w:rPr>
        <w:t xml:space="preserve">. </w:t>
      </w:r>
    </w:p>
    <w:p w:rsidR="002411B1" w:rsidRPr="00772DA3" w:rsidRDefault="00CC4583" w:rsidP="00772DA3">
      <w:pPr>
        <w:keepLines/>
        <w:autoSpaceDE w:val="0"/>
        <w:autoSpaceDN w:val="0"/>
        <w:adjustRightInd w:val="0"/>
        <w:spacing w:after="120"/>
        <w:ind w:left="360" w:hanging="360"/>
        <w:rPr>
          <w:szCs w:val="24"/>
        </w:rPr>
      </w:pPr>
      <w:proofErr w:type="gramStart"/>
      <w:r w:rsidRPr="00772DA3">
        <w:rPr>
          <w:szCs w:val="24"/>
        </w:rPr>
        <w:t>Train, K.</w:t>
      </w:r>
      <w:r w:rsidR="002411B1" w:rsidRPr="00772DA3">
        <w:rPr>
          <w:szCs w:val="24"/>
        </w:rPr>
        <w:t xml:space="preserve">E. and G. </w:t>
      </w:r>
      <w:proofErr w:type="spellStart"/>
      <w:r w:rsidR="002411B1" w:rsidRPr="00772DA3">
        <w:rPr>
          <w:szCs w:val="24"/>
        </w:rPr>
        <w:t>Sonnier</w:t>
      </w:r>
      <w:proofErr w:type="spellEnd"/>
      <w:r w:rsidR="002411B1" w:rsidRPr="00772DA3">
        <w:rPr>
          <w:szCs w:val="24"/>
        </w:rPr>
        <w:t xml:space="preserve"> (2005).</w:t>
      </w:r>
      <w:proofErr w:type="gramEnd"/>
      <w:r w:rsidR="002411B1" w:rsidRPr="00772DA3">
        <w:rPr>
          <w:szCs w:val="24"/>
        </w:rPr>
        <w:t xml:space="preserve"> </w:t>
      </w:r>
      <w:proofErr w:type="gramStart"/>
      <w:r w:rsidR="002411B1" w:rsidRPr="00772DA3">
        <w:rPr>
          <w:szCs w:val="24"/>
        </w:rPr>
        <w:t xml:space="preserve">Mixed logit with bounded distributions of correlated </w:t>
      </w:r>
      <w:proofErr w:type="spellStart"/>
      <w:r w:rsidR="002411B1" w:rsidRPr="00772DA3">
        <w:rPr>
          <w:szCs w:val="24"/>
        </w:rPr>
        <w:t>partworths</w:t>
      </w:r>
      <w:proofErr w:type="spellEnd"/>
      <w:r w:rsidR="002411B1" w:rsidRPr="00772DA3">
        <w:rPr>
          <w:szCs w:val="24"/>
        </w:rPr>
        <w:t>.</w:t>
      </w:r>
      <w:proofErr w:type="gramEnd"/>
      <w:r w:rsidR="002411B1" w:rsidRPr="00772DA3">
        <w:rPr>
          <w:szCs w:val="24"/>
        </w:rPr>
        <w:t xml:space="preserve"> In </w:t>
      </w:r>
      <w:r w:rsidR="002411B1" w:rsidRPr="00772DA3">
        <w:rPr>
          <w:i/>
          <w:szCs w:val="24"/>
        </w:rPr>
        <w:t>Applications of Simulation Methods in Environmental and Resource Economics</w:t>
      </w:r>
      <w:r w:rsidR="002411B1" w:rsidRPr="00772DA3">
        <w:rPr>
          <w:szCs w:val="24"/>
        </w:rPr>
        <w:t xml:space="preserve">, </w:t>
      </w:r>
      <w:proofErr w:type="spellStart"/>
      <w:r w:rsidR="002411B1" w:rsidRPr="00772DA3">
        <w:rPr>
          <w:szCs w:val="24"/>
        </w:rPr>
        <w:t>Scarpa</w:t>
      </w:r>
      <w:proofErr w:type="spellEnd"/>
      <w:r w:rsidR="002411B1" w:rsidRPr="00772DA3">
        <w:rPr>
          <w:szCs w:val="24"/>
        </w:rPr>
        <w:t xml:space="preserve">, R., </w:t>
      </w:r>
      <w:proofErr w:type="spellStart"/>
      <w:r w:rsidR="002411B1" w:rsidRPr="00772DA3">
        <w:rPr>
          <w:szCs w:val="24"/>
        </w:rPr>
        <w:t>Alberini</w:t>
      </w:r>
      <w:proofErr w:type="spellEnd"/>
      <w:r w:rsidR="002411B1" w:rsidRPr="00772DA3">
        <w:rPr>
          <w:szCs w:val="24"/>
        </w:rPr>
        <w:t xml:space="preserve">, A., (eds.), Ch. 7, pp. 117-134, Springer, Dordrecht, </w:t>
      </w:r>
      <w:proofErr w:type="gramStart"/>
      <w:r w:rsidR="002411B1" w:rsidRPr="00772DA3">
        <w:rPr>
          <w:szCs w:val="24"/>
        </w:rPr>
        <w:t>The</w:t>
      </w:r>
      <w:proofErr w:type="gramEnd"/>
      <w:r w:rsidR="002411B1" w:rsidRPr="00772DA3">
        <w:rPr>
          <w:szCs w:val="24"/>
        </w:rPr>
        <w:t xml:space="preserve"> Netherlands.</w:t>
      </w:r>
    </w:p>
    <w:p w:rsidR="00BF3C9B" w:rsidRPr="00772DA3" w:rsidRDefault="00BF3C9B" w:rsidP="00772DA3">
      <w:pPr>
        <w:keepLines/>
        <w:autoSpaceDE w:val="0"/>
        <w:autoSpaceDN w:val="0"/>
        <w:adjustRightInd w:val="0"/>
        <w:spacing w:after="120"/>
        <w:ind w:left="360" w:hanging="360"/>
        <w:rPr>
          <w:szCs w:val="24"/>
        </w:rPr>
      </w:pPr>
      <w:proofErr w:type="gramStart"/>
      <w:r w:rsidRPr="00772DA3">
        <w:rPr>
          <w:szCs w:val="24"/>
        </w:rPr>
        <w:t xml:space="preserve">Van </w:t>
      </w:r>
      <w:proofErr w:type="spellStart"/>
      <w:r w:rsidRPr="00772DA3">
        <w:rPr>
          <w:szCs w:val="24"/>
        </w:rPr>
        <w:t>Nostrand</w:t>
      </w:r>
      <w:proofErr w:type="spellEnd"/>
      <w:r w:rsidRPr="00772DA3">
        <w:rPr>
          <w:szCs w:val="24"/>
        </w:rPr>
        <w:t xml:space="preserve">, C., </w:t>
      </w:r>
      <w:r w:rsidR="00CC4583" w:rsidRPr="00772DA3">
        <w:rPr>
          <w:szCs w:val="24"/>
        </w:rPr>
        <w:t xml:space="preserve">V. </w:t>
      </w:r>
      <w:proofErr w:type="spellStart"/>
      <w:r w:rsidRPr="00772DA3">
        <w:rPr>
          <w:szCs w:val="24"/>
        </w:rPr>
        <w:t>Sivaraman</w:t>
      </w:r>
      <w:proofErr w:type="spellEnd"/>
      <w:r w:rsidRPr="00772DA3">
        <w:rPr>
          <w:szCs w:val="24"/>
        </w:rPr>
        <w:t xml:space="preserve">, </w:t>
      </w:r>
      <w:r w:rsidR="00CC4583" w:rsidRPr="00772DA3">
        <w:rPr>
          <w:szCs w:val="24"/>
        </w:rPr>
        <w:t>and A. R. P</w:t>
      </w:r>
      <w:r w:rsidRPr="00772DA3">
        <w:rPr>
          <w:szCs w:val="24"/>
        </w:rPr>
        <w:t>injari (2013).</w:t>
      </w:r>
      <w:proofErr w:type="gramEnd"/>
      <w:r w:rsidRPr="00772DA3">
        <w:rPr>
          <w:szCs w:val="24"/>
        </w:rPr>
        <w:t xml:space="preserve"> Analysis of long-distance vacation travel demand in the United States: a multiple discrete-continuous choice framework. </w:t>
      </w:r>
      <w:r w:rsidRPr="00772DA3">
        <w:rPr>
          <w:i/>
          <w:szCs w:val="24"/>
        </w:rPr>
        <w:t>Transportation</w:t>
      </w:r>
      <w:r w:rsidRPr="00772DA3">
        <w:rPr>
          <w:szCs w:val="24"/>
        </w:rPr>
        <w:t xml:space="preserve">, 40(1), 151-171. </w:t>
      </w:r>
    </w:p>
    <w:p w:rsidR="008F1C54" w:rsidRPr="00772DA3" w:rsidRDefault="008F1C54" w:rsidP="008F1C54">
      <w:pPr>
        <w:keepLines/>
        <w:autoSpaceDE w:val="0"/>
        <w:autoSpaceDN w:val="0"/>
        <w:adjustRightInd w:val="0"/>
        <w:spacing w:after="120"/>
        <w:ind w:left="360" w:hanging="360"/>
        <w:rPr>
          <w:szCs w:val="24"/>
        </w:rPr>
      </w:pPr>
      <w:proofErr w:type="gramStart"/>
      <w:r w:rsidRPr="00772DA3">
        <w:rPr>
          <w:szCs w:val="24"/>
        </w:rPr>
        <w:t>von</w:t>
      </w:r>
      <w:proofErr w:type="gramEnd"/>
      <w:r w:rsidRPr="00772DA3">
        <w:rPr>
          <w:szCs w:val="24"/>
        </w:rPr>
        <w:t xml:space="preserve"> </w:t>
      </w:r>
      <w:proofErr w:type="spellStart"/>
      <w:r w:rsidRPr="00772DA3">
        <w:rPr>
          <w:szCs w:val="24"/>
        </w:rPr>
        <w:t>Haefen</w:t>
      </w:r>
      <w:proofErr w:type="spellEnd"/>
      <w:r w:rsidRPr="00772DA3">
        <w:rPr>
          <w:szCs w:val="24"/>
        </w:rPr>
        <w:t xml:space="preserve">, R.H. (2007). Empirical strategies for incorporating weak complementarity into consumer demand models. </w:t>
      </w:r>
      <w:r w:rsidRPr="00772DA3">
        <w:rPr>
          <w:i/>
          <w:szCs w:val="24"/>
        </w:rPr>
        <w:t>Journal of Environmental Economics and Management</w:t>
      </w:r>
      <w:r w:rsidRPr="00772DA3">
        <w:rPr>
          <w:szCs w:val="24"/>
        </w:rPr>
        <w:t>, 54(1), 15-31.</w:t>
      </w:r>
    </w:p>
    <w:p w:rsidR="00C064F0" w:rsidRPr="00772DA3" w:rsidRDefault="00C064F0" w:rsidP="00772DA3">
      <w:pPr>
        <w:tabs>
          <w:tab w:val="left" w:pos="1758"/>
        </w:tabs>
        <w:spacing w:after="120"/>
        <w:ind w:left="360" w:hanging="360"/>
        <w:rPr>
          <w:szCs w:val="24"/>
        </w:rPr>
      </w:pPr>
      <w:proofErr w:type="gramStart"/>
      <w:r w:rsidRPr="00772DA3">
        <w:rPr>
          <w:szCs w:val="24"/>
        </w:rPr>
        <w:t>von</w:t>
      </w:r>
      <w:proofErr w:type="gramEnd"/>
      <w:r w:rsidRPr="00772DA3">
        <w:rPr>
          <w:szCs w:val="24"/>
        </w:rPr>
        <w:t xml:space="preserve"> </w:t>
      </w:r>
      <w:proofErr w:type="spellStart"/>
      <w:r w:rsidRPr="00772DA3">
        <w:rPr>
          <w:szCs w:val="24"/>
        </w:rPr>
        <w:t>Haefen</w:t>
      </w:r>
      <w:proofErr w:type="spellEnd"/>
      <w:r w:rsidRPr="00772DA3">
        <w:rPr>
          <w:szCs w:val="24"/>
        </w:rPr>
        <w:t xml:space="preserve">, R.H., </w:t>
      </w:r>
      <w:r w:rsidR="00CC4583" w:rsidRPr="00772DA3">
        <w:rPr>
          <w:szCs w:val="24"/>
        </w:rPr>
        <w:t xml:space="preserve">and D.J. Phaneuf </w:t>
      </w:r>
      <w:r w:rsidRPr="00772DA3">
        <w:rPr>
          <w:szCs w:val="24"/>
        </w:rPr>
        <w:t>(2003). Estimating preferences for outdoor recreation: a comparison of continuous and coun</w:t>
      </w:r>
      <w:r w:rsidR="00CC4583" w:rsidRPr="00772DA3">
        <w:rPr>
          <w:szCs w:val="24"/>
        </w:rPr>
        <w:t>t data demand system frameworks.</w:t>
      </w:r>
      <w:r w:rsidRPr="00772DA3">
        <w:rPr>
          <w:szCs w:val="24"/>
        </w:rPr>
        <w:t xml:space="preserve"> </w:t>
      </w:r>
      <w:r w:rsidRPr="00772DA3">
        <w:rPr>
          <w:i/>
          <w:szCs w:val="24"/>
        </w:rPr>
        <w:t>Journal of Environmental Economics and Management</w:t>
      </w:r>
      <w:r w:rsidRPr="00772DA3">
        <w:rPr>
          <w:szCs w:val="24"/>
        </w:rPr>
        <w:t>, 45, 612-</w:t>
      </w:r>
      <w:r w:rsidR="00DD258D" w:rsidRPr="00772DA3">
        <w:rPr>
          <w:szCs w:val="24"/>
        </w:rPr>
        <w:t>630.</w:t>
      </w:r>
    </w:p>
    <w:p w:rsidR="00CC4583" w:rsidRPr="00772DA3" w:rsidRDefault="006F134C" w:rsidP="00772DA3">
      <w:pPr>
        <w:keepLines/>
        <w:autoSpaceDE w:val="0"/>
        <w:autoSpaceDN w:val="0"/>
        <w:adjustRightInd w:val="0"/>
        <w:spacing w:after="120"/>
        <w:ind w:left="360" w:hanging="360"/>
        <w:rPr>
          <w:rFonts w:eastAsia="Times New Roman"/>
          <w:szCs w:val="24"/>
        </w:rPr>
      </w:pPr>
      <w:proofErr w:type="gramStart"/>
      <w:r w:rsidRPr="00772DA3">
        <w:rPr>
          <w:szCs w:val="24"/>
        </w:rPr>
        <w:t>Wafa, Z., C.R. Bhat, R.M. Pendyala, and V.M. Garikapati (201</w:t>
      </w:r>
      <w:r w:rsidR="00160142">
        <w:rPr>
          <w:szCs w:val="24"/>
        </w:rPr>
        <w:t>5</w:t>
      </w:r>
      <w:r w:rsidRPr="00772DA3">
        <w:rPr>
          <w:szCs w:val="24"/>
        </w:rPr>
        <w:t>).</w:t>
      </w:r>
      <w:proofErr w:type="gramEnd"/>
      <w:r w:rsidRPr="00772DA3">
        <w:rPr>
          <w:szCs w:val="24"/>
        </w:rPr>
        <w:t xml:space="preserve"> </w:t>
      </w:r>
      <w:proofErr w:type="gramStart"/>
      <w:r w:rsidR="00160142">
        <w:rPr>
          <w:szCs w:val="24"/>
        </w:rPr>
        <w:t>Latent-segmentation-</w:t>
      </w:r>
      <w:r w:rsidRPr="00772DA3">
        <w:rPr>
          <w:szCs w:val="24"/>
        </w:rPr>
        <w:t>based approach to investigating spatial transferability of activity-travel models.</w:t>
      </w:r>
      <w:proofErr w:type="gramEnd"/>
      <w:r w:rsidRPr="00772DA3">
        <w:rPr>
          <w:szCs w:val="24"/>
        </w:rPr>
        <w:t xml:space="preserve"> </w:t>
      </w:r>
      <w:r w:rsidR="00CC4583" w:rsidRPr="00772DA3">
        <w:rPr>
          <w:i/>
          <w:iCs/>
          <w:szCs w:val="24"/>
        </w:rPr>
        <w:t>Transportation Research Record</w:t>
      </w:r>
      <w:r w:rsidR="00CC4583" w:rsidRPr="00772DA3">
        <w:rPr>
          <w:rFonts w:eastAsia="Times New Roman"/>
          <w:szCs w:val="24"/>
        </w:rPr>
        <w:t xml:space="preserve">, </w:t>
      </w:r>
      <w:r w:rsidR="00160142">
        <w:rPr>
          <w:szCs w:val="24"/>
        </w:rPr>
        <w:t>2493, 136-144</w:t>
      </w:r>
      <w:r w:rsidR="00CC4583" w:rsidRPr="00772DA3">
        <w:rPr>
          <w:szCs w:val="24"/>
        </w:rPr>
        <w:t>. </w:t>
      </w:r>
    </w:p>
    <w:p w:rsidR="003D2316" w:rsidRPr="00772DA3" w:rsidRDefault="00C2196B" w:rsidP="00772DA3">
      <w:pPr>
        <w:spacing w:after="120"/>
        <w:ind w:left="360" w:hanging="360"/>
        <w:rPr>
          <w:szCs w:val="24"/>
        </w:rPr>
      </w:pPr>
      <w:r w:rsidRPr="00772DA3">
        <w:rPr>
          <w:rFonts w:eastAsia="Times New Roman"/>
          <w:szCs w:val="24"/>
        </w:rPr>
        <w:t>White, R. (</w:t>
      </w:r>
      <w:r w:rsidR="003D2316" w:rsidRPr="00772DA3">
        <w:rPr>
          <w:rFonts w:eastAsia="Times New Roman"/>
          <w:szCs w:val="24"/>
        </w:rPr>
        <w:t>2011</w:t>
      </w:r>
      <w:r w:rsidRPr="00772DA3">
        <w:rPr>
          <w:rFonts w:eastAsia="Times New Roman"/>
          <w:szCs w:val="24"/>
        </w:rPr>
        <w:t>)</w:t>
      </w:r>
      <w:r w:rsidR="003D2316" w:rsidRPr="00772DA3">
        <w:rPr>
          <w:rFonts w:eastAsia="Times New Roman"/>
          <w:szCs w:val="24"/>
        </w:rPr>
        <w:t>. Is the staycation trend a real phenomenon? White paper, White Hutchinson Leisure &amp; Learning Group,</w:t>
      </w:r>
      <w:r w:rsidR="003D2316" w:rsidRPr="00772DA3">
        <w:rPr>
          <w:szCs w:val="24"/>
          <w:lang w:val="en"/>
        </w:rPr>
        <w:t xml:space="preserve"> Kansas City, MO,</w:t>
      </w:r>
      <w:r w:rsidR="003D2316" w:rsidRPr="00772DA3">
        <w:rPr>
          <w:rFonts w:eastAsia="Times New Roman"/>
          <w:szCs w:val="24"/>
        </w:rPr>
        <w:t xml:space="preserve"> January. </w:t>
      </w:r>
      <w:r w:rsidR="003D2316" w:rsidRPr="00772DA3">
        <w:rPr>
          <w:szCs w:val="24"/>
        </w:rPr>
        <w:t xml:space="preserve">Available at: </w:t>
      </w:r>
      <w:r w:rsidR="003D2316" w:rsidRPr="008F1C54">
        <w:rPr>
          <w:szCs w:val="24"/>
        </w:rPr>
        <w:t>http://www.whitehutchinson.com/leisure/articles/Staycation.shtml</w:t>
      </w:r>
      <w:r w:rsidR="003D2316" w:rsidRPr="00772DA3">
        <w:rPr>
          <w:szCs w:val="24"/>
        </w:rPr>
        <w:t>.</w:t>
      </w:r>
    </w:p>
    <w:p w:rsidR="00BF3C9B" w:rsidRPr="00772DA3" w:rsidRDefault="006E416B" w:rsidP="00772DA3">
      <w:pPr>
        <w:spacing w:after="120"/>
        <w:ind w:left="360" w:hanging="360"/>
        <w:rPr>
          <w:szCs w:val="24"/>
        </w:rPr>
      </w:pPr>
      <w:hyperlink r:id="rId768" w:tooltip="View content where Author is John C. Whitehead" w:history="1">
        <w:r w:rsidR="00BF3C9B" w:rsidRPr="00772DA3">
          <w:rPr>
            <w:rStyle w:val="Hyperlink"/>
            <w:color w:val="auto"/>
            <w:szCs w:val="24"/>
            <w:u w:val="none"/>
          </w:rPr>
          <w:t>Whitehead</w:t>
        </w:r>
      </w:hyperlink>
      <w:r w:rsidR="00BF3C9B" w:rsidRPr="00772DA3">
        <w:rPr>
          <w:szCs w:val="24"/>
        </w:rPr>
        <w:t xml:space="preserve">, J.C., </w:t>
      </w:r>
      <w:r w:rsidR="00CC4583" w:rsidRPr="00772DA3">
        <w:rPr>
          <w:szCs w:val="24"/>
        </w:rPr>
        <w:t xml:space="preserve">D.J. </w:t>
      </w:r>
      <w:hyperlink r:id="rId769" w:tooltip="View content where Author is Daniel J. Phaneuf" w:history="1">
        <w:r w:rsidR="00BF3C9B" w:rsidRPr="00772DA3">
          <w:rPr>
            <w:rStyle w:val="Hyperlink"/>
            <w:color w:val="auto"/>
            <w:szCs w:val="24"/>
            <w:u w:val="none"/>
          </w:rPr>
          <w:t>Phaneuf</w:t>
        </w:r>
      </w:hyperlink>
      <w:r w:rsidR="00BF3C9B" w:rsidRPr="00772DA3">
        <w:rPr>
          <w:szCs w:val="24"/>
        </w:rPr>
        <w:t xml:space="preserve">, </w:t>
      </w:r>
      <w:r w:rsidR="00CC4583" w:rsidRPr="00772DA3">
        <w:rPr>
          <w:szCs w:val="24"/>
        </w:rPr>
        <w:t xml:space="preserve">C.F. </w:t>
      </w:r>
      <w:hyperlink r:id="rId770" w:tooltip="View content where Author is Christopher F. Dumas" w:history="1">
        <w:r w:rsidR="00BF3C9B" w:rsidRPr="00772DA3">
          <w:rPr>
            <w:rStyle w:val="Hyperlink"/>
            <w:color w:val="auto"/>
            <w:szCs w:val="24"/>
            <w:u w:val="none"/>
          </w:rPr>
          <w:t>Dumas</w:t>
        </w:r>
      </w:hyperlink>
      <w:r w:rsidR="00BF3C9B" w:rsidRPr="00772DA3">
        <w:rPr>
          <w:szCs w:val="24"/>
        </w:rPr>
        <w:t xml:space="preserve">, </w:t>
      </w:r>
      <w:r w:rsidR="00CC4583" w:rsidRPr="00772DA3">
        <w:rPr>
          <w:szCs w:val="24"/>
        </w:rPr>
        <w:t>J.</w:t>
      </w:r>
      <w:r w:rsidR="00BF3C9B" w:rsidRPr="00772DA3">
        <w:rPr>
          <w:szCs w:val="24"/>
        </w:rPr>
        <w:t xml:space="preserve"> </w:t>
      </w:r>
      <w:hyperlink r:id="rId771" w:tooltip="View content where Author is Jim Herstine" w:history="1">
        <w:proofErr w:type="spellStart"/>
        <w:r w:rsidR="00BF3C9B" w:rsidRPr="00772DA3">
          <w:rPr>
            <w:rStyle w:val="Hyperlink"/>
            <w:color w:val="auto"/>
            <w:szCs w:val="24"/>
            <w:u w:val="none"/>
          </w:rPr>
          <w:t>Herstine</w:t>
        </w:r>
        <w:proofErr w:type="spellEnd"/>
      </w:hyperlink>
      <w:r w:rsidR="00BF3C9B" w:rsidRPr="00772DA3">
        <w:rPr>
          <w:szCs w:val="24"/>
        </w:rPr>
        <w:t xml:space="preserve">, </w:t>
      </w:r>
      <w:r w:rsidR="00CC4583" w:rsidRPr="00772DA3">
        <w:rPr>
          <w:szCs w:val="24"/>
        </w:rPr>
        <w:t>J.</w:t>
      </w:r>
      <w:r w:rsidR="00BF3C9B" w:rsidRPr="00772DA3">
        <w:rPr>
          <w:szCs w:val="24"/>
        </w:rPr>
        <w:t xml:space="preserve"> </w:t>
      </w:r>
      <w:hyperlink r:id="rId772" w:tooltip="View content where Author is Jeffery Hill" w:history="1">
        <w:r w:rsidR="00BF3C9B" w:rsidRPr="00772DA3">
          <w:rPr>
            <w:rStyle w:val="Hyperlink"/>
            <w:color w:val="auto"/>
            <w:szCs w:val="24"/>
            <w:u w:val="none"/>
          </w:rPr>
          <w:t>Hill</w:t>
        </w:r>
      </w:hyperlink>
      <w:r w:rsidR="00BF3C9B" w:rsidRPr="00772DA3">
        <w:rPr>
          <w:szCs w:val="24"/>
        </w:rPr>
        <w:t xml:space="preserve">, and </w:t>
      </w:r>
      <w:r w:rsidR="00CC4583" w:rsidRPr="00772DA3">
        <w:rPr>
          <w:szCs w:val="24"/>
        </w:rPr>
        <w:t xml:space="preserve">B. </w:t>
      </w:r>
      <w:hyperlink r:id="rId773" w:tooltip="View content where Author is Bob Buerger" w:history="1">
        <w:proofErr w:type="spellStart"/>
        <w:r w:rsidR="00BF3C9B" w:rsidRPr="00772DA3">
          <w:rPr>
            <w:rStyle w:val="Hyperlink"/>
            <w:color w:val="auto"/>
            <w:szCs w:val="24"/>
            <w:u w:val="none"/>
          </w:rPr>
          <w:t>Buerger</w:t>
        </w:r>
        <w:proofErr w:type="spellEnd"/>
      </w:hyperlink>
      <w:r w:rsidR="00CC4583" w:rsidRPr="00772DA3">
        <w:rPr>
          <w:szCs w:val="24"/>
        </w:rPr>
        <w:t xml:space="preserve"> </w:t>
      </w:r>
      <w:r w:rsidR="00BF3C9B" w:rsidRPr="00772DA3">
        <w:rPr>
          <w:szCs w:val="24"/>
        </w:rPr>
        <w:t xml:space="preserve">(2010). Convergent validity of revealed and stated recreation behavior with quality change: a comparison of multiple and single site demands. </w:t>
      </w:r>
      <w:hyperlink r:id="rId774" w:tooltip="Link to the Journal of this Article" w:history="1">
        <w:r w:rsidR="00BF3C9B" w:rsidRPr="00772DA3">
          <w:rPr>
            <w:rFonts w:eastAsia="Times New Roman"/>
            <w:i/>
            <w:szCs w:val="24"/>
            <w:lang w:val="en"/>
          </w:rPr>
          <w:t>Environmental and Resource Economics</w:t>
        </w:r>
      </w:hyperlink>
      <w:r w:rsidR="00BF3C9B" w:rsidRPr="00772DA3">
        <w:rPr>
          <w:szCs w:val="24"/>
        </w:rPr>
        <w:t>,</w:t>
      </w:r>
      <w:hyperlink r:id="rId775" w:tooltip="Link to the Issue of this Article" w:history="1">
        <w:r w:rsidR="00BF3C9B" w:rsidRPr="00772DA3">
          <w:rPr>
            <w:rFonts w:eastAsia="Times New Roman"/>
            <w:szCs w:val="24"/>
            <w:lang w:val="en"/>
          </w:rPr>
          <w:t xml:space="preserve"> 45(1</w:t>
        </w:r>
      </w:hyperlink>
      <w:r w:rsidR="00BF3C9B" w:rsidRPr="00772DA3">
        <w:rPr>
          <w:rFonts w:eastAsia="Times New Roman"/>
          <w:szCs w:val="24"/>
        </w:rPr>
        <w:t>), 91-112.</w:t>
      </w:r>
    </w:p>
    <w:p w:rsidR="00014C27" w:rsidRPr="004B4B0A" w:rsidRDefault="00CC4583" w:rsidP="00772DA3">
      <w:pPr>
        <w:widowControl w:val="0"/>
        <w:autoSpaceDE w:val="0"/>
        <w:autoSpaceDN w:val="0"/>
        <w:adjustRightInd w:val="0"/>
        <w:spacing w:after="120"/>
        <w:ind w:left="360" w:hanging="360"/>
        <w:rPr>
          <w:i/>
          <w:iCs/>
          <w:szCs w:val="24"/>
          <w:shd w:val="clear" w:color="auto" w:fill="FFFFFF"/>
        </w:rPr>
      </w:pPr>
      <w:proofErr w:type="gramStart"/>
      <w:r w:rsidRPr="00772DA3">
        <w:rPr>
          <w:szCs w:val="24"/>
          <w:shd w:val="clear" w:color="auto" w:fill="FFFFFF"/>
        </w:rPr>
        <w:t>Xiong, Y. and F.</w:t>
      </w:r>
      <w:r w:rsidR="00014C27" w:rsidRPr="00772DA3">
        <w:rPr>
          <w:szCs w:val="24"/>
          <w:shd w:val="clear" w:color="auto" w:fill="FFFFFF"/>
        </w:rPr>
        <w:t>L. Mannering (2013).</w:t>
      </w:r>
      <w:proofErr w:type="gramEnd"/>
      <w:r w:rsidR="00014C27" w:rsidRPr="00772DA3">
        <w:rPr>
          <w:szCs w:val="24"/>
          <w:shd w:val="clear" w:color="auto" w:fill="FFFFFF"/>
        </w:rPr>
        <w:t xml:space="preserve"> The heterogeneous effects of guardian supervision on adolescent driver-injury severities: A finite-mixture random-parameters approach.</w:t>
      </w:r>
      <w:r w:rsidR="00014C27" w:rsidRPr="00772DA3">
        <w:rPr>
          <w:rStyle w:val="apple-converted-space"/>
          <w:szCs w:val="24"/>
          <w:shd w:val="clear" w:color="auto" w:fill="FFFFFF"/>
        </w:rPr>
        <w:t> </w:t>
      </w:r>
      <w:r w:rsidR="00014C27" w:rsidRPr="00772DA3">
        <w:rPr>
          <w:i/>
          <w:iCs/>
          <w:szCs w:val="24"/>
          <w:shd w:val="clear" w:color="auto" w:fill="FFFFFF"/>
        </w:rPr>
        <w:t>Transportation Research Part B</w:t>
      </w:r>
      <w:r w:rsidR="00014C27" w:rsidRPr="00772DA3">
        <w:rPr>
          <w:szCs w:val="24"/>
          <w:shd w:val="clear" w:color="auto" w:fill="FFFFFF"/>
        </w:rPr>
        <w:t>,</w:t>
      </w:r>
      <w:r w:rsidR="00014C27" w:rsidRPr="00772DA3">
        <w:rPr>
          <w:rStyle w:val="apple-converted-space"/>
          <w:szCs w:val="24"/>
          <w:shd w:val="clear" w:color="auto" w:fill="FFFFFF"/>
        </w:rPr>
        <w:t> </w:t>
      </w:r>
      <w:r w:rsidR="00014C27" w:rsidRPr="00772DA3">
        <w:rPr>
          <w:iCs/>
          <w:szCs w:val="24"/>
          <w:shd w:val="clear" w:color="auto" w:fill="FFFFFF"/>
        </w:rPr>
        <w:t>49</w:t>
      </w:r>
      <w:r w:rsidR="00014C27" w:rsidRPr="00772DA3">
        <w:rPr>
          <w:szCs w:val="24"/>
          <w:shd w:val="clear" w:color="auto" w:fill="FFFFFF"/>
        </w:rPr>
        <w:t>, 39-54.</w:t>
      </w:r>
    </w:p>
    <w:p w:rsidR="003A77E2" w:rsidRDefault="003A77E2" w:rsidP="00371DB8">
      <w:pPr>
        <w:autoSpaceDE w:val="0"/>
        <w:autoSpaceDN w:val="0"/>
        <w:adjustRightInd w:val="0"/>
        <w:spacing w:after="120"/>
        <w:rPr>
          <w:szCs w:val="24"/>
        </w:rPr>
      </w:pPr>
    </w:p>
    <w:p w:rsidR="0063552A" w:rsidRDefault="0063552A">
      <w:pPr>
        <w:jc w:val="left"/>
        <w:rPr>
          <w:szCs w:val="24"/>
        </w:rPr>
      </w:pPr>
      <w:r>
        <w:rPr>
          <w:szCs w:val="24"/>
        </w:rPr>
        <w:br w:type="page"/>
      </w:r>
    </w:p>
    <w:p w:rsidR="006810BC" w:rsidRDefault="006810BC">
      <w:pPr>
        <w:jc w:val="left"/>
        <w:rPr>
          <w:b/>
        </w:rPr>
      </w:pPr>
    </w:p>
    <w:p w:rsidR="006810BC" w:rsidRDefault="009370C2" w:rsidP="006810BC">
      <w:pPr>
        <w:jc w:val="center"/>
        <w:rPr>
          <w:b/>
        </w:rPr>
      </w:pPr>
      <w:r w:rsidRPr="009D761F">
        <w:rPr>
          <w:b/>
          <w:noProof/>
        </w:rPr>
        <mc:AlternateContent>
          <mc:Choice Requires="wps">
            <w:drawing>
              <wp:anchor distT="0" distB="0" distL="114300" distR="114300" simplePos="0" relativeHeight="251660288" behindDoc="0" locked="0" layoutInCell="1" allowOverlap="1" wp14:anchorId="5893AEE7" wp14:editId="34A9B39A">
                <wp:simplePos x="0" y="0"/>
                <wp:positionH relativeFrom="column">
                  <wp:posOffset>4530090</wp:posOffset>
                </wp:positionH>
                <wp:positionV relativeFrom="paragraph">
                  <wp:posOffset>1887220</wp:posOffset>
                </wp:positionV>
                <wp:extent cx="1419225" cy="252095"/>
                <wp:effectExtent l="0" t="0" r="0" b="0"/>
                <wp:wrapNone/>
                <wp:docPr id="3" name="Text Box 3"/>
                <wp:cNvGraphicFramePr/>
                <a:graphic xmlns:a="http://schemas.openxmlformats.org/drawingml/2006/main">
                  <a:graphicData uri="http://schemas.microsoft.com/office/word/2010/wordprocessingShape">
                    <wps:wsp>
                      <wps:cNvSpPr txBox="1"/>
                      <wps:spPr>
                        <a:xfrm>
                          <a:off x="0" y="0"/>
                          <a:ext cx="1419225"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636A" w:rsidRPr="00AF2F39" w:rsidRDefault="00B2636A">
                            <w:pPr>
                              <w:rPr>
                                <w:b/>
                                <w:sz w:val="16"/>
                                <w:szCs w:val="16"/>
                              </w:rPr>
                            </w:pPr>
                            <w:r w:rsidRPr="00AF2F39">
                              <w:rPr>
                                <w:b/>
                                <w:sz w:val="16"/>
                                <w:szCs w:val="16"/>
                              </w:rPr>
                              <w:t>Residential center of gravity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893AEE7" id="_x0000_t202" coordsize="21600,21600" o:spt="202" path="m,l,21600r21600,l21600,xe">
                <v:stroke joinstyle="miter"/>
                <v:path gradientshapeok="t" o:connecttype="rect"/>
              </v:shapetype>
              <v:shape id="Text Box 3" o:spid="_x0000_s1026" type="#_x0000_t202" style="position:absolute;left:0;text-align:left;margin-left:356.7pt;margin-top:148.6pt;width:111.7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" filled="f" stroked="f" strokeweight=".5pt">
                <v:textbox>
                  <w:txbxContent>
                    <w:p w:rsidR="00B2636A" w:rsidRPr="00AF2F39" w:rsidRDefault="00B2636A">
                      <w:pPr>
                        <w:rPr>
                          <w:b/>
                          <w:sz w:val="16"/>
                          <w:szCs w:val="16"/>
                        </w:rPr>
                      </w:pPr>
                      <w:r w:rsidRPr="00AF2F39">
                        <w:rPr>
                          <w:b/>
                          <w:sz w:val="16"/>
                          <w:szCs w:val="16"/>
                        </w:rPr>
                        <w:t>Residential center of gravity</w:t>
                      </w:r>
                    </w:p>
                  </w:txbxContent>
                </v:textbox>
              </v:shape>
            </w:pict>
          </mc:Fallback>
        </mc:AlternateContent>
      </w:r>
      <w:r w:rsidR="00F96202" w:rsidRPr="009D761F">
        <w:rPr>
          <w:b/>
          <w:noProof/>
        </w:rPr>
        <mc:AlternateContent>
          <mc:Choice Requires="wps">
            <w:drawing>
              <wp:anchor distT="0" distB="0" distL="114300" distR="114300" simplePos="0" relativeHeight="251659264" behindDoc="0" locked="0" layoutInCell="1" allowOverlap="1" wp14:anchorId="6D5BF30F" wp14:editId="7B8877AA">
                <wp:simplePos x="0" y="0"/>
                <wp:positionH relativeFrom="column">
                  <wp:posOffset>413468</wp:posOffset>
                </wp:positionH>
                <wp:positionV relativeFrom="paragraph">
                  <wp:posOffset>1947738</wp:posOffset>
                </wp:positionV>
                <wp:extent cx="5482341"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548234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BFE946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153.35pt" to="464.2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" strokecolor="black [3040]" strokeweight="1pt"/>
            </w:pict>
          </mc:Fallback>
        </mc:AlternateContent>
      </w:r>
      <w:r w:rsidR="006810BC">
        <w:rPr>
          <w:b/>
          <w:noProof/>
        </w:rPr>
        <w:drawing>
          <wp:inline distT="0" distB="0" distL="0" distR="0" wp14:anchorId="3D63A048" wp14:editId="3208B6CF">
            <wp:extent cx="5114925" cy="571499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ons.gif"/>
                    <pic:cNvPicPr/>
                  </pic:nvPicPr>
                  <pic:blipFill>
                    <a:blip r:embed="rId776">
                      <a:extLst>
                        <a:ext uri="{28A0092B-C50C-407E-A947-70E740481C1C}">
                          <a14:useLocalDpi xmlns:a14="http://schemas.microsoft.com/office/drawing/2010/main" val="0"/>
                        </a:ext>
                      </a:extLst>
                    </a:blip>
                    <a:stretch>
                      <a:fillRect/>
                    </a:stretch>
                  </pic:blipFill>
                  <pic:spPr>
                    <a:xfrm>
                      <a:off x="0" y="0"/>
                      <a:ext cx="5114925" cy="5714999"/>
                    </a:xfrm>
                    <a:prstGeom prst="rect">
                      <a:avLst/>
                    </a:prstGeom>
                  </pic:spPr>
                </pic:pic>
              </a:graphicData>
            </a:graphic>
          </wp:inline>
        </w:drawing>
      </w:r>
    </w:p>
    <w:p w:rsidR="006810BC" w:rsidRDefault="006810BC" w:rsidP="006810BC">
      <w:pPr>
        <w:jc w:val="center"/>
      </w:pPr>
      <w:r w:rsidRPr="006810BC">
        <w:t xml:space="preserve">Source: </w:t>
      </w:r>
      <w:hyperlink r:id="rId777" w:history="1">
        <w:r w:rsidRPr="000B5367">
          <w:rPr>
            <w:rStyle w:val="Hyperlink"/>
          </w:rPr>
          <w:t>www.stats.govt.nz</w:t>
        </w:r>
      </w:hyperlink>
    </w:p>
    <w:p w:rsidR="004E7366" w:rsidRDefault="004E7366">
      <w:pPr>
        <w:jc w:val="left"/>
      </w:pPr>
    </w:p>
    <w:p w:rsidR="004E7366" w:rsidRDefault="004E7366">
      <w:pPr>
        <w:jc w:val="left"/>
      </w:pPr>
    </w:p>
    <w:p w:rsidR="004E7366" w:rsidRDefault="004E7366" w:rsidP="004E7366">
      <w:pPr>
        <w:jc w:val="center"/>
        <w:rPr>
          <w:b/>
        </w:rPr>
      </w:pPr>
    </w:p>
    <w:p w:rsidR="004E7366" w:rsidRDefault="004E7366" w:rsidP="004E7366">
      <w:pPr>
        <w:jc w:val="center"/>
        <w:rPr>
          <w:b/>
        </w:rPr>
      </w:pPr>
    </w:p>
    <w:p w:rsidR="004E7366" w:rsidRDefault="00884D45" w:rsidP="004E7366">
      <w:pPr>
        <w:jc w:val="center"/>
      </w:pPr>
      <w:proofErr w:type="gramStart"/>
      <w:r>
        <w:rPr>
          <w:b/>
        </w:rPr>
        <w:t>Figure 1.</w:t>
      </w:r>
      <w:proofErr w:type="gramEnd"/>
      <w:r w:rsidR="004E7366">
        <w:rPr>
          <w:b/>
        </w:rPr>
        <w:t xml:space="preserve"> Boundaries of New Zealand Regions</w:t>
      </w:r>
      <w:r w:rsidR="004E7366" w:rsidRPr="004E7366">
        <w:t xml:space="preserve"> </w:t>
      </w:r>
    </w:p>
    <w:p w:rsidR="004E7366" w:rsidRDefault="004E7366" w:rsidP="004E7366">
      <w:pPr>
        <w:jc w:val="center"/>
      </w:pPr>
    </w:p>
    <w:p w:rsidR="004E7366" w:rsidRDefault="004E7366">
      <w:pPr>
        <w:jc w:val="left"/>
      </w:pPr>
    </w:p>
    <w:p w:rsidR="00F96202" w:rsidRDefault="00F96202">
      <w:pPr>
        <w:jc w:val="left"/>
      </w:pPr>
    </w:p>
    <w:p w:rsidR="00F96202" w:rsidRDefault="00F96202">
      <w:pPr>
        <w:jc w:val="left"/>
      </w:pPr>
    </w:p>
    <w:p w:rsidR="00F96202" w:rsidRDefault="00F96202">
      <w:pPr>
        <w:jc w:val="left"/>
      </w:pPr>
    </w:p>
    <w:p w:rsidR="006810BC" w:rsidRPr="006810BC" w:rsidRDefault="006810BC">
      <w:pPr>
        <w:jc w:val="left"/>
      </w:pPr>
    </w:p>
    <w:p w:rsidR="004E7366" w:rsidRDefault="004E7366" w:rsidP="0063552A">
      <w:pPr>
        <w:jc w:val="center"/>
        <w:rPr>
          <w:b/>
        </w:rPr>
      </w:pPr>
    </w:p>
    <w:p w:rsidR="0063552A" w:rsidRPr="008E07A2" w:rsidRDefault="0063552A" w:rsidP="008E07A2">
      <w:pPr>
        <w:spacing w:after="120"/>
        <w:jc w:val="center"/>
        <w:rPr>
          <w:b/>
          <w:sz w:val="22"/>
        </w:rPr>
      </w:pPr>
      <w:proofErr w:type="gramStart"/>
      <w:r w:rsidRPr="00951026">
        <w:rPr>
          <w:b/>
          <w:sz w:val="22"/>
        </w:rPr>
        <w:lastRenderedPageBreak/>
        <w:t>Table 1</w:t>
      </w:r>
      <w:r w:rsidR="00561E9F" w:rsidRPr="00951026">
        <w:rPr>
          <w:b/>
          <w:sz w:val="22"/>
        </w:rPr>
        <w:t>a</w:t>
      </w:r>
      <w:r w:rsidR="00884D45">
        <w:rPr>
          <w:b/>
          <w:sz w:val="22"/>
        </w:rPr>
        <w:t>.</w:t>
      </w:r>
      <w:proofErr w:type="gramEnd"/>
      <w:r w:rsidRPr="00951026">
        <w:rPr>
          <w:b/>
          <w:sz w:val="22"/>
        </w:rPr>
        <w:t xml:space="preserve"> Evaluation of the ability to recover true parameters for the </w:t>
      </w:r>
      <w:r w:rsidR="00B51B8B" w:rsidRPr="00951026">
        <w:rPr>
          <w:b/>
          <w:sz w:val="22"/>
        </w:rPr>
        <w:t>two-</w:t>
      </w:r>
      <w:r w:rsidRPr="00951026">
        <w:rPr>
          <w:b/>
          <w:sz w:val="22"/>
        </w:rPr>
        <w:t>segment case</w:t>
      </w:r>
    </w:p>
    <w:tbl>
      <w:tblPr>
        <w:tblW w:w="9868" w:type="dxa"/>
        <w:jc w:val="center"/>
        <w:tblLayout w:type="fixed"/>
        <w:tblLook w:val="04A0" w:firstRow="1" w:lastRow="0" w:firstColumn="1" w:lastColumn="0" w:noHBand="0" w:noVBand="1"/>
      </w:tblPr>
      <w:tblGrid>
        <w:gridCol w:w="1260"/>
        <w:gridCol w:w="1000"/>
        <w:gridCol w:w="1027"/>
        <w:gridCol w:w="1387"/>
        <w:gridCol w:w="1660"/>
        <w:gridCol w:w="1660"/>
        <w:gridCol w:w="1874"/>
      </w:tblGrid>
      <w:tr w:rsidR="005A1ED7" w:rsidRPr="009D3D23" w:rsidTr="008E07A2">
        <w:trPr>
          <w:cantSplit/>
          <w:trHeight w:val="288"/>
          <w:tblHeader/>
          <w:jc w:val="center"/>
        </w:trPr>
        <w:tc>
          <w:tcPr>
            <w:tcW w:w="1260" w:type="dxa"/>
            <w:vMerge w:val="restart"/>
            <w:tcBorders>
              <w:top w:val="double" w:sz="6" w:space="0" w:color="auto"/>
              <w:left w:val="double" w:sz="6" w:space="0" w:color="auto"/>
              <w:bottom w:val="double" w:sz="6" w:space="0" w:color="000000"/>
              <w:right w:val="double" w:sz="6" w:space="0" w:color="auto"/>
            </w:tcBorders>
            <w:shd w:val="clear" w:color="auto" w:fill="auto"/>
            <w:noWrap/>
            <w:tcMar>
              <w:left w:w="58" w:type="dxa"/>
              <w:right w:w="58" w:type="dxa"/>
            </w:tcMar>
            <w:vAlign w:val="center"/>
          </w:tcPr>
          <w:p w:rsidR="005A1ED7" w:rsidRPr="009D3D23" w:rsidRDefault="005A1ED7" w:rsidP="00226CA2">
            <w:pPr>
              <w:jc w:val="center"/>
              <w:rPr>
                <w:rFonts w:eastAsia="Times New Roman"/>
                <w:b/>
                <w:bCs/>
                <w:color w:val="000000"/>
                <w:sz w:val="20"/>
                <w:szCs w:val="20"/>
              </w:rPr>
            </w:pPr>
            <w:r w:rsidRPr="009D3D23">
              <w:rPr>
                <w:rFonts w:eastAsia="Times New Roman"/>
                <w:b/>
                <w:bCs/>
                <w:color w:val="000000"/>
                <w:sz w:val="20"/>
                <w:szCs w:val="20"/>
              </w:rPr>
              <w:t>Parameter</w:t>
            </w:r>
          </w:p>
        </w:tc>
        <w:tc>
          <w:tcPr>
            <w:tcW w:w="1000" w:type="dxa"/>
            <w:vMerge w:val="restart"/>
            <w:tcBorders>
              <w:top w:val="double" w:sz="6" w:space="0" w:color="auto"/>
              <w:left w:val="double" w:sz="6" w:space="0" w:color="auto"/>
              <w:bottom w:val="double" w:sz="6" w:space="0" w:color="000000"/>
              <w:right w:val="double" w:sz="6" w:space="0" w:color="auto"/>
            </w:tcBorders>
            <w:shd w:val="clear" w:color="auto" w:fill="auto"/>
            <w:tcMar>
              <w:left w:w="58" w:type="dxa"/>
              <w:right w:w="58" w:type="dxa"/>
            </w:tcMar>
            <w:vAlign w:val="center"/>
          </w:tcPr>
          <w:p w:rsidR="005A1ED7" w:rsidRPr="009D3D23" w:rsidRDefault="005A1ED7" w:rsidP="00226CA2">
            <w:pPr>
              <w:jc w:val="center"/>
              <w:rPr>
                <w:rFonts w:eastAsia="Times New Roman"/>
                <w:b/>
                <w:bCs/>
                <w:color w:val="000000"/>
                <w:sz w:val="20"/>
                <w:szCs w:val="20"/>
              </w:rPr>
            </w:pPr>
            <w:r w:rsidRPr="009D3D23">
              <w:rPr>
                <w:rFonts w:eastAsia="Times New Roman"/>
                <w:b/>
                <w:bCs/>
                <w:color w:val="000000"/>
                <w:sz w:val="20"/>
                <w:szCs w:val="20"/>
              </w:rPr>
              <w:t>True Value</w:t>
            </w:r>
          </w:p>
        </w:tc>
        <w:tc>
          <w:tcPr>
            <w:tcW w:w="7608" w:type="dxa"/>
            <w:gridSpan w:val="5"/>
            <w:tcBorders>
              <w:top w:val="double" w:sz="6" w:space="0" w:color="auto"/>
              <w:left w:val="nil"/>
              <w:bottom w:val="double" w:sz="6" w:space="0" w:color="auto"/>
              <w:right w:val="double" w:sz="6" w:space="0" w:color="000000"/>
            </w:tcBorders>
            <w:shd w:val="clear" w:color="auto" w:fill="auto"/>
            <w:noWrap/>
            <w:tcMar>
              <w:left w:w="58" w:type="dxa"/>
              <w:right w:w="58" w:type="dxa"/>
            </w:tcMar>
            <w:vAlign w:val="center"/>
          </w:tcPr>
          <w:p w:rsidR="005A1ED7" w:rsidRPr="009D3D23" w:rsidRDefault="005A1ED7" w:rsidP="00226CA2">
            <w:pPr>
              <w:jc w:val="center"/>
              <w:rPr>
                <w:rFonts w:eastAsia="Times New Roman"/>
                <w:b/>
                <w:bCs/>
                <w:color w:val="000000"/>
                <w:sz w:val="20"/>
                <w:szCs w:val="20"/>
              </w:rPr>
            </w:pPr>
            <w:r w:rsidRPr="009D3D23">
              <w:rPr>
                <w:rFonts w:eastAsia="Times New Roman"/>
                <w:b/>
                <w:bCs/>
                <w:color w:val="000000"/>
                <w:sz w:val="20"/>
                <w:szCs w:val="20"/>
              </w:rPr>
              <w:t>MACML Method</w:t>
            </w:r>
          </w:p>
        </w:tc>
      </w:tr>
      <w:tr w:rsidR="005A1ED7" w:rsidRPr="009D3D23" w:rsidTr="008E07A2">
        <w:trPr>
          <w:cantSplit/>
          <w:trHeight w:val="288"/>
          <w:tblHeader/>
          <w:jc w:val="center"/>
        </w:trPr>
        <w:tc>
          <w:tcPr>
            <w:tcW w:w="1260" w:type="dxa"/>
            <w:vMerge/>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5A1ED7" w:rsidRPr="009D3D23" w:rsidRDefault="005A1ED7" w:rsidP="00226CA2">
            <w:pPr>
              <w:rPr>
                <w:rFonts w:eastAsia="Times New Roman"/>
                <w:b/>
                <w:bCs/>
                <w:color w:val="000000"/>
                <w:sz w:val="20"/>
                <w:szCs w:val="20"/>
              </w:rPr>
            </w:pPr>
          </w:p>
        </w:tc>
        <w:tc>
          <w:tcPr>
            <w:tcW w:w="1000" w:type="dxa"/>
            <w:vMerge/>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5A1ED7" w:rsidRPr="009D3D23" w:rsidRDefault="005A1ED7" w:rsidP="00226CA2">
            <w:pPr>
              <w:rPr>
                <w:rFonts w:eastAsia="Times New Roman"/>
                <w:b/>
                <w:bCs/>
                <w:color w:val="000000"/>
                <w:sz w:val="20"/>
                <w:szCs w:val="20"/>
              </w:rPr>
            </w:pPr>
          </w:p>
        </w:tc>
        <w:tc>
          <w:tcPr>
            <w:tcW w:w="2414" w:type="dxa"/>
            <w:gridSpan w:val="2"/>
            <w:tcBorders>
              <w:top w:val="double" w:sz="6" w:space="0" w:color="auto"/>
              <w:left w:val="nil"/>
              <w:bottom w:val="double" w:sz="6" w:space="0" w:color="auto"/>
              <w:right w:val="double" w:sz="6" w:space="0" w:color="000000"/>
            </w:tcBorders>
            <w:shd w:val="clear" w:color="auto" w:fill="auto"/>
            <w:noWrap/>
            <w:tcMar>
              <w:left w:w="58" w:type="dxa"/>
              <w:right w:w="58" w:type="dxa"/>
            </w:tcMar>
            <w:vAlign w:val="center"/>
          </w:tcPr>
          <w:p w:rsidR="005A1ED7" w:rsidRPr="009D3D23" w:rsidRDefault="005A1ED7" w:rsidP="00226CA2">
            <w:pPr>
              <w:jc w:val="center"/>
              <w:rPr>
                <w:rFonts w:eastAsia="Times New Roman"/>
                <w:b/>
                <w:bCs/>
                <w:color w:val="000000"/>
                <w:sz w:val="20"/>
                <w:szCs w:val="20"/>
              </w:rPr>
            </w:pPr>
            <w:r w:rsidRPr="009D3D23">
              <w:rPr>
                <w:rFonts w:eastAsia="Times New Roman"/>
                <w:b/>
                <w:bCs/>
                <w:color w:val="000000"/>
                <w:sz w:val="20"/>
                <w:szCs w:val="20"/>
              </w:rPr>
              <w:t>Parameter Estimates</w:t>
            </w:r>
          </w:p>
        </w:tc>
        <w:tc>
          <w:tcPr>
            <w:tcW w:w="5194" w:type="dxa"/>
            <w:gridSpan w:val="3"/>
            <w:tcBorders>
              <w:top w:val="double" w:sz="6" w:space="0" w:color="auto"/>
              <w:left w:val="nil"/>
              <w:bottom w:val="double" w:sz="6" w:space="0" w:color="auto"/>
              <w:right w:val="double" w:sz="6" w:space="0" w:color="000000"/>
            </w:tcBorders>
            <w:shd w:val="clear" w:color="auto" w:fill="auto"/>
            <w:noWrap/>
            <w:tcMar>
              <w:left w:w="58" w:type="dxa"/>
              <w:right w:w="58" w:type="dxa"/>
            </w:tcMar>
            <w:vAlign w:val="center"/>
          </w:tcPr>
          <w:p w:rsidR="005A1ED7" w:rsidRPr="009D3D23" w:rsidRDefault="005A1ED7" w:rsidP="00226CA2">
            <w:pPr>
              <w:jc w:val="center"/>
              <w:rPr>
                <w:rFonts w:eastAsia="Times New Roman"/>
                <w:b/>
                <w:bCs/>
                <w:color w:val="000000"/>
                <w:sz w:val="20"/>
                <w:szCs w:val="20"/>
              </w:rPr>
            </w:pPr>
            <w:r w:rsidRPr="009D3D23">
              <w:rPr>
                <w:rFonts w:eastAsia="Times New Roman"/>
                <w:b/>
                <w:bCs/>
                <w:color w:val="000000"/>
                <w:sz w:val="20"/>
                <w:szCs w:val="20"/>
              </w:rPr>
              <w:t>Standard Error Estimates</w:t>
            </w:r>
          </w:p>
        </w:tc>
      </w:tr>
      <w:tr w:rsidR="005A1ED7" w:rsidRPr="009D3D23" w:rsidTr="008E07A2">
        <w:trPr>
          <w:cantSplit/>
          <w:trHeight w:val="795"/>
          <w:tblHeader/>
          <w:jc w:val="center"/>
        </w:trPr>
        <w:tc>
          <w:tcPr>
            <w:tcW w:w="1260" w:type="dxa"/>
            <w:vMerge/>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5A1ED7" w:rsidRPr="009D3D23" w:rsidRDefault="005A1ED7" w:rsidP="00226CA2">
            <w:pPr>
              <w:rPr>
                <w:rFonts w:eastAsia="Times New Roman"/>
                <w:b/>
                <w:bCs/>
                <w:color w:val="000000"/>
                <w:sz w:val="20"/>
                <w:szCs w:val="20"/>
              </w:rPr>
            </w:pPr>
          </w:p>
        </w:tc>
        <w:tc>
          <w:tcPr>
            <w:tcW w:w="1000" w:type="dxa"/>
            <w:vMerge/>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5A1ED7" w:rsidRPr="009D3D23" w:rsidRDefault="005A1ED7" w:rsidP="00226CA2">
            <w:pPr>
              <w:rPr>
                <w:rFonts w:eastAsia="Times New Roman"/>
                <w:b/>
                <w:bCs/>
                <w:color w:val="000000"/>
                <w:sz w:val="20"/>
                <w:szCs w:val="20"/>
              </w:rPr>
            </w:pPr>
          </w:p>
        </w:tc>
        <w:tc>
          <w:tcPr>
            <w:tcW w:w="1027" w:type="dxa"/>
            <w:tcBorders>
              <w:top w:val="nil"/>
              <w:left w:val="nil"/>
              <w:bottom w:val="double" w:sz="6" w:space="0" w:color="auto"/>
              <w:right w:val="single" w:sz="4" w:space="0" w:color="auto"/>
            </w:tcBorders>
            <w:shd w:val="clear" w:color="auto" w:fill="auto"/>
            <w:tcMar>
              <w:left w:w="58" w:type="dxa"/>
              <w:right w:w="58" w:type="dxa"/>
            </w:tcMar>
            <w:vAlign w:val="center"/>
          </w:tcPr>
          <w:p w:rsidR="005A1ED7" w:rsidRPr="009D3D23" w:rsidRDefault="005A1ED7" w:rsidP="00226CA2">
            <w:pPr>
              <w:jc w:val="center"/>
              <w:rPr>
                <w:rFonts w:eastAsia="Times New Roman"/>
                <w:b/>
                <w:bCs/>
                <w:color w:val="000000"/>
                <w:sz w:val="20"/>
                <w:szCs w:val="20"/>
              </w:rPr>
            </w:pPr>
            <w:r w:rsidRPr="009D3D23">
              <w:rPr>
                <w:rFonts w:eastAsia="Times New Roman"/>
                <w:b/>
                <w:bCs/>
                <w:color w:val="000000"/>
                <w:sz w:val="20"/>
                <w:szCs w:val="20"/>
              </w:rPr>
              <w:t>Mean Estimate</w:t>
            </w:r>
          </w:p>
        </w:tc>
        <w:tc>
          <w:tcPr>
            <w:tcW w:w="1387" w:type="dxa"/>
            <w:tcBorders>
              <w:top w:val="nil"/>
              <w:left w:val="nil"/>
              <w:bottom w:val="double" w:sz="6" w:space="0" w:color="auto"/>
              <w:right w:val="double" w:sz="6" w:space="0" w:color="auto"/>
            </w:tcBorders>
            <w:shd w:val="clear" w:color="auto" w:fill="auto"/>
            <w:tcMar>
              <w:left w:w="58" w:type="dxa"/>
              <w:right w:w="58" w:type="dxa"/>
            </w:tcMar>
            <w:vAlign w:val="center"/>
          </w:tcPr>
          <w:p w:rsidR="005A1ED7" w:rsidRPr="009D3D23" w:rsidRDefault="008E07A2" w:rsidP="00226CA2">
            <w:pPr>
              <w:jc w:val="center"/>
              <w:rPr>
                <w:rFonts w:eastAsia="Times New Roman"/>
                <w:b/>
                <w:bCs/>
                <w:color w:val="000000"/>
                <w:sz w:val="20"/>
                <w:szCs w:val="20"/>
              </w:rPr>
            </w:pPr>
            <w:r>
              <w:rPr>
                <w:rFonts w:eastAsia="Times New Roman"/>
                <w:b/>
                <w:bCs/>
                <w:color w:val="000000"/>
                <w:sz w:val="20"/>
                <w:szCs w:val="20"/>
              </w:rPr>
              <w:t xml:space="preserve">Absolute Percentage </w:t>
            </w:r>
            <w:r w:rsidR="005A1ED7" w:rsidRPr="009D3D23">
              <w:rPr>
                <w:rFonts w:eastAsia="Times New Roman"/>
                <w:b/>
                <w:bCs/>
                <w:color w:val="000000"/>
                <w:sz w:val="20"/>
                <w:szCs w:val="20"/>
              </w:rPr>
              <w:t>Bias</w:t>
            </w:r>
            <w:r w:rsidR="003F39AE">
              <w:rPr>
                <w:rFonts w:eastAsia="Times New Roman"/>
                <w:b/>
                <w:bCs/>
                <w:color w:val="000000"/>
                <w:sz w:val="20"/>
                <w:szCs w:val="20"/>
              </w:rPr>
              <w:t xml:space="preserve"> (APB)</w:t>
            </w:r>
          </w:p>
        </w:tc>
        <w:tc>
          <w:tcPr>
            <w:tcW w:w="1660" w:type="dxa"/>
            <w:tcBorders>
              <w:top w:val="nil"/>
              <w:left w:val="nil"/>
              <w:bottom w:val="double" w:sz="6" w:space="0" w:color="auto"/>
              <w:right w:val="single" w:sz="4" w:space="0" w:color="auto"/>
            </w:tcBorders>
            <w:shd w:val="clear" w:color="auto" w:fill="auto"/>
            <w:tcMar>
              <w:left w:w="58" w:type="dxa"/>
              <w:right w:w="58" w:type="dxa"/>
            </w:tcMar>
            <w:vAlign w:val="center"/>
          </w:tcPr>
          <w:p w:rsidR="005A1ED7" w:rsidRPr="009D3D23" w:rsidRDefault="005A1ED7" w:rsidP="00226CA2">
            <w:pPr>
              <w:jc w:val="center"/>
              <w:rPr>
                <w:rFonts w:eastAsia="Times New Roman"/>
                <w:b/>
                <w:bCs/>
                <w:color w:val="000000"/>
                <w:sz w:val="20"/>
                <w:szCs w:val="20"/>
              </w:rPr>
            </w:pPr>
            <w:r w:rsidRPr="009D3D23">
              <w:rPr>
                <w:rFonts w:eastAsia="Times New Roman"/>
                <w:b/>
                <w:bCs/>
                <w:color w:val="000000"/>
                <w:sz w:val="20"/>
                <w:szCs w:val="20"/>
              </w:rPr>
              <w:t>Asymptotic Standard Error</w:t>
            </w:r>
            <w:r w:rsidR="003F39AE">
              <w:rPr>
                <w:rFonts w:eastAsia="Times New Roman"/>
                <w:b/>
                <w:bCs/>
                <w:color w:val="000000"/>
                <w:sz w:val="20"/>
                <w:szCs w:val="20"/>
              </w:rPr>
              <w:t xml:space="preserve"> (ASE)</w:t>
            </w:r>
          </w:p>
        </w:tc>
        <w:tc>
          <w:tcPr>
            <w:tcW w:w="1660" w:type="dxa"/>
            <w:tcBorders>
              <w:top w:val="nil"/>
              <w:left w:val="nil"/>
              <w:bottom w:val="double" w:sz="6" w:space="0" w:color="auto"/>
              <w:right w:val="single" w:sz="4" w:space="0" w:color="auto"/>
            </w:tcBorders>
            <w:shd w:val="clear" w:color="auto" w:fill="auto"/>
            <w:tcMar>
              <w:left w:w="58" w:type="dxa"/>
              <w:right w:w="58" w:type="dxa"/>
            </w:tcMar>
            <w:vAlign w:val="center"/>
          </w:tcPr>
          <w:p w:rsidR="005A1ED7" w:rsidRPr="009D3D23" w:rsidRDefault="005A1ED7" w:rsidP="00951026">
            <w:pPr>
              <w:jc w:val="center"/>
              <w:rPr>
                <w:rFonts w:eastAsia="Times New Roman"/>
                <w:b/>
                <w:bCs/>
                <w:color w:val="000000"/>
                <w:sz w:val="20"/>
                <w:szCs w:val="20"/>
              </w:rPr>
            </w:pPr>
            <w:r>
              <w:rPr>
                <w:rFonts w:eastAsia="Times New Roman"/>
                <w:b/>
                <w:bCs/>
                <w:color w:val="000000"/>
                <w:sz w:val="20"/>
                <w:szCs w:val="20"/>
              </w:rPr>
              <w:t xml:space="preserve">Finite Sample </w:t>
            </w:r>
            <w:r w:rsidRPr="009D3D23">
              <w:rPr>
                <w:rFonts w:eastAsia="Times New Roman"/>
                <w:b/>
                <w:bCs/>
                <w:color w:val="000000"/>
                <w:sz w:val="20"/>
                <w:szCs w:val="20"/>
              </w:rPr>
              <w:t>Standard Error</w:t>
            </w:r>
            <w:r w:rsidR="003F39AE">
              <w:rPr>
                <w:rFonts w:eastAsia="Times New Roman"/>
                <w:b/>
                <w:bCs/>
                <w:color w:val="000000"/>
                <w:sz w:val="20"/>
                <w:szCs w:val="20"/>
              </w:rPr>
              <w:t xml:space="preserve"> (FS</w:t>
            </w:r>
            <w:r w:rsidR="00951026">
              <w:rPr>
                <w:rFonts w:eastAsia="Times New Roman"/>
                <w:b/>
                <w:bCs/>
                <w:color w:val="000000"/>
                <w:sz w:val="20"/>
                <w:szCs w:val="20"/>
              </w:rPr>
              <w:t>S</w:t>
            </w:r>
            <w:r w:rsidR="003F39AE">
              <w:rPr>
                <w:rFonts w:eastAsia="Times New Roman"/>
                <w:b/>
                <w:bCs/>
                <w:color w:val="000000"/>
                <w:sz w:val="20"/>
                <w:szCs w:val="20"/>
              </w:rPr>
              <w:t>E)</w:t>
            </w:r>
          </w:p>
        </w:tc>
        <w:tc>
          <w:tcPr>
            <w:tcW w:w="1874" w:type="dxa"/>
            <w:tcBorders>
              <w:top w:val="nil"/>
              <w:left w:val="nil"/>
              <w:bottom w:val="double" w:sz="6" w:space="0" w:color="auto"/>
              <w:right w:val="double" w:sz="6" w:space="0" w:color="auto"/>
            </w:tcBorders>
            <w:shd w:val="clear" w:color="auto" w:fill="auto"/>
            <w:tcMar>
              <w:left w:w="58" w:type="dxa"/>
              <w:right w:w="58" w:type="dxa"/>
            </w:tcMar>
            <w:vAlign w:val="center"/>
          </w:tcPr>
          <w:p w:rsidR="005A1ED7" w:rsidRPr="009D3D23" w:rsidRDefault="005A1ED7" w:rsidP="00226CA2">
            <w:pPr>
              <w:jc w:val="center"/>
              <w:rPr>
                <w:rFonts w:eastAsia="Times New Roman"/>
                <w:b/>
                <w:bCs/>
                <w:color w:val="000000"/>
                <w:sz w:val="20"/>
                <w:szCs w:val="20"/>
              </w:rPr>
            </w:pPr>
            <w:r>
              <w:rPr>
                <w:rFonts w:eastAsia="Times New Roman"/>
                <w:b/>
                <w:bCs/>
                <w:color w:val="000000"/>
                <w:sz w:val="20"/>
                <w:szCs w:val="20"/>
              </w:rPr>
              <w:t>Absolute Percentage Bias of Asymptotic Standard Error</w:t>
            </w:r>
            <w:r w:rsidR="003F39AE">
              <w:rPr>
                <w:rFonts w:eastAsia="Times New Roman"/>
                <w:b/>
                <w:bCs/>
                <w:color w:val="000000"/>
                <w:sz w:val="20"/>
                <w:szCs w:val="20"/>
              </w:rPr>
              <w:t xml:space="preserve"> (APBASE)</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Pr="004D459C" w:rsidRDefault="00951026" w:rsidP="001B2A36">
            <w:pPr>
              <w:jc w:val="center"/>
              <w:rPr>
                <w:rFonts w:eastAsia="Times New Roman"/>
                <w:color w:val="000000"/>
                <w:sz w:val="20"/>
                <w:szCs w:val="20"/>
              </w:rPr>
            </w:pPr>
            <w:r w:rsidRPr="00FC52DC">
              <w:rPr>
                <w:position w:val="-10"/>
              </w:rPr>
              <w:object w:dxaOrig="300" w:dyaOrig="340">
                <v:shape id="_x0000_i1428" type="#_x0000_t75" style="width:12pt;height:14.25pt" o:ole="" o:preferrelative="f">
                  <v:imagedata r:id="rId778" o:title=""/>
                </v:shape>
                <o:OLEObject Type="Embed" ProgID="Equation.3" ShapeID="_x0000_i1428" DrawAspect="Content" ObjectID="_1519137277" r:id="rId779"/>
              </w:object>
            </w:r>
          </w:p>
        </w:tc>
        <w:tc>
          <w:tcPr>
            <w:tcW w:w="1000" w:type="dxa"/>
            <w:tcBorders>
              <w:top w:val="nil"/>
              <w:left w:val="nil"/>
              <w:bottom w:val="nil"/>
              <w:right w:val="double" w:sz="6" w:space="0" w:color="auto"/>
            </w:tcBorders>
            <w:shd w:val="clear" w:color="auto" w:fill="auto"/>
            <w:noWrap/>
            <w:vAlign w:val="center"/>
          </w:tcPr>
          <w:p w:rsidR="005A1ED7" w:rsidRDefault="005A1ED7" w:rsidP="001B2A36">
            <w:pPr>
              <w:tabs>
                <w:tab w:val="decimal" w:pos="75"/>
              </w:tabs>
              <w:jc w:val="center"/>
              <w:rPr>
                <w:color w:val="000000"/>
                <w:sz w:val="20"/>
                <w:szCs w:val="20"/>
              </w:rPr>
            </w:pPr>
            <w:r>
              <w:rPr>
                <w:color w:val="000000"/>
                <w:sz w:val="20"/>
                <w:szCs w:val="20"/>
              </w:rPr>
              <w:t>1.000</w:t>
            </w:r>
          </w:p>
        </w:tc>
        <w:tc>
          <w:tcPr>
            <w:tcW w:w="1027" w:type="dxa"/>
            <w:tcBorders>
              <w:top w:val="nil"/>
              <w:left w:val="nil"/>
              <w:bottom w:val="nil"/>
              <w:right w:val="single" w:sz="4" w:space="0" w:color="auto"/>
            </w:tcBorders>
            <w:shd w:val="clear" w:color="auto" w:fill="auto"/>
            <w:noWrap/>
            <w:vAlign w:val="center"/>
          </w:tcPr>
          <w:p w:rsidR="005A1ED7" w:rsidRDefault="005A1ED7" w:rsidP="001B2A36">
            <w:pPr>
              <w:tabs>
                <w:tab w:val="decimal" w:pos="200"/>
              </w:tabs>
              <w:jc w:val="center"/>
              <w:rPr>
                <w:color w:val="000000"/>
                <w:sz w:val="20"/>
                <w:szCs w:val="20"/>
              </w:rPr>
            </w:pPr>
            <w:r>
              <w:rPr>
                <w:color w:val="000000"/>
                <w:sz w:val="20"/>
                <w:szCs w:val="20"/>
              </w:rPr>
              <w:t>1.063</w:t>
            </w:r>
          </w:p>
        </w:tc>
        <w:tc>
          <w:tcPr>
            <w:tcW w:w="1387" w:type="dxa"/>
            <w:tcBorders>
              <w:top w:val="nil"/>
              <w:left w:val="nil"/>
              <w:bottom w:val="nil"/>
              <w:right w:val="double" w:sz="6" w:space="0" w:color="auto"/>
            </w:tcBorders>
            <w:shd w:val="clear" w:color="auto" w:fill="auto"/>
            <w:noWrap/>
            <w:vAlign w:val="center"/>
          </w:tcPr>
          <w:p w:rsidR="005A1ED7" w:rsidRDefault="005A1ED7" w:rsidP="001B2A36">
            <w:pPr>
              <w:tabs>
                <w:tab w:val="decimal" w:pos="193"/>
              </w:tabs>
              <w:jc w:val="center"/>
              <w:rPr>
                <w:color w:val="000000"/>
                <w:sz w:val="20"/>
                <w:szCs w:val="20"/>
              </w:rPr>
            </w:pPr>
            <w:r>
              <w:rPr>
                <w:color w:val="000000"/>
                <w:sz w:val="20"/>
                <w:szCs w:val="20"/>
              </w:rPr>
              <w:t>6.3%</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0.157</w:t>
            </w:r>
          </w:p>
        </w:tc>
        <w:tc>
          <w:tcPr>
            <w:tcW w:w="1660" w:type="dxa"/>
            <w:tcBorders>
              <w:top w:val="nil"/>
              <w:left w:val="nil"/>
              <w:bottom w:val="nil"/>
              <w:right w:val="single" w:sz="4" w:space="0" w:color="auto"/>
            </w:tcBorders>
            <w:shd w:val="clear" w:color="auto" w:fill="auto"/>
            <w:noWrap/>
            <w:vAlign w:val="center"/>
          </w:tcPr>
          <w:p w:rsidR="005A1ED7" w:rsidRPr="00752F0F" w:rsidRDefault="005A1ED7" w:rsidP="001B2A36">
            <w:pPr>
              <w:tabs>
                <w:tab w:val="decimal" w:pos="255"/>
                <w:tab w:val="decimal" w:pos="420"/>
              </w:tabs>
              <w:jc w:val="center"/>
              <w:rPr>
                <w:sz w:val="20"/>
                <w:szCs w:val="20"/>
              </w:rPr>
            </w:pPr>
            <w:r w:rsidRPr="00752F0F">
              <w:rPr>
                <w:sz w:val="20"/>
                <w:szCs w:val="20"/>
              </w:rPr>
              <w:t>0.136</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14.8%</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Pr="004D459C" w:rsidRDefault="00951026" w:rsidP="001B2A36">
            <w:pPr>
              <w:jc w:val="center"/>
              <w:rPr>
                <w:rFonts w:eastAsia="Times New Roman"/>
                <w:color w:val="000000"/>
                <w:sz w:val="20"/>
                <w:szCs w:val="20"/>
              </w:rPr>
            </w:pPr>
            <w:r w:rsidRPr="00FC52DC">
              <w:rPr>
                <w:position w:val="-10"/>
              </w:rPr>
              <w:object w:dxaOrig="320" w:dyaOrig="340">
                <v:shape id="_x0000_i1429" type="#_x0000_t75" style="width:12.75pt;height:14.25pt" o:ole="" o:preferrelative="f">
                  <v:imagedata r:id="rId780" o:title=""/>
                </v:shape>
                <o:OLEObject Type="Embed" ProgID="Equation.3" ShapeID="_x0000_i1429" DrawAspect="Content" ObjectID="_1519137278" r:id="rId781"/>
              </w:object>
            </w:r>
          </w:p>
        </w:tc>
        <w:tc>
          <w:tcPr>
            <w:tcW w:w="1000" w:type="dxa"/>
            <w:tcBorders>
              <w:top w:val="nil"/>
              <w:left w:val="nil"/>
              <w:bottom w:val="nil"/>
              <w:right w:val="double" w:sz="6" w:space="0" w:color="auto"/>
            </w:tcBorders>
            <w:shd w:val="clear" w:color="auto" w:fill="auto"/>
            <w:noWrap/>
            <w:vAlign w:val="center"/>
          </w:tcPr>
          <w:p w:rsidR="005A1ED7" w:rsidRDefault="005A1ED7" w:rsidP="001B2A36">
            <w:pPr>
              <w:tabs>
                <w:tab w:val="decimal" w:pos="75"/>
              </w:tabs>
              <w:jc w:val="center"/>
              <w:rPr>
                <w:color w:val="000000"/>
                <w:sz w:val="20"/>
                <w:szCs w:val="20"/>
              </w:rPr>
            </w:pPr>
            <w:r>
              <w:rPr>
                <w:color w:val="000000"/>
                <w:sz w:val="20"/>
                <w:szCs w:val="20"/>
              </w:rPr>
              <w:t>2.000</w:t>
            </w:r>
          </w:p>
        </w:tc>
        <w:tc>
          <w:tcPr>
            <w:tcW w:w="1027" w:type="dxa"/>
            <w:tcBorders>
              <w:top w:val="nil"/>
              <w:left w:val="nil"/>
              <w:bottom w:val="nil"/>
              <w:right w:val="single" w:sz="4" w:space="0" w:color="auto"/>
            </w:tcBorders>
            <w:shd w:val="clear" w:color="auto" w:fill="auto"/>
            <w:noWrap/>
            <w:vAlign w:val="center"/>
          </w:tcPr>
          <w:p w:rsidR="005A1ED7" w:rsidRDefault="005A1ED7" w:rsidP="001B2A36">
            <w:pPr>
              <w:tabs>
                <w:tab w:val="decimal" w:pos="200"/>
              </w:tabs>
              <w:jc w:val="center"/>
              <w:rPr>
                <w:color w:val="000000"/>
                <w:sz w:val="20"/>
                <w:szCs w:val="20"/>
              </w:rPr>
            </w:pPr>
            <w:r>
              <w:rPr>
                <w:color w:val="000000"/>
                <w:sz w:val="20"/>
                <w:szCs w:val="20"/>
              </w:rPr>
              <w:t>1.997</w:t>
            </w:r>
          </w:p>
        </w:tc>
        <w:tc>
          <w:tcPr>
            <w:tcW w:w="1387" w:type="dxa"/>
            <w:tcBorders>
              <w:top w:val="nil"/>
              <w:left w:val="nil"/>
              <w:bottom w:val="nil"/>
              <w:right w:val="double" w:sz="6" w:space="0" w:color="auto"/>
            </w:tcBorders>
            <w:shd w:val="clear" w:color="auto" w:fill="auto"/>
            <w:noWrap/>
            <w:vAlign w:val="center"/>
          </w:tcPr>
          <w:p w:rsidR="005A1ED7" w:rsidRDefault="005A1ED7" w:rsidP="001B2A36">
            <w:pPr>
              <w:tabs>
                <w:tab w:val="decimal" w:pos="193"/>
              </w:tabs>
              <w:jc w:val="center"/>
              <w:rPr>
                <w:color w:val="000000"/>
                <w:sz w:val="20"/>
                <w:szCs w:val="20"/>
              </w:rPr>
            </w:pPr>
            <w:r>
              <w:rPr>
                <w:color w:val="000000"/>
                <w:sz w:val="20"/>
                <w:szCs w:val="20"/>
              </w:rPr>
              <w:t>0.2%</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0.387</w:t>
            </w:r>
          </w:p>
        </w:tc>
        <w:tc>
          <w:tcPr>
            <w:tcW w:w="1660" w:type="dxa"/>
            <w:tcBorders>
              <w:top w:val="nil"/>
              <w:left w:val="nil"/>
              <w:bottom w:val="nil"/>
              <w:right w:val="single" w:sz="4" w:space="0" w:color="auto"/>
            </w:tcBorders>
            <w:shd w:val="clear" w:color="auto" w:fill="auto"/>
            <w:noWrap/>
            <w:vAlign w:val="center"/>
          </w:tcPr>
          <w:p w:rsidR="005A1ED7" w:rsidRPr="00752F0F" w:rsidRDefault="005A1ED7" w:rsidP="001B2A36">
            <w:pPr>
              <w:tabs>
                <w:tab w:val="decimal" w:pos="255"/>
                <w:tab w:val="decimal" w:pos="420"/>
              </w:tabs>
              <w:jc w:val="center"/>
              <w:rPr>
                <w:sz w:val="20"/>
                <w:szCs w:val="20"/>
              </w:rPr>
            </w:pPr>
            <w:r w:rsidRPr="00752F0F">
              <w:rPr>
                <w:sz w:val="20"/>
                <w:szCs w:val="20"/>
              </w:rPr>
              <w:t>0.438</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11.7%</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Pr="004D459C" w:rsidRDefault="00951026" w:rsidP="001B2A36">
            <w:pPr>
              <w:jc w:val="center"/>
              <w:rPr>
                <w:rFonts w:eastAsia="Times New Roman"/>
                <w:color w:val="000000"/>
                <w:sz w:val="20"/>
                <w:szCs w:val="20"/>
              </w:rPr>
            </w:pPr>
            <w:r w:rsidRPr="00951026">
              <w:rPr>
                <w:position w:val="-12"/>
              </w:rPr>
              <w:object w:dxaOrig="300" w:dyaOrig="360">
                <v:shape id="_x0000_i1430" type="#_x0000_t75" style="width:12pt;height:15pt" o:ole="" o:preferrelative="f">
                  <v:imagedata r:id="rId782" o:title=""/>
                </v:shape>
                <o:OLEObject Type="Embed" ProgID="Equation.3" ShapeID="_x0000_i1430" DrawAspect="Content" ObjectID="_1519137279" r:id="rId783"/>
              </w:object>
            </w:r>
          </w:p>
        </w:tc>
        <w:tc>
          <w:tcPr>
            <w:tcW w:w="1000" w:type="dxa"/>
            <w:tcBorders>
              <w:top w:val="nil"/>
              <w:left w:val="nil"/>
              <w:bottom w:val="nil"/>
              <w:right w:val="double" w:sz="6" w:space="0" w:color="auto"/>
            </w:tcBorders>
            <w:shd w:val="clear" w:color="auto" w:fill="auto"/>
            <w:noWrap/>
            <w:vAlign w:val="center"/>
          </w:tcPr>
          <w:p w:rsidR="005A1ED7" w:rsidRDefault="005A1ED7" w:rsidP="001B2A36">
            <w:pPr>
              <w:tabs>
                <w:tab w:val="decimal" w:pos="75"/>
              </w:tabs>
              <w:jc w:val="center"/>
              <w:rPr>
                <w:color w:val="000000"/>
                <w:sz w:val="20"/>
                <w:szCs w:val="20"/>
              </w:rPr>
            </w:pPr>
            <w:r>
              <w:rPr>
                <w:color w:val="000000"/>
                <w:sz w:val="20"/>
                <w:szCs w:val="20"/>
              </w:rPr>
              <w:t>0.600</w:t>
            </w:r>
          </w:p>
        </w:tc>
        <w:tc>
          <w:tcPr>
            <w:tcW w:w="1027" w:type="dxa"/>
            <w:tcBorders>
              <w:top w:val="nil"/>
              <w:left w:val="nil"/>
              <w:bottom w:val="nil"/>
              <w:right w:val="single" w:sz="4" w:space="0" w:color="auto"/>
            </w:tcBorders>
            <w:shd w:val="clear" w:color="auto" w:fill="auto"/>
            <w:noWrap/>
            <w:vAlign w:val="center"/>
          </w:tcPr>
          <w:p w:rsidR="005A1ED7" w:rsidRDefault="005A1ED7" w:rsidP="001B2A36">
            <w:pPr>
              <w:tabs>
                <w:tab w:val="decimal" w:pos="200"/>
              </w:tabs>
              <w:jc w:val="center"/>
              <w:rPr>
                <w:color w:val="000000"/>
                <w:sz w:val="20"/>
                <w:szCs w:val="20"/>
              </w:rPr>
            </w:pPr>
            <w:r>
              <w:rPr>
                <w:color w:val="000000"/>
                <w:sz w:val="20"/>
                <w:szCs w:val="20"/>
              </w:rPr>
              <w:t>0.586</w:t>
            </w:r>
          </w:p>
        </w:tc>
        <w:tc>
          <w:tcPr>
            <w:tcW w:w="1387" w:type="dxa"/>
            <w:tcBorders>
              <w:top w:val="nil"/>
              <w:left w:val="nil"/>
              <w:bottom w:val="nil"/>
              <w:right w:val="double" w:sz="6" w:space="0" w:color="auto"/>
            </w:tcBorders>
            <w:shd w:val="clear" w:color="auto" w:fill="auto"/>
            <w:noWrap/>
            <w:vAlign w:val="center"/>
          </w:tcPr>
          <w:p w:rsidR="005A1ED7" w:rsidRDefault="005A1ED7" w:rsidP="001B2A36">
            <w:pPr>
              <w:tabs>
                <w:tab w:val="decimal" w:pos="193"/>
              </w:tabs>
              <w:jc w:val="center"/>
              <w:rPr>
                <w:color w:val="000000"/>
                <w:sz w:val="20"/>
                <w:szCs w:val="20"/>
              </w:rPr>
            </w:pPr>
            <w:r>
              <w:rPr>
                <w:color w:val="000000"/>
                <w:sz w:val="20"/>
                <w:szCs w:val="20"/>
              </w:rPr>
              <w:t>2.4%</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0.063</w:t>
            </w:r>
          </w:p>
        </w:tc>
        <w:tc>
          <w:tcPr>
            <w:tcW w:w="1660" w:type="dxa"/>
            <w:tcBorders>
              <w:top w:val="nil"/>
              <w:left w:val="nil"/>
              <w:bottom w:val="nil"/>
              <w:right w:val="single" w:sz="4" w:space="0" w:color="auto"/>
            </w:tcBorders>
            <w:shd w:val="clear" w:color="auto" w:fill="auto"/>
            <w:noWrap/>
            <w:vAlign w:val="center"/>
          </w:tcPr>
          <w:p w:rsidR="005A1ED7" w:rsidRPr="00752F0F" w:rsidRDefault="005A1ED7" w:rsidP="001B2A36">
            <w:pPr>
              <w:tabs>
                <w:tab w:val="decimal" w:pos="255"/>
                <w:tab w:val="decimal" w:pos="420"/>
              </w:tabs>
              <w:jc w:val="center"/>
              <w:rPr>
                <w:sz w:val="20"/>
                <w:szCs w:val="20"/>
              </w:rPr>
            </w:pPr>
            <w:r w:rsidRPr="00752F0F">
              <w:rPr>
                <w:sz w:val="20"/>
                <w:szCs w:val="20"/>
              </w:rPr>
              <w:t>0.061</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3.2%</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Pr="00DE08D7" w:rsidRDefault="00951026" w:rsidP="001B2A36">
            <w:pPr>
              <w:jc w:val="center"/>
              <w:rPr>
                <w:rFonts w:eastAsia="Times New Roman"/>
                <w:color w:val="000000"/>
                <w:sz w:val="20"/>
                <w:szCs w:val="20"/>
              </w:rPr>
            </w:pPr>
            <w:r w:rsidRPr="00951026">
              <w:rPr>
                <w:position w:val="-10"/>
              </w:rPr>
              <w:object w:dxaOrig="320" w:dyaOrig="340">
                <v:shape id="_x0000_i1431" type="#_x0000_t75" style="width:12.75pt;height:14.25pt" o:ole="" o:preferrelative="f">
                  <v:imagedata r:id="rId784" o:title=""/>
                </v:shape>
                <o:OLEObject Type="Embed" ProgID="Equation.3" ShapeID="_x0000_i1431" DrawAspect="Content" ObjectID="_1519137280" r:id="rId785"/>
              </w:object>
            </w:r>
          </w:p>
        </w:tc>
        <w:tc>
          <w:tcPr>
            <w:tcW w:w="1000" w:type="dxa"/>
            <w:tcBorders>
              <w:top w:val="nil"/>
              <w:left w:val="nil"/>
              <w:bottom w:val="nil"/>
              <w:right w:val="double" w:sz="6" w:space="0" w:color="auto"/>
            </w:tcBorders>
            <w:shd w:val="clear" w:color="auto" w:fill="auto"/>
            <w:noWrap/>
            <w:vAlign w:val="center"/>
          </w:tcPr>
          <w:p w:rsidR="005A1ED7" w:rsidRPr="003B7943" w:rsidRDefault="005A1ED7" w:rsidP="001B2A36">
            <w:pPr>
              <w:tabs>
                <w:tab w:val="decimal" w:pos="75"/>
              </w:tabs>
              <w:jc w:val="center"/>
              <w:rPr>
                <w:sz w:val="20"/>
                <w:szCs w:val="20"/>
              </w:rPr>
            </w:pPr>
            <w:r w:rsidRPr="003B7943">
              <w:rPr>
                <w:sz w:val="20"/>
                <w:szCs w:val="20"/>
              </w:rPr>
              <w:t>2.000</w:t>
            </w:r>
          </w:p>
        </w:tc>
        <w:tc>
          <w:tcPr>
            <w:tcW w:w="1027" w:type="dxa"/>
            <w:tcBorders>
              <w:top w:val="nil"/>
              <w:left w:val="nil"/>
              <w:bottom w:val="nil"/>
              <w:right w:val="single" w:sz="4" w:space="0" w:color="auto"/>
            </w:tcBorders>
            <w:shd w:val="clear" w:color="auto" w:fill="auto"/>
            <w:noWrap/>
            <w:vAlign w:val="center"/>
          </w:tcPr>
          <w:p w:rsidR="005A1ED7" w:rsidRPr="003B7943" w:rsidRDefault="005A1ED7" w:rsidP="001B2A36">
            <w:pPr>
              <w:tabs>
                <w:tab w:val="decimal" w:pos="200"/>
              </w:tabs>
              <w:jc w:val="center"/>
              <w:rPr>
                <w:sz w:val="20"/>
                <w:szCs w:val="20"/>
              </w:rPr>
            </w:pPr>
            <w:r w:rsidRPr="003B7943">
              <w:rPr>
                <w:sz w:val="20"/>
                <w:szCs w:val="20"/>
              </w:rPr>
              <w:t>1.901</w:t>
            </w:r>
          </w:p>
        </w:tc>
        <w:tc>
          <w:tcPr>
            <w:tcW w:w="1387" w:type="dxa"/>
            <w:tcBorders>
              <w:top w:val="nil"/>
              <w:left w:val="nil"/>
              <w:bottom w:val="nil"/>
              <w:right w:val="double" w:sz="6" w:space="0" w:color="auto"/>
            </w:tcBorders>
            <w:shd w:val="clear" w:color="auto" w:fill="auto"/>
            <w:noWrap/>
            <w:vAlign w:val="center"/>
          </w:tcPr>
          <w:p w:rsidR="005A1ED7" w:rsidRPr="00183B67" w:rsidRDefault="005A1ED7" w:rsidP="001B2A36">
            <w:pPr>
              <w:tabs>
                <w:tab w:val="decimal" w:pos="193"/>
              </w:tabs>
              <w:jc w:val="center"/>
              <w:rPr>
                <w:sz w:val="20"/>
                <w:szCs w:val="20"/>
              </w:rPr>
            </w:pPr>
            <w:r w:rsidRPr="00183B67">
              <w:rPr>
                <w:sz w:val="20"/>
                <w:szCs w:val="20"/>
              </w:rPr>
              <w:t>4.9</w:t>
            </w:r>
            <w:r>
              <w:rPr>
                <w:sz w:val="20"/>
                <w:szCs w:val="20"/>
              </w:rPr>
              <w:t>%</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0.419</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255"/>
                <w:tab w:val="decimal" w:pos="420"/>
              </w:tabs>
              <w:jc w:val="center"/>
              <w:rPr>
                <w:color w:val="000000"/>
                <w:sz w:val="20"/>
                <w:szCs w:val="20"/>
              </w:rPr>
            </w:pPr>
            <w:r>
              <w:rPr>
                <w:color w:val="000000"/>
                <w:sz w:val="20"/>
                <w:szCs w:val="20"/>
              </w:rPr>
              <w:t>0.407</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2.9%</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Pr="009D3D23" w:rsidRDefault="00951026" w:rsidP="001B2A36">
            <w:pPr>
              <w:jc w:val="center"/>
              <w:rPr>
                <w:rFonts w:eastAsia="Times New Roman"/>
                <w:color w:val="000000"/>
                <w:sz w:val="20"/>
                <w:szCs w:val="20"/>
              </w:rPr>
            </w:pPr>
            <w:r w:rsidRPr="00951026">
              <w:rPr>
                <w:position w:val="-10"/>
              </w:rPr>
              <w:object w:dxaOrig="320" w:dyaOrig="340">
                <v:shape id="_x0000_i1432" type="#_x0000_t75" style="width:12.75pt;height:14.25pt" o:ole="" o:preferrelative="f">
                  <v:imagedata r:id="rId786" o:title=""/>
                </v:shape>
                <o:OLEObject Type="Embed" ProgID="Equation.3" ShapeID="_x0000_i1432" DrawAspect="Content" ObjectID="_1519137281" r:id="rId787"/>
              </w:object>
            </w:r>
          </w:p>
        </w:tc>
        <w:tc>
          <w:tcPr>
            <w:tcW w:w="1000" w:type="dxa"/>
            <w:tcBorders>
              <w:top w:val="nil"/>
              <w:left w:val="nil"/>
              <w:bottom w:val="nil"/>
              <w:right w:val="double" w:sz="6" w:space="0" w:color="auto"/>
            </w:tcBorders>
            <w:shd w:val="clear" w:color="auto" w:fill="auto"/>
            <w:noWrap/>
            <w:vAlign w:val="center"/>
          </w:tcPr>
          <w:p w:rsidR="005A1ED7" w:rsidRPr="003B7943" w:rsidRDefault="005A1ED7" w:rsidP="001B2A36">
            <w:pPr>
              <w:tabs>
                <w:tab w:val="decimal" w:pos="75"/>
              </w:tabs>
              <w:jc w:val="center"/>
              <w:rPr>
                <w:sz w:val="20"/>
                <w:szCs w:val="20"/>
              </w:rPr>
            </w:pPr>
            <w:r w:rsidRPr="003B7943">
              <w:rPr>
                <w:sz w:val="20"/>
                <w:szCs w:val="20"/>
              </w:rPr>
              <w:t>1.500</w:t>
            </w:r>
          </w:p>
        </w:tc>
        <w:tc>
          <w:tcPr>
            <w:tcW w:w="1027" w:type="dxa"/>
            <w:tcBorders>
              <w:top w:val="nil"/>
              <w:left w:val="nil"/>
              <w:bottom w:val="nil"/>
              <w:right w:val="single" w:sz="4" w:space="0" w:color="auto"/>
            </w:tcBorders>
            <w:shd w:val="clear" w:color="auto" w:fill="auto"/>
            <w:noWrap/>
            <w:vAlign w:val="center"/>
          </w:tcPr>
          <w:p w:rsidR="005A1ED7" w:rsidRPr="003B7943" w:rsidRDefault="005A1ED7" w:rsidP="001B2A36">
            <w:pPr>
              <w:tabs>
                <w:tab w:val="decimal" w:pos="200"/>
              </w:tabs>
              <w:jc w:val="center"/>
              <w:rPr>
                <w:sz w:val="20"/>
                <w:szCs w:val="20"/>
              </w:rPr>
            </w:pPr>
            <w:r w:rsidRPr="003B7943">
              <w:rPr>
                <w:sz w:val="20"/>
                <w:szCs w:val="20"/>
              </w:rPr>
              <w:t>1.503</w:t>
            </w:r>
          </w:p>
        </w:tc>
        <w:tc>
          <w:tcPr>
            <w:tcW w:w="1387" w:type="dxa"/>
            <w:tcBorders>
              <w:top w:val="nil"/>
              <w:left w:val="nil"/>
              <w:bottom w:val="nil"/>
              <w:right w:val="double" w:sz="6" w:space="0" w:color="auto"/>
            </w:tcBorders>
            <w:shd w:val="clear" w:color="auto" w:fill="auto"/>
            <w:noWrap/>
            <w:vAlign w:val="center"/>
          </w:tcPr>
          <w:p w:rsidR="005A1ED7" w:rsidRPr="00183B67" w:rsidRDefault="005A1ED7" w:rsidP="001B2A36">
            <w:pPr>
              <w:tabs>
                <w:tab w:val="decimal" w:pos="193"/>
              </w:tabs>
              <w:jc w:val="center"/>
              <w:rPr>
                <w:sz w:val="20"/>
                <w:szCs w:val="20"/>
              </w:rPr>
            </w:pPr>
            <w:r w:rsidRPr="00183B67">
              <w:rPr>
                <w:sz w:val="20"/>
                <w:szCs w:val="20"/>
              </w:rPr>
              <w:t>0.2</w:t>
            </w:r>
            <w:r>
              <w:rPr>
                <w:sz w:val="20"/>
                <w:szCs w:val="20"/>
              </w:rPr>
              <w:t>%</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0.141</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255"/>
                <w:tab w:val="decimal" w:pos="420"/>
              </w:tabs>
              <w:jc w:val="center"/>
              <w:rPr>
                <w:color w:val="000000"/>
                <w:sz w:val="20"/>
                <w:szCs w:val="20"/>
              </w:rPr>
            </w:pPr>
            <w:r>
              <w:rPr>
                <w:color w:val="000000"/>
                <w:sz w:val="20"/>
                <w:szCs w:val="20"/>
              </w:rPr>
              <w:t>0.136</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3.5%</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Pr="009D3D23" w:rsidRDefault="00951026" w:rsidP="001B2A36">
            <w:pPr>
              <w:jc w:val="center"/>
              <w:rPr>
                <w:rFonts w:eastAsia="Times New Roman"/>
                <w:color w:val="000000"/>
                <w:sz w:val="20"/>
                <w:szCs w:val="20"/>
              </w:rPr>
            </w:pPr>
            <w:r w:rsidRPr="00951026">
              <w:rPr>
                <w:position w:val="-12"/>
              </w:rPr>
              <w:object w:dxaOrig="320" w:dyaOrig="360">
                <v:shape id="_x0000_i1433" type="#_x0000_t75" style="width:12.75pt;height:15pt" o:ole="" o:preferrelative="f">
                  <v:imagedata r:id="rId788" o:title=""/>
                </v:shape>
                <o:OLEObject Type="Embed" ProgID="Equation.3" ShapeID="_x0000_i1433" DrawAspect="Content" ObjectID="_1519137282" r:id="rId789"/>
              </w:object>
            </w:r>
          </w:p>
        </w:tc>
        <w:tc>
          <w:tcPr>
            <w:tcW w:w="1000" w:type="dxa"/>
            <w:tcBorders>
              <w:top w:val="nil"/>
              <w:left w:val="nil"/>
              <w:bottom w:val="nil"/>
              <w:right w:val="double" w:sz="6" w:space="0" w:color="auto"/>
            </w:tcBorders>
            <w:shd w:val="clear" w:color="auto" w:fill="auto"/>
            <w:noWrap/>
            <w:vAlign w:val="center"/>
          </w:tcPr>
          <w:p w:rsidR="005A1ED7" w:rsidRPr="003B7943" w:rsidRDefault="005A1ED7" w:rsidP="001B2A36">
            <w:pPr>
              <w:tabs>
                <w:tab w:val="decimal" w:pos="75"/>
              </w:tabs>
              <w:jc w:val="center"/>
              <w:rPr>
                <w:sz w:val="20"/>
                <w:szCs w:val="20"/>
              </w:rPr>
            </w:pPr>
            <w:r w:rsidRPr="003B7943">
              <w:rPr>
                <w:sz w:val="20"/>
                <w:szCs w:val="20"/>
              </w:rPr>
              <w:t>0.200</w:t>
            </w:r>
          </w:p>
        </w:tc>
        <w:tc>
          <w:tcPr>
            <w:tcW w:w="1027" w:type="dxa"/>
            <w:tcBorders>
              <w:top w:val="nil"/>
              <w:left w:val="nil"/>
              <w:bottom w:val="nil"/>
              <w:right w:val="single" w:sz="4" w:space="0" w:color="auto"/>
            </w:tcBorders>
            <w:shd w:val="clear" w:color="auto" w:fill="auto"/>
            <w:noWrap/>
            <w:vAlign w:val="center"/>
          </w:tcPr>
          <w:p w:rsidR="005A1ED7" w:rsidRPr="003B7943" w:rsidRDefault="005A1ED7" w:rsidP="001B2A36">
            <w:pPr>
              <w:tabs>
                <w:tab w:val="decimal" w:pos="200"/>
              </w:tabs>
              <w:jc w:val="center"/>
              <w:rPr>
                <w:sz w:val="20"/>
                <w:szCs w:val="20"/>
              </w:rPr>
            </w:pPr>
            <w:r w:rsidRPr="003B7943">
              <w:rPr>
                <w:sz w:val="20"/>
                <w:szCs w:val="20"/>
              </w:rPr>
              <w:t>0.196</w:t>
            </w:r>
          </w:p>
        </w:tc>
        <w:tc>
          <w:tcPr>
            <w:tcW w:w="1387" w:type="dxa"/>
            <w:tcBorders>
              <w:top w:val="nil"/>
              <w:left w:val="nil"/>
              <w:bottom w:val="nil"/>
              <w:right w:val="double" w:sz="6" w:space="0" w:color="auto"/>
            </w:tcBorders>
            <w:shd w:val="clear" w:color="auto" w:fill="auto"/>
            <w:noWrap/>
            <w:vAlign w:val="center"/>
          </w:tcPr>
          <w:p w:rsidR="005A1ED7" w:rsidRPr="00183B67" w:rsidRDefault="005A1ED7" w:rsidP="001B2A36">
            <w:pPr>
              <w:tabs>
                <w:tab w:val="decimal" w:pos="193"/>
              </w:tabs>
              <w:jc w:val="center"/>
              <w:rPr>
                <w:sz w:val="20"/>
                <w:szCs w:val="20"/>
              </w:rPr>
            </w:pPr>
            <w:r w:rsidRPr="00183B67">
              <w:rPr>
                <w:sz w:val="20"/>
                <w:szCs w:val="20"/>
              </w:rPr>
              <w:t>2.2</w:t>
            </w:r>
            <w:r>
              <w:rPr>
                <w:sz w:val="20"/>
                <w:szCs w:val="20"/>
              </w:rPr>
              <w:t>%</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0.032</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255"/>
                <w:tab w:val="decimal" w:pos="420"/>
              </w:tabs>
              <w:jc w:val="center"/>
              <w:rPr>
                <w:color w:val="000000"/>
                <w:sz w:val="20"/>
                <w:szCs w:val="20"/>
              </w:rPr>
            </w:pPr>
            <w:r>
              <w:rPr>
                <w:color w:val="000000"/>
                <w:sz w:val="20"/>
                <w:szCs w:val="20"/>
              </w:rPr>
              <w:t>0.035</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8.2%</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Pr="009D3D23" w:rsidRDefault="00951026" w:rsidP="00951026">
            <w:pPr>
              <w:jc w:val="center"/>
              <w:rPr>
                <w:rFonts w:eastAsia="Times New Roman"/>
                <w:color w:val="000000"/>
                <w:sz w:val="20"/>
                <w:szCs w:val="20"/>
              </w:rPr>
            </w:pPr>
            <w:r w:rsidRPr="00211E01">
              <w:rPr>
                <w:position w:val="-6"/>
                <w:sz w:val="20"/>
                <w:szCs w:val="20"/>
              </w:rPr>
              <w:object w:dxaOrig="220" w:dyaOrig="340">
                <v:shape id="_x0000_i1434" type="#_x0000_t75" style="width:9.75pt;height:15pt" o:ole="" o:preferrelative="f">
                  <v:imagedata r:id="rId790" o:title=""/>
                </v:shape>
                <o:OLEObject Type="Embed" ProgID="Equation.3" ShapeID="_x0000_i1434" DrawAspect="Content" ObjectID="_1519137283" r:id="rId791"/>
              </w:object>
            </w:r>
          </w:p>
        </w:tc>
        <w:tc>
          <w:tcPr>
            <w:tcW w:w="1000" w:type="dxa"/>
            <w:tcBorders>
              <w:top w:val="nil"/>
              <w:left w:val="nil"/>
              <w:bottom w:val="nil"/>
              <w:right w:val="double" w:sz="6" w:space="0" w:color="auto"/>
            </w:tcBorders>
            <w:shd w:val="clear" w:color="auto" w:fill="auto"/>
            <w:noWrap/>
            <w:vAlign w:val="center"/>
          </w:tcPr>
          <w:p w:rsidR="005A1ED7" w:rsidRPr="003B7943" w:rsidRDefault="005A1ED7" w:rsidP="001B2A36">
            <w:pPr>
              <w:tabs>
                <w:tab w:val="decimal" w:pos="75"/>
              </w:tabs>
              <w:jc w:val="center"/>
              <w:rPr>
                <w:sz w:val="20"/>
                <w:szCs w:val="20"/>
              </w:rPr>
            </w:pPr>
            <w:r>
              <w:rPr>
                <w:sz w:val="20"/>
                <w:szCs w:val="20"/>
              </w:rPr>
              <w:t>0.500</w:t>
            </w:r>
          </w:p>
        </w:tc>
        <w:tc>
          <w:tcPr>
            <w:tcW w:w="1027" w:type="dxa"/>
            <w:tcBorders>
              <w:top w:val="nil"/>
              <w:left w:val="nil"/>
              <w:bottom w:val="nil"/>
              <w:right w:val="single" w:sz="4" w:space="0" w:color="auto"/>
            </w:tcBorders>
            <w:shd w:val="clear" w:color="auto" w:fill="auto"/>
            <w:noWrap/>
            <w:vAlign w:val="center"/>
          </w:tcPr>
          <w:p w:rsidR="005A1ED7" w:rsidRPr="003B7943" w:rsidRDefault="005A1ED7" w:rsidP="001B2A36">
            <w:pPr>
              <w:tabs>
                <w:tab w:val="decimal" w:pos="200"/>
              </w:tabs>
              <w:jc w:val="center"/>
              <w:rPr>
                <w:sz w:val="20"/>
                <w:szCs w:val="20"/>
              </w:rPr>
            </w:pPr>
            <w:r>
              <w:rPr>
                <w:sz w:val="20"/>
                <w:szCs w:val="20"/>
              </w:rPr>
              <w:t>0.500</w:t>
            </w:r>
          </w:p>
        </w:tc>
        <w:tc>
          <w:tcPr>
            <w:tcW w:w="1387" w:type="dxa"/>
            <w:tcBorders>
              <w:top w:val="nil"/>
              <w:left w:val="nil"/>
              <w:bottom w:val="nil"/>
              <w:right w:val="double" w:sz="6" w:space="0" w:color="auto"/>
            </w:tcBorders>
            <w:shd w:val="clear" w:color="auto" w:fill="auto"/>
            <w:noWrap/>
            <w:vAlign w:val="center"/>
          </w:tcPr>
          <w:p w:rsidR="005A1ED7" w:rsidRPr="00183B67" w:rsidRDefault="005A1ED7" w:rsidP="001B2A36">
            <w:pPr>
              <w:tabs>
                <w:tab w:val="decimal" w:pos="193"/>
              </w:tabs>
              <w:jc w:val="center"/>
              <w:rPr>
                <w:sz w:val="20"/>
                <w:szCs w:val="20"/>
              </w:rPr>
            </w:pPr>
            <w:r>
              <w:rPr>
                <w:sz w:val="20"/>
                <w:szCs w:val="20"/>
              </w:rPr>
              <w:t>0.0%</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0.013</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255"/>
                <w:tab w:val="decimal" w:pos="420"/>
              </w:tabs>
              <w:jc w:val="center"/>
              <w:rPr>
                <w:color w:val="000000"/>
                <w:sz w:val="20"/>
                <w:szCs w:val="20"/>
              </w:rPr>
            </w:pPr>
            <w:r>
              <w:rPr>
                <w:color w:val="000000"/>
                <w:sz w:val="20"/>
                <w:szCs w:val="20"/>
              </w:rPr>
              <w:t>0.012</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12.4%</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Pr="00C3775E" w:rsidRDefault="008E07A2" w:rsidP="001B2A36">
            <w:pPr>
              <w:jc w:val="center"/>
              <w:rPr>
                <w:rFonts w:eastAsia="Times New Roman"/>
                <w:i/>
                <w:color w:val="000000"/>
                <w:sz w:val="20"/>
                <w:szCs w:val="20"/>
              </w:rPr>
            </w:pPr>
            <w:r w:rsidRPr="006C6D2A">
              <w:rPr>
                <w:position w:val="-14"/>
                <w:szCs w:val="24"/>
              </w:rPr>
              <w:object w:dxaOrig="420" w:dyaOrig="380">
                <v:shape id="_x0000_i1435" type="#_x0000_t75" style="width:17.25pt;height:15.75pt" o:ole="" o:preferrelative="f">
                  <v:imagedata r:id="rId792" o:title=""/>
                </v:shape>
                <o:OLEObject Type="Embed" ProgID="Equation.3" ShapeID="_x0000_i1435" DrawAspect="Content" ObjectID="_1519137284" r:id="rId793"/>
              </w:object>
            </w:r>
          </w:p>
        </w:tc>
        <w:tc>
          <w:tcPr>
            <w:tcW w:w="1000" w:type="dxa"/>
            <w:tcBorders>
              <w:top w:val="nil"/>
              <w:left w:val="nil"/>
              <w:bottom w:val="nil"/>
              <w:right w:val="double" w:sz="6" w:space="0" w:color="auto"/>
            </w:tcBorders>
            <w:shd w:val="clear" w:color="auto" w:fill="auto"/>
            <w:noWrap/>
            <w:vAlign w:val="center"/>
          </w:tcPr>
          <w:p w:rsidR="005A1ED7" w:rsidRDefault="005A1ED7" w:rsidP="001B2A36">
            <w:pPr>
              <w:tabs>
                <w:tab w:val="decimal" w:pos="75"/>
              </w:tabs>
              <w:jc w:val="center"/>
              <w:rPr>
                <w:color w:val="000000"/>
                <w:sz w:val="20"/>
                <w:szCs w:val="20"/>
              </w:rPr>
            </w:pPr>
            <w:r>
              <w:rPr>
                <w:color w:val="000000"/>
                <w:sz w:val="20"/>
                <w:szCs w:val="20"/>
              </w:rPr>
              <w:t>0.500</w:t>
            </w:r>
          </w:p>
        </w:tc>
        <w:tc>
          <w:tcPr>
            <w:tcW w:w="1027" w:type="dxa"/>
            <w:tcBorders>
              <w:top w:val="nil"/>
              <w:left w:val="nil"/>
              <w:bottom w:val="nil"/>
              <w:right w:val="single" w:sz="4" w:space="0" w:color="auto"/>
            </w:tcBorders>
            <w:shd w:val="clear" w:color="auto" w:fill="auto"/>
            <w:noWrap/>
            <w:vAlign w:val="center"/>
          </w:tcPr>
          <w:p w:rsidR="005A1ED7" w:rsidRDefault="005A1ED7" w:rsidP="001B2A36">
            <w:pPr>
              <w:tabs>
                <w:tab w:val="decimal" w:pos="200"/>
              </w:tabs>
              <w:jc w:val="center"/>
              <w:rPr>
                <w:color w:val="000000"/>
                <w:sz w:val="20"/>
                <w:szCs w:val="20"/>
              </w:rPr>
            </w:pPr>
            <w:r>
              <w:rPr>
                <w:color w:val="000000"/>
                <w:sz w:val="20"/>
                <w:szCs w:val="20"/>
              </w:rPr>
              <w:t>0.476</w:t>
            </w:r>
          </w:p>
        </w:tc>
        <w:tc>
          <w:tcPr>
            <w:tcW w:w="1387" w:type="dxa"/>
            <w:tcBorders>
              <w:top w:val="nil"/>
              <w:left w:val="nil"/>
              <w:bottom w:val="nil"/>
              <w:right w:val="double" w:sz="6" w:space="0" w:color="auto"/>
            </w:tcBorders>
            <w:shd w:val="clear" w:color="auto" w:fill="auto"/>
            <w:noWrap/>
            <w:vAlign w:val="center"/>
          </w:tcPr>
          <w:p w:rsidR="005A1ED7" w:rsidRDefault="005A1ED7" w:rsidP="001B2A36">
            <w:pPr>
              <w:tabs>
                <w:tab w:val="decimal" w:pos="193"/>
              </w:tabs>
              <w:jc w:val="center"/>
              <w:rPr>
                <w:color w:val="000000"/>
                <w:sz w:val="20"/>
                <w:szCs w:val="20"/>
              </w:rPr>
            </w:pPr>
            <w:r>
              <w:rPr>
                <w:color w:val="000000"/>
                <w:sz w:val="20"/>
                <w:szCs w:val="20"/>
              </w:rPr>
              <w:t>4.7%</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0.055</w:t>
            </w:r>
          </w:p>
        </w:tc>
        <w:tc>
          <w:tcPr>
            <w:tcW w:w="1660" w:type="dxa"/>
            <w:tcBorders>
              <w:top w:val="nil"/>
              <w:left w:val="nil"/>
              <w:bottom w:val="nil"/>
              <w:right w:val="single" w:sz="4" w:space="0" w:color="auto"/>
            </w:tcBorders>
            <w:shd w:val="clear" w:color="auto" w:fill="auto"/>
            <w:noWrap/>
            <w:vAlign w:val="center"/>
          </w:tcPr>
          <w:p w:rsidR="005A1ED7" w:rsidRPr="00752F0F" w:rsidRDefault="005A1ED7" w:rsidP="001B2A36">
            <w:pPr>
              <w:tabs>
                <w:tab w:val="decimal" w:pos="255"/>
                <w:tab w:val="decimal" w:pos="420"/>
              </w:tabs>
              <w:jc w:val="center"/>
              <w:rPr>
                <w:sz w:val="20"/>
                <w:szCs w:val="20"/>
              </w:rPr>
            </w:pPr>
            <w:r w:rsidRPr="00752F0F">
              <w:rPr>
                <w:sz w:val="20"/>
                <w:szCs w:val="20"/>
              </w:rPr>
              <w:t>0.057</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2.5%</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Pr="00C3775E" w:rsidRDefault="008E07A2" w:rsidP="001B2A36">
            <w:pPr>
              <w:jc w:val="center"/>
              <w:rPr>
                <w:rFonts w:eastAsia="Times New Roman"/>
                <w:i/>
                <w:color w:val="000000"/>
                <w:sz w:val="20"/>
                <w:szCs w:val="20"/>
              </w:rPr>
            </w:pPr>
            <w:r w:rsidRPr="006C6D2A">
              <w:rPr>
                <w:position w:val="-14"/>
                <w:szCs w:val="24"/>
              </w:rPr>
              <w:object w:dxaOrig="420" w:dyaOrig="380">
                <v:shape id="_x0000_i1436" type="#_x0000_t75" style="width:17.25pt;height:15.75pt" o:ole="" o:preferrelative="f">
                  <v:imagedata r:id="rId794" o:title=""/>
                </v:shape>
                <o:OLEObject Type="Embed" ProgID="Equation.3" ShapeID="_x0000_i1436" DrawAspect="Content" ObjectID="_1519137285" r:id="rId795"/>
              </w:object>
            </w:r>
          </w:p>
        </w:tc>
        <w:tc>
          <w:tcPr>
            <w:tcW w:w="1000" w:type="dxa"/>
            <w:tcBorders>
              <w:top w:val="nil"/>
              <w:left w:val="nil"/>
              <w:bottom w:val="nil"/>
              <w:right w:val="double" w:sz="6" w:space="0" w:color="auto"/>
            </w:tcBorders>
            <w:shd w:val="clear" w:color="auto" w:fill="auto"/>
            <w:noWrap/>
            <w:vAlign w:val="center"/>
          </w:tcPr>
          <w:p w:rsidR="005A1ED7" w:rsidRDefault="005A1ED7" w:rsidP="001B2A36">
            <w:pPr>
              <w:tabs>
                <w:tab w:val="decimal" w:pos="75"/>
              </w:tabs>
              <w:jc w:val="center"/>
              <w:rPr>
                <w:color w:val="000000"/>
                <w:sz w:val="20"/>
                <w:szCs w:val="20"/>
              </w:rPr>
            </w:pPr>
            <w:r>
              <w:rPr>
                <w:color w:val="000000"/>
                <w:sz w:val="20"/>
                <w:szCs w:val="20"/>
              </w:rPr>
              <w:t>0.</w:t>
            </w:r>
            <w:r w:rsidR="003F39AE">
              <w:rPr>
                <w:color w:val="000000"/>
                <w:sz w:val="20"/>
                <w:szCs w:val="20"/>
              </w:rPr>
              <w:t>866</w:t>
            </w:r>
          </w:p>
        </w:tc>
        <w:tc>
          <w:tcPr>
            <w:tcW w:w="1027" w:type="dxa"/>
            <w:tcBorders>
              <w:top w:val="nil"/>
              <w:left w:val="nil"/>
              <w:bottom w:val="nil"/>
              <w:right w:val="single" w:sz="4" w:space="0" w:color="auto"/>
            </w:tcBorders>
            <w:shd w:val="clear" w:color="auto" w:fill="auto"/>
            <w:noWrap/>
            <w:vAlign w:val="center"/>
          </w:tcPr>
          <w:p w:rsidR="005A1ED7" w:rsidRDefault="005A1ED7" w:rsidP="001B2A36">
            <w:pPr>
              <w:tabs>
                <w:tab w:val="decimal" w:pos="200"/>
              </w:tabs>
              <w:jc w:val="center"/>
              <w:rPr>
                <w:color w:val="000000"/>
                <w:sz w:val="20"/>
                <w:szCs w:val="20"/>
              </w:rPr>
            </w:pPr>
            <w:r>
              <w:rPr>
                <w:color w:val="000000"/>
                <w:sz w:val="20"/>
                <w:szCs w:val="20"/>
              </w:rPr>
              <w:t>0.</w:t>
            </w:r>
            <w:r w:rsidR="003F39AE">
              <w:rPr>
                <w:color w:val="000000"/>
                <w:sz w:val="20"/>
                <w:szCs w:val="20"/>
              </w:rPr>
              <w:t>865</w:t>
            </w:r>
          </w:p>
        </w:tc>
        <w:tc>
          <w:tcPr>
            <w:tcW w:w="1387" w:type="dxa"/>
            <w:tcBorders>
              <w:top w:val="nil"/>
              <w:left w:val="nil"/>
              <w:bottom w:val="nil"/>
              <w:right w:val="double" w:sz="6" w:space="0" w:color="auto"/>
            </w:tcBorders>
            <w:shd w:val="clear" w:color="auto" w:fill="auto"/>
            <w:noWrap/>
            <w:vAlign w:val="center"/>
          </w:tcPr>
          <w:p w:rsidR="005A1ED7" w:rsidRDefault="003F39AE" w:rsidP="001B2A36">
            <w:pPr>
              <w:tabs>
                <w:tab w:val="decimal" w:pos="193"/>
              </w:tabs>
              <w:jc w:val="center"/>
              <w:rPr>
                <w:color w:val="000000"/>
                <w:sz w:val="20"/>
                <w:szCs w:val="20"/>
              </w:rPr>
            </w:pPr>
            <w:r>
              <w:rPr>
                <w:color w:val="000000"/>
                <w:sz w:val="20"/>
                <w:szCs w:val="20"/>
              </w:rPr>
              <w:t>0.2</w:t>
            </w:r>
            <w:r w:rsidR="005A1ED7">
              <w:rPr>
                <w:color w:val="000000"/>
                <w:sz w:val="20"/>
                <w:szCs w:val="20"/>
              </w:rPr>
              <w:t>%</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0.040</w:t>
            </w:r>
          </w:p>
        </w:tc>
        <w:tc>
          <w:tcPr>
            <w:tcW w:w="1660" w:type="dxa"/>
            <w:tcBorders>
              <w:top w:val="nil"/>
              <w:left w:val="nil"/>
              <w:bottom w:val="nil"/>
              <w:right w:val="single" w:sz="4" w:space="0" w:color="auto"/>
            </w:tcBorders>
            <w:shd w:val="clear" w:color="auto" w:fill="auto"/>
            <w:noWrap/>
            <w:vAlign w:val="center"/>
          </w:tcPr>
          <w:p w:rsidR="005A1ED7" w:rsidRPr="00752F0F" w:rsidRDefault="005A1ED7" w:rsidP="001B2A36">
            <w:pPr>
              <w:tabs>
                <w:tab w:val="decimal" w:pos="255"/>
                <w:tab w:val="decimal" w:pos="420"/>
              </w:tabs>
              <w:jc w:val="center"/>
              <w:rPr>
                <w:sz w:val="20"/>
                <w:szCs w:val="20"/>
              </w:rPr>
            </w:pPr>
            <w:r w:rsidRPr="00752F0F">
              <w:rPr>
                <w:sz w:val="20"/>
                <w:szCs w:val="20"/>
              </w:rPr>
              <w:t>0.044</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9.6%</w:t>
            </w:r>
          </w:p>
        </w:tc>
      </w:tr>
      <w:tr w:rsidR="003F39AE"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3F39AE" w:rsidRPr="00C3775E" w:rsidRDefault="008E07A2" w:rsidP="001B2A36">
            <w:pPr>
              <w:jc w:val="center"/>
              <w:rPr>
                <w:rFonts w:eastAsia="Times New Roman"/>
                <w:i/>
                <w:color w:val="000000"/>
                <w:sz w:val="20"/>
                <w:szCs w:val="20"/>
              </w:rPr>
            </w:pPr>
            <w:r w:rsidRPr="006C6D2A">
              <w:rPr>
                <w:position w:val="-14"/>
                <w:szCs w:val="24"/>
              </w:rPr>
              <w:object w:dxaOrig="420" w:dyaOrig="380">
                <v:shape id="_x0000_i1437" type="#_x0000_t75" style="width:17.25pt;height:15.75pt" o:ole="" o:preferrelative="f">
                  <v:imagedata r:id="rId796" o:title=""/>
                </v:shape>
                <o:OLEObject Type="Embed" ProgID="Equation.3" ShapeID="_x0000_i1437" DrawAspect="Content" ObjectID="_1519137286" r:id="rId797"/>
              </w:object>
            </w:r>
          </w:p>
        </w:tc>
        <w:tc>
          <w:tcPr>
            <w:tcW w:w="1000" w:type="dxa"/>
            <w:tcBorders>
              <w:top w:val="nil"/>
              <w:left w:val="nil"/>
              <w:bottom w:val="nil"/>
              <w:right w:val="double" w:sz="6" w:space="0" w:color="auto"/>
            </w:tcBorders>
            <w:shd w:val="clear" w:color="auto" w:fill="auto"/>
            <w:noWrap/>
            <w:vAlign w:val="center"/>
          </w:tcPr>
          <w:p w:rsidR="003F39AE" w:rsidRDefault="003F39AE" w:rsidP="001B2A36">
            <w:pPr>
              <w:tabs>
                <w:tab w:val="decimal" w:pos="75"/>
              </w:tabs>
              <w:jc w:val="center"/>
              <w:rPr>
                <w:color w:val="000000"/>
                <w:sz w:val="20"/>
                <w:szCs w:val="20"/>
              </w:rPr>
            </w:pPr>
            <w:r>
              <w:rPr>
                <w:color w:val="000000"/>
                <w:sz w:val="20"/>
                <w:szCs w:val="20"/>
              </w:rPr>
              <w:t>0.700</w:t>
            </w:r>
          </w:p>
        </w:tc>
        <w:tc>
          <w:tcPr>
            <w:tcW w:w="1027" w:type="dxa"/>
            <w:tcBorders>
              <w:top w:val="nil"/>
              <w:left w:val="nil"/>
              <w:bottom w:val="nil"/>
              <w:right w:val="single" w:sz="4" w:space="0" w:color="auto"/>
            </w:tcBorders>
            <w:shd w:val="clear" w:color="auto" w:fill="auto"/>
            <w:noWrap/>
            <w:vAlign w:val="center"/>
          </w:tcPr>
          <w:p w:rsidR="003F39AE" w:rsidRDefault="003F39AE" w:rsidP="001B2A36">
            <w:pPr>
              <w:tabs>
                <w:tab w:val="decimal" w:pos="200"/>
              </w:tabs>
              <w:jc w:val="center"/>
              <w:rPr>
                <w:color w:val="000000"/>
                <w:sz w:val="20"/>
                <w:szCs w:val="20"/>
              </w:rPr>
            </w:pPr>
            <w:r>
              <w:rPr>
                <w:color w:val="000000"/>
                <w:sz w:val="20"/>
                <w:szCs w:val="20"/>
              </w:rPr>
              <w:t>0.666</w:t>
            </w:r>
          </w:p>
        </w:tc>
        <w:tc>
          <w:tcPr>
            <w:tcW w:w="1387" w:type="dxa"/>
            <w:tcBorders>
              <w:top w:val="nil"/>
              <w:left w:val="nil"/>
              <w:bottom w:val="nil"/>
              <w:right w:val="double" w:sz="6" w:space="0" w:color="auto"/>
            </w:tcBorders>
            <w:shd w:val="clear" w:color="auto" w:fill="auto"/>
            <w:noWrap/>
            <w:vAlign w:val="center"/>
          </w:tcPr>
          <w:p w:rsidR="003F39AE" w:rsidRDefault="003F39AE" w:rsidP="001B2A36">
            <w:pPr>
              <w:tabs>
                <w:tab w:val="decimal" w:pos="193"/>
              </w:tabs>
              <w:jc w:val="center"/>
              <w:rPr>
                <w:color w:val="000000"/>
                <w:sz w:val="20"/>
                <w:szCs w:val="20"/>
              </w:rPr>
            </w:pPr>
            <w:r>
              <w:rPr>
                <w:color w:val="000000"/>
                <w:sz w:val="20"/>
                <w:szCs w:val="20"/>
              </w:rPr>
              <w:t>4.9%</w:t>
            </w:r>
          </w:p>
        </w:tc>
        <w:tc>
          <w:tcPr>
            <w:tcW w:w="1660" w:type="dxa"/>
            <w:tcBorders>
              <w:top w:val="nil"/>
              <w:left w:val="nil"/>
              <w:bottom w:val="nil"/>
              <w:right w:val="single" w:sz="4" w:space="0" w:color="auto"/>
            </w:tcBorders>
            <w:shd w:val="clear" w:color="auto" w:fill="auto"/>
            <w:noWrap/>
            <w:vAlign w:val="center"/>
          </w:tcPr>
          <w:p w:rsidR="003F39AE" w:rsidRDefault="003F39AE" w:rsidP="001B2A36">
            <w:pPr>
              <w:tabs>
                <w:tab w:val="decimal" w:pos="190"/>
              </w:tabs>
              <w:jc w:val="center"/>
              <w:rPr>
                <w:color w:val="000000"/>
                <w:sz w:val="20"/>
                <w:szCs w:val="20"/>
              </w:rPr>
            </w:pPr>
            <w:r>
              <w:rPr>
                <w:color w:val="000000"/>
                <w:sz w:val="20"/>
                <w:szCs w:val="20"/>
              </w:rPr>
              <w:t>0.049</w:t>
            </w:r>
          </w:p>
        </w:tc>
        <w:tc>
          <w:tcPr>
            <w:tcW w:w="1660" w:type="dxa"/>
            <w:tcBorders>
              <w:top w:val="nil"/>
              <w:left w:val="nil"/>
              <w:bottom w:val="nil"/>
              <w:right w:val="single" w:sz="4" w:space="0" w:color="auto"/>
            </w:tcBorders>
            <w:shd w:val="clear" w:color="auto" w:fill="auto"/>
            <w:noWrap/>
            <w:vAlign w:val="center"/>
          </w:tcPr>
          <w:p w:rsidR="003F39AE" w:rsidRPr="00752F0F" w:rsidRDefault="003F39AE" w:rsidP="001B2A36">
            <w:pPr>
              <w:tabs>
                <w:tab w:val="decimal" w:pos="255"/>
                <w:tab w:val="decimal" w:pos="420"/>
              </w:tabs>
              <w:jc w:val="center"/>
              <w:rPr>
                <w:sz w:val="20"/>
                <w:szCs w:val="20"/>
              </w:rPr>
            </w:pPr>
            <w:r w:rsidRPr="00752F0F">
              <w:rPr>
                <w:sz w:val="20"/>
                <w:szCs w:val="20"/>
              </w:rPr>
              <w:t>0.0</w:t>
            </w:r>
            <w:r>
              <w:rPr>
                <w:sz w:val="20"/>
                <w:szCs w:val="20"/>
              </w:rPr>
              <w:t>36</w:t>
            </w:r>
          </w:p>
        </w:tc>
        <w:tc>
          <w:tcPr>
            <w:tcW w:w="1874" w:type="dxa"/>
            <w:tcBorders>
              <w:top w:val="nil"/>
              <w:left w:val="nil"/>
              <w:bottom w:val="nil"/>
              <w:right w:val="double" w:sz="6" w:space="0" w:color="auto"/>
            </w:tcBorders>
            <w:shd w:val="clear" w:color="auto" w:fill="auto"/>
            <w:noWrap/>
            <w:vAlign w:val="center"/>
          </w:tcPr>
          <w:p w:rsidR="003F39AE" w:rsidRDefault="003F39AE" w:rsidP="001B2A36">
            <w:pPr>
              <w:tabs>
                <w:tab w:val="decimal" w:pos="290"/>
              </w:tabs>
              <w:jc w:val="center"/>
              <w:rPr>
                <w:color w:val="000000"/>
                <w:sz w:val="20"/>
                <w:szCs w:val="20"/>
              </w:rPr>
            </w:pPr>
            <w:r>
              <w:rPr>
                <w:color w:val="000000"/>
                <w:sz w:val="20"/>
                <w:szCs w:val="20"/>
              </w:rPr>
              <w:t>35.6%</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Pr="00C3775E" w:rsidRDefault="008E07A2" w:rsidP="001B2A36">
            <w:pPr>
              <w:jc w:val="center"/>
              <w:rPr>
                <w:rFonts w:eastAsia="Times New Roman"/>
                <w:i/>
                <w:color w:val="000000"/>
                <w:sz w:val="20"/>
                <w:szCs w:val="20"/>
              </w:rPr>
            </w:pPr>
            <w:r w:rsidRPr="006C6D2A">
              <w:rPr>
                <w:position w:val="-14"/>
                <w:szCs w:val="24"/>
              </w:rPr>
              <w:object w:dxaOrig="420" w:dyaOrig="380">
                <v:shape id="_x0000_i1438" type="#_x0000_t75" style="width:17.25pt;height:15.75pt" o:ole="" o:preferrelative="f">
                  <v:imagedata r:id="rId798" o:title=""/>
                </v:shape>
                <o:OLEObject Type="Embed" ProgID="Equation.3" ShapeID="_x0000_i1438" DrawAspect="Content" ObjectID="_1519137287" r:id="rId799"/>
              </w:object>
            </w:r>
          </w:p>
        </w:tc>
        <w:tc>
          <w:tcPr>
            <w:tcW w:w="1000" w:type="dxa"/>
            <w:tcBorders>
              <w:top w:val="nil"/>
              <w:left w:val="nil"/>
              <w:bottom w:val="nil"/>
              <w:right w:val="double" w:sz="6" w:space="0" w:color="auto"/>
            </w:tcBorders>
            <w:shd w:val="clear" w:color="auto" w:fill="auto"/>
            <w:noWrap/>
            <w:vAlign w:val="center"/>
          </w:tcPr>
          <w:p w:rsidR="005A1ED7" w:rsidRDefault="005A1ED7" w:rsidP="001B2A36">
            <w:pPr>
              <w:tabs>
                <w:tab w:val="decimal" w:pos="75"/>
              </w:tabs>
              <w:jc w:val="center"/>
              <w:rPr>
                <w:color w:val="000000"/>
                <w:sz w:val="20"/>
                <w:szCs w:val="20"/>
              </w:rPr>
            </w:pPr>
            <w:r>
              <w:rPr>
                <w:color w:val="000000"/>
                <w:sz w:val="20"/>
                <w:szCs w:val="20"/>
              </w:rPr>
              <w:t>0.519</w:t>
            </w:r>
          </w:p>
        </w:tc>
        <w:tc>
          <w:tcPr>
            <w:tcW w:w="1027" w:type="dxa"/>
            <w:tcBorders>
              <w:top w:val="nil"/>
              <w:left w:val="nil"/>
              <w:bottom w:val="nil"/>
              <w:right w:val="single" w:sz="4" w:space="0" w:color="auto"/>
            </w:tcBorders>
            <w:shd w:val="clear" w:color="auto" w:fill="auto"/>
            <w:noWrap/>
            <w:vAlign w:val="center"/>
          </w:tcPr>
          <w:p w:rsidR="005A1ED7" w:rsidRDefault="005A1ED7" w:rsidP="001B2A36">
            <w:pPr>
              <w:tabs>
                <w:tab w:val="decimal" w:pos="200"/>
              </w:tabs>
              <w:jc w:val="center"/>
              <w:rPr>
                <w:color w:val="000000"/>
                <w:sz w:val="20"/>
                <w:szCs w:val="20"/>
              </w:rPr>
            </w:pPr>
            <w:r>
              <w:rPr>
                <w:color w:val="000000"/>
                <w:sz w:val="20"/>
                <w:szCs w:val="20"/>
              </w:rPr>
              <w:t>0.529</w:t>
            </w:r>
          </w:p>
        </w:tc>
        <w:tc>
          <w:tcPr>
            <w:tcW w:w="1387" w:type="dxa"/>
            <w:tcBorders>
              <w:top w:val="nil"/>
              <w:left w:val="nil"/>
              <w:bottom w:val="nil"/>
              <w:right w:val="double" w:sz="6" w:space="0" w:color="auto"/>
            </w:tcBorders>
            <w:shd w:val="clear" w:color="auto" w:fill="auto"/>
            <w:noWrap/>
            <w:vAlign w:val="center"/>
          </w:tcPr>
          <w:p w:rsidR="005A1ED7" w:rsidRDefault="005A1ED7" w:rsidP="001B2A36">
            <w:pPr>
              <w:tabs>
                <w:tab w:val="decimal" w:pos="193"/>
              </w:tabs>
              <w:jc w:val="center"/>
              <w:rPr>
                <w:color w:val="000000"/>
                <w:sz w:val="20"/>
                <w:szCs w:val="20"/>
              </w:rPr>
            </w:pPr>
            <w:r>
              <w:rPr>
                <w:color w:val="000000"/>
                <w:sz w:val="20"/>
                <w:szCs w:val="20"/>
              </w:rPr>
              <w:t>2.0%</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0.051</w:t>
            </w:r>
          </w:p>
        </w:tc>
        <w:tc>
          <w:tcPr>
            <w:tcW w:w="1660" w:type="dxa"/>
            <w:tcBorders>
              <w:top w:val="nil"/>
              <w:left w:val="nil"/>
              <w:bottom w:val="nil"/>
              <w:right w:val="single" w:sz="4" w:space="0" w:color="auto"/>
            </w:tcBorders>
            <w:shd w:val="clear" w:color="auto" w:fill="auto"/>
            <w:noWrap/>
            <w:vAlign w:val="center"/>
          </w:tcPr>
          <w:p w:rsidR="005A1ED7" w:rsidRPr="00752F0F" w:rsidRDefault="005A1ED7" w:rsidP="001B2A36">
            <w:pPr>
              <w:tabs>
                <w:tab w:val="decimal" w:pos="255"/>
                <w:tab w:val="decimal" w:pos="420"/>
              </w:tabs>
              <w:jc w:val="center"/>
              <w:rPr>
                <w:sz w:val="20"/>
                <w:szCs w:val="20"/>
              </w:rPr>
            </w:pPr>
            <w:r w:rsidRPr="00752F0F">
              <w:rPr>
                <w:sz w:val="20"/>
                <w:szCs w:val="20"/>
              </w:rPr>
              <w:t>0.049</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3.0%</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Pr="00C3775E" w:rsidRDefault="008E07A2" w:rsidP="001B2A36">
            <w:pPr>
              <w:jc w:val="center"/>
              <w:rPr>
                <w:rFonts w:eastAsia="Times New Roman"/>
                <w:i/>
                <w:color w:val="000000"/>
                <w:sz w:val="20"/>
                <w:szCs w:val="20"/>
              </w:rPr>
            </w:pPr>
            <w:r w:rsidRPr="006C6D2A">
              <w:rPr>
                <w:position w:val="-14"/>
                <w:szCs w:val="24"/>
              </w:rPr>
              <w:object w:dxaOrig="420" w:dyaOrig="380">
                <v:shape id="_x0000_i1439" type="#_x0000_t75" style="width:17.25pt;height:15.75pt" o:ole="" o:preferrelative="f">
                  <v:imagedata r:id="rId800" o:title=""/>
                </v:shape>
                <o:OLEObject Type="Embed" ProgID="Equation.3" ShapeID="_x0000_i1439" DrawAspect="Content" ObjectID="_1519137288" r:id="rId801"/>
              </w:object>
            </w:r>
          </w:p>
        </w:tc>
        <w:tc>
          <w:tcPr>
            <w:tcW w:w="1000" w:type="dxa"/>
            <w:tcBorders>
              <w:top w:val="nil"/>
              <w:left w:val="nil"/>
              <w:bottom w:val="nil"/>
              <w:right w:val="double" w:sz="6" w:space="0" w:color="auto"/>
            </w:tcBorders>
            <w:shd w:val="clear" w:color="auto" w:fill="auto"/>
            <w:noWrap/>
            <w:vAlign w:val="center"/>
          </w:tcPr>
          <w:p w:rsidR="005A1ED7" w:rsidRDefault="005A1ED7" w:rsidP="001B2A36">
            <w:pPr>
              <w:tabs>
                <w:tab w:val="decimal" w:pos="75"/>
              </w:tabs>
              <w:jc w:val="center"/>
              <w:rPr>
                <w:color w:val="000000"/>
                <w:sz w:val="20"/>
                <w:szCs w:val="20"/>
              </w:rPr>
            </w:pPr>
            <w:r>
              <w:rPr>
                <w:color w:val="000000"/>
                <w:sz w:val="20"/>
                <w:szCs w:val="20"/>
              </w:rPr>
              <w:t>0.374</w:t>
            </w:r>
          </w:p>
        </w:tc>
        <w:tc>
          <w:tcPr>
            <w:tcW w:w="1027" w:type="dxa"/>
            <w:tcBorders>
              <w:top w:val="nil"/>
              <w:left w:val="nil"/>
              <w:bottom w:val="nil"/>
              <w:right w:val="single" w:sz="4" w:space="0" w:color="auto"/>
            </w:tcBorders>
            <w:shd w:val="clear" w:color="auto" w:fill="auto"/>
            <w:noWrap/>
            <w:vAlign w:val="center"/>
          </w:tcPr>
          <w:p w:rsidR="005A1ED7" w:rsidRDefault="005A1ED7" w:rsidP="001B2A36">
            <w:pPr>
              <w:tabs>
                <w:tab w:val="decimal" w:pos="200"/>
              </w:tabs>
              <w:jc w:val="center"/>
              <w:rPr>
                <w:color w:val="000000"/>
                <w:sz w:val="20"/>
                <w:szCs w:val="20"/>
              </w:rPr>
            </w:pPr>
            <w:r>
              <w:rPr>
                <w:color w:val="000000"/>
                <w:sz w:val="20"/>
                <w:szCs w:val="20"/>
              </w:rPr>
              <w:t>0.378</w:t>
            </w:r>
          </w:p>
        </w:tc>
        <w:tc>
          <w:tcPr>
            <w:tcW w:w="1387" w:type="dxa"/>
            <w:tcBorders>
              <w:top w:val="nil"/>
              <w:left w:val="nil"/>
              <w:bottom w:val="nil"/>
              <w:right w:val="double" w:sz="6" w:space="0" w:color="auto"/>
            </w:tcBorders>
            <w:shd w:val="clear" w:color="auto" w:fill="auto"/>
            <w:noWrap/>
            <w:vAlign w:val="center"/>
          </w:tcPr>
          <w:p w:rsidR="005A1ED7" w:rsidRDefault="005A1ED7" w:rsidP="001B2A36">
            <w:pPr>
              <w:tabs>
                <w:tab w:val="decimal" w:pos="193"/>
              </w:tabs>
              <w:jc w:val="center"/>
              <w:rPr>
                <w:color w:val="000000"/>
                <w:sz w:val="20"/>
                <w:szCs w:val="20"/>
              </w:rPr>
            </w:pPr>
            <w:r>
              <w:rPr>
                <w:color w:val="000000"/>
                <w:sz w:val="20"/>
                <w:szCs w:val="20"/>
              </w:rPr>
              <w:t>1.0%</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0.026</w:t>
            </w:r>
          </w:p>
        </w:tc>
        <w:tc>
          <w:tcPr>
            <w:tcW w:w="1660" w:type="dxa"/>
            <w:tcBorders>
              <w:top w:val="nil"/>
              <w:left w:val="nil"/>
              <w:bottom w:val="nil"/>
              <w:right w:val="single" w:sz="4" w:space="0" w:color="auto"/>
            </w:tcBorders>
            <w:shd w:val="clear" w:color="auto" w:fill="auto"/>
            <w:noWrap/>
            <w:vAlign w:val="center"/>
          </w:tcPr>
          <w:p w:rsidR="005A1ED7" w:rsidRPr="00752F0F" w:rsidRDefault="005A1ED7" w:rsidP="001B2A36">
            <w:pPr>
              <w:tabs>
                <w:tab w:val="decimal" w:pos="255"/>
                <w:tab w:val="decimal" w:pos="420"/>
              </w:tabs>
              <w:jc w:val="center"/>
              <w:rPr>
                <w:sz w:val="20"/>
                <w:szCs w:val="20"/>
              </w:rPr>
            </w:pPr>
            <w:r w:rsidRPr="00752F0F">
              <w:rPr>
                <w:sz w:val="20"/>
                <w:szCs w:val="20"/>
              </w:rPr>
              <w:t>0.028</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5.9%</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Pr="009D3D23" w:rsidRDefault="008E07A2" w:rsidP="001B2A36">
            <w:pPr>
              <w:jc w:val="center"/>
              <w:rPr>
                <w:rFonts w:eastAsia="Times New Roman"/>
                <w:color w:val="000000"/>
                <w:sz w:val="20"/>
                <w:szCs w:val="20"/>
              </w:rPr>
            </w:pPr>
            <w:r w:rsidRPr="008E07A2">
              <w:rPr>
                <w:position w:val="-14"/>
                <w:szCs w:val="24"/>
              </w:rPr>
              <w:object w:dxaOrig="420" w:dyaOrig="380">
                <v:shape id="_x0000_i1440" type="#_x0000_t75" style="width:17.25pt;height:15.75pt" o:ole="" o:preferrelative="f">
                  <v:imagedata r:id="rId802" o:title=""/>
                </v:shape>
                <o:OLEObject Type="Embed" ProgID="Equation.3" ShapeID="_x0000_i1440" DrawAspect="Content" ObjectID="_1519137289" r:id="rId803"/>
              </w:object>
            </w:r>
          </w:p>
        </w:tc>
        <w:tc>
          <w:tcPr>
            <w:tcW w:w="1000" w:type="dxa"/>
            <w:tcBorders>
              <w:top w:val="nil"/>
              <w:left w:val="nil"/>
              <w:bottom w:val="nil"/>
              <w:right w:val="double" w:sz="6" w:space="0" w:color="auto"/>
            </w:tcBorders>
            <w:shd w:val="clear" w:color="auto" w:fill="auto"/>
            <w:noWrap/>
            <w:vAlign w:val="center"/>
          </w:tcPr>
          <w:p w:rsidR="005A1ED7" w:rsidRPr="003B7943" w:rsidRDefault="005A1ED7" w:rsidP="001B2A36">
            <w:pPr>
              <w:tabs>
                <w:tab w:val="decimal" w:pos="75"/>
              </w:tabs>
              <w:jc w:val="center"/>
              <w:rPr>
                <w:sz w:val="20"/>
                <w:szCs w:val="20"/>
              </w:rPr>
            </w:pPr>
            <w:r w:rsidRPr="003B7943">
              <w:rPr>
                <w:sz w:val="20"/>
                <w:szCs w:val="20"/>
              </w:rPr>
              <w:t>0.900</w:t>
            </w:r>
          </w:p>
        </w:tc>
        <w:tc>
          <w:tcPr>
            <w:tcW w:w="1027" w:type="dxa"/>
            <w:tcBorders>
              <w:top w:val="nil"/>
              <w:left w:val="nil"/>
              <w:bottom w:val="nil"/>
              <w:right w:val="single" w:sz="4" w:space="0" w:color="auto"/>
            </w:tcBorders>
            <w:shd w:val="clear" w:color="auto" w:fill="auto"/>
            <w:noWrap/>
            <w:vAlign w:val="center"/>
          </w:tcPr>
          <w:p w:rsidR="005A1ED7" w:rsidRPr="003B7943" w:rsidRDefault="005A1ED7" w:rsidP="001B2A36">
            <w:pPr>
              <w:tabs>
                <w:tab w:val="decimal" w:pos="200"/>
              </w:tabs>
              <w:jc w:val="center"/>
              <w:rPr>
                <w:sz w:val="20"/>
                <w:szCs w:val="20"/>
              </w:rPr>
            </w:pPr>
            <w:r w:rsidRPr="003B7943">
              <w:rPr>
                <w:sz w:val="20"/>
                <w:szCs w:val="20"/>
              </w:rPr>
              <w:t>0.898</w:t>
            </w:r>
          </w:p>
        </w:tc>
        <w:tc>
          <w:tcPr>
            <w:tcW w:w="1387" w:type="dxa"/>
            <w:tcBorders>
              <w:top w:val="nil"/>
              <w:left w:val="nil"/>
              <w:bottom w:val="nil"/>
              <w:right w:val="double" w:sz="6" w:space="0" w:color="auto"/>
            </w:tcBorders>
            <w:shd w:val="clear" w:color="auto" w:fill="auto"/>
            <w:noWrap/>
            <w:vAlign w:val="center"/>
          </w:tcPr>
          <w:p w:rsidR="005A1ED7" w:rsidRPr="00183B67" w:rsidRDefault="005A1ED7" w:rsidP="001B2A36">
            <w:pPr>
              <w:tabs>
                <w:tab w:val="decimal" w:pos="193"/>
              </w:tabs>
              <w:jc w:val="center"/>
              <w:rPr>
                <w:sz w:val="20"/>
                <w:szCs w:val="20"/>
              </w:rPr>
            </w:pPr>
            <w:r w:rsidRPr="00183B67">
              <w:rPr>
                <w:sz w:val="20"/>
                <w:szCs w:val="20"/>
              </w:rPr>
              <w:t>0.2</w:t>
            </w:r>
            <w:r>
              <w:rPr>
                <w:sz w:val="20"/>
                <w:szCs w:val="20"/>
              </w:rPr>
              <w:t>%</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0.023</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255"/>
                <w:tab w:val="decimal" w:pos="420"/>
              </w:tabs>
              <w:jc w:val="center"/>
              <w:rPr>
                <w:color w:val="000000"/>
                <w:sz w:val="20"/>
                <w:szCs w:val="20"/>
              </w:rPr>
            </w:pPr>
            <w:r>
              <w:rPr>
                <w:color w:val="000000"/>
                <w:sz w:val="20"/>
                <w:szCs w:val="20"/>
              </w:rPr>
              <w:t>0.021</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10.7%</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Pr="009D3D23" w:rsidRDefault="008E07A2" w:rsidP="001B2A36">
            <w:pPr>
              <w:jc w:val="center"/>
              <w:rPr>
                <w:rFonts w:eastAsia="Times New Roman"/>
                <w:color w:val="000000"/>
                <w:sz w:val="20"/>
                <w:szCs w:val="20"/>
              </w:rPr>
            </w:pPr>
            <w:r w:rsidRPr="008E07A2">
              <w:rPr>
                <w:position w:val="-14"/>
                <w:szCs w:val="24"/>
              </w:rPr>
              <w:object w:dxaOrig="440" w:dyaOrig="380">
                <v:shape id="_x0000_i1441" type="#_x0000_t75" style="width:17.25pt;height:15.75pt" o:ole="" o:preferrelative="f">
                  <v:imagedata r:id="rId804" o:title=""/>
                </v:shape>
                <o:OLEObject Type="Embed" ProgID="Equation.3" ShapeID="_x0000_i1441" DrawAspect="Content" ObjectID="_1519137290" r:id="rId805"/>
              </w:object>
            </w:r>
          </w:p>
        </w:tc>
        <w:tc>
          <w:tcPr>
            <w:tcW w:w="1000" w:type="dxa"/>
            <w:tcBorders>
              <w:top w:val="nil"/>
              <w:left w:val="nil"/>
              <w:bottom w:val="nil"/>
              <w:right w:val="double" w:sz="6" w:space="0" w:color="auto"/>
            </w:tcBorders>
            <w:shd w:val="clear" w:color="auto" w:fill="auto"/>
            <w:noWrap/>
            <w:vAlign w:val="center"/>
          </w:tcPr>
          <w:p w:rsidR="005A1ED7" w:rsidRPr="003B7943" w:rsidRDefault="005A1ED7" w:rsidP="001B2A36">
            <w:pPr>
              <w:tabs>
                <w:tab w:val="decimal" w:pos="75"/>
              </w:tabs>
              <w:jc w:val="center"/>
              <w:rPr>
                <w:sz w:val="20"/>
                <w:szCs w:val="20"/>
              </w:rPr>
            </w:pPr>
            <w:r w:rsidRPr="003B7943">
              <w:rPr>
                <w:sz w:val="20"/>
                <w:szCs w:val="20"/>
              </w:rPr>
              <w:t>0.600</w:t>
            </w:r>
          </w:p>
        </w:tc>
        <w:tc>
          <w:tcPr>
            <w:tcW w:w="1027" w:type="dxa"/>
            <w:tcBorders>
              <w:top w:val="nil"/>
              <w:left w:val="nil"/>
              <w:bottom w:val="nil"/>
              <w:right w:val="single" w:sz="4" w:space="0" w:color="auto"/>
            </w:tcBorders>
            <w:shd w:val="clear" w:color="auto" w:fill="auto"/>
            <w:noWrap/>
            <w:vAlign w:val="center"/>
          </w:tcPr>
          <w:p w:rsidR="005A1ED7" w:rsidRPr="003B7943" w:rsidRDefault="005A1ED7" w:rsidP="001B2A36">
            <w:pPr>
              <w:tabs>
                <w:tab w:val="decimal" w:pos="200"/>
              </w:tabs>
              <w:jc w:val="center"/>
              <w:rPr>
                <w:sz w:val="20"/>
                <w:szCs w:val="20"/>
              </w:rPr>
            </w:pPr>
            <w:r w:rsidRPr="003B7943">
              <w:rPr>
                <w:sz w:val="20"/>
                <w:szCs w:val="20"/>
              </w:rPr>
              <w:t>0.598</w:t>
            </w:r>
          </w:p>
        </w:tc>
        <w:tc>
          <w:tcPr>
            <w:tcW w:w="1387" w:type="dxa"/>
            <w:tcBorders>
              <w:top w:val="nil"/>
              <w:left w:val="nil"/>
              <w:bottom w:val="nil"/>
              <w:right w:val="double" w:sz="6" w:space="0" w:color="auto"/>
            </w:tcBorders>
            <w:shd w:val="clear" w:color="auto" w:fill="auto"/>
            <w:noWrap/>
            <w:vAlign w:val="center"/>
          </w:tcPr>
          <w:p w:rsidR="005A1ED7" w:rsidRPr="00183B67" w:rsidRDefault="005A1ED7" w:rsidP="001B2A36">
            <w:pPr>
              <w:tabs>
                <w:tab w:val="decimal" w:pos="193"/>
              </w:tabs>
              <w:jc w:val="center"/>
              <w:rPr>
                <w:sz w:val="20"/>
                <w:szCs w:val="20"/>
              </w:rPr>
            </w:pPr>
            <w:r w:rsidRPr="00183B67">
              <w:rPr>
                <w:sz w:val="20"/>
                <w:szCs w:val="20"/>
              </w:rPr>
              <w:t>0.4</w:t>
            </w:r>
            <w:r>
              <w:rPr>
                <w:sz w:val="20"/>
                <w:szCs w:val="20"/>
              </w:rPr>
              <w:t>%</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0.031</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255"/>
                <w:tab w:val="decimal" w:pos="420"/>
              </w:tabs>
              <w:jc w:val="center"/>
              <w:rPr>
                <w:color w:val="000000"/>
                <w:sz w:val="20"/>
                <w:szCs w:val="20"/>
              </w:rPr>
            </w:pPr>
            <w:r>
              <w:rPr>
                <w:color w:val="000000"/>
                <w:sz w:val="20"/>
                <w:szCs w:val="20"/>
              </w:rPr>
              <w:t>0.032</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3.5%</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Pr="009D3D23" w:rsidRDefault="008E07A2" w:rsidP="001B2A36">
            <w:pPr>
              <w:jc w:val="center"/>
              <w:rPr>
                <w:rFonts w:eastAsia="Times New Roman"/>
                <w:color w:val="000000"/>
                <w:sz w:val="20"/>
                <w:szCs w:val="20"/>
              </w:rPr>
            </w:pPr>
            <w:r w:rsidRPr="008E07A2">
              <w:rPr>
                <w:position w:val="-14"/>
                <w:szCs w:val="24"/>
              </w:rPr>
              <w:object w:dxaOrig="440" w:dyaOrig="380">
                <v:shape id="_x0000_i1442" type="#_x0000_t75" style="width:17.25pt;height:15.75pt" o:ole="" o:preferrelative="f">
                  <v:imagedata r:id="rId806" o:title=""/>
                </v:shape>
                <o:OLEObject Type="Embed" ProgID="Equation.3" ShapeID="_x0000_i1442" DrawAspect="Content" ObjectID="_1519137291" r:id="rId807"/>
              </w:object>
            </w:r>
          </w:p>
        </w:tc>
        <w:tc>
          <w:tcPr>
            <w:tcW w:w="1000" w:type="dxa"/>
            <w:tcBorders>
              <w:top w:val="nil"/>
              <w:left w:val="nil"/>
              <w:bottom w:val="nil"/>
              <w:right w:val="double" w:sz="6" w:space="0" w:color="auto"/>
            </w:tcBorders>
            <w:shd w:val="clear" w:color="auto" w:fill="auto"/>
            <w:noWrap/>
            <w:vAlign w:val="center"/>
          </w:tcPr>
          <w:p w:rsidR="005A1ED7" w:rsidRPr="003B7943" w:rsidRDefault="005A1ED7" w:rsidP="001B2A36">
            <w:pPr>
              <w:tabs>
                <w:tab w:val="decimal" w:pos="75"/>
              </w:tabs>
              <w:jc w:val="center"/>
              <w:rPr>
                <w:sz w:val="20"/>
                <w:szCs w:val="20"/>
              </w:rPr>
            </w:pPr>
            <w:r w:rsidRPr="003B7943">
              <w:rPr>
                <w:sz w:val="20"/>
                <w:szCs w:val="20"/>
              </w:rPr>
              <w:t>0.800</w:t>
            </w:r>
          </w:p>
        </w:tc>
        <w:tc>
          <w:tcPr>
            <w:tcW w:w="1027" w:type="dxa"/>
            <w:tcBorders>
              <w:top w:val="nil"/>
              <w:left w:val="nil"/>
              <w:bottom w:val="nil"/>
              <w:right w:val="single" w:sz="4" w:space="0" w:color="auto"/>
            </w:tcBorders>
            <w:shd w:val="clear" w:color="auto" w:fill="auto"/>
            <w:noWrap/>
            <w:vAlign w:val="center"/>
          </w:tcPr>
          <w:p w:rsidR="005A1ED7" w:rsidRPr="003B7943" w:rsidRDefault="005A1ED7" w:rsidP="001B2A36">
            <w:pPr>
              <w:tabs>
                <w:tab w:val="decimal" w:pos="200"/>
              </w:tabs>
              <w:jc w:val="center"/>
              <w:rPr>
                <w:sz w:val="20"/>
                <w:szCs w:val="20"/>
              </w:rPr>
            </w:pPr>
            <w:r w:rsidRPr="003B7943">
              <w:rPr>
                <w:sz w:val="20"/>
                <w:szCs w:val="20"/>
              </w:rPr>
              <w:t>0.796</w:t>
            </w:r>
          </w:p>
        </w:tc>
        <w:tc>
          <w:tcPr>
            <w:tcW w:w="1387" w:type="dxa"/>
            <w:tcBorders>
              <w:top w:val="nil"/>
              <w:left w:val="nil"/>
              <w:bottom w:val="nil"/>
              <w:right w:val="double" w:sz="6" w:space="0" w:color="auto"/>
            </w:tcBorders>
            <w:shd w:val="clear" w:color="auto" w:fill="auto"/>
            <w:noWrap/>
            <w:vAlign w:val="center"/>
          </w:tcPr>
          <w:p w:rsidR="005A1ED7" w:rsidRPr="00183B67" w:rsidRDefault="005A1ED7" w:rsidP="001B2A36">
            <w:pPr>
              <w:tabs>
                <w:tab w:val="decimal" w:pos="193"/>
              </w:tabs>
              <w:jc w:val="center"/>
              <w:rPr>
                <w:sz w:val="20"/>
                <w:szCs w:val="20"/>
              </w:rPr>
            </w:pPr>
            <w:r w:rsidRPr="00183B67">
              <w:rPr>
                <w:sz w:val="20"/>
                <w:szCs w:val="20"/>
              </w:rPr>
              <w:t>0.5</w:t>
            </w:r>
            <w:r>
              <w:rPr>
                <w:sz w:val="20"/>
                <w:szCs w:val="20"/>
              </w:rPr>
              <w:t>%</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0.021</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255"/>
                <w:tab w:val="decimal" w:pos="420"/>
              </w:tabs>
              <w:jc w:val="center"/>
              <w:rPr>
                <w:color w:val="000000"/>
                <w:sz w:val="20"/>
                <w:szCs w:val="20"/>
              </w:rPr>
            </w:pPr>
            <w:r>
              <w:rPr>
                <w:color w:val="000000"/>
                <w:sz w:val="20"/>
                <w:szCs w:val="20"/>
              </w:rPr>
              <w:t>0.020</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4.0%</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Default="008E07A2" w:rsidP="001B2A36">
            <w:pPr>
              <w:jc w:val="center"/>
              <w:rPr>
                <w:rFonts w:eastAsia="Times New Roman"/>
                <w:color w:val="000000"/>
                <w:sz w:val="20"/>
                <w:szCs w:val="20"/>
              </w:rPr>
            </w:pPr>
            <w:r w:rsidRPr="008E07A2">
              <w:rPr>
                <w:position w:val="-14"/>
                <w:szCs w:val="24"/>
              </w:rPr>
              <w:object w:dxaOrig="440" w:dyaOrig="380">
                <v:shape id="_x0000_i1443" type="#_x0000_t75" style="width:17.25pt;height:15.75pt" o:ole="" o:preferrelative="f">
                  <v:imagedata r:id="rId808" o:title=""/>
                </v:shape>
                <o:OLEObject Type="Embed" ProgID="Equation.3" ShapeID="_x0000_i1443" DrawAspect="Content" ObjectID="_1519137292" r:id="rId809"/>
              </w:object>
            </w:r>
          </w:p>
        </w:tc>
        <w:tc>
          <w:tcPr>
            <w:tcW w:w="1000" w:type="dxa"/>
            <w:tcBorders>
              <w:top w:val="nil"/>
              <w:left w:val="nil"/>
              <w:bottom w:val="nil"/>
              <w:right w:val="double" w:sz="6" w:space="0" w:color="auto"/>
            </w:tcBorders>
            <w:shd w:val="clear" w:color="auto" w:fill="auto"/>
            <w:noWrap/>
            <w:vAlign w:val="center"/>
          </w:tcPr>
          <w:p w:rsidR="005A1ED7" w:rsidRPr="003B7943" w:rsidRDefault="005A1ED7" w:rsidP="001B2A36">
            <w:pPr>
              <w:tabs>
                <w:tab w:val="decimal" w:pos="75"/>
              </w:tabs>
              <w:jc w:val="center"/>
              <w:rPr>
                <w:sz w:val="20"/>
                <w:szCs w:val="20"/>
              </w:rPr>
            </w:pPr>
            <w:r w:rsidRPr="003B7943">
              <w:rPr>
                <w:sz w:val="20"/>
                <w:szCs w:val="20"/>
              </w:rPr>
              <w:t>0.800</w:t>
            </w:r>
          </w:p>
        </w:tc>
        <w:tc>
          <w:tcPr>
            <w:tcW w:w="1027" w:type="dxa"/>
            <w:tcBorders>
              <w:top w:val="nil"/>
              <w:left w:val="nil"/>
              <w:bottom w:val="nil"/>
              <w:right w:val="single" w:sz="4" w:space="0" w:color="auto"/>
            </w:tcBorders>
            <w:shd w:val="clear" w:color="auto" w:fill="auto"/>
            <w:noWrap/>
            <w:vAlign w:val="center"/>
          </w:tcPr>
          <w:p w:rsidR="005A1ED7" w:rsidRPr="003B7943" w:rsidRDefault="005A1ED7" w:rsidP="001B2A36">
            <w:pPr>
              <w:tabs>
                <w:tab w:val="decimal" w:pos="200"/>
              </w:tabs>
              <w:jc w:val="center"/>
              <w:rPr>
                <w:sz w:val="20"/>
                <w:szCs w:val="20"/>
              </w:rPr>
            </w:pPr>
            <w:r w:rsidRPr="003B7943">
              <w:rPr>
                <w:sz w:val="20"/>
                <w:szCs w:val="20"/>
              </w:rPr>
              <w:t>0.795</w:t>
            </w:r>
          </w:p>
        </w:tc>
        <w:tc>
          <w:tcPr>
            <w:tcW w:w="1387" w:type="dxa"/>
            <w:tcBorders>
              <w:top w:val="nil"/>
              <w:left w:val="nil"/>
              <w:bottom w:val="nil"/>
              <w:right w:val="double" w:sz="6" w:space="0" w:color="auto"/>
            </w:tcBorders>
            <w:shd w:val="clear" w:color="auto" w:fill="auto"/>
            <w:noWrap/>
            <w:vAlign w:val="center"/>
          </w:tcPr>
          <w:p w:rsidR="005A1ED7" w:rsidRPr="00183B67" w:rsidRDefault="005A1ED7" w:rsidP="001B2A36">
            <w:pPr>
              <w:tabs>
                <w:tab w:val="decimal" w:pos="193"/>
              </w:tabs>
              <w:jc w:val="center"/>
              <w:rPr>
                <w:sz w:val="20"/>
                <w:szCs w:val="20"/>
              </w:rPr>
            </w:pPr>
            <w:r w:rsidRPr="00183B67">
              <w:rPr>
                <w:sz w:val="20"/>
                <w:szCs w:val="20"/>
              </w:rPr>
              <w:t>0.6</w:t>
            </w:r>
            <w:r>
              <w:rPr>
                <w:sz w:val="20"/>
                <w:szCs w:val="20"/>
              </w:rPr>
              <w:t>%</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0.025</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255"/>
                <w:tab w:val="decimal" w:pos="420"/>
              </w:tabs>
              <w:jc w:val="center"/>
              <w:rPr>
                <w:color w:val="000000"/>
                <w:sz w:val="20"/>
                <w:szCs w:val="20"/>
              </w:rPr>
            </w:pPr>
            <w:r>
              <w:rPr>
                <w:color w:val="000000"/>
                <w:sz w:val="20"/>
                <w:szCs w:val="20"/>
              </w:rPr>
              <w:t>0.025</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0.8%</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Default="008E07A2" w:rsidP="001B2A36">
            <w:pPr>
              <w:jc w:val="center"/>
              <w:rPr>
                <w:rFonts w:eastAsia="Times New Roman"/>
                <w:color w:val="000000"/>
                <w:sz w:val="20"/>
                <w:szCs w:val="20"/>
              </w:rPr>
            </w:pPr>
            <w:r w:rsidRPr="008E07A2">
              <w:rPr>
                <w:position w:val="-14"/>
                <w:szCs w:val="24"/>
              </w:rPr>
              <w:object w:dxaOrig="440" w:dyaOrig="380">
                <v:shape id="_x0000_i1444" type="#_x0000_t75" style="width:17.25pt;height:15.75pt" o:ole="" o:preferrelative="f">
                  <v:imagedata r:id="rId810" o:title=""/>
                </v:shape>
                <o:OLEObject Type="Embed" ProgID="Equation.3" ShapeID="_x0000_i1444" DrawAspect="Content" ObjectID="_1519137293" r:id="rId811"/>
              </w:object>
            </w:r>
          </w:p>
        </w:tc>
        <w:tc>
          <w:tcPr>
            <w:tcW w:w="1000" w:type="dxa"/>
            <w:tcBorders>
              <w:top w:val="nil"/>
              <w:left w:val="nil"/>
              <w:bottom w:val="nil"/>
              <w:right w:val="double" w:sz="6" w:space="0" w:color="auto"/>
            </w:tcBorders>
            <w:shd w:val="clear" w:color="auto" w:fill="auto"/>
            <w:noWrap/>
            <w:vAlign w:val="center"/>
          </w:tcPr>
          <w:p w:rsidR="005A1ED7" w:rsidRPr="003B7943" w:rsidRDefault="005A1ED7" w:rsidP="001B2A36">
            <w:pPr>
              <w:tabs>
                <w:tab w:val="decimal" w:pos="75"/>
              </w:tabs>
              <w:jc w:val="center"/>
              <w:rPr>
                <w:sz w:val="20"/>
                <w:szCs w:val="20"/>
              </w:rPr>
            </w:pPr>
            <w:r w:rsidRPr="003B7943">
              <w:rPr>
                <w:sz w:val="20"/>
                <w:szCs w:val="20"/>
              </w:rPr>
              <w:t>0.400</w:t>
            </w:r>
          </w:p>
        </w:tc>
        <w:tc>
          <w:tcPr>
            <w:tcW w:w="1027" w:type="dxa"/>
            <w:tcBorders>
              <w:top w:val="nil"/>
              <w:left w:val="nil"/>
              <w:bottom w:val="nil"/>
              <w:right w:val="single" w:sz="4" w:space="0" w:color="auto"/>
            </w:tcBorders>
            <w:shd w:val="clear" w:color="auto" w:fill="auto"/>
            <w:noWrap/>
            <w:vAlign w:val="center"/>
          </w:tcPr>
          <w:p w:rsidR="005A1ED7" w:rsidRPr="003B7943" w:rsidRDefault="005A1ED7" w:rsidP="001B2A36">
            <w:pPr>
              <w:tabs>
                <w:tab w:val="decimal" w:pos="200"/>
              </w:tabs>
              <w:jc w:val="center"/>
              <w:rPr>
                <w:sz w:val="20"/>
                <w:szCs w:val="20"/>
              </w:rPr>
            </w:pPr>
            <w:r w:rsidRPr="003B7943">
              <w:rPr>
                <w:sz w:val="20"/>
                <w:szCs w:val="20"/>
              </w:rPr>
              <w:t>0.392</w:t>
            </w:r>
          </w:p>
        </w:tc>
        <w:tc>
          <w:tcPr>
            <w:tcW w:w="1387" w:type="dxa"/>
            <w:tcBorders>
              <w:top w:val="nil"/>
              <w:left w:val="nil"/>
              <w:bottom w:val="nil"/>
              <w:right w:val="double" w:sz="6" w:space="0" w:color="auto"/>
            </w:tcBorders>
            <w:shd w:val="clear" w:color="auto" w:fill="auto"/>
            <w:noWrap/>
            <w:vAlign w:val="center"/>
          </w:tcPr>
          <w:p w:rsidR="005A1ED7" w:rsidRPr="00183B67" w:rsidRDefault="005A1ED7" w:rsidP="001B2A36">
            <w:pPr>
              <w:tabs>
                <w:tab w:val="decimal" w:pos="193"/>
              </w:tabs>
              <w:jc w:val="center"/>
              <w:rPr>
                <w:sz w:val="20"/>
                <w:szCs w:val="20"/>
              </w:rPr>
            </w:pPr>
            <w:r w:rsidRPr="00183B67">
              <w:rPr>
                <w:sz w:val="20"/>
                <w:szCs w:val="20"/>
              </w:rPr>
              <w:t>2.1</w:t>
            </w:r>
            <w:r>
              <w:rPr>
                <w:sz w:val="20"/>
                <w:szCs w:val="20"/>
              </w:rPr>
              <w:t>%</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0.021</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255"/>
                <w:tab w:val="decimal" w:pos="420"/>
              </w:tabs>
              <w:jc w:val="center"/>
              <w:rPr>
                <w:color w:val="000000"/>
                <w:sz w:val="20"/>
                <w:szCs w:val="20"/>
              </w:rPr>
            </w:pPr>
            <w:r>
              <w:rPr>
                <w:color w:val="000000"/>
                <w:sz w:val="20"/>
                <w:szCs w:val="20"/>
              </w:rPr>
              <w:t>0.018</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17.2%</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Default="008E07A2" w:rsidP="001B2A36">
            <w:pPr>
              <w:jc w:val="center"/>
              <w:rPr>
                <w:rFonts w:eastAsia="Times New Roman"/>
                <w:color w:val="000000"/>
                <w:sz w:val="20"/>
                <w:szCs w:val="20"/>
              </w:rPr>
            </w:pPr>
            <w:r w:rsidRPr="008E07A2">
              <w:rPr>
                <w:position w:val="-14"/>
                <w:szCs w:val="24"/>
              </w:rPr>
              <w:object w:dxaOrig="440" w:dyaOrig="380">
                <v:shape id="_x0000_i1445" type="#_x0000_t75" style="width:17.25pt;height:15.75pt" o:ole="" o:preferrelative="f">
                  <v:imagedata r:id="rId812" o:title=""/>
                </v:shape>
                <o:OLEObject Type="Embed" ProgID="Equation.3" ShapeID="_x0000_i1445" DrawAspect="Content" ObjectID="_1519137294" r:id="rId813"/>
              </w:object>
            </w:r>
          </w:p>
        </w:tc>
        <w:tc>
          <w:tcPr>
            <w:tcW w:w="1000" w:type="dxa"/>
            <w:tcBorders>
              <w:top w:val="nil"/>
              <w:left w:val="nil"/>
              <w:bottom w:val="nil"/>
              <w:right w:val="double" w:sz="6" w:space="0" w:color="auto"/>
            </w:tcBorders>
            <w:shd w:val="clear" w:color="auto" w:fill="auto"/>
            <w:noWrap/>
            <w:vAlign w:val="center"/>
          </w:tcPr>
          <w:p w:rsidR="005A1ED7" w:rsidRPr="003B7943" w:rsidRDefault="005A1ED7" w:rsidP="001B2A36">
            <w:pPr>
              <w:tabs>
                <w:tab w:val="decimal" w:pos="75"/>
              </w:tabs>
              <w:jc w:val="center"/>
              <w:rPr>
                <w:sz w:val="20"/>
                <w:szCs w:val="20"/>
              </w:rPr>
            </w:pPr>
            <w:r w:rsidRPr="003B7943">
              <w:rPr>
                <w:sz w:val="20"/>
                <w:szCs w:val="20"/>
              </w:rPr>
              <w:t>0.300</w:t>
            </w:r>
          </w:p>
        </w:tc>
        <w:tc>
          <w:tcPr>
            <w:tcW w:w="1027" w:type="dxa"/>
            <w:tcBorders>
              <w:top w:val="nil"/>
              <w:left w:val="nil"/>
              <w:bottom w:val="nil"/>
              <w:right w:val="single" w:sz="4" w:space="0" w:color="auto"/>
            </w:tcBorders>
            <w:shd w:val="clear" w:color="auto" w:fill="auto"/>
            <w:noWrap/>
            <w:vAlign w:val="center"/>
          </w:tcPr>
          <w:p w:rsidR="005A1ED7" w:rsidRPr="003B7943" w:rsidRDefault="005A1ED7" w:rsidP="001B2A36">
            <w:pPr>
              <w:tabs>
                <w:tab w:val="decimal" w:pos="200"/>
              </w:tabs>
              <w:jc w:val="center"/>
              <w:rPr>
                <w:sz w:val="20"/>
                <w:szCs w:val="20"/>
              </w:rPr>
            </w:pPr>
            <w:r w:rsidRPr="003B7943">
              <w:rPr>
                <w:sz w:val="20"/>
                <w:szCs w:val="20"/>
              </w:rPr>
              <w:t>0.299</w:t>
            </w:r>
          </w:p>
        </w:tc>
        <w:tc>
          <w:tcPr>
            <w:tcW w:w="1387" w:type="dxa"/>
            <w:tcBorders>
              <w:top w:val="nil"/>
              <w:left w:val="nil"/>
              <w:bottom w:val="nil"/>
              <w:right w:val="double" w:sz="6" w:space="0" w:color="auto"/>
            </w:tcBorders>
            <w:shd w:val="clear" w:color="auto" w:fill="auto"/>
            <w:noWrap/>
            <w:vAlign w:val="center"/>
          </w:tcPr>
          <w:p w:rsidR="005A1ED7" w:rsidRPr="00183B67" w:rsidRDefault="005A1ED7" w:rsidP="001B2A36">
            <w:pPr>
              <w:tabs>
                <w:tab w:val="decimal" w:pos="193"/>
              </w:tabs>
              <w:jc w:val="center"/>
              <w:rPr>
                <w:sz w:val="20"/>
                <w:szCs w:val="20"/>
              </w:rPr>
            </w:pPr>
            <w:r w:rsidRPr="00183B67">
              <w:rPr>
                <w:sz w:val="20"/>
                <w:szCs w:val="20"/>
              </w:rPr>
              <w:t>0.3</w:t>
            </w:r>
            <w:r>
              <w:rPr>
                <w:sz w:val="20"/>
                <w:szCs w:val="20"/>
              </w:rPr>
              <w:t>%</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0.015</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255"/>
                <w:tab w:val="decimal" w:pos="420"/>
              </w:tabs>
              <w:jc w:val="center"/>
              <w:rPr>
                <w:color w:val="000000"/>
                <w:sz w:val="20"/>
                <w:szCs w:val="20"/>
              </w:rPr>
            </w:pPr>
            <w:r>
              <w:rPr>
                <w:color w:val="000000"/>
                <w:sz w:val="20"/>
                <w:szCs w:val="20"/>
              </w:rPr>
              <w:t>0.014</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4.5%</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Default="008E07A2" w:rsidP="001B2A36">
            <w:pPr>
              <w:jc w:val="center"/>
              <w:rPr>
                <w:rFonts w:eastAsia="Times New Roman"/>
                <w:color w:val="000000"/>
                <w:sz w:val="20"/>
                <w:szCs w:val="20"/>
              </w:rPr>
            </w:pPr>
            <w:r w:rsidRPr="00BB341D">
              <w:rPr>
                <w:position w:val="-10"/>
              </w:rPr>
              <w:object w:dxaOrig="360" w:dyaOrig="340">
                <v:shape id="_x0000_i1446" type="#_x0000_t75" style="width:15pt;height:14.25pt" o:ole="" o:preferrelative="f">
                  <v:imagedata r:id="rId814" o:title=""/>
                </v:shape>
                <o:OLEObject Type="Embed" ProgID="Equation.3" ShapeID="_x0000_i1446" DrawAspect="Content" ObjectID="_1519137295" r:id="rId815"/>
              </w:object>
            </w:r>
          </w:p>
        </w:tc>
        <w:tc>
          <w:tcPr>
            <w:tcW w:w="1000" w:type="dxa"/>
            <w:tcBorders>
              <w:top w:val="nil"/>
              <w:left w:val="nil"/>
              <w:bottom w:val="nil"/>
              <w:right w:val="double" w:sz="6" w:space="0" w:color="auto"/>
            </w:tcBorders>
            <w:shd w:val="clear" w:color="auto" w:fill="auto"/>
            <w:noWrap/>
            <w:vAlign w:val="center"/>
          </w:tcPr>
          <w:p w:rsidR="005A1ED7" w:rsidRPr="003B7943" w:rsidRDefault="005A1ED7" w:rsidP="001B2A36">
            <w:pPr>
              <w:tabs>
                <w:tab w:val="decimal" w:pos="75"/>
              </w:tabs>
              <w:jc w:val="center"/>
              <w:rPr>
                <w:sz w:val="20"/>
                <w:szCs w:val="20"/>
              </w:rPr>
            </w:pPr>
            <w:r w:rsidRPr="003B7943">
              <w:rPr>
                <w:sz w:val="20"/>
                <w:szCs w:val="20"/>
              </w:rPr>
              <w:t>0.600</w:t>
            </w:r>
          </w:p>
        </w:tc>
        <w:tc>
          <w:tcPr>
            <w:tcW w:w="1027" w:type="dxa"/>
            <w:tcBorders>
              <w:top w:val="nil"/>
              <w:left w:val="nil"/>
              <w:bottom w:val="nil"/>
              <w:right w:val="single" w:sz="4" w:space="0" w:color="auto"/>
            </w:tcBorders>
            <w:shd w:val="clear" w:color="auto" w:fill="auto"/>
            <w:noWrap/>
            <w:vAlign w:val="center"/>
          </w:tcPr>
          <w:p w:rsidR="005A1ED7" w:rsidRPr="003B7943" w:rsidRDefault="005A1ED7" w:rsidP="001B2A36">
            <w:pPr>
              <w:tabs>
                <w:tab w:val="decimal" w:pos="200"/>
              </w:tabs>
              <w:jc w:val="center"/>
              <w:rPr>
                <w:sz w:val="20"/>
                <w:szCs w:val="20"/>
              </w:rPr>
            </w:pPr>
            <w:r w:rsidRPr="003B7943">
              <w:rPr>
                <w:sz w:val="20"/>
                <w:szCs w:val="20"/>
              </w:rPr>
              <w:t>0.505</w:t>
            </w:r>
          </w:p>
        </w:tc>
        <w:tc>
          <w:tcPr>
            <w:tcW w:w="1387" w:type="dxa"/>
            <w:tcBorders>
              <w:top w:val="nil"/>
              <w:left w:val="nil"/>
              <w:bottom w:val="nil"/>
              <w:right w:val="double" w:sz="6" w:space="0" w:color="auto"/>
            </w:tcBorders>
            <w:shd w:val="clear" w:color="auto" w:fill="auto"/>
            <w:noWrap/>
            <w:vAlign w:val="center"/>
          </w:tcPr>
          <w:p w:rsidR="005A1ED7" w:rsidRPr="00183B67" w:rsidRDefault="005A1ED7" w:rsidP="001B2A36">
            <w:pPr>
              <w:tabs>
                <w:tab w:val="decimal" w:pos="193"/>
              </w:tabs>
              <w:jc w:val="center"/>
              <w:rPr>
                <w:sz w:val="20"/>
                <w:szCs w:val="20"/>
              </w:rPr>
            </w:pPr>
            <w:r w:rsidRPr="00183B67">
              <w:rPr>
                <w:sz w:val="20"/>
                <w:szCs w:val="20"/>
              </w:rPr>
              <w:t>15.8</w:t>
            </w:r>
            <w:r>
              <w:rPr>
                <w:sz w:val="20"/>
                <w:szCs w:val="20"/>
              </w:rPr>
              <w:t>%</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0.206</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255"/>
                <w:tab w:val="decimal" w:pos="420"/>
              </w:tabs>
              <w:jc w:val="center"/>
              <w:rPr>
                <w:color w:val="000000"/>
                <w:sz w:val="20"/>
                <w:szCs w:val="20"/>
              </w:rPr>
            </w:pPr>
            <w:r>
              <w:rPr>
                <w:color w:val="000000"/>
                <w:sz w:val="20"/>
                <w:szCs w:val="20"/>
              </w:rPr>
              <w:t>0.183</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12.9%</w:t>
            </w:r>
          </w:p>
        </w:tc>
      </w:tr>
      <w:tr w:rsidR="005A1ED7"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5A1ED7" w:rsidRPr="009D3D23" w:rsidRDefault="008E07A2" w:rsidP="001B2A36">
            <w:pPr>
              <w:jc w:val="center"/>
              <w:rPr>
                <w:rFonts w:eastAsia="Times New Roman"/>
                <w:color w:val="000000"/>
                <w:sz w:val="20"/>
                <w:szCs w:val="20"/>
              </w:rPr>
            </w:pPr>
            <w:r w:rsidRPr="00BB341D">
              <w:rPr>
                <w:position w:val="-10"/>
              </w:rPr>
              <w:object w:dxaOrig="380" w:dyaOrig="340">
                <v:shape id="_x0000_i1447" type="#_x0000_t75" style="width:15.75pt;height:14.25pt" o:ole="" o:preferrelative="f">
                  <v:imagedata r:id="rId816" o:title=""/>
                </v:shape>
                <o:OLEObject Type="Embed" ProgID="Equation.3" ShapeID="_x0000_i1447" DrawAspect="Content" ObjectID="_1519137296" r:id="rId817"/>
              </w:object>
            </w:r>
          </w:p>
        </w:tc>
        <w:tc>
          <w:tcPr>
            <w:tcW w:w="1000" w:type="dxa"/>
            <w:tcBorders>
              <w:top w:val="nil"/>
              <w:left w:val="nil"/>
              <w:bottom w:val="nil"/>
              <w:right w:val="double" w:sz="6" w:space="0" w:color="auto"/>
            </w:tcBorders>
            <w:shd w:val="clear" w:color="auto" w:fill="auto"/>
            <w:noWrap/>
            <w:vAlign w:val="center"/>
          </w:tcPr>
          <w:p w:rsidR="005A1ED7" w:rsidRPr="003B7943" w:rsidRDefault="005A1ED7" w:rsidP="001B2A36">
            <w:pPr>
              <w:tabs>
                <w:tab w:val="decimal" w:pos="75"/>
              </w:tabs>
              <w:jc w:val="center"/>
              <w:rPr>
                <w:sz w:val="20"/>
                <w:szCs w:val="20"/>
              </w:rPr>
            </w:pPr>
            <w:r w:rsidRPr="003B7943">
              <w:rPr>
                <w:sz w:val="20"/>
                <w:szCs w:val="20"/>
              </w:rPr>
              <w:t>0.100</w:t>
            </w:r>
          </w:p>
        </w:tc>
        <w:tc>
          <w:tcPr>
            <w:tcW w:w="1027" w:type="dxa"/>
            <w:tcBorders>
              <w:top w:val="nil"/>
              <w:left w:val="nil"/>
              <w:bottom w:val="nil"/>
              <w:right w:val="single" w:sz="4" w:space="0" w:color="auto"/>
            </w:tcBorders>
            <w:shd w:val="clear" w:color="auto" w:fill="auto"/>
            <w:noWrap/>
            <w:vAlign w:val="center"/>
          </w:tcPr>
          <w:p w:rsidR="005A1ED7" w:rsidRPr="003B7943" w:rsidRDefault="005A1ED7" w:rsidP="001B2A36">
            <w:pPr>
              <w:tabs>
                <w:tab w:val="decimal" w:pos="200"/>
              </w:tabs>
              <w:jc w:val="center"/>
              <w:rPr>
                <w:sz w:val="20"/>
                <w:szCs w:val="20"/>
              </w:rPr>
            </w:pPr>
            <w:r w:rsidRPr="003B7943">
              <w:rPr>
                <w:sz w:val="20"/>
                <w:szCs w:val="20"/>
              </w:rPr>
              <w:t>0.112</w:t>
            </w:r>
          </w:p>
        </w:tc>
        <w:tc>
          <w:tcPr>
            <w:tcW w:w="1387" w:type="dxa"/>
            <w:tcBorders>
              <w:top w:val="nil"/>
              <w:left w:val="nil"/>
              <w:bottom w:val="nil"/>
              <w:right w:val="double" w:sz="6" w:space="0" w:color="auto"/>
            </w:tcBorders>
            <w:shd w:val="clear" w:color="auto" w:fill="auto"/>
            <w:noWrap/>
            <w:vAlign w:val="center"/>
          </w:tcPr>
          <w:p w:rsidR="005A1ED7" w:rsidRPr="00183B67" w:rsidRDefault="005A1ED7" w:rsidP="001B2A36">
            <w:pPr>
              <w:tabs>
                <w:tab w:val="decimal" w:pos="193"/>
              </w:tabs>
              <w:jc w:val="center"/>
              <w:rPr>
                <w:sz w:val="20"/>
                <w:szCs w:val="20"/>
              </w:rPr>
            </w:pPr>
            <w:r w:rsidRPr="00183B67">
              <w:rPr>
                <w:sz w:val="20"/>
                <w:szCs w:val="20"/>
              </w:rPr>
              <w:t>11.9</w:t>
            </w:r>
            <w:r>
              <w:rPr>
                <w:sz w:val="20"/>
                <w:szCs w:val="20"/>
              </w:rPr>
              <w:t>%</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190"/>
              </w:tabs>
              <w:jc w:val="center"/>
              <w:rPr>
                <w:color w:val="000000"/>
                <w:sz w:val="20"/>
                <w:szCs w:val="20"/>
              </w:rPr>
            </w:pPr>
            <w:r>
              <w:rPr>
                <w:color w:val="000000"/>
                <w:sz w:val="20"/>
                <w:szCs w:val="20"/>
              </w:rPr>
              <w:t>0.046</w:t>
            </w:r>
          </w:p>
        </w:tc>
        <w:tc>
          <w:tcPr>
            <w:tcW w:w="1660" w:type="dxa"/>
            <w:tcBorders>
              <w:top w:val="nil"/>
              <w:left w:val="nil"/>
              <w:bottom w:val="nil"/>
              <w:right w:val="single" w:sz="4" w:space="0" w:color="auto"/>
            </w:tcBorders>
            <w:shd w:val="clear" w:color="auto" w:fill="auto"/>
            <w:noWrap/>
            <w:vAlign w:val="center"/>
          </w:tcPr>
          <w:p w:rsidR="005A1ED7" w:rsidRDefault="005A1ED7" w:rsidP="001B2A36">
            <w:pPr>
              <w:tabs>
                <w:tab w:val="decimal" w:pos="255"/>
                <w:tab w:val="decimal" w:pos="420"/>
              </w:tabs>
              <w:jc w:val="center"/>
              <w:rPr>
                <w:color w:val="000000"/>
                <w:sz w:val="20"/>
                <w:szCs w:val="20"/>
              </w:rPr>
            </w:pPr>
            <w:r>
              <w:rPr>
                <w:color w:val="000000"/>
                <w:sz w:val="20"/>
                <w:szCs w:val="20"/>
              </w:rPr>
              <w:t>0.050</w:t>
            </w:r>
          </w:p>
        </w:tc>
        <w:tc>
          <w:tcPr>
            <w:tcW w:w="1874" w:type="dxa"/>
            <w:tcBorders>
              <w:top w:val="nil"/>
              <w:left w:val="nil"/>
              <w:bottom w:val="nil"/>
              <w:right w:val="double" w:sz="6" w:space="0" w:color="auto"/>
            </w:tcBorders>
            <w:shd w:val="clear" w:color="auto" w:fill="auto"/>
            <w:noWrap/>
            <w:vAlign w:val="center"/>
          </w:tcPr>
          <w:p w:rsidR="005A1ED7" w:rsidRDefault="005A1ED7" w:rsidP="001B2A36">
            <w:pPr>
              <w:tabs>
                <w:tab w:val="decimal" w:pos="290"/>
              </w:tabs>
              <w:jc w:val="center"/>
              <w:rPr>
                <w:color w:val="000000"/>
                <w:sz w:val="20"/>
                <w:szCs w:val="20"/>
              </w:rPr>
            </w:pPr>
            <w:r>
              <w:rPr>
                <w:color w:val="000000"/>
                <w:sz w:val="20"/>
                <w:szCs w:val="20"/>
              </w:rPr>
              <w:t>8.2%</w:t>
            </w:r>
          </w:p>
        </w:tc>
      </w:tr>
      <w:tr w:rsidR="00951026"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951026" w:rsidRPr="00211E01" w:rsidRDefault="00951026" w:rsidP="008E07A2">
            <w:pPr>
              <w:jc w:val="center"/>
              <w:rPr>
                <w:rFonts w:eastAsia="Times New Roman"/>
                <w:color w:val="000000"/>
                <w:sz w:val="20"/>
                <w:szCs w:val="20"/>
              </w:rPr>
            </w:pPr>
            <w:r w:rsidRPr="00211E01">
              <w:rPr>
                <w:position w:val="-10"/>
                <w:sz w:val="20"/>
                <w:szCs w:val="20"/>
              </w:rPr>
              <w:object w:dxaOrig="240" w:dyaOrig="340" w14:anchorId="22F7EF08">
                <v:shape id="_x0000_i1448" type="#_x0000_t75" style="width:9.75pt;height:14.25pt" o:ole="" o:preferrelative="f">
                  <v:imagedata r:id="rId818" o:title=""/>
                </v:shape>
                <o:OLEObject Type="Embed" ProgID="Equation.3" ShapeID="_x0000_i1448" DrawAspect="Content" ObjectID="_1519137297" r:id="rId819"/>
              </w:object>
            </w:r>
          </w:p>
        </w:tc>
        <w:tc>
          <w:tcPr>
            <w:tcW w:w="1000" w:type="dxa"/>
            <w:tcBorders>
              <w:top w:val="nil"/>
              <w:left w:val="nil"/>
              <w:bottom w:val="nil"/>
              <w:right w:val="double" w:sz="6" w:space="0" w:color="auto"/>
            </w:tcBorders>
            <w:shd w:val="clear" w:color="auto" w:fill="auto"/>
            <w:noWrap/>
            <w:vAlign w:val="center"/>
          </w:tcPr>
          <w:p w:rsidR="00951026" w:rsidRDefault="00951026" w:rsidP="001B2A36">
            <w:pPr>
              <w:tabs>
                <w:tab w:val="decimal" w:pos="75"/>
              </w:tabs>
              <w:jc w:val="center"/>
              <w:rPr>
                <w:color w:val="000000"/>
                <w:sz w:val="20"/>
                <w:szCs w:val="20"/>
              </w:rPr>
            </w:pPr>
            <w:r>
              <w:rPr>
                <w:color w:val="000000"/>
                <w:sz w:val="20"/>
                <w:szCs w:val="20"/>
              </w:rPr>
              <w:t>1.000</w:t>
            </w:r>
          </w:p>
        </w:tc>
        <w:tc>
          <w:tcPr>
            <w:tcW w:w="1027" w:type="dxa"/>
            <w:tcBorders>
              <w:top w:val="nil"/>
              <w:left w:val="nil"/>
              <w:bottom w:val="nil"/>
              <w:right w:val="single" w:sz="4" w:space="0" w:color="auto"/>
            </w:tcBorders>
            <w:shd w:val="clear" w:color="auto" w:fill="auto"/>
            <w:noWrap/>
            <w:vAlign w:val="center"/>
          </w:tcPr>
          <w:p w:rsidR="00951026" w:rsidRDefault="00951026" w:rsidP="001B2A36">
            <w:pPr>
              <w:tabs>
                <w:tab w:val="decimal" w:pos="200"/>
              </w:tabs>
              <w:jc w:val="center"/>
              <w:rPr>
                <w:color w:val="000000"/>
                <w:sz w:val="20"/>
                <w:szCs w:val="20"/>
              </w:rPr>
            </w:pPr>
            <w:r>
              <w:rPr>
                <w:color w:val="000000"/>
                <w:sz w:val="20"/>
                <w:szCs w:val="20"/>
              </w:rPr>
              <w:t>1.038</w:t>
            </w:r>
          </w:p>
        </w:tc>
        <w:tc>
          <w:tcPr>
            <w:tcW w:w="1387" w:type="dxa"/>
            <w:tcBorders>
              <w:top w:val="nil"/>
              <w:left w:val="nil"/>
              <w:bottom w:val="nil"/>
              <w:right w:val="double" w:sz="6" w:space="0" w:color="auto"/>
            </w:tcBorders>
            <w:shd w:val="clear" w:color="auto" w:fill="auto"/>
            <w:noWrap/>
            <w:vAlign w:val="center"/>
          </w:tcPr>
          <w:p w:rsidR="00951026" w:rsidRDefault="00951026" w:rsidP="001B2A36">
            <w:pPr>
              <w:tabs>
                <w:tab w:val="decimal" w:pos="193"/>
              </w:tabs>
              <w:jc w:val="center"/>
              <w:rPr>
                <w:color w:val="000000"/>
                <w:sz w:val="20"/>
                <w:szCs w:val="20"/>
              </w:rPr>
            </w:pPr>
            <w:r>
              <w:rPr>
                <w:color w:val="000000"/>
                <w:sz w:val="20"/>
                <w:szCs w:val="20"/>
              </w:rPr>
              <w:t>3.8%</w:t>
            </w:r>
          </w:p>
        </w:tc>
        <w:tc>
          <w:tcPr>
            <w:tcW w:w="1660" w:type="dxa"/>
            <w:tcBorders>
              <w:top w:val="nil"/>
              <w:left w:val="nil"/>
              <w:bottom w:val="nil"/>
              <w:right w:val="single" w:sz="4" w:space="0" w:color="auto"/>
            </w:tcBorders>
            <w:shd w:val="clear" w:color="auto" w:fill="auto"/>
            <w:noWrap/>
            <w:vAlign w:val="center"/>
          </w:tcPr>
          <w:p w:rsidR="00951026" w:rsidRDefault="00951026" w:rsidP="001B2A36">
            <w:pPr>
              <w:tabs>
                <w:tab w:val="decimal" w:pos="190"/>
              </w:tabs>
              <w:jc w:val="center"/>
              <w:rPr>
                <w:color w:val="000000"/>
                <w:sz w:val="20"/>
                <w:szCs w:val="20"/>
              </w:rPr>
            </w:pPr>
            <w:r>
              <w:rPr>
                <w:color w:val="000000"/>
                <w:sz w:val="20"/>
                <w:szCs w:val="20"/>
              </w:rPr>
              <w:t>0.125</w:t>
            </w:r>
          </w:p>
        </w:tc>
        <w:tc>
          <w:tcPr>
            <w:tcW w:w="1660" w:type="dxa"/>
            <w:tcBorders>
              <w:top w:val="nil"/>
              <w:left w:val="nil"/>
              <w:bottom w:val="nil"/>
              <w:right w:val="single" w:sz="4" w:space="0" w:color="auto"/>
            </w:tcBorders>
            <w:shd w:val="clear" w:color="auto" w:fill="auto"/>
            <w:noWrap/>
            <w:vAlign w:val="center"/>
          </w:tcPr>
          <w:p w:rsidR="00951026" w:rsidRPr="00752F0F" w:rsidRDefault="00951026" w:rsidP="001B2A36">
            <w:pPr>
              <w:tabs>
                <w:tab w:val="decimal" w:pos="255"/>
                <w:tab w:val="decimal" w:pos="420"/>
              </w:tabs>
              <w:jc w:val="center"/>
              <w:rPr>
                <w:sz w:val="20"/>
                <w:szCs w:val="20"/>
              </w:rPr>
            </w:pPr>
            <w:r w:rsidRPr="00752F0F">
              <w:rPr>
                <w:sz w:val="20"/>
                <w:szCs w:val="20"/>
              </w:rPr>
              <w:t>0.115</w:t>
            </w:r>
          </w:p>
        </w:tc>
        <w:tc>
          <w:tcPr>
            <w:tcW w:w="1874" w:type="dxa"/>
            <w:tcBorders>
              <w:top w:val="nil"/>
              <w:left w:val="nil"/>
              <w:bottom w:val="nil"/>
              <w:right w:val="double" w:sz="6" w:space="0" w:color="auto"/>
            </w:tcBorders>
            <w:shd w:val="clear" w:color="auto" w:fill="auto"/>
            <w:noWrap/>
            <w:vAlign w:val="center"/>
          </w:tcPr>
          <w:p w:rsidR="00951026" w:rsidRDefault="00951026" w:rsidP="001B2A36">
            <w:pPr>
              <w:tabs>
                <w:tab w:val="decimal" w:pos="290"/>
              </w:tabs>
              <w:jc w:val="center"/>
              <w:rPr>
                <w:color w:val="000000"/>
                <w:sz w:val="20"/>
                <w:szCs w:val="20"/>
              </w:rPr>
            </w:pPr>
            <w:r>
              <w:rPr>
                <w:color w:val="000000"/>
                <w:sz w:val="20"/>
                <w:szCs w:val="20"/>
              </w:rPr>
              <w:t>8.4%</w:t>
            </w:r>
          </w:p>
        </w:tc>
      </w:tr>
      <w:tr w:rsidR="00951026"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951026" w:rsidRPr="00211E01" w:rsidRDefault="00951026" w:rsidP="008E07A2">
            <w:pPr>
              <w:jc w:val="center"/>
              <w:rPr>
                <w:rFonts w:eastAsia="Times New Roman"/>
                <w:i/>
                <w:color w:val="000000"/>
                <w:sz w:val="20"/>
                <w:szCs w:val="20"/>
              </w:rPr>
            </w:pPr>
            <w:r w:rsidRPr="00211E01">
              <w:rPr>
                <w:position w:val="-10"/>
                <w:sz w:val="20"/>
                <w:szCs w:val="20"/>
              </w:rPr>
              <w:object w:dxaOrig="279" w:dyaOrig="340" w14:anchorId="50B752C8">
                <v:shape id="_x0000_i1449" type="#_x0000_t75" style="width:12pt;height:14.25pt" o:ole="" o:preferrelative="f">
                  <v:imagedata r:id="rId820" o:title=""/>
                </v:shape>
                <o:OLEObject Type="Embed" ProgID="Equation.3" ShapeID="_x0000_i1449" DrawAspect="Content" ObjectID="_1519137298" r:id="rId821"/>
              </w:object>
            </w:r>
          </w:p>
        </w:tc>
        <w:tc>
          <w:tcPr>
            <w:tcW w:w="1000" w:type="dxa"/>
            <w:tcBorders>
              <w:top w:val="nil"/>
              <w:left w:val="nil"/>
              <w:bottom w:val="nil"/>
              <w:right w:val="double" w:sz="6" w:space="0" w:color="auto"/>
            </w:tcBorders>
            <w:shd w:val="clear" w:color="auto" w:fill="auto"/>
            <w:noWrap/>
            <w:vAlign w:val="center"/>
          </w:tcPr>
          <w:p w:rsidR="00951026" w:rsidRDefault="00951026" w:rsidP="001B2A36">
            <w:pPr>
              <w:tabs>
                <w:tab w:val="decimal" w:pos="75"/>
              </w:tabs>
              <w:jc w:val="center"/>
              <w:rPr>
                <w:color w:val="000000"/>
                <w:sz w:val="20"/>
                <w:szCs w:val="20"/>
              </w:rPr>
            </w:pPr>
            <w:r>
              <w:rPr>
                <w:color w:val="000000"/>
                <w:sz w:val="20"/>
                <w:szCs w:val="20"/>
              </w:rPr>
              <w:t>1.000</w:t>
            </w:r>
          </w:p>
        </w:tc>
        <w:tc>
          <w:tcPr>
            <w:tcW w:w="1027" w:type="dxa"/>
            <w:tcBorders>
              <w:top w:val="nil"/>
              <w:left w:val="nil"/>
              <w:bottom w:val="nil"/>
              <w:right w:val="single" w:sz="4" w:space="0" w:color="auto"/>
            </w:tcBorders>
            <w:shd w:val="clear" w:color="auto" w:fill="auto"/>
            <w:noWrap/>
            <w:vAlign w:val="center"/>
          </w:tcPr>
          <w:p w:rsidR="00951026" w:rsidRDefault="00951026" w:rsidP="001B2A36">
            <w:pPr>
              <w:tabs>
                <w:tab w:val="decimal" w:pos="200"/>
              </w:tabs>
              <w:jc w:val="center"/>
              <w:rPr>
                <w:color w:val="000000"/>
                <w:sz w:val="20"/>
                <w:szCs w:val="20"/>
              </w:rPr>
            </w:pPr>
            <w:r>
              <w:rPr>
                <w:color w:val="000000"/>
                <w:sz w:val="20"/>
                <w:szCs w:val="20"/>
              </w:rPr>
              <w:t>1.008</w:t>
            </w:r>
          </w:p>
        </w:tc>
        <w:tc>
          <w:tcPr>
            <w:tcW w:w="1387" w:type="dxa"/>
            <w:tcBorders>
              <w:top w:val="nil"/>
              <w:left w:val="nil"/>
              <w:bottom w:val="nil"/>
              <w:right w:val="double" w:sz="6" w:space="0" w:color="auto"/>
            </w:tcBorders>
            <w:shd w:val="clear" w:color="auto" w:fill="auto"/>
            <w:noWrap/>
            <w:vAlign w:val="center"/>
          </w:tcPr>
          <w:p w:rsidR="00951026" w:rsidRDefault="00951026" w:rsidP="001B2A36">
            <w:pPr>
              <w:tabs>
                <w:tab w:val="decimal" w:pos="193"/>
              </w:tabs>
              <w:jc w:val="center"/>
              <w:rPr>
                <w:color w:val="000000"/>
                <w:sz w:val="20"/>
                <w:szCs w:val="20"/>
              </w:rPr>
            </w:pPr>
            <w:r>
              <w:rPr>
                <w:color w:val="000000"/>
                <w:sz w:val="20"/>
                <w:szCs w:val="20"/>
              </w:rPr>
              <w:t>0.8%</w:t>
            </w:r>
          </w:p>
        </w:tc>
        <w:tc>
          <w:tcPr>
            <w:tcW w:w="1660" w:type="dxa"/>
            <w:tcBorders>
              <w:top w:val="nil"/>
              <w:left w:val="nil"/>
              <w:bottom w:val="nil"/>
              <w:right w:val="single" w:sz="4" w:space="0" w:color="auto"/>
            </w:tcBorders>
            <w:shd w:val="clear" w:color="auto" w:fill="auto"/>
            <w:noWrap/>
            <w:vAlign w:val="center"/>
          </w:tcPr>
          <w:p w:rsidR="00951026" w:rsidRDefault="00951026" w:rsidP="001B2A36">
            <w:pPr>
              <w:tabs>
                <w:tab w:val="decimal" w:pos="190"/>
              </w:tabs>
              <w:jc w:val="center"/>
              <w:rPr>
                <w:color w:val="000000"/>
                <w:sz w:val="20"/>
                <w:szCs w:val="20"/>
              </w:rPr>
            </w:pPr>
            <w:r>
              <w:rPr>
                <w:color w:val="000000"/>
                <w:sz w:val="20"/>
                <w:szCs w:val="20"/>
              </w:rPr>
              <w:t>0.146</w:t>
            </w:r>
          </w:p>
        </w:tc>
        <w:tc>
          <w:tcPr>
            <w:tcW w:w="1660" w:type="dxa"/>
            <w:tcBorders>
              <w:top w:val="nil"/>
              <w:left w:val="nil"/>
              <w:bottom w:val="nil"/>
              <w:right w:val="single" w:sz="4" w:space="0" w:color="auto"/>
            </w:tcBorders>
            <w:shd w:val="clear" w:color="auto" w:fill="auto"/>
            <w:noWrap/>
            <w:vAlign w:val="center"/>
          </w:tcPr>
          <w:p w:rsidR="00951026" w:rsidRPr="00752F0F" w:rsidRDefault="00951026" w:rsidP="001B2A36">
            <w:pPr>
              <w:tabs>
                <w:tab w:val="decimal" w:pos="255"/>
                <w:tab w:val="decimal" w:pos="420"/>
              </w:tabs>
              <w:jc w:val="center"/>
              <w:rPr>
                <w:sz w:val="20"/>
                <w:szCs w:val="20"/>
              </w:rPr>
            </w:pPr>
            <w:r w:rsidRPr="00752F0F">
              <w:rPr>
                <w:sz w:val="20"/>
                <w:szCs w:val="20"/>
              </w:rPr>
              <w:t>0.136</w:t>
            </w:r>
          </w:p>
        </w:tc>
        <w:tc>
          <w:tcPr>
            <w:tcW w:w="1874" w:type="dxa"/>
            <w:tcBorders>
              <w:top w:val="nil"/>
              <w:left w:val="nil"/>
              <w:bottom w:val="nil"/>
              <w:right w:val="double" w:sz="6" w:space="0" w:color="auto"/>
            </w:tcBorders>
            <w:shd w:val="clear" w:color="auto" w:fill="auto"/>
            <w:noWrap/>
            <w:vAlign w:val="center"/>
          </w:tcPr>
          <w:p w:rsidR="00951026" w:rsidRDefault="00951026" w:rsidP="001B2A36">
            <w:pPr>
              <w:tabs>
                <w:tab w:val="decimal" w:pos="290"/>
              </w:tabs>
              <w:jc w:val="center"/>
              <w:rPr>
                <w:color w:val="000000"/>
                <w:sz w:val="20"/>
                <w:szCs w:val="20"/>
              </w:rPr>
            </w:pPr>
            <w:r>
              <w:rPr>
                <w:color w:val="000000"/>
                <w:sz w:val="20"/>
                <w:szCs w:val="20"/>
              </w:rPr>
              <w:t>7.0%</w:t>
            </w:r>
          </w:p>
        </w:tc>
      </w:tr>
      <w:tr w:rsidR="00951026" w:rsidRPr="009D3D23" w:rsidTr="008E07A2">
        <w:trPr>
          <w:trHeight w:val="288"/>
          <w:jc w:val="center"/>
        </w:trPr>
        <w:tc>
          <w:tcPr>
            <w:tcW w:w="1260" w:type="dxa"/>
            <w:tcBorders>
              <w:top w:val="nil"/>
              <w:left w:val="double" w:sz="6" w:space="0" w:color="auto"/>
              <w:bottom w:val="nil"/>
              <w:right w:val="double" w:sz="6" w:space="0" w:color="auto"/>
            </w:tcBorders>
            <w:shd w:val="clear" w:color="auto" w:fill="auto"/>
            <w:noWrap/>
            <w:vAlign w:val="center"/>
          </w:tcPr>
          <w:p w:rsidR="00951026" w:rsidRPr="00211E01" w:rsidRDefault="00951026" w:rsidP="008E07A2">
            <w:pPr>
              <w:jc w:val="center"/>
              <w:rPr>
                <w:rFonts w:eastAsia="Times New Roman"/>
                <w:i/>
                <w:color w:val="000000"/>
                <w:sz w:val="20"/>
                <w:szCs w:val="20"/>
              </w:rPr>
            </w:pPr>
            <w:r w:rsidRPr="00211E01">
              <w:rPr>
                <w:position w:val="-12"/>
                <w:sz w:val="20"/>
                <w:szCs w:val="20"/>
              </w:rPr>
              <w:object w:dxaOrig="260" w:dyaOrig="360" w14:anchorId="3AD4DFFD">
                <v:shape id="_x0000_i1450" type="#_x0000_t75" style="width:11.25pt;height:15pt" o:ole="" o:preferrelative="f">
                  <v:imagedata r:id="rId822" o:title=""/>
                </v:shape>
                <o:OLEObject Type="Embed" ProgID="Equation.3" ShapeID="_x0000_i1450" DrawAspect="Content" ObjectID="_1519137299" r:id="rId823"/>
              </w:object>
            </w:r>
          </w:p>
        </w:tc>
        <w:tc>
          <w:tcPr>
            <w:tcW w:w="1000" w:type="dxa"/>
            <w:tcBorders>
              <w:top w:val="nil"/>
              <w:left w:val="nil"/>
              <w:bottom w:val="nil"/>
              <w:right w:val="double" w:sz="6" w:space="0" w:color="auto"/>
            </w:tcBorders>
            <w:shd w:val="clear" w:color="auto" w:fill="auto"/>
            <w:noWrap/>
            <w:vAlign w:val="center"/>
          </w:tcPr>
          <w:p w:rsidR="00951026" w:rsidRDefault="00951026" w:rsidP="001B2A36">
            <w:pPr>
              <w:tabs>
                <w:tab w:val="decimal" w:pos="75"/>
              </w:tabs>
              <w:jc w:val="center"/>
              <w:rPr>
                <w:color w:val="000000"/>
                <w:sz w:val="20"/>
                <w:szCs w:val="20"/>
              </w:rPr>
            </w:pPr>
            <w:r>
              <w:rPr>
                <w:color w:val="000000"/>
                <w:sz w:val="20"/>
                <w:szCs w:val="20"/>
              </w:rPr>
              <w:t>1.000</w:t>
            </w:r>
          </w:p>
        </w:tc>
        <w:tc>
          <w:tcPr>
            <w:tcW w:w="1027" w:type="dxa"/>
            <w:tcBorders>
              <w:top w:val="nil"/>
              <w:left w:val="nil"/>
              <w:bottom w:val="double" w:sz="6" w:space="0" w:color="auto"/>
              <w:right w:val="single" w:sz="4" w:space="0" w:color="auto"/>
            </w:tcBorders>
            <w:shd w:val="clear" w:color="auto" w:fill="auto"/>
            <w:noWrap/>
            <w:vAlign w:val="center"/>
          </w:tcPr>
          <w:p w:rsidR="00951026" w:rsidRDefault="00951026" w:rsidP="001B2A36">
            <w:pPr>
              <w:tabs>
                <w:tab w:val="decimal" w:pos="200"/>
              </w:tabs>
              <w:jc w:val="center"/>
              <w:rPr>
                <w:color w:val="000000"/>
                <w:sz w:val="20"/>
                <w:szCs w:val="20"/>
              </w:rPr>
            </w:pPr>
            <w:r>
              <w:rPr>
                <w:color w:val="000000"/>
                <w:sz w:val="20"/>
                <w:szCs w:val="20"/>
              </w:rPr>
              <w:t>1.103</w:t>
            </w:r>
          </w:p>
        </w:tc>
        <w:tc>
          <w:tcPr>
            <w:tcW w:w="1387" w:type="dxa"/>
            <w:tcBorders>
              <w:top w:val="nil"/>
              <w:left w:val="nil"/>
              <w:bottom w:val="double" w:sz="6" w:space="0" w:color="auto"/>
              <w:right w:val="double" w:sz="6" w:space="0" w:color="auto"/>
            </w:tcBorders>
            <w:shd w:val="clear" w:color="auto" w:fill="auto"/>
            <w:noWrap/>
            <w:vAlign w:val="center"/>
          </w:tcPr>
          <w:p w:rsidR="00951026" w:rsidRDefault="00951026" w:rsidP="001B2A36">
            <w:pPr>
              <w:tabs>
                <w:tab w:val="decimal" w:pos="193"/>
              </w:tabs>
              <w:jc w:val="center"/>
              <w:rPr>
                <w:color w:val="000000"/>
                <w:sz w:val="20"/>
                <w:szCs w:val="20"/>
              </w:rPr>
            </w:pPr>
            <w:r>
              <w:rPr>
                <w:color w:val="000000"/>
                <w:sz w:val="20"/>
                <w:szCs w:val="20"/>
              </w:rPr>
              <w:t>10.3%</w:t>
            </w:r>
          </w:p>
        </w:tc>
        <w:tc>
          <w:tcPr>
            <w:tcW w:w="1660" w:type="dxa"/>
            <w:tcBorders>
              <w:top w:val="nil"/>
              <w:left w:val="nil"/>
              <w:bottom w:val="double" w:sz="6" w:space="0" w:color="auto"/>
              <w:right w:val="single" w:sz="4" w:space="0" w:color="auto"/>
            </w:tcBorders>
            <w:shd w:val="clear" w:color="auto" w:fill="auto"/>
            <w:noWrap/>
            <w:vAlign w:val="center"/>
          </w:tcPr>
          <w:p w:rsidR="00951026" w:rsidRDefault="00951026" w:rsidP="001B2A36">
            <w:pPr>
              <w:tabs>
                <w:tab w:val="decimal" w:pos="190"/>
              </w:tabs>
              <w:jc w:val="center"/>
              <w:rPr>
                <w:color w:val="000000"/>
                <w:sz w:val="20"/>
                <w:szCs w:val="20"/>
              </w:rPr>
            </w:pPr>
            <w:r>
              <w:rPr>
                <w:color w:val="000000"/>
                <w:sz w:val="20"/>
                <w:szCs w:val="20"/>
              </w:rPr>
              <w:t>0.396</w:t>
            </w:r>
          </w:p>
        </w:tc>
        <w:tc>
          <w:tcPr>
            <w:tcW w:w="1660" w:type="dxa"/>
            <w:tcBorders>
              <w:top w:val="nil"/>
              <w:left w:val="nil"/>
              <w:bottom w:val="double" w:sz="6" w:space="0" w:color="auto"/>
              <w:right w:val="single" w:sz="4" w:space="0" w:color="auto"/>
            </w:tcBorders>
            <w:shd w:val="clear" w:color="auto" w:fill="auto"/>
            <w:noWrap/>
            <w:vAlign w:val="center"/>
          </w:tcPr>
          <w:p w:rsidR="00951026" w:rsidRPr="00752F0F" w:rsidRDefault="00951026" w:rsidP="001B2A36">
            <w:pPr>
              <w:tabs>
                <w:tab w:val="decimal" w:pos="255"/>
                <w:tab w:val="decimal" w:pos="420"/>
              </w:tabs>
              <w:jc w:val="center"/>
              <w:rPr>
                <w:sz w:val="20"/>
                <w:szCs w:val="20"/>
              </w:rPr>
            </w:pPr>
            <w:r w:rsidRPr="00752F0F">
              <w:rPr>
                <w:sz w:val="20"/>
                <w:szCs w:val="20"/>
              </w:rPr>
              <w:t>0.395</w:t>
            </w:r>
          </w:p>
        </w:tc>
        <w:tc>
          <w:tcPr>
            <w:tcW w:w="1874" w:type="dxa"/>
            <w:tcBorders>
              <w:top w:val="nil"/>
              <w:left w:val="nil"/>
              <w:bottom w:val="double" w:sz="6" w:space="0" w:color="auto"/>
              <w:right w:val="double" w:sz="6" w:space="0" w:color="auto"/>
            </w:tcBorders>
            <w:shd w:val="clear" w:color="auto" w:fill="auto"/>
            <w:noWrap/>
            <w:vAlign w:val="center"/>
          </w:tcPr>
          <w:p w:rsidR="00951026" w:rsidRDefault="00951026" w:rsidP="001B2A36">
            <w:pPr>
              <w:tabs>
                <w:tab w:val="decimal" w:pos="290"/>
              </w:tabs>
              <w:jc w:val="center"/>
              <w:rPr>
                <w:color w:val="000000"/>
                <w:sz w:val="20"/>
                <w:szCs w:val="20"/>
              </w:rPr>
            </w:pPr>
            <w:r>
              <w:rPr>
                <w:color w:val="000000"/>
                <w:sz w:val="20"/>
                <w:szCs w:val="20"/>
              </w:rPr>
              <w:t>0.2%</w:t>
            </w:r>
          </w:p>
        </w:tc>
      </w:tr>
      <w:tr w:rsidR="003F39AE" w:rsidRPr="009D3D23" w:rsidTr="008E07A2">
        <w:trPr>
          <w:trHeight w:val="540"/>
          <w:jc w:val="center"/>
        </w:trPr>
        <w:tc>
          <w:tcPr>
            <w:tcW w:w="2260" w:type="dxa"/>
            <w:gridSpan w:val="2"/>
            <w:tcBorders>
              <w:top w:val="double" w:sz="6" w:space="0" w:color="auto"/>
              <w:left w:val="double" w:sz="6" w:space="0" w:color="auto"/>
              <w:bottom w:val="double" w:sz="6" w:space="0" w:color="auto"/>
              <w:right w:val="double" w:sz="6" w:space="0" w:color="000000"/>
            </w:tcBorders>
            <w:shd w:val="clear" w:color="auto" w:fill="auto"/>
            <w:vAlign w:val="center"/>
          </w:tcPr>
          <w:p w:rsidR="003F39AE" w:rsidRPr="009D3D23" w:rsidRDefault="003F39AE" w:rsidP="00226CA2">
            <w:pPr>
              <w:jc w:val="left"/>
              <w:rPr>
                <w:rFonts w:eastAsia="Times New Roman"/>
                <w:b/>
                <w:bCs/>
                <w:color w:val="000000"/>
                <w:sz w:val="20"/>
                <w:szCs w:val="20"/>
              </w:rPr>
            </w:pPr>
            <w:r w:rsidRPr="009D3D23">
              <w:rPr>
                <w:rFonts w:eastAsia="Times New Roman"/>
                <w:b/>
                <w:bCs/>
                <w:color w:val="000000"/>
                <w:sz w:val="20"/>
                <w:szCs w:val="20"/>
              </w:rPr>
              <w:t>Overall Mean Value Across Parameters</w:t>
            </w:r>
          </w:p>
        </w:tc>
        <w:tc>
          <w:tcPr>
            <w:tcW w:w="2414" w:type="dxa"/>
            <w:gridSpan w:val="2"/>
            <w:tcBorders>
              <w:top w:val="double" w:sz="6" w:space="0" w:color="auto"/>
              <w:left w:val="nil"/>
              <w:bottom w:val="double" w:sz="6" w:space="0" w:color="auto"/>
              <w:right w:val="double" w:sz="6" w:space="0" w:color="auto"/>
            </w:tcBorders>
            <w:shd w:val="clear" w:color="auto" w:fill="auto"/>
            <w:noWrap/>
            <w:vAlign w:val="center"/>
          </w:tcPr>
          <w:p w:rsidR="003F39AE" w:rsidRPr="00726FDF" w:rsidRDefault="003F39AE" w:rsidP="00226CA2">
            <w:pPr>
              <w:jc w:val="center"/>
              <w:rPr>
                <w:rFonts w:eastAsia="Times New Roman"/>
                <w:b/>
                <w:color w:val="000000"/>
                <w:sz w:val="20"/>
                <w:szCs w:val="20"/>
              </w:rPr>
            </w:pPr>
            <w:r w:rsidRPr="00726FDF">
              <w:rPr>
                <w:rFonts w:eastAsia="Times New Roman"/>
                <w:b/>
                <w:color w:val="000000"/>
                <w:sz w:val="20"/>
                <w:szCs w:val="20"/>
              </w:rPr>
              <w:t>3.2%</w:t>
            </w:r>
            <w:r>
              <w:rPr>
                <w:rFonts w:eastAsia="Times New Roman"/>
                <w:b/>
                <w:color w:val="000000"/>
                <w:sz w:val="20"/>
                <w:szCs w:val="20"/>
              </w:rPr>
              <w:t xml:space="preserve"> (for APB)</w:t>
            </w:r>
          </w:p>
        </w:tc>
        <w:tc>
          <w:tcPr>
            <w:tcW w:w="1660" w:type="dxa"/>
            <w:tcBorders>
              <w:top w:val="double" w:sz="6" w:space="0" w:color="auto"/>
              <w:left w:val="nil"/>
              <w:bottom w:val="double" w:sz="6" w:space="0" w:color="auto"/>
              <w:right w:val="single" w:sz="4" w:space="0" w:color="auto"/>
            </w:tcBorders>
            <w:shd w:val="clear" w:color="auto" w:fill="auto"/>
            <w:noWrap/>
            <w:vAlign w:val="center"/>
          </w:tcPr>
          <w:p w:rsidR="003F39AE" w:rsidRPr="00726FDF" w:rsidRDefault="003F39AE" w:rsidP="00226CA2">
            <w:pPr>
              <w:jc w:val="center"/>
              <w:rPr>
                <w:rFonts w:eastAsia="Times New Roman"/>
                <w:b/>
                <w:color w:val="000000"/>
                <w:sz w:val="20"/>
                <w:szCs w:val="20"/>
              </w:rPr>
            </w:pPr>
            <w:r w:rsidRPr="00726FDF">
              <w:rPr>
                <w:rFonts w:eastAsia="Times New Roman"/>
                <w:b/>
                <w:color w:val="000000"/>
                <w:sz w:val="20"/>
                <w:szCs w:val="20"/>
              </w:rPr>
              <w:t>0.115</w:t>
            </w:r>
          </w:p>
        </w:tc>
        <w:tc>
          <w:tcPr>
            <w:tcW w:w="1660" w:type="dxa"/>
            <w:tcBorders>
              <w:top w:val="double" w:sz="6" w:space="0" w:color="auto"/>
              <w:left w:val="nil"/>
              <w:bottom w:val="double" w:sz="6" w:space="0" w:color="auto"/>
              <w:right w:val="single" w:sz="4" w:space="0" w:color="auto"/>
            </w:tcBorders>
            <w:shd w:val="clear" w:color="auto" w:fill="auto"/>
            <w:noWrap/>
            <w:vAlign w:val="center"/>
          </w:tcPr>
          <w:p w:rsidR="003F39AE" w:rsidRPr="00726FDF" w:rsidRDefault="003F39AE" w:rsidP="00226CA2">
            <w:pPr>
              <w:jc w:val="center"/>
              <w:rPr>
                <w:rFonts w:eastAsia="Times New Roman"/>
                <w:b/>
                <w:color w:val="000000"/>
                <w:sz w:val="20"/>
                <w:szCs w:val="20"/>
              </w:rPr>
            </w:pPr>
            <w:r w:rsidRPr="00726FDF">
              <w:rPr>
                <w:rFonts w:eastAsia="Times New Roman"/>
                <w:b/>
                <w:color w:val="000000"/>
                <w:sz w:val="20"/>
                <w:szCs w:val="20"/>
              </w:rPr>
              <w:t>0.113</w:t>
            </w:r>
          </w:p>
        </w:tc>
        <w:tc>
          <w:tcPr>
            <w:tcW w:w="1874" w:type="dxa"/>
            <w:tcBorders>
              <w:top w:val="double" w:sz="6" w:space="0" w:color="auto"/>
              <w:left w:val="nil"/>
              <w:bottom w:val="double" w:sz="6" w:space="0" w:color="auto"/>
              <w:right w:val="double" w:sz="6" w:space="0" w:color="auto"/>
            </w:tcBorders>
            <w:shd w:val="clear" w:color="auto" w:fill="auto"/>
            <w:noWrap/>
            <w:vAlign w:val="center"/>
          </w:tcPr>
          <w:p w:rsidR="003F39AE" w:rsidRPr="00726FDF" w:rsidRDefault="003F39AE" w:rsidP="00686D24">
            <w:pPr>
              <w:tabs>
                <w:tab w:val="decimal" w:pos="290"/>
              </w:tabs>
              <w:jc w:val="center"/>
              <w:rPr>
                <w:rFonts w:eastAsia="Times New Roman"/>
                <w:b/>
                <w:color w:val="000000"/>
                <w:sz w:val="20"/>
                <w:szCs w:val="20"/>
              </w:rPr>
            </w:pPr>
            <w:r w:rsidRPr="00726FDF">
              <w:rPr>
                <w:rFonts w:eastAsia="Times New Roman"/>
                <w:b/>
                <w:color w:val="000000"/>
                <w:sz w:val="20"/>
                <w:szCs w:val="20"/>
              </w:rPr>
              <w:t>7.8%</w:t>
            </w:r>
          </w:p>
        </w:tc>
      </w:tr>
      <w:tr w:rsidR="005A1ED7" w:rsidRPr="009D3D23" w:rsidTr="008E07A2">
        <w:trPr>
          <w:trHeight w:val="288"/>
          <w:jc w:val="center"/>
        </w:trPr>
        <w:tc>
          <w:tcPr>
            <w:tcW w:w="2260"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tcPr>
          <w:p w:rsidR="005A1ED7" w:rsidRPr="009D3D23" w:rsidRDefault="005A1ED7" w:rsidP="00226CA2">
            <w:pPr>
              <w:jc w:val="left"/>
              <w:rPr>
                <w:rFonts w:eastAsia="Times New Roman"/>
                <w:b/>
                <w:bCs/>
                <w:color w:val="000000"/>
                <w:sz w:val="20"/>
                <w:szCs w:val="20"/>
              </w:rPr>
            </w:pPr>
            <w:r w:rsidRPr="009D3D23">
              <w:rPr>
                <w:rFonts w:eastAsia="Times New Roman"/>
                <w:b/>
                <w:bCs/>
                <w:color w:val="000000"/>
                <w:sz w:val="20"/>
                <w:szCs w:val="20"/>
              </w:rPr>
              <w:t>Mean Time</w:t>
            </w:r>
            <w:r>
              <w:rPr>
                <w:rFonts w:eastAsia="Times New Roman"/>
                <w:b/>
                <w:bCs/>
                <w:color w:val="000000"/>
                <w:sz w:val="20"/>
                <w:szCs w:val="20"/>
              </w:rPr>
              <w:t xml:space="preserve"> (mins)</w:t>
            </w:r>
          </w:p>
        </w:tc>
        <w:tc>
          <w:tcPr>
            <w:tcW w:w="7608" w:type="dxa"/>
            <w:gridSpan w:val="5"/>
            <w:tcBorders>
              <w:top w:val="double" w:sz="6" w:space="0" w:color="auto"/>
              <w:left w:val="nil"/>
              <w:bottom w:val="double" w:sz="6" w:space="0" w:color="auto"/>
              <w:right w:val="double" w:sz="6" w:space="0" w:color="000000"/>
            </w:tcBorders>
            <w:shd w:val="clear" w:color="auto" w:fill="auto"/>
            <w:noWrap/>
            <w:vAlign w:val="center"/>
          </w:tcPr>
          <w:p w:rsidR="005A1ED7" w:rsidRPr="009D3D23" w:rsidRDefault="005A1ED7" w:rsidP="00226CA2">
            <w:pPr>
              <w:jc w:val="center"/>
              <w:rPr>
                <w:rFonts w:eastAsia="Times New Roman"/>
                <w:color w:val="000000"/>
                <w:sz w:val="20"/>
                <w:szCs w:val="20"/>
              </w:rPr>
            </w:pPr>
            <w:r>
              <w:rPr>
                <w:rFonts w:eastAsia="Times New Roman"/>
                <w:color w:val="000000"/>
                <w:sz w:val="20"/>
                <w:szCs w:val="20"/>
              </w:rPr>
              <w:t>18.3</w:t>
            </w:r>
          </w:p>
        </w:tc>
      </w:tr>
      <w:tr w:rsidR="005A1ED7" w:rsidRPr="009D3D23" w:rsidTr="008E07A2">
        <w:trPr>
          <w:trHeight w:val="288"/>
          <w:jc w:val="center"/>
        </w:trPr>
        <w:tc>
          <w:tcPr>
            <w:tcW w:w="2260" w:type="dxa"/>
            <w:gridSpan w:val="2"/>
            <w:tcBorders>
              <w:top w:val="nil"/>
              <w:left w:val="double" w:sz="6" w:space="0" w:color="auto"/>
              <w:bottom w:val="double" w:sz="6" w:space="0" w:color="auto"/>
              <w:right w:val="double" w:sz="6" w:space="0" w:color="000000"/>
            </w:tcBorders>
            <w:shd w:val="clear" w:color="auto" w:fill="auto"/>
            <w:noWrap/>
            <w:vAlign w:val="center"/>
          </w:tcPr>
          <w:p w:rsidR="005A1ED7" w:rsidRPr="009D3D23" w:rsidRDefault="005A1ED7" w:rsidP="00226CA2">
            <w:pPr>
              <w:jc w:val="left"/>
              <w:rPr>
                <w:rFonts w:eastAsia="Times New Roman"/>
                <w:b/>
                <w:bCs/>
                <w:color w:val="000000"/>
                <w:sz w:val="20"/>
                <w:szCs w:val="20"/>
              </w:rPr>
            </w:pPr>
            <w:r w:rsidRPr="009D3D23">
              <w:rPr>
                <w:rFonts w:eastAsia="Times New Roman"/>
                <w:b/>
                <w:bCs/>
                <w:color w:val="000000"/>
                <w:sz w:val="20"/>
                <w:szCs w:val="20"/>
              </w:rPr>
              <w:t>Std. dev of Time</w:t>
            </w:r>
          </w:p>
        </w:tc>
        <w:tc>
          <w:tcPr>
            <w:tcW w:w="7608" w:type="dxa"/>
            <w:gridSpan w:val="5"/>
            <w:tcBorders>
              <w:top w:val="double" w:sz="6" w:space="0" w:color="auto"/>
              <w:left w:val="nil"/>
              <w:bottom w:val="double" w:sz="6" w:space="0" w:color="auto"/>
              <w:right w:val="double" w:sz="6" w:space="0" w:color="000000"/>
            </w:tcBorders>
            <w:shd w:val="clear" w:color="auto" w:fill="auto"/>
            <w:noWrap/>
            <w:vAlign w:val="center"/>
          </w:tcPr>
          <w:p w:rsidR="005A1ED7" w:rsidRPr="009D3D23" w:rsidRDefault="005A1ED7" w:rsidP="00226CA2">
            <w:pPr>
              <w:jc w:val="center"/>
              <w:rPr>
                <w:rFonts w:eastAsia="Times New Roman"/>
                <w:color w:val="000000"/>
                <w:sz w:val="20"/>
                <w:szCs w:val="20"/>
              </w:rPr>
            </w:pPr>
            <w:r>
              <w:rPr>
                <w:rFonts w:eastAsia="Times New Roman"/>
                <w:color w:val="000000"/>
                <w:sz w:val="20"/>
                <w:szCs w:val="20"/>
              </w:rPr>
              <w:t>7.5</w:t>
            </w:r>
          </w:p>
        </w:tc>
      </w:tr>
      <w:tr w:rsidR="005A1ED7" w:rsidRPr="009D3D23" w:rsidTr="008E07A2">
        <w:trPr>
          <w:trHeight w:val="288"/>
          <w:jc w:val="center"/>
        </w:trPr>
        <w:tc>
          <w:tcPr>
            <w:tcW w:w="2260" w:type="dxa"/>
            <w:gridSpan w:val="2"/>
            <w:tcBorders>
              <w:top w:val="double" w:sz="6" w:space="0" w:color="auto"/>
              <w:left w:val="double" w:sz="6" w:space="0" w:color="auto"/>
              <w:bottom w:val="double" w:sz="6" w:space="0" w:color="auto"/>
              <w:right w:val="double" w:sz="6" w:space="0" w:color="000000"/>
            </w:tcBorders>
            <w:shd w:val="clear" w:color="auto" w:fill="auto"/>
            <w:vAlign w:val="center"/>
          </w:tcPr>
          <w:p w:rsidR="005A1ED7" w:rsidRPr="009D3D23" w:rsidRDefault="005A1ED7" w:rsidP="00226CA2">
            <w:pPr>
              <w:jc w:val="left"/>
              <w:rPr>
                <w:rFonts w:eastAsia="Times New Roman"/>
                <w:b/>
                <w:bCs/>
                <w:color w:val="000000"/>
                <w:sz w:val="20"/>
                <w:szCs w:val="20"/>
              </w:rPr>
            </w:pPr>
            <w:r w:rsidRPr="009D3D23">
              <w:rPr>
                <w:rFonts w:eastAsia="Times New Roman"/>
                <w:b/>
                <w:bCs/>
                <w:color w:val="000000"/>
                <w:sz w:val="20"/>
                <w:szCs w:val="20"/>
              </w:rPr>
              <w:t>% of Runs Converged</w:t>
            </w:r>
          </w:p>
        </w:tc>
        <w:tc>
          <w:tcPr>
            <w:tcW w:w="7608" w:type="dxa"/>
            <w:gridSpan w:val="5"/>
            <w:tcBorders>
              <w:top w:val="double" w:sz="6" w:space="0" w:color="auto"/>
              <w:left w:val="nil"/>
              <w:bottom w:val="double" w:sz="6" w:space="0" w:color="auto"/>
              <w:right w:val="double" w:sz="6" w:space="0" w:color="000000"/>
            </w:tcBorders>
            <w:shd w:val="clear" w:color="auto" w:fill="auto"/>
            <w:noWrap/>
            <w:vAlign w:val="center"/>
          </w:tcPr>
          <w:p w:rsidR="005A1ED7" w:rsidRPr="009D3D23" w:rsidRDefault="005A1ED7" w:rsidP="00226CA2">
            <w:pPr>
              <w:jc w:val="center"/>
              <w:rPr>
                <w:rFonts w:eastAsia="Times New Roman"/>
                <w:color w:val="000000"/>
                <w:sz w:val="20"/>
                <w:szCs w:val="20"/>
              </w:rPr>
            </w:pPr>
            <w:r w:rsidRPr="009D3D23">
              <w:rPr>
                <w:rFonts w:eastAsia="Times New Roman"/>
                <w:color w:val="000000"/>
                <w:sz w:val="20"/>
                <w:szCs w:val="20"/>
              </w:rPr>
              <w:t>100%</w:t>
            </w:r>
          </w:p>
        </w:tc>
      </w:tr>
    </w:tbl>
    <w:p w:rsidR="008F3FED" w:rsidRDefault="008F3FED">
      <w:pPr>
        <w:jc w:val="left"/>
        <w:rPr>
          <w:szCs w:val="24"/>
        </w:rPr>
      </w:pPr>
    </w:p>
    <w:p w:rsidR="00211E01" w:rsidRDefault="00211E01" w:rsidP="00211E01">
      <w:pPr>
        <w:jc w:val="center"/>
        <w:rPr>
          <w:b/>
        </w:rPr>
        <w:sectPr w:rsidR="00211E01" w:rsidSect="00390481">
          <w:footerReference w:type="default" r:id="rId824"/>
          <w:pgSz w:w="12240" w:h="15840"/>
          <w:pgMar w:top="1440" w:right="1440" w:bottom="1440" w:left="1440" w:header="720" w:footer="720" w:gutter="0"/>
          <w:pgNumType w:start="1"/>
          <w:cols w:space="720"/>
          <w:docGrid w:linePitch="360"/>
        </w:sectPr>
      </w:pPr>
    </w:p>
    <w:p w:rsidR="00561E9F" w:rsidRPr="00211E01" w:rsidRDefault="00884D45" w:rsidP="00951026">
      <w:pPr>
        <w:spacing w:after="60"/>
        <w:jc w:val="center"/>
        <w:rPr>
          <w:b/>
          <w:sz w:val="22"/>
        </w:rPr>
      </w:pPr>
      <w:proofErr w:type="gramStart"/>
      <w:r>
        <w:rPr>
          <w:b/>
          <w:sz w:val="22"/>
        </w:rPr>
        <w:lastRenderedPageBreak/>
        <w:t>Table 1b.</w:t>
      </w:r>
      <w:proofErr w:type="gramEnd"/>
      <w:r w:rsidR="00561E9F" w:rsidRPr="00211E01">
        <w:rPr>
          <w:b/>
          <w:sz w:val="22"/>
        </w:rPr>
        <w:t xml:space="preserve"> Evaluation of the ability to recover true parameters for the </w:t>
      </w:r>
      <w:r w:rsidR="00B51B8B" w:rsidRPr="00211E01">
        <w:rPr>
          <w:b/>
          <w:sz w:val="22"/>
        </w:rPr>
        <w:t>three-</w:t>
      </w:r>
      <w:r w:rsidR="00561E9F" w:rsidRPr="00211E01">
        <w:rPr>
          <w:b/>
          <w:sz w:val="22"/>
        </w:rPr>
        <w:t>segment case</w:t>
      </w:r>
    </w:p>
    <w:tbl>
      <w:tblPr>
        <w:tblW w:w="10328" w:type="dxa"/>
        <w:jc w:val="center"/>
        <w:tblLayout w:type="fixed"/>
        <w:tblLook w:val="04A0" w:firstRow="1" w:lastRow="0" w:firstColumn="1" w:lastColumn="0" w:noHBand="0" w:noVBand="1"/>
      </w:tblPr>
      <w:tblGrid>
        <w:gridCol w:w="1047"/>
        <w:gridCol w:w="1110"/>
        <w:gridCol w:w="1164"/>
        <w:gridCol w:w="1470"/>
        <w:gridCol w:w="1493"/>
        <w:gridCol w:w="1536"/>
        <w:gridCol w:w="2508"/>
      </w:tblGrid>
      <w:tr w:rsidR="00280589" w:rsidRPr="00211E01" w:rsidTr="008E07A2">
        <w:trPr>
          <w:cantSplit/>
          <w:trHeight w:val="20"/>
          <w:tblHeader/>
          <w:jc w:val="center"/>
        </w:trPr>
        <w:tc>
          <w:tcPr>
            <w:tcW w:w="1047" w:type="dxa"/>
            <w:vMerge w:val="restart"/>
            <w:tcBorders>
              <w:top w:val="double" w:sz="6" w:space="0" w:color="auto"/>
              <w:left w:val="double" w:sz="6" w:space="0" w:color="auto"/>
              <w:bottom w:val="double" w:sz="6" w:space="0" w:color="000000"/>
              <w:right w:val="double" w:sz="6" w:space="0" w:color="auto"/>
            </w:tcBorders>
            <w:shd w:val="clear" w:color="auto" w:fill="auto"/>
            <w:noWrap/>
            <w:tcMar>
              <w:left w:w="58" w:type="dxa"/>
              <w:right w:w="58" w:type="dxa"/>
            </w:tcMar>
            <w:vAlign w:val="center"/>
          </w:tcPr>
          <w:p w:rsidR="00280589" w:rsidRPr="00211E01" w:rsidRDefault="00280589" w:rsidP="00226CA2">
            <w:pPr>
              <w:jc w:val="center"/>
              <w:rPr>
                <w:rFonts w:eastAsia="Times New Roman"/>
                <w:b/>
                <w:bCs/>
                <w:color w:val="000000"/>
                <w:sz w:val="19"/>
                <w:szCs w:val="19"/>
              </w:rPr>
            </w:pPr>
            <w:r w:rsidRPr="00211E01">
              <w:rPr>
                <w:rFonts w:eastAsia="Times New Roman"/>
                <w:b/>
                <w:bCs/>
                <w:color w:val="000000"/>
                <w:sz w:val="19"/>
                <w:szCs w:val="19"/>
              </w:rPr>
              <w:t>Parameter</w:t>
            </w:r>
          </w:p>
        </w:tc>
        <w:tc>
          <w:tcPr>
            <w:tcW w:w="1110" w:type="dxa"/>
            <w:vMerge w:val="restart"/>
            <w:tcBorders>
              <w:top w:val="double" w:sz="6" w:space="0" w:color="auto"/>
              <w:left w:val="double" w:sz="6" w:space="0" w:color="auto"/>
              <w:bottom w:val="double" w:sz="6" w:space="0" w:color="000000"/>
              <w:right w:val="double" w:sz="6" w:space="0" w:color="auto"/>
            </w:tcBorders>
            <w:shd w:val="clear" w:color="auto" w:fill="auto"/>
            <w:tcMar>
              <w:left w:w="58" w:type="dxa"/>
              <w:right w:w="58" w:type="dxa"/>
            </w:tcMar>
            <w:vAlign w:val="center"/>
          </w:tcPr>
          <w:p w:rsidR="00280589" w:rsidRPr="00211E01" w:rsidRDefault="00280589" w:rsidP="00226CA2">
            <w:pPr>
              <w:jc w:val="center"/>
              <w:rPr>
                <w:rFonts w:eastAsia="Times New Roman"/>
                <w:b/>
                <w:bCs/>
                <w:color w:val="000000"/>
                <w:sz w:val="19"/>
                <w:szCs w:val="19"/>
              </w:rPr>
            </w:pPr>
            <w:r w:rsidRPr="00211E01">
              <w:rPr>
                <w:rFonts w:eastAsia="Times New Roman"/>
                <w:b/>
                <w:bCs/>
                <w:color w:val="000000"/>
                <w:sz w:val="19"/>
                <w:szCs w:val="19"/>
              </w:rPr>
              <w:t>True Value</w:t>
            </w:r>
          </w:p>
        </w:tc>
        <w:tc>
          <w:tcPr>
            <w:tcW w:w="8171" w:type="dxa"/>
            <w:gridSpan w:val="5"/>
            <w:tcBorders>
              <w:top w:val="double" w:sz="6" w:space="0" w:color="auto"/>
              <w:left w:val="nil"/>
              <w:bottom w:val="double" w:sz="6" w:space="0" w:color="auto"/>
              <w:right w:val="double" w:sz="6" w:space="0" w:color="000000"/>
            </w:tcBorders>
            <w:shd w:val="clear" w:color="auto" w:fill="auto"/>
            <w:noWrap/>
            <w:tcMar>
              <w:left w:w="58" w:type="dxa"/>
              <w:right w:w="58" w:type="dxa"/>
            </w:tcMar>
            <w:vAlign w:val="center"/>
          </w:tcPr>
          <w:p w:rsidR="00280589" w:rsidRPr="00211E01" w:rsidRDefault="00280589" w:rsidP="00226CA2">
            <w:pPr>
              <w:jc w:val="center"/>
              <w:rPr>
                <w:rFonts w:eastAsia="Times New Roman"/>
                <w:b/>
                <w:bCs/>
                <w:color w:val="000000"/>
                <w:sz w:val="19"/>
                <w:szCs w:val="19"/>
              </w:rPr>
            </w:pPr>
            <w:r w:rsidRPr="00211E01">
              <w:rPr>
                <w:rFonts w:eastAsia="Times New Roman"/>
                <w:b/>
                <w:bCs/>
                <w:color w:val="000000"/>
                <w:sz w:val="19"/>
                <w:szCs w:val="19"/>
              </w:rPr>
              <w:t>MACML Method</w:t>
            </w:r>
          </w:p>
        </w:tc>
      </w:tr>
      <w:tr w:rsidR="00280589" w:rsidRPr="00211E01" w:rsidTr="008E07A2">
        <w:trPr>
          <w:cantSplit/>
          <w:trHeight w:val="20"/>
          <w:tblHeader/>
          <w:jc w:val="center"/>
        </w:trPr>
        <w:tc>
          <w:tcPr>
            <w:tcW w:w="1047" w:type="dxa"/>
            <w:vMerge/>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280589" w:rsidRPr="00211E01" w:rsidRDefault="00280589" w:rsidP="00226CA2">
            <w:pPr>
              <w:rPr>
                <w:rFonts w:eastAsia="Times New Roman"/>
                <w:b/>
                <w:bCs/>
                <w:color w:val="000000"/>
                <w:sz w:val="19"/>
                <w:szCs w:val="19"/>
              </w:rPr>
            </w:pPr>
          </w:p>
        </w:tc>
        <w:tc>
          <w:tcPr>
            <w:tcW w:w="1110" w:type="dxa"/>
            <w:vMerge/>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280589" w:rsidRPr="00211E01" w:rsidRDefault="00280589" w:rsidP="00226CA2">
            <w:pPr>
              <w:rPr>
                <w:rFonts w:eastAsia="Times New Roman"/>
                <w:b/>
                <w:bCs/>
                <w:color w:val="000000"/>
                <w:sz w:val="19"/>
                <w:szCs w:val="19"/>
              </w:rPr>
            </w:pPr>
          </w:p>
        </w:tc>
        <w:tc>
          <w:tcPr>
            <w:tcW w:w="2634" w:type="dxa"/>
            <w:gridSpan w:val="2"/>
            <w:tcBorders>
              <w:top w:val="double" w:sz="6" w:space="0" w:color="auto"/>
              <w:left w:val="nil"/>
              <w:bottom w:val="double" w:sz="6" w:space="0" w:color="auto"/>
              <w:right w:val="double" w:sz="6" w:space="0" w:color="000000"/>
            </w:tcBorders>
            <w:shd w:val="clear" w:color="auto" w:fill="auto"/>
            <w:noWrap/>
            <w:tcMar>
              <w:left w:w="58" w:type="dxa"/>
              <w:right w:w="58" w:type="dxa"/>
            </w:tcMar>
            <w:vAlign w:val="center"/>
          </w:tcPr>
          <w:p w:rsidR="00280589" w:rsidRPr="00211E01" w:rsidRDefault="00280589" w:rsidP="00226CA2">
            <w:pPr>
              <w:jc w:val="center"/>
              <w:rPr>
                <w:rFonts w:eastAsia="Times New Roman"/>
                <w:b/>
                <w:bCs/>
                <w:color w:val="000000"/>
                <w:sz w:val="19"/>
                <w:szCs w:val="19"/>
              </w:rPr>
            </w:pPr>
            <w:r w:rsidRPr="00211E01">
              <w:rPr>
                <w:rFonts w:eastAsia="Times New Roman"/>
                <w:b/>
                <w:bCs/>
                <w:color w:val="000000"/>
                <w:sz w:val="19"/>
                <w:szCs w:val="19"/>
              </w:rPr>
              <w:t>Parameter Estimates</w:t>
            </w:r>
          </w:p>
        </w:tc>
        <w:tc>
          <w:tcPr>
            <w:tcW w:w="5537" w:type="dxa"/>
            <w:gridSpan w:val="3"/>
            <w:tcBorders>
              <w:top w:val="double" w:sz="6" w:space="0" w:color="auto"/>
              <w:left w:val="nil"/>
              <w:bottom w:val="double" w:sz="6" w:space="0" w:color="auto"/>
              <w:right w:val="double" w:sz="6" w:space="0" w:color="000000"/>
            </w:tcBorders>
            <w:shd w:val="clear" w:color="auto" w:fill="auto"/>
            <w:noWrap/>
            <w:tcMar>
              <w:left w:w="58" w:type="dxa"/>
              <w:right w:w="58" w:type="dxa"/>
            </w:tcMar>
            <w:vAlign w:val="center"/>
          </w:tcPr>
          <w:p w:rsidR="00280589" w:rsidRPr="00211E01" w:rsidRDefault="00280589" w:rsidP="00226CA2">
            <w:pPr>
              <w:jc w:val="center"/>
              <w:rPr>
                <w:rFonts w:eastAsia="Times New Roman"/>
                <w:b/>
                <w:bCs/>
                <w:color w:val="000000"/>
                <w:sz w:val="19"/>
                <w:szCs w:val="19"/>
              </w:rPr>
            </w:pPr>
            <w:r w:rsidRPr="00211E01">
              <w:rPr>
                <w:rFonts w:eastAsia="Times New Roman"/>
                <w:b/>
                <w:bCs/>
                <w:color w:val="000000"/>
                <w:sz w:val="19"/>
                <w:szCs w:val="19"/>
              </w:rPr>
              <w:t>Standard Error Estimates</w:t>
            </w:r>
          </w:p>
        </w:tc>
      </w:tr>
      <w:tr w:rsidR="00280589" w:rsidRPr="00211E01" w:rsidTr="008E07A2">
        <w:trPr>
          <w:cantSplit/>
          <w:trHeight w:val="20"/>
          <w:tblHeader/>
          <w:jc w:val="center"/>
        </w:trPr>
        <w:tc>
          <w:tcPr>
            <w:tcW w:w="1047" w:type="dxa"/>
            <w:vMerge/>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280589" w:rsidRPr="00211E01" w:rsidRDefault="00280589" w:rsidP="00226CA2">
            <w:pPr>
              <w:rPr>
                <w:rFonts w:eastAsia="Times New Roman"/>
                <w:b/>
                <w:bCs/>
                <w:color w:val="000000"/>
                <w:sz w:val="19"/>
                <w:szCs w:val="19"/>
              </w:rPr>
            </w:pPr>
          </w:p>
        </w:tc>
        <w:tc>
          <w:tcPr>
            <w:tcW w:w="1110" w:type="dxa"/>
            <w:vMerge/>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280589" w:rsidRPr="00211E01" w:rsidRDefault="00280589" w:rsidP="00226CA2">
            <w:pPr>
              <w:rPr>
                <w:rFonts w:eastAsia="Times New Roman"/>
                <w:b/>
                <w:bCs/>
                <w:color w:val="000000"/>
                <w:sz w:val="19"/>
                <w:szCs w:val="19"/>
              </w:rPr>
            </w:pPr>
          </w:p>
        </w:tc>
        <w:tc>
          <w:tcPr>
            <w:tcW w:w="1164" w:type="dxa"/>
            <w:tcBorders>
              <w:top w:val="nil"/>
              <w:left w:val="nil"/>
              <w:bottom w:val="double" w:sz="6" w:space="0" w:color="auto"/>
              <w:right w:val="single" w:sz="4" w:space="0" w:color="auto"/>
            </w:tcBorders>
            <w:shd w:val="clear" w:color="auto" w:fill="auto"/>
            <w:tcMar>
              <w:left w:w="58" w:type="dxa"/>
              <w:right w:w="58" w:type="dxa"/>
            </w:tcMar>
            <w:vAlign w:val="center"/>
          </w:tcPr>
          <w:p w:rsidR="00280589" w:rsidRPr="00211E01" w:rsidRDefault="00280589" w:rsidP="00226CA2">
            <w:pPr>
              <w:jc w:val="center"/>
              <w:rPr>
                <w:rFonts w:eastAsia="Times New Roman"/>
                <w:b/>
                <w:bCs/>
                <w:color w:val="000000"/>
                <w:sz w:val="19"/>
                <w:szCs w:val="19"/>
              </w:rPr>
            </w:pPr>
            <w:r w:rsidRPr="00211E01">
              <w:rPr>
                <w:rFonts w:eastAsia="Times New Roman"/>
                <w:b/>
                <w:bCs/>
                <w:color w:val="000000"/>
                <w:sz w:val="19"/>
                <w:szCs w:val="19"/>
              </w:rPr>
              <w:t>Mean Estimate</w:t>
            </w:r>
          </w:p>
        </w:tc>
        <w:tc>
          <w:tcPr>
            <w:tcW w:w="1470" w:type="dxa"/>
            <w:tcBorders>
              <w:top w:val="nil"/>
              <w:left w:val="nil"/>
              <w:bottom w:val="double" w:sz="6" w:space="0" w:color="auto"/>
              <w:right w:val="double" w:sz="6" w:space="0" w:color="auto"/>
            </w:tcBorders>
            <w:shd w:val="clear" w:color="auto" w:fill="auto"/>
            <w:tcMar>
              <w:left w:w="58" w:type="dxa"/>
              <w:right w:w="58" w:type="dxa"/>
            </w:tcMar>
            <w:vAlign w:val="center"/>
          </w:tcPr>
          <w:p w:rsidR="00280589" w:rsidRPr="00211E01" w:rsidRDefault="00280589" w:rsidP="00226CA2">
            <w:pPr>
              <w:jc w:val="center"/>
              <w:rPr>
                <w:rFonts w:eastAsia="Times New Roman"/>
                <w:b/>
                <w:bCs/>
                <w:color w:val="000000"/>
                <w:sz w:val="19"/>
                <w:szCs w:val="19"/>
              </w:rPr>
            </w:pPr>
            <w:r w:rsidRPr="00211E01">
              <w:rPr>
                <w:rFonts w:eastAsia="Times New Roman"/>
                <w:b/>
                <w:bCs/>
                <w:color w:val="000000"/>
                <w:sz w:val="19"/>
                <w:szCs w:val="19"/>
              </w:rPr>
              <w:t>Absolute Percentage Bias</w:t>
            </w:r>
            <w:r w:rsidR="003F39AE" w:rsidRPr="00211E01">
              <w:rPr>
                <w:rFonts w:eastAsia="Times New Roman"/>
                <w:b/>
                <w:bCs/>
                <w:color w:val="000000"/>
                <w:sz w:val="19"/>
                <w:szCs w:val="19"/>
              </w:rPr>
              <w:t xml:space="preserve"> (APB)</w:t>
            </w:r>
          </w:p>
        </w:tc>
        <w:tc>
          <w:tcPr>
            <w:tcW w:w="1493" w:type="dxa"/>
            <w:tcBorders>
              <w:top w:val="nil"/>
              <w:left w:val="nil"/>
              <w:bottom w:val="double" w:sz="6" w:space="0" w:color="auto"/>
              <w:right w:val="single" w:sz="4" w:space="0" w:color="auto"/>
            </w:tcBorders>
            <w:shd w:val="clear" w:color="auto" w:fill="auto"/>
            <w:tcMar>
              <w:left w:w="58" w:type="dxa"/>
              <w:right w:w="58" w:type="dxa"/>
            </w:tcMar>
            <w:vAlign w:val="center"/>
          </w:tcPr>
          <w:p w:rsidR="00280589" w:rsidRPr="00211E01" w:rsidRDefault="00280589" w:rsidP="00226CA2">
            <w:pPr>
              <w:jc w:val="center"/>
              <w:rPr>
                <w:rFonts w:eastAsia="Times New Roman"/>
                <w:b/>
                <w:bCs/>
                <w:color w:val="000000"/>
                <w:sz w:val="19"/>
                <w:szCs w:val="19"/>
              </w:rPr>
            </w:pPr>
            <w:r w:rsidRPr="00211E01">
              <w:rPr>
                <w:rFonts w:eastAsia="Times New Roman"/>
                <w:b/>
                <w:bCs/>
                <w:color w:val="000000"/>
                <w:sz w:val="19"/>
                <w:szCs w:val="19"/>
              </w:rPr>
              <w:t>Asymptotic Standard Error</w:t>
            </w:r>
            <w:r w:rsidR="003F39AE" w:rsidRPr="00211E01">
              <w:rPr>
                <w:rFonts w:eastAsia="Times New Roman"/>
                <w:b/>
                <w:bCs/>
                <w:color w:val="000000"/>
                <w:sz w:val="19"/>
                <w:szCs w:val="19"/>
              </w:rPr>
              <w:t xml:space="preserve"> (ASE)</w:t>
            </w:r>
          </w:p>
        </w:tc>
        <w:tc>
          <w:tcPr>
            <w:tcW w:w="1536" w:type="dxa"/>
            <w:tcBorders>
              <w:top w:val="nil"/>
              <w:left w:val="nil"/>
              <w:bottom w:val="double" w:sz="6" w:space="0" w:color="auto"/>
              <w:right w:val="single" w:sz="4" w:space="0" w:color="auto"/>
            </w:tcBorders>
            <w:shd w:val="clear" w:color="auto" w:fill="auto"/>
            <w:tcMar>
              <w:left w:w="58" w:type="dxa"/>
              <w:right w:w="58" w:type="dxa"/>
            </w:tcMar>
            <w:vAlign w:val="center"/>
          </w:tcPr>
          <w:p w:rsidR="00280589" w:rsidRPr="00211E01" w:rsidRDefault="00280589" w:rsidP="00211E01">
            <w:pPr>
              <w:jc w:val="center"/>
              <w:rPr>
                <w:rFonts w:eastAsia="Times New Roman"/>
                <w:b/>
                <w:bCs/>
                <w:color w:val="000000"/>
                <w:sz w:val="19"/>
                <w:szCs w:val="19"/>
              </w:rPr>
            </w:pPr>
            <w:r w:rsidRPr="00211E01">
              <w:rPr>
                <w:rFonts w:eastAsia="Times New Roman"/>
                <w:b/>
                <w:bCs/>
                <w:color w:val="000000"/>
                <w:sz w:val="19"/>
                <w:szCs w:val="19"/>
              </w:rPr>
              <w:t>Finite Sample Standard Error</w:t>
            </w:r>
            <w:r w:rsidR="003F39AE" w:rsidRPr="00211E01">
              <w:rPr>
                <w:rFonts w:eastAsia="Times New Roman"/>
                <w:b/>
                <w:bCs/>
                <w:color w:val="000000"/>
                <w:sz w:val="19"/>
                <w:szCs w:val="19"/>
              </w:rPr>
              <w:t xml:space="preserve"> (FS</w:t>
            </w:r>
            <w:r w:rsidR="00211E01">
              <w:rPr>
                <w:rFonts w:eastAsia="Times New Roman"/>
                <w:b/>
                <w:bCs/>
                <w:color w:val="000000"/>
                <w:sz w:val="19"/>
                <w:szCs w:val="19"/>
              </w:rPr>
              <w:t>S</w:t>
            </w:r>
            <w:r w:rsidR="003F39AE" w:rsidRPr="00211E01">
              <w:rPr>
                <w:rFonts w:eastAsia="Times New Roman"/>
                <w:b/>
                <w:bCs/>
                <w:color w:val="000000"/>
                <w:sz w:val="19"/>
                <w:szCs w:val="19"/>
              </w:rPr>
              <w:t>E)</w:t>
            </w:r>
          </w:p>
        </w:tc>
        <w:tc>
          <w:tcPr>
            <w:tcW w:w="2508" w:type="dxa"/>
            <w:tcBorders>
              <w:top w:val="nil"/>
              <w:left w:val="nil"/>
              <w:bottom w:val="double" w:sz="6" w:space="0" w:color="auto"/>
              <w:right w:val="double" w:sz="6" w:space="0" w:color="auto"/>
            </w:tcBorders>
            <w:shd w:val="clear" w:color="auto" w:fill="auto"/>
            <w:tcMar>
              <w:left w:w="58" w:type="dxa"/>
              <w:right w:w="58" w:type="dxa"/>
            </w:tcMar>
            <w:vAlign w:val="center"/>
          </w:tcPr>
          <w:p w:rsidR="00280589" w:rsidRPr="00211E01" w:rsidRDefault="00280589" w:rsidP="00226CA2">
            <w:pPr>
              <w:jc w:val="center"/>
              <w:rPr>
                <w:rFonts w:eastAsia="Times New Roman"/>
                <w:b/>
                <w:bCs/>
                <w:color w:val="000000"/>
                <w:sz w:val="19"/>
                <w:szCs w:val="19"/>
              </w:rPr>
            </w:pPr>
            <w:r w:rsidRPr="00211E01">
              <w:rPr>
                <w:rFonts w:eastAsia="Times New Roman"/>
                <w:b/>
                <w:bCs/>
                <w:color w:val="000000"/>
                <w:sz w:val="19"/>
                <w:szCs w:val="19"/>
              </w:rPr>
              <w:t>Absolute Percentage Bias of Asymptotic Standard Error</w:t>
            </w:r>
            <w:r w:rsidR="003F39AE" w:rsidRPr="00211E01">
              <w:rPr>
                <w:rFonts w:eastAsia="Times New Roman"/>
                <w:b/>
                <w:bCs/>
                <w:color w:val="000000"/>
                <w:sz w:val="19"/>
                <w:szCs w:val="19"/>
              </w:rPr>
              <w:t xml:space="preserve"> (APBASE)</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300" w:dyaOrig="360">
                <v:shape id="_x0000_i1451" type="#_x0000_t75" style="width:12.75pt;height:15.75pt" o:ole="" o:preferrelative="f">
                  <v:imagedata r:id="rId825" o:title=""/>
                </v:shape>
                <o:OLEObject Type="Embed" ProgID="Equation.3" ShapeID="_x0000_i1451" DrawAspect="Content" ObjectID="_1519137300" r:id="rId826"/>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color w:val="000000"/>
                <w:sz w:val="20"/>
                <w:szCs w:val="20"/>
              </w:rPr>
            </w:pPr>
            <w:r w:rsidRPr="00211E01">
              <w:rPr>
                <w:color w:val="000000"/>
                <w:sz w:val="20"/>
                <w:szCs w:val="20"/>
              </w:rPr>
              <w:t>1.000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55"/>
              </w:tabs>
              <w:jc w:val="center"/>
              <w:rPr>
                <w:color w:val="000000"/>
                <w:sz w:val="20"/>
                <w:szCs w:val="20"/>
              </w:rPr>
            </w:pPr>
            <w:r w:rsidRPr="00211E01">
              <w:rPr>
                <w:color w:val="000000"/>
                <w:sz w:val="20"/>
                <w:szCs w:val="20"/>
              </w:rPr>
              <w:t>1.003</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color w:val="000000"/>
                <w:sz w:val="20"/>
                <w:szCs w:val="20"/>
              </w:rPr>
            </w:pPr>
            <w:r w:rsidRPr="00211E01">
              <w:rPr>
                <w:color w:val="000000"/>
                <w:sz w:val="20"/>
                <w:szCs w:val="20"/>
              </w:rPr>
              <w:t>0.3%</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0.296</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0.285</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color w:val="000000"/>
                <w:sz w:val="20"/>
                <w:szCs w:val="20"/>
              </w:rPr>
            </w:pPr>
            <w:r w:rsidRPr="00211E01">
              <w:rPr>
                <w:color w:val="000000"/>
                <w:sz w:val="20"/>
                <w:szCs w:val="20"/>
              </w:rPr>
              <w:t>4.0</w:t>
            </w:r>
            <w:r w:rsidR="00686D24" w:rsidRPr="00211E01">
              <w:rPr>
                <w:color w:val="000000"/>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300" w:dyaOrig="360">
                <v:shape id="_x0000_i1452" type="#_x0000_t75" style="width:12.75pt;height:15.75pt" o:ole="" o:preferrelative="f">
                  <v:imagedata r:id="rId827" o:title=""/>
                </v:shape>
                <o:OLEObject Type="Embed" ProgID="Equation.3" ShapeID="_x0000_i1452" DrawAspect="Content" ObjectID="_1519137301" r:id="rId828"/>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color w:val="000000"/>
                <w:sz w:val="20"/>
                <w:szCs w:val="20"/>
              </w:rPr>
            </w:pPr>
            <w:r w:rsidRPr="00211E01">
              <w:rPr>
                <w:color w:val="000000"/>
                <w:sz w:val="20"/>
                <w:szCs w:val="20"/>
              </w:rPr>
              <w:t>2.000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color w:val="000000"/>
                <w:sz w:val="20"/>
                <w:szCs w:val="20"/>
              </w:rPr>
            </w:pPr>
            <w:r w:rsidRPr="00211E01">
              <w:rPr>
                <w:color w:val="000000"/>
                <w:sz w:val="20"/>
                <w:szCs w:val="20"/>
              </w:rPr>
              <w:t>1.885</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color w:val="000000"/>
                <w:sz w:val="20"/>
                <w:szCs w:val="20"/>
              </w:rPr>
            </w:pPr>
            <w:r w:rsidRPr="00211E01">
              <w:rPr>
                <w:color w:val="000000"/>
                <w:sz w:val="20"/>
                <w:szCs w:val="20"/>
              </w:rPr>
              <w:t>5.8%</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0.433</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0.421</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color w:val="000000"/>
                <w:sz w:val="20"/>
                <w:szCs w:val="20"/>
              </w:rPr>
            </w:pPr>
            <w:r w:rsidRPr="00211E01">
              <w:rPr>
                <w:color w:val="000000"/>
                <w:sz w:val="20"/>
                <w:szCs w:val="20"/>
              </w:rPr>
              <w:t>2.7</w:t>
            </w:r>
            <w:r w:rsidR="00686D24" w:rsidRPr="00211E01">
              <w:rPr>
                <w:color w:val="000000"/>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2"/>
                <w:sz w:val="20"/>
                <w:szCs w:val="20"/>
              </w:rPr>
              <w:object w:dxaOrig="300" w:dyaOrig="380">
                <v:shape id="_x0000_i1453" type="#_x0000_t75" style="width:12.75pt;height:15.75pt" o:ole="" o:preferrelative="f">
                  <v:imagedata r:id="rId829" o:title=""/>
                </v:shape>
                <o:OLEObject Type="Embed" ProgID="Equation.3" ShapeID="_x0000_i1453" DrawAspect="Content" ObjectID="_1519137302" r:id="rId830"/>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color w:val="000000"/>
                <w:sz w:val="20"/>
                <w:szCs w:val="20"/>
              </w:rPr>
            </w:pPr>
            <w:r w:rsidRPr="00211E01">
              <w:rPr>
                <w:color w:val="000000"/>
                <w:sz w:val="20"/>
                <w:szCs w:val="20"/>
              </w:rPr>
              <w:t>0.600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color w:val="000000"/>
                <w:sz w:val="20"/>
                <w:szCs w:val="20"/>
              </w:rPr>
            </w:pPr>
            <w:r w:rsidRPr="00211E01">
              <w:rPr>
                <w:color w:val="000000"/>
                <w:sz w:val="20"/>
                <w:szCs w:val="20"/>
              </w:rPr>
              <w:t>0.547</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color w:val="000000"/>
                <w:sz w:val="20"/>
                <w:szCs w:val="20"/>
              </w:rPr>
            </w:pPr>
            <w:r w:rsidRPr="00211E01">
              <w:rPr>
                <w:color w:val="000000"/>
                <w:sz w:val="20"/>
                <w:szCs w:val="20"/>
              </w:rPr>
              <w:t>8.8%</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0.215</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0.192</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color w:val="000000"/>
                <w:sz w:val="20"/>
                <w:szCs w:val="20"/>
              </w:rPr>
            </w:pPr>
            <w:r w:rsidRPr="00211E01">
              <w:rPr>
                <w:color w:val="000000"/>
                <w:sz w:val="20"/>
                <w:szCs w:val="20"/>
              </w:rPr>
              <w:t>11.7</w:t>
            </w:r>
            <w:r w:rsidR="00686D24" w:rsidRPr="00211E01">
              <w:rPr>
                <w:color w:val="000000"/>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320" w:dyaOrig="360">
                <v:shape id="_x0000_i1454" type="#_x0000_t75" style="width:14.25pt;height:15.75pt" o:ole="" o:preferrelative="f">
                  <v:imagedata r:id="rId831" o:title=""/>
                </v:shape>
                <o:OLEObject Type="Embed" ProgID="Equation.3" ShapeID="_x0000_i1454" DrawAspect="Content" ObjectID="_1519137303" r:id="rId832"/>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2.000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1.844</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7.8%</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0.599</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0.566</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5.9</w:t>
            </w:r>
            <w:r w:rsidR="00686D24" w:rsidRPr="00211E01">
              <w:rPr>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320" w:dyaOrig="360">
                <v:shape id="_x0000_i1455" type="#_x0000_t75" style="width:14.25pt;height:15.75pt" o:ole="" o:preferrelative="f">
                  <v:imagedata r:id="rId833" o:title=""/>
                </v:shape>
                <o:OLEObject Type="Embed" ProgID="Equation.3" ShapeID="_x0000_i1455" DrawAspect="Content" ObjectID="_1519137304" r:id="rId834"/>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1.500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1.432</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4.5%</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0.295</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0.282</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4.5</w:t>
            </w:r>
            <w:r w:rsidR="00686D24" w:rsidRPr="00211E01">
              <w:rPr>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2"/>
                <w:sz w:val="20"/>
                <w:szCs w:val="20"/>
              </w:rPr>
              <w:object w:dxaOrig="320" w:dyaOrig="380">
                <v:shape id="_x0000_i1456" type="#_x0000_t75" style="width:14.25pt;height:15.75pt" o:ole="" o:preferrelative="f">
                  <v:imagedata r:id="rId835" o:title=""/>
                </v:shape>
                <o:OLEObject Type="Embed" ProgID="Equation.3" ShapeID="_x0000_i1456" DrawAspect="Content" ObjectID="_1519137305" r:id="rId836"/>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0.200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0.206</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3.2%</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0.093</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0.092</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1.3</w:t>
            </w:r>
            <w:r w:rsidR="00686D24" w:rsidRPr="00211E01">
              <w:rPr>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2"/>
                <w:sz w:val="20"/>
                <w:szCs w:val="20"/>
              </w:rPr>
              <w:object w:dxaOrig="300" w:dyaOrig="380">
                <v:shape id="_x0000_i1457" type="#_x0000_t75" style="width:12.75pt;height:15.75pt" o:ole="" o:preferrelative="f">
                  <v:imagedata r:id="rId837" o:title=""/>
                </v:shape>
                <o:OLEObject Type="Embed" ProgID="Equation.3" ShapeID="_x0000_i1457" DrawAspect="Content" ObjectID="_1519137306" r:id="rId838"/>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3.000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3.378</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12.6%</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0.082</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0.080</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3.0</w:t>
            </w:r>
            <w:r w:rsidR="00686D24" w:rsidRPr="00211E01">
              <w:rPr>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2"/>
                <w:sz w:val="20"/>
                <w:szCs w:val="20"/>
              </w:rPr>
              <w:object w:dxaOrig="320" w:dyaOrig="380">
                <v:shape id="_x0000_i1458" type="#_x0000_t75" style="width:14.25pt;height:15.75pt" o:ole="" o:preferrelative="f">
                  <v:imagedata r:id="rId839" o:title=""/>
                </v:shape>
                <o:OLEObject Type="Embed" ProgID="Equation.3" ShapeID="_x0000_i1458" DrawAspect="Content" ObjectID="_1519137307" r:id="rId840"/>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1.300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1.235</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5.0%</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0.032</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0.038</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14.1</w:t>
            </w:r>
            <w:r w:rsidR="00686D24" w:rsidRPr="00211E01">
              <w:rPr>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2"/>
                <w:sz w:val="20"/>
                <w:szCs w:val="20"/>
              </w:rPr>
              <w:object w:dxaOrig="320" w:dyaOrig="380">
                <v:shape id="_x0000_i1459" type="#_x0000_t75" style="width:14.25pt;height:15.75pt" o:ole="" o:preferrelative="f">
                  <v:imagedata r:id="rId841" o:title=""/>
                </v:shape>
                <o:OLEObject Type="Embed" ProgID="Equation.3" ShapeID="_x0000_i1459" DrawAspect="Content" ObjectID="_1519137308" r:id="rId842"/>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0.300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0.346</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15.3%</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0.175</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0.155</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12.7</w:t>
            </w:r>
            <w:r w:rsidR="00686D24" w:rsidRPr="00211E01">
              <w:rPr>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6"/>
                <w:sz w:val="20"/>
                <w:szCs w:val="20"/>
              </w:rPr>
              <w:object w:dxaOrig="279" w:dyaOrig="340">
                <v:shape id="_x0000_i1460" type="#_x0000_t75" style="width:12pt;height:15pt" o:ole="" o:preferrelative="f">
                  <v:imagedata r:id="rId843" o:title=""/>
                </v:shape>
                <o:OLEObject Type="Embed" ProgID="Equation.3" ShapeID="_x0000_i1460" DrawAspect="Content" ObjectID="_1519137309" r:id="rId844"/>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0.500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0.499</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0.3%</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0.023</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0.024</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color w:val="000000"/>
                <w:sz w:val="20"/>
                <w:szCs w:val="20"/>
              </w:rPr>
            </w:pPr>
            <w:r w:rsidRPr="00211E01">
              <w:rPr>
                <w:color w:val="000000"/>
                <w:sz w:val="20"/>
                <w:szCs w:val="20"/>
              </w:rPr>
              <w:t>3.5%</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i/>
                <w:color w:val="000000"/>
                <w:sz w:val="20"/>
                <w:szCs w:val="20"/>
              </w:rPr>
            </w:pPr>
            <w:r w:rsidRPr="00211E01">
              <w:rPr>
                <w:position w:val="-10"/>
                <w:sz w:val="20"/>
                <w:szCs w:val="20"/>
              </w:rPr>
              <w:object w:dxaOrig="520" w:dyaOrig="360">
                <v:shape id="_x0000_i1461" type="#_x0000_t75" style="width:21.75pt;height:15pt" o:ole="" o:preferrelative="f">
                  <v:imagedata r:id="rId845" o:title=""/>
                </v:shape>
                <o:OLEObject Type="Embed" ProgID="Equation.3" ShapeID="_x0000_i1461" DrawAspect="Content" ObjectID="_1519137310" r:id="rId846"/>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color w:val="000000"/>
                <w:sz w:val="20"/>
                <w:szCs w:val="20"/>
              </w:rPr>
            </w:pPr>
            <w:r w:rsidRPr="00211E01">
              <w:rPr>
                <w:color w:val="000000"/>
                <w:sz w:val="20"/>
                <w:szCs w:val="20"/>
              </w:rPr>
              <w:t>0.500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color w:val="000000"/>
                <w:sz w:val="20"/>
                <w:szCs w:val="20"/>
              </w:rPr>
            </w:pPr>
            <w:r w:rsidRPr="00211E01">
              <w:rPr>
                <w:color w:val="000000"/>
                <w:sz w:val="20"/>
                <w:szCs w:val="20"/>
              </w:rPr>
              <w:t>0.506</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color w:val="000000"/>
                <w:sz w:val="20"/>
                <w:szCs w:val="20"/>
              </w:rPr>
            </w:pPr>
            <w:r w:rsidRPr="00211E01">
              <w:rPr>
                <w:color w:val="000000"/>
                <w:sz w:val="20"/>
                <w:szCs w:val="20"/>
              </w:rPr>
              <w:t>1.3%</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0.137</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0.124</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color w:val="000000"/>
                <w:sz w:val="20"/>
                <w:szCs w:val="20"/>
              </w:rPr>
            </w:pPr>
            <w:r w:rsidRPr="00211E01">
              <w:rPr>
                <w:color w:val="000000"/>
                <w:sz w:val="20"/>
                <w:szCs w:val="20"/>
              </w:rPr>
              <w:t>10.1</w:t>
            </w:r>
            <w:r w:rsidR="00686D24" w:rsidRPr="00211E01">
              <w:rPr>
                <w:color w:val="000000"/>
                <w:sz w:val="20"/>
                <w:szCs w:val="20"/>
              </w:rPr>
              <w:t>%</w:t>
            </w:r>
          </w:p>
        </w:tc>
      </w:tr>
      <w:tr w:rsidR="00AE0315"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AE0315" w:rsidRPr="00211E01" w:rsidRDefault="00CA0999" w:rsidP="001B2A36">
            <w:pPr>
              <w:jc w:val="center"/>
              <w:rPr>
                <w:rFonts w:eastAsia="Times New Roman"/>
                <w:i/>
                <w:color w:val="000000"/>
                <w:sz w:val="20"/>
                <w:szCs w:val="20"/>
              </w:rPr>
            </w:pPr>
            <w:r w:rsidRPr="00211E01">
              <w:rPr>
                <w:position w:val="-10"/>
                <w:sz w:val="20"/>
                <w:szCs w:val="20"/>
              </w:rPr>
              <w:object w:dxaOrig="499" w:dyaOrig="360">
                <v:shape id="_x0000_i1462" type="#_x0000_t75" style="width:21.75pt;height:15pt" o:ole="" o:preferrelative="f">
                  <v:imagedata r:id="rId847" o:title=""/>
                </v:shape>
                <o:OLEObject Type="Embed" ProgID="Equation.3" ShapeID="_x0000_i1462" DrawAspect="Content" ObjectID="_1519137311" r:id="rId848"/>
              </w:object>
            </w:r>
          </w:p>
        </w:tc>
        <w:tc>
          <w:tcPr>
            <w:tcW w:w="1110" w:type="dxa"/>
            <w:tcBorders>
              <w:top w:val="nil"/>
              <w:left w:val="nil"/>
              <w:bottom w:val="nil"/>
              <w:right w:val="double" w:sz="6" w:space="0" w:color="auto"/>
            </w:tcBorders>
            <w:shd w:val="clear" w:color="auto" w:fill="auto"/>
            <w:noWrap/>
            <w:vAlign w:val="center"/>
          </w:tcPr>
          <w:p w:rsidR="00AE0315" w:rsidRPr="00211E01" w:rsidRDefault="00AE0315" w:rsidP="001B2A36">
            <w:pPr>
              <w:tabs>
                <w:tab w:val="decimal" w:pos="146"/>
              </w:tabs>
              <w:jc w:val="center"/>
              <w:rPr>
                <w:color w:val="000000"/>
                <w:sz w:val="20"/>
                <w:szCs w:val="20"/>
              </w:rPr>
            </w:pPr>
            <w:r w:rsidRPr="00211E01">
              <w:rPr>
                <w:color w:val="000000"/>
                <w:sz w:val="20"/>
                <w:szCs w:val="20"/>
              </w:rPr>
              <w:t>0.866</w:t>
            </w:r>
          </w:p>
        </w:tc>
        <w:tc>
          <w:tcPr>
            <w:tcW w:w="1164" w:type="dxa"/>
            <w:tcBorders>
              <w:top w:val="nil"/>
              <w:left w:val="nil"/>
              <w:bottom w:val="nil"/>
              <w:right w:val="single" w:sz="4" w:space="0" w:color="auto"/>
            </w:tcBorders>
            <w:shd w:val="clear" w:color="auto" w:fill="auto"/>
            <w:noWrap/>
            <w:vAlign w:val="center"/>
          </w:tcPr>
          <w:p w:rsidR="00AE0315" w:rsidRPr="00211E01" w:rsidRDefault="00AE0315" w:rsidP="001B2A36">
            <w:pPr>
              <w:tabs>
                <w:tab w:val="decimal" w:pos="137"/>
                <w:tab w:val="decimal" w:pos="287"/>
                <w:tab w:val="decimal" w:pos="437"/>
              </w:tabs>
              <w:jc w:val="center"/>
              <w:rPr>
                <w:color w:val="000000"/>
                <w:sz w:val="20"/>
                <w:szCs w:val="20"/>
              </w:rPr>
            </w:pPr>
            <w:r w:rsidRPr="00211E01">
              <w:rPr>
                <w:color w:val="000000"/>
                <w:sz w:val="20"/>
                <w:szCs w:val="20"/>
              </w:rPr>
              <w:t>0.863</w:t>
            </w:r>
          </w:p>
        </w:tc>
        <w:tc>
          <w:tcPr>
            <w:tcW w:w="1470" w:type="dxa"/>
            <w:tcBorders>
              <w:top w:val="nil"/>
              <w:left w:val="nil"/>
              <w:bottom w:val="nil"/>
              <w:right w:val="double" w:sz="4" w:space="0" w:color="auto"/>
            </w:tcBorders>
            <w:shd w:val="clear" w:color="auto" w:fill="auto"/>
            <w:noWrap/>
            <w:vAlign w:val="center"/>
          </w:tcPr>
          <w:p w:rsidR="00AE0315" w:rsidRPr="00211E01" w:rsidRDefault="00AE0315" w:rsidP="001B2A36">
            <w:pPr>
              <w:tabs>
                <w:tab w:val="decimal" w:pos="284"/>
              </w:tabs>
              <w:jc w:val="center"/>
              <w:rPr>
                <w:color w:val="000000"/>
                <w:sz w:val="20"/>
                <w:szCs w:val="20"/>
              </w:rPr>
            </w:pPr>
            <w:r w:rsidRPr="00211E01">
              <w:rPr>
                <w:color w:val="000000"/>
                <w:sz w:val="20"/>
                <w:szCs w:val="20"/>
              </w:rPr>
              <w:t>0.4%</w:t>
            </w:r>
          </w:p>
        </w:tc>
        <w:tc>
          <w:tcPr>
            <w:tcW w:w="1493" w:type="dxa"/>
            <w:tcBorders>
              <w:top w:val="nil"/>
              <w:left w:val="nil"/>
              <w:bottom w:val="nil"/>
              <w:right w:val="single" w:sz="4" w:space="0" w:color="auto"/>
            </w:tcBorders>
            <w:shd w:val="clear" w:color="auto" w:fill="auto"/>
            <w:noWrap/>
            <w:vAlign w:val="center"/>
          </w:tcPr>
          <w:p w:rsidR="00AE0315" w:rsidRPr="00211E01" w:rsidRDefault="00AE0315" w:rsidP="001B2A36">
            <w:pPr>
              <w:jc w:val="center"/>
              <w:rPr>
                <w:color w:val="000000"/>
                <w:sz w:val="20"/>
                <w:szCs w:val="20"/>
              </w:rPr>
            </w:pPr>
            <w:r w:rsidRPr="00211E01">
              <w:rPr>
                <w:color w:val="000000"/>
                <w:sz w:val="20"/>
                <w:szCs w:val="20"/>
              </w:rPr>
              <w:t>0.109</w:t>
            </w:r>
          </w:p>
        </w:tc>
        <w:tc>
          <w:tcPr>
            <w:tcW w:w="1536" w:type="dxa"/>
            <w:tcBorders>
              <w:top w:val="nil"/>
              <w:left w:val="nil"/>
              <w:bottom w:val="nil"/>
              <w:right w:val="single" w:sz="4" w:space="0" w:color="auto"/>
            </w:tcBorders>
            <w:shd w:val="clear" w:color="auto" w:fill="auto"/>
            <w:noWrap/>
            <w:vAlign w:val="center"/>
          </w:tcPr>
          <w:p w:rsidR="00AE0315" w:rsidRPr="00211E01" w:rsidRDefault="00AE0315" w:rsidP="001B2A36">
            <w:pPr>
              <w:jc w:val="center"/>
              <w:rPr>
                <w:color w:val="000000"/>
                <w:sz w:val="20"/>
                <w:szCs w:val="20"/>
              </w:rPr>
            </w:pPr>
            <w:r w:rsidRPr="00211E01">
              <w:rPr>
                <w:color w:val="000000"/>
                <w:sz w:val="20"/>
                <w:szCs w:val="20"/>
              </w:rPr>
              <w:t>0.104</w:t>
            </w:r>
          </w:p>
        </w:tc>
        <w:tc>
          <w:tcPr>
            <w:tcW w:w="2508" w:type="dxa"/>
            <w:tcBorders>
              <w:top w:val="nil"/>
              <w:left w:val="nil"/>
              <w:bottom w:val="nil"/>
              <w:right w:val="double" w:sz="4" w:space="0" w:color="auto"/>
            </w:tcBorders>
            <w:shd w:val="clear" w:color="auto" w:fill="auto"/>
            <w:noWrap/>
            <w:vAlign w:val="center"/>
          </w:tcPr>
          <w:p w:rsidR="00AE0315" w:rsidRPr="00211E01" w:rsidRDefault="00AE0315" w:rsidP="001B2A36">
            <w:pPr>
              <w:tabs>
                <w:tab w:val="decimal" w:pos="278"/>
              </w:tabs>
              <w:jc w:val="center"/>
              <w:rPr>
                <w:color w:val="000000"/>
                <w:sz w:val="20"/>
                <w:szCs w:val="20"/>
              </w:rPr>
            </w:pPr>
            <w:r w:rsidRPr="00211E01">
              <w:rPr>
                <w:color w:val="000000"/>
                <w:sz w:val="20"/>
                <w:szCs w:val="20"/>
              </w:rPr>
              <w:t>4.5</w:t>
            </w:r>
            <w:r w:rsidR="00686D24" w:rsidRPr="00211E01">
              <w:rPr>
                <w:color w:val="000000"/>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i/>
                <w:color w:val="000000"/>
                <w:sz w:val="20"/>
                <w:szCs w:val="20"/>
              </w:rPr>
            </w:pPr>
            <w:r w:rsidRPr="00211E01">
              <w:rPr>
                <w:position w:val="-10"/>
                <w:sz w:val="20"/>
                <w:szCs w:val="20"/>
              </w:rPr>
              <w:object w:dxaOrig="520" w:dyaOrig="360">
                <v:shape id="_x0000_i1463" type="#_x0000_t75" style="width:21.75pt;height:15pt" o:ole="" o:preferrelative="f">
                  <v:imagedata r:id="rId849" o:title=""/>
                </v:shape>
                <o:OLEObject Type="Embed" ProgID="Equation.3" ShapeID="_x0000_i1463" DrawAspect="Content" ObjectID="_1519137312" r:id="rId850"/>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color w:val="000000"/>
                <w:sz w:val="20"/>
                <w:szCs w:val="20"/>
              </w:rPr>
            </w:pPr>
            <w:r w:rsidRPr="00211E01">
              <w:rPr>
                <w:color w:val="000000"/>
                <w:sz w:val="20"/>
                <w:szCs w:val="20"/>
              </w:rPr>
              <w:t>0.</w:t>
            </w:r>
            <w:r w:rsidR="00AE0315" w:rsidRPr="00211E01">
              <w:rPr>
                <w:color w:val="000000"/>
                <w:sz w:val="20"/>
                <w:szCs w:val="20"/>
              </w:rPr>
              <w:t>700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color w:val="000000"/>
                <w:sz w:val="20"/>
                <w:szCs w:val="20"/>
              </w:rPr>
            </w:pPr>
            <w:r w:rsidRPr="00211E01">
              <w:rPr>
                <w:color w:val="000000"/>
                <w:sz w:val="20"/>
                <w:szCs w:val="20"/>
              </w:rPr>
              <w:t>0.</w:t>
            </w:r>
            <w:r w:rsidR="00AE0315" w:rsidRPr="00211E01">
              <w:rPr>
                <w:color w:val="000000"/>
                <w:sz w:val="20"/>
                <w:szCs w:val="20"/>
              </w:rPr>
              <w:t>675</w:t>
            </w:r>
          </w:p>
        </w:tc>
        <w:tc>
          <w:tcPr>
            <w:tcW w:w="1470" w:type="dxa"/>
            <w:tcBorders>
              <w:top w:val="nil"/>
              <w:left w:val="nil"/>
              <w:bottom w:val="nil"/>
              <w:right w:val="double" w:sz="4" w:space="0" w:color="auto"/>
            </w:tcBorders>
            <w:shd w:val="clear" w:color="auto" w:fill="auto"/>
            <w:noWrap/>
            <w:vAlign w:val="center"/>
          </w:tcPr>
          <w:p w:rsidR="00280589" w:rsidRPr="00211E01" w:rsidRDefault="00AE0315" w:rsidP="001B2A36">
            <w:pPr>
              <w:tabs>
                <w:tab w:val="decimal" w:pos="284"/>
              </w:tabs>
              <w:jc w:val="center"/>
              <w:rPr>
                <w:color w:val="000000"/>
                <w:sz w:val="20"/>
                <w:szCs w:val="20"/>
              </w:rPr>
            </w:pPr>
            <w:r w:rsidRPr="00211E01">
              <w:rPr>
                <w:color w:val="000000"/>
                <w:sz w:val="20"/>
                <w:szCs w:val="20"/>
              </w:rPr>
              <w:t>3.5</w:t>
            </w:r>
            <w:r w:rsidR="00280589" w:rsidRPr="00211E01">
              <w:rPr>
                <w:color w:val="000000"/>
                <w:sz w:val="20"/>
                <w:szCs w:val="20"/>
              </w:rPr>
              <w:t>%</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w:t>
            </w:r>
            <w:r w:rsidR="00AE0315" w:rsidRPr="00211E01">
              <w:rPr>
                <w:color w:val="000000"/>
                <w:sz w:val="20"/>
                <w:szCs w:val="20"/>
              </w:rPr>
              <w:t>082</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w:t>
            </w:r>
            <w:r w:rsidR="00AE0315" w:rsidRPr="00211E01">
              <w:rPr>
                <w:color w:val="000000"/>
                <w:sz w:val="20"/>
                <w:szCs w:val="20"/>
              </w:rPr>
              <w:t>072</w:t>
            </w:r>
          </w:p>
        </w:tc>
        <w:tc>
          <w:tcPr>
            <w:tcW w:w="2508" w:type="dxa"/>
            <w:tcBorders>
              <w:top w:val="nil"/>
              <w:left w:val="nil"/>
              <w:bottom w:val="nil"/>
              <w:right w:val="double" w:sz="4" w:space="0" w:color="auto"/>
            </w:tcBorders>
            <w:shd w:val="clear" w:color="auto" w:fill="auto"/>
            <w:noWrap/>
            <w:vAlign w:val="center"/>
          </w:tcPr>
          <w:p w:rsidR="00280589" w:rsidRPr="00211E01" w:rsidRDefault="00AE0315" w:rsidP="001B2A36">
            <w:pPr>
              <w:tabs>
                <w:tab w:val="decimal" w:pos="278"/>
              </w:tabs>
              <w:jc w:val="center"/>
              <w:rPr>
                <w:color w:val="000000"/>
                <w:sz w:val="20"/>
                <w:szCs w:val="20"/>
              </w:rPr>
            </w:pPr>
            <w:r w:rsidRPr="00211E01">
              <w:rPr>
                <w:color w:val="000000"/>
                <w:sz w:val="20"/>
                <w:szCs w:val="20"/>
              </w:rPr>
              <w:t>14.7</w:t>
            </w:r>
            <w:r w:rsidR="00686D24" w:rsidRPr="00211E01">
              <w:rPr>
                <w:color w:val="000000"/>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i/>
                <w:color w:val="000000"/>
                <w:sz w:val="20"/>
                <w:szCs w:val="20"/>
              </w:rPr>
            </w:pPr>
            <w:r w:rsidRPr="00211E01">
              <w:rPr>
                <w:position w:val="-10"/>
                <w:sz w:val="20"/>
                <w:szCs w:val="20"/>
              </w:rPr>
              <w:object w:dxaOrig="499" w:dyaOrig="360">
                <v:shape id="_x0000_i1464" type="#_x0000_t75" style="width:21.75pt;height:15pt" o:ole="" o:preferrelative="f">
                  <v:imagedata r:id="rId851" o:title=""/>
                </v:shape>
                <o:OLEObject Type="Embed" ProgID="Equation.3" ShapeID="_x0000_i1464" DrawAspect="Content" ObjectID="_1519137313" r:id="rId852"/>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color w:val="000000"/>
                <w:sz w:val="20"/>
                <w:szCs w:val="20"/>
              </w:rPr>
            </w:pPr>
            <w:r w:rsidRPr="00211E01">
              <w:rPr>
                <w:color w:val="000000"/>
                <w:sz w:val="20"/>
                <w:szCs w:val="20"/>
              </w:rPr>
              <w:t>0.519</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color w:val="000000"/>
                <w:sz w:val="20"/>
                <w:szCs w:val="20"/>
              </w:rPr>
            </w:pPr>
            <w:r w:rsidRPr="00211E01">
              <w:rPr>
                <w:color w:val="000000"/>
                <w:sz w:val="20"/>
                <w:szCs w:val="20"/>
              </w:rPr>
              <w:t>0.500</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color w:val="000000"/>
                <w:sz w:val="20"/>
                <w:szCs w:val="20"/>
              </w:rPr>
            </w:pPr>
            <w:r w:rsidRPr="00211E01">
              <w:rPr>
                <w:color w:val="000000"/>
                <w:sz w:val="20"/>
                <w:szCs w:val="20"/>
              </w:rPr>
              <w:t>3.7%</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0.081</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0.090</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color w:val="000000"/>
                <w:sz w:val="20"/>
                <w:szCs w:val="20"/>
              </w:rPr>
            </w:pPr>
            <w:r w:rsidRPr="00211E01">
              <w:rPr>
                <w:color w:val="000000"/>
                <w:sz w:val="20"/>
                <w:szCs w:val="20"/>
              </w:rPr>
              <w:t>9.6</w:t>
            </w:r>
            <w:r w:rsidR="00686D24" w:rsidRPr="00211E01">
              <w:rPr>
                <w:color w:val="000000"/>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i/>
                <w:color w:val="000000"/>
                <w:sz w:val="20"/>
                <w:szCs w:val="20"/>
              </w:rPr>
            </w:pPr>
            <w:r w:rsidRPr="00211E01">
              <w:rPr>
                <w:position w:val="-10"/>
                <w:sz w:val="20"/>
                <w:szCs w:val="20"/>
              </w:rPr>
              <w:object w:dxaOrig="499" w:dyaOrig="360">
                <v:shape id="_x0000_i1465" type="#_x0000_t75" style="width:21.75pt;height:15pt" o:ole="" o:preferrelative="f">
                  <v:imagedata r:id="rId853" o:title=""/>
                </v:shape>
                <o:OLEObject Type="Embed" ProgID="Equation.3" ShapeID="_x0000_i1465" DrawAspect="Content" ObjectID="_1519137314" r:id="rId854"/>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color w:val="000000"/>
                <w:sz w:val="20"/>
                <w:szCs w:val="20"/>
              </w:rPr>
            </w:pPr>
            <w:r w:rsidRPr="00211E01">
              <w:rPr>
                <w:color w:val="000000"/>
                <w:sz w:val="20"/>
                <w:szCs w:val="20"/>
              </w:rPr>
              <w:t>0.374</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color w:val="000000"/>
                <w:sz w:val="20"/>
                <w:szCs w:val="20"/>
              </w:rPr>
            </w:pPr>
            <w:r w:rsidRPr="00211E01">
              <w:rPr>
                <w:color w:val="000000"/>
                <w:sz w:val="20"/>
                <w:szCs w:val="20"/>
              </w:rPr>
              <w:t>0.383</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color w:val="000000"/>
                <w:sz w:val="20"/>
                <w:szCs w:val="20"/>
              </w:rPr>
            </w:pPr>
            <w:r w:rsidRPr="00211E01">
              <w:rPr>
                <w:color w:val="000000"/>
                <w:sz w:val="20"/>
                <w:szCs w:val="20"/>
              </w:rPr>
              <w:t>2.4%</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0.056</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0.052</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color w:val="000000"/>
                <w:sz w:val="20"/>
                <w:szCs w:val="20"/>
              </w:rPr>
            </w:pPr>
            <w:r w:rsidRPr="00211E01">
              <w:rPr>
                <w:color w:val="000000"/>
                <w:sz w:val="20"/>
                <w:szCs w:val="20"/>
              </w:rPr>
              <w:t>7.6</w:t>
            </w:r>
            <w:r w:rsidR="00686D24" w:rsidRPr="00211E01">
              <w:rPr>
                <w:color w:val="000000"/>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499" w:dyaOrig="360">
                <v:shape id="_x0000_i1466" type="#_x0000_t75" style="width:21.75pt;height:15pt" o:ole="" o:preferrelative="f">
                  <v:imagedata r:id="rId855" o:title=""/>
                </v:shape>
                <o:OLEObject Type="Embed" ProgID="Equation.3" ShapeID="_x0000_i1466" DrawAspect="Content" ObjectID="_1519137315" r:id="rId856"/>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0.900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0.920</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2.3%</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0.098</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0.093</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5.4</w:t>
            </w:r>
            <w:r w:rsidR="00686D24" w:rsidRPr="00211E01">
              <w:rPr>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540" w:dyaOrig="360">
                <v:shape id="_x0000_i1467" type="#_x0000_t75" style="width:22.5pt;height:15pt" o:ole="" o:preferrelative="f">
                  <v:imagedata r:id="rId857" o:title=""/>
                </v:shape>
                <o:OLEObject Type="Embed" ProgID="Equation.3" ShapeID="_x0000_i1467" DrawAspect="Content" ObjectID="_1519137316" r:id="rId858"/>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0.600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0.582</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3.1%</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0.075</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0.074</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0.4</w:t>
            </w:r>
            <w:r w:rsidR="00686D24" w:rsidRPr="00211E01">
              <w:rPr>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520" w:dyaOrig="360">
                <v:shape id="_x0000_i1468" type="#_x0000_t75" style="width:21.75pt;height:15pt" o:ole="" o:preferrelative="f">
                  <v:imagedata r:id="rId859" o:title=""/>
                </v:shape>
                <o:OLEObject Type="Embed" ProgID="Equation.3" ShapeID="_x0000_i1468" DrawAspect="Content" ObjectID="_1519137317" r:id="rId860"/>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0.800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0.790</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1.3%</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0.047</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0.054</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13.1</w:t>
            </w:r>
            <w:r w:rsidR="00686D24" w:rsidRPr="00211E01">
              <w:rPr>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520" w:dyaOrig="360">
                <v:shape id="_x0000_i1469" type="#_x0000_t75" style="width:21.75pt;height:15pt" o:ole="" o:preferrelative="f">
                  <v:imagedata r:id="rId861" o:title=""/>
                </v:shape>
                <o:OLEObject Type="Embed" ProgID="Equation.3" ShapeID="_x0000_i1469" DrawAspect="Content" ObjectID="_1519137318" r:id="rId862"/>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0.800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0.784</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2.0%</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0.105</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0.084</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24.5</w:t>
            </w:r>
            <w:r w:rsidR="00686D24" w:rsidRPr="00211E01">
              <w:rPr>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520" w:dyaOrig="360">
                <v:shape id="_x0000_i1470" type="#_x0000_t75" style="width:21.75pt;height:15pt" o:ole="" o:preferrelative="f">
                  <v:imagedata r:id="rId863" o:title=""/>
                </v:shape>
                <o:OLEObject Type="Embed" ProgID="Equation.3" ShapeID="_x0000_i1470" DrawAspect="Content" ObjectID="_1519137319" r:id="rId864"/>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0.400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0.401</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0.3%</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0.087</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0.086</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1.4</w:t>
            </w:r>
            <w:r w:rsidR="00686D24" w:rsidRPr="00211E01">
              <w:rPr>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520" w:dyaOrig="360">
                <v:shape id="_x0000_i1471" type="#_x0000_t75" style="width:21.75pt;height:15pt" o:ole="" o:preferrelative="f">
                  <v:imagedata r:id="rId865" o:title=""/>
                </v:shape>
                <o:OLEObject Type="Embed" ProgID="Equation.3" ShapeID="_x0000_i1471" DrawAspect="Content" ObjectID="_1519137320" r:id="rId866"/>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0.300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0.304</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1.3%</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0.058</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0.057</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0.9</w:t>
            </w:r>
            <w:r w:rsidR="00686D24" w:rsidRPr="00211E01">
              <w:rPr>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499" w:dyaOrig="360">
                <v:shape id="_x0000_i1472" type="#_x0000_t75" style="width:21.75pt;height:15pt" o:ole="" o:preferrelative="f">
                  <v:imagedata r:id="rId867" o:title=""/>
                </v:shape>
                <o:OLEObject Type="Embed" ProgID="Equation.3" ShapeID="_x0000_i1472" DrawAspect="Content" ObjectID="_1519137321" r:id="rId868"/>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2.000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2.030</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1.5%</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0.057</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0.061</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6.1</w:t>
            </w:r>
            <w:r w:rsidR="00686D24" w:rsidRPr="00211E01">
              <w:rPr>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520" w:dyaOrig="360">
                <v:shape id="_x0000_i1473" type="#_x0000_t75" style="width:21.75pt;height:15pt" o:ole="" o:preferrelative="f">
                  <v:imagedata r:id="rId869" o:title=""/>
                </v:shape>
                <o:OLEObject Type="Embed" ProgID="Equation.3" ShapeID="_x0000_i1473" DrawAspect="Content" ObjectID="_1519137322" r:id="rId870"/>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0.500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0.575</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14.9%</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0.067</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0.053</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25.8</w:t>
            </w:r>
            <w:r w:rsidR="00686D24" w:rsidRPr="00211E01">
              <w:rPr>
                <w:sz w:val="20"/>
                <w:szCs w:val="20"/>
              </w:rPr>
              <w:t>%</w:t>
            </w:r>
          </w:p>
        </w:tc>
      </w:tr>
      <w:tr w:rsidR="00280589" w:rsidRPr="00211E01" w:rsidTr="008E07A2">
        <w:trPr>
          <w:trHeight w:val="288"/>
          <w:jc w:val="center"/>
        </w:trPr>
        <w:tc>
          <w:tcPr>
            <w:tcW w:w="1047" w:type="dxa"/>
            <w:tcBorders>
              <w:top w:val="nil"/>
              <w:left w:val="double" w:sz="6" w:space="0" w:color="auto"/>
              <w:bottom w:val="nil"/>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520" w:dyaOrig="360">
                <v:shape id="_x0000_i1474" type="#_x0000_t75" style="width:21.75pt;height:15pt" o:ole="" o:preferrelative="f">
                  <v:imagedata r:id="rId871" o:title=""/>
                </v:shape>
                <o:OLEObject Type="Embed" ProgID="Equation.3" ShapeID="_x0000_i1474" DrawAspect="Content" ObjectID="_1519137323" r:id="rId872"/>
              </w:object>
            </w:r>
          </w:p>
        </w:tc>
        <w:tc>
          <w:tcPr>
            <w:tcW w:w="1110" w:type="dxa"/>
            <w:tcBorders>
              <w:top w:val="nil"/>
              <w:left w:val="nil"/>
              <w:bottom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1.000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0.986</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1.4%</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0.070</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0.072</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3.7</w:t>
            </w:r>
            <w:r w:rsidR="00686D24" w:rsidRPr="00211E01">
              <w:rPr>
                <w:sz w:val="20"/>
                <w:szCs w:val="20"/>
              </w:rPr>
              <w:t>%</w:t>
            </w:r>
          </w:p>
        </w:tc>
      </w:tr>
      <w:tr w:rsidR="00280589" w:rsidRPr="00211E01" w:rsidTr="008E07A2">
        <w:trPr>
          <w:trHeight w:val="288"/>
          <w:jc w:val="center"/>
        </w:trPr>
        <w:tc>
          <w:tcPr>
            <w:tcW w:w="1047" w:type="dxa"/>
            <w:tcBorders>
              <w:top w:val="nil"/>
              <w:left w:val="double" w:sz="6" w:space="0" w:color="auto"/>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520" w:dyaOrig="360">
                <v:shape id="_x0000_i1475" type="#_x0000_t75" style="width:21.75pt;height:15pt" o:ole="" o:preferrelative="f">
                  <v:imagedata r:id="rId873" o:title=""/>
                </v:shape>
                <o:OLEObject Type="Embed" ProgID="Equation.3" ShapeID="_x0000_i1475" DrawAspect="Content" ObjectID="_1519137324" r:id="rId874"/>
              </w:object>
            </w:r>
          </w:p>
        </w:tc>
        <w:tc>
          <w:tcPr>
            <w:tcW w:w="1110" w:type="dxa"/>
            <w:tcBorders>
              <w:top w:val="nil"/>
              <w:left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0.600</w:t>
            </w:r>
          </w:p>
        </w:tc>
        <w:tc>
          <w:tcPr>
            <w:tcW w:w="1164" w:type="dxa"/>
            <w:tcBorders>
              <w:top w:val="nil"/>
              <w:left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0.580</w:t>
            </w:r>
          </w:p>
        </w:tc>
        <w:tc>
          <w:tcPr>
            <w:tcW w:w="1470" w:type="dxa"/>
            <w:tcBorders>
              <w:top w:val="nil"/>
              <w:left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3.3%</w:t>
            </w:r>
          </w:p>
        </w:tc>
        <w:tc>
          <w:tcPr>
            <w:tcW w:w="1493" w:type="dxa"/>
            <w:tcBorders>
              <w:top w:val="nil"/>
              <w:left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0.050</w:t>
            </w:r>
          </w:p>
        </w:tc>
        <w:tc>
          <w:tcPr>
            <w:tcW w:w="1536" w:type="dxa"/>
            <w:tcBorders>
              <w:top w:val="nil"/>
              <w:left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0.067</w:t>
            </w:r>
          </w:p>
        </w:tc>
        <w:tc>
          <w:tcPr>
            <w:tcW w:w="2508" w:type="dxa"/>
            <w:tcBorders>
              <w:top w:val="nil"/>
              <w:left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25.5</w:t>
            </w:r>
            <w:r w:rsidR="00686D24" w:rsidRPr="00211E01">
              <w:rPr>
                <w:sz w:val="20"/>
                <w:szCs w:val="20"/>
              </w:rPr>
              <w:t>%</w:t>
            </w:r>
          </w:p>
        </w:tc>
      </w:tr>
      <w:tr w:rsidR="00280589" w:rsidRPr="00211E01" w:rsidTr="008E07A2">
        <w:trPr>
          <w:trHeight w:val="288"/>
          <w:jc w:val="center"/>
        </w:trPr>
        <w:tc>
          <w:tcPr>
            <w:tcW w:w="1047" w:type="dxa"/>
            <w:tcBorders>
              <w:left w:val="double" w:sz="6" w:space="0" w:color="auto"/>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520" w:dyaOrig="360">
                <v:shape id="_x0000_i1476" type="#_x0000_t75" style="width:21.75pt;height:15pt" o:ole="" o:preferrelative="f">
                  <v:imagedata r:id="rId875" o:title=""/>
                </v:shape>
                <o:OLEObject Type="Embed" ProgID="Equation.3" ShapeID="_x0000_i1476" DrawAspect="Content" ObjectID="_1519137325" r:id="rId876"/>
              </w:object>
            </w:r>
          </w:p>
        </w:tc>
        <w:tc>
          <w:tcPr>
            <w:tcW w:w="1110" w:type="dxa"/>
            <w:tcBorders>
              <w:left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0.800</w:t>
            </w:r>
          </w:p>
        </w:tc>
        <w:tc>
          <w:tcPr>
            <w:tcW w:w="1164" w:type="dxa"/>
            <w:tcBorders>
              <w:left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0.886</w:t>
            </w:r>
          </w:p>
        </w:tc>
        <w:tc>
          <w:tcPr>
            <w:tcW w:w="1470" w:type="dxa"/>
            <w:tcBorders>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10.7%</w:t>
            </w:r>
          </w:p>
        </w:tc>
        <w:tc>
          <w:tcPr>
            <w:tcW w:w="1493" w:type="dxa"/>
            <w:tcBorders>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0.341</w:t>
            </w:r>
          </w:p>
        </w:tc>
        <w:tc>
          <w:tcPr>
            <w:tcW w:w="1536" w:type="dxa"/>
            <w:tcBorders>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0.400</w:t>
            </w:r>
          </w:p>
        </w:tc>
        <w:tc>
          <w:tcPr>
            <w:tcW w:w="2508" w:type="dxa"/>
            <w:tcBorders>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14.7</w:t>
            </w:r>
            <w:r w:rsidR="00686D24" w:rsidRPr="00211E01">
              <w:rPr>
                <w:sz w:val="20"/>
                <w:szCs w:val="20"/>
              </w:rPr>
              <w:t>%</w:t>
            </w:r>
          </w:p>
        </w:tc>
      </w:tr>
      <w:tr w:rsidR="00280589" w:rsidRPr="00211E01" w:rsidTr="008E07A2">
        <w:trPr>
          <w:trHeight w:val="288"/>
          <w:jc w:val="center"/>
        </w:trPr>
        <w:tc>
          <w:tcPr>
            <w:tcW w:w="1047" w:type="dxa"/>
            <w:tcBorders>
              <w:left w:val="double" w:sz="6" w:space="0" w:color="auto"/>
              <w:right w:val="double" w:sz="6" w:space="0" w:color="auto"/>
            </w:tcBorders>
            <w:shd w:val="clear" w:color="auto" w:fill="auto"/>
            <w:noWrap/>
            <w:vAlign w:val="center"/>
          </w:tcPr>
          <w:p w:rsidR="00280589" w:rsidRPr="00211E01" w:rsidRDefault="00CA0999" w:rsidP="001B2A36">
            <w:pPr>
              <w:jc w:val="center"/>
              <w:rPr>
                <w:rFonts w:eastAsia="Times New Roman"/>
                <w:color w:val="000000"/>
                <w:sz w:val="20"/>
                <w:szCs w:val="20"/>
              </w:rPr>
            </w:pPr>
            <w:r w:rsidRPr="00211E01">
              <w:rPr>
                <w:position w:val="-10"/>
                <w:sz w:val="20"/>
                <w:szCs w:val="20"/>
              </w:rPr>
              <w:object w:dxaOrig="520" w:dyaOrig="360">
                <v:shape id="_x0000_i1477" type="#_x0000_t75" style="width:21.75pt;height:15pt" o:ole="" o:preferrelative="f">
                  <v:imagedata r:id="rId877" o:title=""/>
                </v:shape>
                <o:OLEObject Type="Embed" ProgID="Equation.3" ShapeID="_x0000_i1477" DrawAspect="Content" ObjectID="_1519137326" r:id="rId878"/>
              </w:object>
            </w:r>
          </w:p>
        </w:tc>
        <w:tc>
          <w:tcPr>
            <w:tcW w:w="1110" w:type="dxa"/>
            <w:tcBorders>
              <w:left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0.900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1.060</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17.8%</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0.060</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0.055</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8.5</w:t>
            </w:r>
            <w:r w:rsidR="00686D24" w:rsidRPr="00211E01">
              <w:rPr>
                <w:sz w:val="20"/>
                <w:szCs w:val="20"/>
              </w:rPr>
              <w:t>%</w:t>
            </w:r>
          </w:p>
        </w:tc>
      </w:tr>
      <w:tr w:rsidR="00280589" w:rsidRPr="00211E01" w:rsidTr="008E07A2">
        <w:trPr>
          <w:trHeight w:val="20"/>
          <w:jc w:val="center"/>
        </w:trPr>
        <w:tc>
          <w:tcPr>
            <w:tcW w:w="1047" w:type="dxa"/>
            <w:tcBorders>
              <w:left w:val="double" w:sz="6" w:space="0" w:color="auto"/>
              <w:right w:val="double" w:sz="6" w:space="0" w:color="auto"/>
            </w:tcBorders>
            <w:shd w:val="clear" w:color="auto" w:fill="auto"/>
            <w:noWrap/>
            <w:vAlign w:val="center"/>
          </w:tcPr>
          <w:p w:rsidR="00280589" w:rsidRPr="00211E01" w:rsidRDefault="00211E01" w:rsidP="001B2A36">
            <w:pPr>
              <w:jc w:val="center"/>
              <w:rPr>
                <w:rFonts w:eastAsia="Times New Roman"/>
                <w:color w:val="000000"/>
                <w:sz w:val="20"/>
                <w:szCs w:val="20"/>
              </w:rPr>
            </w:pPr>
            <w:r w:rsidRPr="00211E01">
              <w:rPr>
                <w:position w:val="-10"/>
                <w:sz w:val="20"/>
                <w:szCs w:val="20"/>
              </w:rPr>
              <w:object w:dxaOrig="360" w:dyaOrig="360">
                <v:shape id="_x0000_i1478" type="#_x0000_t75" style="width:15pt;height:15pt" o:ole="" o:preferrelative="f">
                  <v:imagedata r:id="rId879" o:title=""/>
                </v:shape>
                <o:OLEObject Type="Embed" ProgID="Equation.3" ShapeID="_x0000_i1478" DrawAspect="Content" ObjectID="_1519137327" r:id="rId880"/>
              </w:object>
            </w:r>
          </w:p>
        </w:tc>
        <w:tc>
          <w:tcPr>
            <w:tcW w:w="1110" w:type="dxa"/>
            <w:tcBorders>
              <w:left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0.600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0.687</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14.6%</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0.541</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0.503</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7.6</w:t>
            </w:r>
            <w:r w:rsidR="00686D24" w:rsidRPr="00211E01">
              <w:rPr>
                <w:sz w:val="20"/>
                <w:szCs w:val="20"/>
              </w:rPr>
              <w:t>%</w:t>
            </w:r>
          </w:p>
        </w:tc>
      </w:tr>
      <w:tr w:rsidR="00280589" w:rsidRPr="00211E01" w:rsidTr="008E07A2">
        <w:trPr>
          <w:trHeight w:val="20"/>
          <w:jc w:val="center"/>
        </w:trPr>
        <w:tc>
          <w:tcPr>
            <w:tcW w:w="1047" w:type="dxa"/>
            <w:tcBorders>
              <w:left w:val="double" w:sz="6" w:space="0" w:color="auto"/>
              <w:right w:val="double" w:sz="6" w:space="0" w:color="auto"/>
            </w:tcBorders>
            <w:shd w:val="clear" w:color="auto" w:fill="auto"/>
            <w:noWrap/>
            <w:vAlign w:val="center"/>
          </w:tcPr>
          <w:p w:rsidR="00280589" w:rsidRPr="00211E01" w:rsidRDefault="00211E01" w:rsidP="001B2A36">
            <w:pPr>
              <w:jc w:val="center"/>
              <w:rPr>
                <w:rFonts w:eastAsia="Times New Roman"/>
                <w:color w:val="000000"/>
                <w:sz w:val="20"/>
                <w:szCs w:val="20"/>
              </w:rPr>
            </w:pPr>
            <w:r w:rsidRPr="00211E01">
              <w:rPr>
                <w:position w:val="-10"/>
                <w:sz w:val="20"/>
                <w:szCs w:val="20"/>
              </w:rPr>
              <w:object w:dxaOrig="360" w:dyaOrig="360">
                <v:shape id="_x0000_i1479" type="#_x0000_t75" style="width:15pt;height:15pt" o:ole="" o:preferrelative="f">
                  <v:imagedata r:id="rId881" o:title=""/>
                </v:shape>
                <o:OLEObject Type="Embed" ProgID="Equation.3" ShapeID="_x0000_i1479" DrawAspect="Content" ObjectID="_1519137328" r:id="rId882"/>
              </w:object>
            </w:r>
          </w:p>
        </w:tc>
        <w:tc>
          <w:tcPr>
            <w:tcW w:w="1110" w:type="dxa"/>
            <w:tcBorders>
              <w:left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0.100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0.112</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12.3%</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0.148</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0.149</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1.0</w:t>
            </w:r>
            <w:r w:rsidR="00686D24" w:rsidRPr="00211E01">
              <w:rPr>
                <w:sz w:val="20"/>
                <w:szCs w:val="20"/>
              </w:rPr>
              <w:t>%</w:t>
            </w:r>
          </w:p>
        </w:tc>
      </w:tr>
      <w:tr w:rsidR="00280589" w:rsidRPr="00211E01" w:rsidTr="008E07A2">
        <w:trPr>
          <w:trHeight w:val="20"/>
          <w:jc w:val="center"/>
        </w:trPr>
        <w:tc>
          <w:tcPr>
            <w:tcW w:w="1047" w:type="dxa"/>
            <w:tcBorders>
              <w:left w:val="double" w:sz="6" w:space="0" w:color="auto"/>
              <w:right w:val="double" w:sz="6" w:space="0" w:color="auto"/>
            </w:tcBorders>
            <w:shd w:val="clear" w:color="auto" w:fill="auto"/>
            <w:noWrap/>
            <w:vAlign w:val="center"/>
          </w:tcPr>
          <w:p w:rsidR="00280589" w:rsidRPr="00211E01" w:rsidRDefault="00211E01" w:rsidP="001B2A36">
            <w:pPr>
              <w:jc w:val="center"/>
              <w:rPr>
                <w:rFonts w:eastAsia="Times New Roman"/>
                <w:color w:val="000000"/>
                <w:sz w:val="20"/>
                <w:szCs w:val="20"/>
              </w:rPr>
            </w:pPr>
            <w:r w:rsidRPr="00211E01">
              <w:rPr>
                <w:position w:val="-12"/>
                <w:sz w:val="20"/>
                <w:szCs w:val="20"/>
              </w:rPr>
              <w:object w:dxaOrig="360" w:dyaOrig="380">
                <v:shape id="_x0000_i1480" type="#_x0000_t75" style="width:15pt;height:15.75pt" o:ole="" o:preferrelative="f">
                  <v:imagedata r:id="rId883" o:title=""/>
                </v:shape>
                <o:OLEObject Type="Embed" ProgID="Equation.3" ShapeID="_x0000_i1480" DrawAspect="Content" ObjectID="_1519137329" r:id="rId884"/>
              </w:object>
            </w:r>
          </w:p>
        </w:tc>
        <w:tc>
          <w:tcPr>
            <w:tcW w:w="1110" w:type="dxa"/>
            <w:tcBorders>
              <w:left w:val="nil"/>
              <w:right w:val="double" w:sz="6" w:space="0" w:color="auto"/>
            </w:tcBorders>
            <w:shd w:val="clear" w:color="auto" w:fill="auto"/>
            <w:noWrap/>
            <w:vAlign w:val="center"/>
          </w:tcPr>
          <w:p w:rsidR="00280589" w:rsidRPr="00211E01" w:rsidRDefault="00280589" w:rsidP="001B2A36">
            <w:pPr>
              <w:tabs>
                <w:tab w:val="decimal" w:pos="146"/>
              </w:tabs>
              <w:jc w:val="center"/>
              <w:rPr>
                <w:sz w:val="20"/>
                <w:szCs w:val="20"/>
              </w:rPr>
            </w:pPr>
            <w:r w:rsidRPr="00211E01">
              <w:rPr>
                <w:sz w:val="20"/>
                <w:szCs w:val="20"/>
              </w:rPr>
              <w:t>0.400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sz w:val="20"/>
                <w:szCs w:val="20"/>
              </w:rPr>
            </w:pPr>
            <w:r w:rsidRPr="00211E01">
              <w:rPr>
                <w:sz w:val="20"/>
                <w:szCs w:val="20"/>
              </w:rPr>
              <w:t>0.342</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sz w:val="20"/>
                <w:szCs w:val="20"/>
              </w:rPr>
            </w:pPr>
            <w:r w:rsidRPr="00211E01">
              <w:rPr>
                <w:sz w:val="20"/>
                <w:szCs w:val="20"/>
              </w:rPr>
              <w:t>14.4%</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0.225</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sz w:val="20"/>
                <w:szCs w:val="20"/>
              </w:rPr>
            </w:pPr>
            <w:r w:rsidRPr="00211E01">
              <w:rPr>
                <w:sz w:val="20"/>
                <w:szCs w:val="20"/>
              </w:rPr>
              <w:t>0.201</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sz w:val="20"/>
                <w:szCs w:val="20"/>
              </w:rPr>
            </w:pPr>
            <w:r w:rsidRPr="00211E01">
              <w:rPr>
                <w:sz w:val="20"/>
                <w:szCs w:val="20"/>
              </w:rPr>
              <w:t>11.9</w:t>
            </w:r>
            <w:r w:rsidR="00686D24" w:rsidRPr="00211E01">
              <w:rPr>
                <w:sz w:val="20"/>
                <w:szCs w:val="20"/>
              </w:rPr>
              <w:t>%</w:t>
            </w:r>
          </w:p>
        </w:tc>
      </w:tr>
      <w:tr w:rsidR="00363D20" w:rsidRPr="00211E01" w:rsidTr="008E07A2">
        <w:trPr>
          <w:trHeight w:val="20"/>
          <w:jc w:val="center"/>
        </w:trPr>
        <w:tc>
          <w:tcPr>
            <w:tcW w:w="1047" w:type="dxa"/>
            <w:tcBorders>
              <w:left w:val="double" w:sz="6" w:space="0" w:color="auto"/>
              <w:right w:val="double" w:sz="6" w:space="0" w:color="auto"/>
            </w:tcBorders>
            <w:shd w:val="clear" w:color="auto" w:fill="auto"/>
            <w:noWrap/>
            <w:vAlign w:val="center"/>
          </w:tcPr>
          <w:p w:rsidR="00363D20" w:rsidRPr="00211E01" w:rsidRDefault="00211E01" w:rsidP="001B2A36">
            <w:pPr>
              <w:jc w:val="center"/>
              <w:rPr>
                <w:sz w:val="20"/>
                <w:szCs w:val="20"/>
              </w:rPr>
            </w:pPr>
            <w:r w:rsidRPr="00211E01">
              <w:rPr>
                <w:position w:val="-12"/>
                <w:sz w:val="20"/>
                <w:szCs w:val="20"/>
              </w:rPr>
              <w:object w:dxaOrig="360" w:dyaOrig="380">
                <v:shape id="_x0000_i1481" type="#_x0000_t75" style="width:15pt;height:15.75pt" o:ole="" o:preferrelative="f">
                  <v:imagedata r:id="rId885" o:title=""/>
                </v:shape>
                <o:OLEObject Type="Embed" ProgID="Equation.3" ShapeID="_x0000_i1481" DrawAspect="Content" ObjectID="_1519137330" r:id="rId886"/>
              </w:object>
            </w:r>
          </w:p>
        </w:tc>
        <w:tc>
          <w:tcPr>
            <w:tcW w:w="1110" w:type="dxa"/>
            <w:tcBorders>
              <w:left w:val="nil"/>
              <w:right w:val="double" w:sz="6" w:space="0" w:color="auto"/>
            </w:tcBorders>
            <w:shd w:val="clear" w:color="auto" w:fill="auto"/>
            <w:noWrap/>
            <w:vAlign w:val="center"/>
          </w:tcPr>
          <w:p w:rsidR="00363D20" w:rsidRPr="00211E01" w:rsidRDefault="00363D20" w:rsidP="001B2A36">
            <w:pPr>
              <w:tabs>
                <w:tab w:val="decimal" w:pos="146"/>
              </w:tabs>
              <w:jc w:val="center"/>
              <w:rPr>
                <w:sz w:val="20"/>
                <w:szCs w:val="20"/>
              </w:rPr>
            </w:pPr>
            <w:r w:rsidRPr="00211E01">
              <w:rPr>
                <w:sz w:val="20"/>
                <w:szCs w:val="20"/>
              </w:rPr>
              <w:t>0.000</w:t>
            </w:r>
          </w:p>
        </w:tc>
        <w:tc>
          <w:tcPr>
            <w:tcW w:w="1164" w:type="dxa"/>
            <w:tcBorders>
              <w:top w:val="nil"/>
              <w:left w:val="nil"/>
              <w:bottom w:val="nil"/>
              <w:right w:val="single" w:sz="4" w:space="0" w:color="auto"/>
            </w:tcBorders>
            <w:shd w:val="clear" w:color="auto" w:fill="auto"/>
            <w:noWrap/>
            <w:vAlign w:val="center"/>
          </w:tcPr>
          <w:p w:rsidR="00363D20" w:rsidRPr="00211E01" w:rsidRDefault="00363D20" w:rsidP="001B2A36">
            <w:pPr>
              <w:tabs>
                <w:tab w:val="decimal" w:pos="137"/>
                <w:tab w:val="decimal" w:pos="287"/>
                <w:tab w:val="decimal" w:pos="437"/>
              </w:tabs>
              <w:jc w:val="center"/>
              <w:rPr>
                <w:sz w:val="20"/>
                <w:szCs w:val="20"/>
              </w:rPr>
            </w:pPr>
            <w:r w:rsidRPr="00211E01">
              <w:rPr>
                <w:sz w:val="20"/>
                <w:szCs w:val="20"/>
              </w:rPr>
              <w:t>0.010</w:t>
            </w:r>
          </w:p>
        </w:tc>
        <w:tc>
          <w:tcPr>
            <w:tcW w:w="1470" w:type="dxa"/>
            <w:tcBorders>
              <w:top w:val="nil"/>
              <w:left w:val="nil"/>
              <w:bottom w:val="nil"/>
              <w:right w:val="double" w:sz="4" w:space="0" w:color="auto"/>
            </w:tcBorders>
            <w:shd w:val="clear" w:color="auto" w:fill="auto"/>
            <w:noWrap/>
            <w:vAlign w:val="center"/>
          </w:tcPr>
          <w:p w:rsidR="00363D20" w:rsidRPr="00211E01" w:rsidRDefault="00363D20" w:rsidP="001B2A36">
            <w:pPr>
              <w:tabs>
                <w:tab w:val="decimal" w:pos="284"/>
              </w:tabs>
              <w:jc w:val="center"/>
              <w:rPr>
                <w:sz w:val="20"/>
                <w:szCs w:val="20"/>
              </w:rPr>
            </w:pPr>
            <w:r w:rsidRPr="00211E01">
              <w:rPr>
                <w:sz w:val="20"/>
                <w:szCs w:val="20"/>
              </w:rPr>
              <w:t>10.0%</w:t>
            </w:r>
          </w:p>
        </w:tc>
        <w:tc>
          <w:tcPr>
            <w:tcW w:w="1493" w:type="dxa"/>
            <w:tcBorders>
              <w:top w:val="nil"/>
              <w:left w:val="nil"/>
              <w:bottom w:val="nil"/>
              <w:right w:val="single" w:sz="4" w:space="0" w:color="auto"/>
            </w:tcBorders>
            <w:shd w:val="clear" w:color="auto" w:fill="auto"/>
            <w:noWrap/>
            <w:vAlign w:val="center"/>
          </w:tcPr>
          <w:p w:rsidR="00363D20" w:rsidRPr="00211E01" w:rsidRDefault="00D0065F" w:rsidP="001B2A36">
            <w:pPr>
              <w:jc w:val="center"/>
              <w:rPr>
                <w:sz w:val="20"/>
                <w:szCs w:val="20"/>
              </w:rPr>
            </w:pPr>
            <w:r w:rsidRPr="00211E01">
              <w:rPr>
                <w:sz w:val="20"/>
                <w:szCs w:val="20"/>
              </w:rPr>
              <w:t>0.008</w:t>
            </w:r>
          </w:p>
        </w:tc>
        <w:tc>
          <w:tcPr>
            <w:tcW w:w="1536" w:type="dxa"/>
            <w:tcBorders>
              <w:top w:val="nil"/>
              <w:left w:val="nil"/>
              <w:bottom w:val="nil"/>
              <w:right w:val="single" w:sz="4" w:space="0" w:color="auto"/>
            </w:tcBorders>
            <w:shd w:val="clear" w:color="auto" w:fill="auto"/>
            <w:noWrap/>
            <w:vAlign w:val="center"/>
          </w:tcPr>
          <w:p w:rsidR="00363D20" w:rsidRPr="00211E01" w:rsidRDefault="00D0065F" w:rsidP="001B2A36">
            <w:pPr>
              <w:jc w:val="center"/>
              <w:rPr>
                <w:sz w:val="20"/>
                <w:szCs w:val="20"/>
              </w:rPr>
            </w:pPr>
            <w:r w:rsidRPr="00211E01">
              <w:rPr>
                <w:sz w:val="20"/>
                <w:szCs w:val="20"/>
              </w:rPr>
              <w:t>0.007</w:t>
            </w:r>
          </w:p>
        </w:tc>
        <w:tc>
          <w:tcPr>
            <w:tcW w:w="2508" w:type="dxa"/>
            <w:tcBorders>
              <w:top w:val="nil"/>
              <w:left w:val="nil"/>
              <w:bottom w:val="nil"/>
              <w:right w:val="double" w:sz="4" w:space="0" w:color="auto"/>
            </w:tcBorders>
            <w:shd w:val="clear" w:color="auto" w:fill="auto"/>
            <w:noWrap/>
            <w:vAlign w:val="center"/>
          </w:tcPr>
          <w:p w:rsidR="00363D20" w:rsidRPr="00211E01" w:rsidRDefault="00D0065F" w:rsidP="001B2A36">
            <w:pPr>
              <w:tabs>
                <w:tab w:val="decimal" w:pos="278"/>
              </w:tabs>
              <w:jc w:val="center"/>
              <w:rPr>
                <w:sz w:val="20"/>
                <w:szCs w:val="20"/>
              </w:rPr>
            </w:pPr>
            <w:r w:rsidRPr="00211E01">
              <w:rPr>
                <w:sz w:val="20"/>
                <w:szCs w:val="20"/>
              </w:rPr>
              <w:t>14.2%</w:t>
            </w:r>
          </w:p>
        </w:tc>
      </w:tr>
      <w:tr w:rsidR="00280589" w:rsidRPr="00211E01" w:rsidTr="008E07A2">
        <w:trPr>
          <w:trHeight w:val="20"/>
          <w:jc w:val="center"/>
        </w:trPr>
        <w:tc>
          <w:tcPr>
            <w:tcW w:w="1047" w:type="dxa"/>
            <w:tcBorders>
              <w:left w:val="double" w:sz="6" w:space="0" w:color="auto"/>
              <w:right w:val="double" w:sz="6" w:space="0" w:color="auto"/>
            </w:tcBorders>
            <w:shd w:val="clear" w:color="auto" w:fill="auto"/>
            <w:noWrap/>
            <w:vAlign w:val="center"/>
          </w:tcPr>
          <w:p w:rsidR="00280589" w:rsidRPr="00211E01" w:rsidRDefault="00211E01" w:rsidP="001B2A36">
            <w:pPr>
              <w:jc w:val="center"/>
              <w:rPr>
                <w:rFonts w:eastAsia="Times New Roman"/>
                <w:color w:val="000000"/>
                <w:sz w:val="20"/>
                <w:szCs w:val="20"/>
              </w:rPr>
            </w:pPr>
            <w:r w:rsidRPr="00211E01">
              <w:rPr>
                <w:position w:val="-10"/>
                <w:sz w:val="20"/>
                <w:szCs w:val="20"/>
              </w:rPr>
              <w:object w:dxaOrig="240" w:dyaOrig="340">
                <v:shape id="_x0000_i1482" type="#_x0000_t75" style="width:9.75pt;height:14.25pt" o:ole="" o:preferrelative="f">
                  <v:imagedata r:id="rId818" o:title=""/>
                </v:shape>
                <o:OLEObject Type="Embed" ProgID="Equation.3" ShapeID="_x0000_i1482" DrawAspect="Content" ObjectID="_1519137331" r:id="rId887"/>
              </w:object>
            </w:r>
          </w:p>
        </w:tc>
        <w:tc>
          <w:tcPr>
            <w:tcW w:w="1110" w:type="dxa"/>
            <w:tcBorders>
              <w:left w:val="nil"/>
              <w:right w:val="double" w:sz="6" w:space="0" w:color="auto"/>
            </w:tcBorders>
            <w:shd w:val="clear" w:color="auto" w:fill="auto"/>
            <w:noWrap/>
            <w:vAlign w:val="center"/>
          </w:tcPr>
          <w:p w:rsidR="00280589" w:rsidRPr="00211E01" w:rsidRDefault="00280589" w:rsidP="001B2A36">
            <w:pPr>
              <w:tabs>
                <w:tab w:val="decimal" w:pos="146"/>
              </w:tabs>
              <w:jc w:val="center"/>
              <w:rPr>
                <w:color w:val="000000"/>
                <w:sz w:val="20"/>
                <w:szCs w:val="20"/>
              </w:rPr>
            </w:pPr>
            <w:r w:rsidRPr="00211E01">
              <w:rPr>
                <w:color w:val="000000"/>
                <w:sz w:val="20"/>
                <w:szCs w:val="20"/>
              </w:rPr>
              <w:t>1.000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color w:val="000000"/>
                <w:sz w:val="20"/>
                <w:szCs w:val="20"/>
              </w:rPr>
            </w:pPr>
            <w:r w:rsidRPr="00211E01">
              <w:rPr>
                <w:color w:val="000000"/>
                <w:sz w:val="20"/>
                <w:szCs w:val="20"/>
              </w:rPr>
              <w:t>1.041</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color w:val="000000"/>
                <w:sz w:val="20"/>
                <w:szCs w:val="20"/>
              </w:rPr>
            </w:pPr>
            <w:r w:rsidRPr="00211E01">
              <w:rPr>
                <w:color w:val="000000"/>
                <w:sz w:val="20"/>
                <w:szCs w:val="20"/>
              </w:rPr>
              <w:t>4.1%</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0.267</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0.255</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color w:val="000000"/>
                <w:sz w:val="20"/>
                <w:szCs w:val="20"/>
              </w:rPr>
            </w:pPr>
            <w:r w:rsidRPr="00211E01">
              <w:rPr>
                <w:color w:val="000000"/>
                <w:sz w:val="20"/>
                <w:szCs w:val="20"/>
              </w:rPr>
              <w:t>4.7</w:t>
            </w:r>
            <w:r w:rsidR="00686D24" w:rsidRPr="00211E01">
              <w:rPr>
                <w:color w:val="000000"/>
                <w:sz w:val="20"/>
                <w:szCs w:val="20"/>
              </w:rPr>
              <w:t>%</w:t>
            </w:r>
          </w:p>
        </w:tc>
      </w:tr>
      <w:tr w:rsidR="00280589" w:rsidRPr="00211E01" w:rsidTr="008E07A2">
        <w:trPr>
          <w:trHeight w:val="20"/>
          <w:jc w:val="center"/>
        </w:trPr>
        <w:tc>
          <w:tcPr>
            <w:tcW w:w="1047" w:type="dxa"/>
            <w:tcBorders>
              <w:left w:val="double" w:sz="6" w:space="0" w:color="auto"/>
              <w:right w:val="double" w:sz="6" w:space="0" w:color="auto"/>
            </w:tcBorders>
            <w:shd w:val="clear" w:color="auto" w:fill="auto"/>
            <w:noWrap/>
            <w:vAlign w:val="center"/>
          </w:tcPr>
          <w:p w:rsidR="00280589" w:rsidRPr="00211E01" w:rsidRDefault="00211E01" w:rsidP="001B2A36">
            <w:pPr>
              <w:jc w:val="center"/>
              <w:rPr>
                <w:rFonts w:eastAsia="Times New Roman"/>
                <w:i/>
                <w:color w:val="000000"/>
                <w:sz w:val="20"/>
                <w:szCs w:val="20"/>
              </w:rPr>
            </w:pPr>
            <w:r w:rsidRPr="00211E01">
              <w:rPr>
                <w:position w:val="-10"/>
                <w:sz w:val="20"/>
                <w:szCs w:val="20"/>
              </w:rPr>
              <w:object w:dxaOrig="279" w:dyaOrig="340">
                <v:shape id="_x0000_i1483" type="#_x0000_t75" style="width:12pt;height:14.25pt" o:ole="" o:preferrelative="f">
                  <v:imagedata r:id="rId820" o:title=""/>
                </v:shape>
                <o:OLEObject Type="Embed" ProgID="Equation.3" ShapeID="_x0000_i1483" DrawAspect="Content" ObjectID="_1519137332" r:id="rId888"/>
              </w:object>
            </w:r>
          </w:p>
        </w:tc>
        <w:tc>
          <w:tcPr>
            <w:tcW w:w="1110" w:type="dxa"/>
            <w:tcBorders>
              <w:left w:val="nil"/>
              <w:right w:val="double" w:sz="6" w:space="0" w:color="auto"/>
            </w:tcBorders>
            <w:shd w:val="clear" w:color="auto" w:fill="auto"/>
            <w:noWrap/>
            <w:vAlign w:val="center"/>
          </w:tcPr>
          <w:p w:rsidR="00280589" w:rsidRPr="00211E01" w:rsidRDefault="00280589" w:rsidP="001B2A36">
            <w:pPr>
              <w:tabs>
                <w:tab w:val="decimal" w:pos="146"/>
              </w:tabs>
              <w:jc w:val="center"/>
              <w:rPr>
                <w:color w:val="000000"/>
                <w:sz w:val="20"/>
                <w:szCs w:val="20"/>
              </w:rPr>
            </w:pPr>
            <w:r w:rsidRPr="00211E01">
              <w:rPr>
                <w:color w:val="000000"/>
                <w:sz w:val="20"/>
                <w:szCs w:val="20"/>
              </w:rPr>
              <w:t>1.000</w:t>
            </w:r>
          </w:p>
        </w:tc>
        <w:tc>
          <w:tcPr>
            <w:tcW w:w="1164" w:type="dxa"/>
            <w:tcBorders>
              <w:top w:val="nil"/>
              <w:left w:val="nil"/>
              <w:bottom w:val="nil"/>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color w:val="000000"/>
                <w:sz w:val="20"/>
                <w:szCs w:val="20"/>
              </w:rPr>
            </w:pPr>
            <w:r w:rsidRPr="00211E01">
              <w:rPr>
                <w:color w:val="000000"/>
                <w:sz w:val="20"/>
                <w:szCs w:val="20"/>
              </w:rPr>
              <w:t>1.145</w:t>
            </w:r>
          </w:p>
        </w:tc>
        <w:tc>
          <w:tcPr>
            <w:tcW w:w="1470"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84"/>
              </w:tabs>
              <w:jc w:val="center"/>
              <w:rPr>
                <w:color w:val="000000"/>
                <w:sz w:val="20"/>
                <w:szCs w:val="20"/>
              </w:rPr>
            </w:pPr>
            <w:r w:rsidRPr="00211E01">
              <w:rPr>
                <w:color w:val="000000"/>
                <w:sz w:val="20"/>
                <w:szCs w:val="20"/>
              </w:rPr>
              <w:t>14.5%</w:t>
            </w:r>
          </w:p>
        </w:tc>
        <w:tc>
          <w:tcPr>
            <w:tcW w:w="1493"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0.329</w:t>
            </w:r>
          </w:p>
        </w:tc>
        <w:tc>
          <w:tcPr>
            <w:tcW w:w="1536" w:type="dxa"/>
            <w:tcBorders>
              <w:top w:val="nil"/>
              <w:left w:val="nil"/>
              <w:bottom w:val="nil"/>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0.308</w:t>
            </w:r>
          </w:p>
        </w:tc>
        <w:tc>
          <w:tcPr>
            <w:tcW w:w="2508" w:type="dxa"/>
            <w:tcBorders>
              <w:top w:val="nil"/>
              <w:left w:val="nil"/>
              <w:bottom w:val="nil"/>
              <w:right w:val="double" w:sz="4" w:space="0" w:color="auto"/>
            </w:tcBorders>
            <w:shd w:val="clear" w:color="auto" w:fill="auto"/>
            <w:noWrap/>
            <w:vAlign w:val="center"/>
          </w:tcPr>
          <w:p w:rsidR="00280589" w:rsidRPr="00211E01" w:rsidRDefault="00280589" w:rsidP="001B2A36">
            <w:pPr>
              <w:tabs>
                <w:tab w:val="decimal" w:pos="278"/>
              </w:tabs>
              <w:jc w:val="center"/>
              <w:rPr>
                <w:color w:val="000000"/>
                <w:sz w:val="20"/>
                <w:szCs w:val="20"/>
              </w:rPr>
            </w:pPr>
            <w:r w:rsidRPr="00211E01">
              <w:rPr>
                <w:color w:val="000000"/>
                <w:sz w:val="20"/>
                <w:szCs w:val="20"/>
              </w:rPr>
              <w:t>6.8</w:t>
            </w:r>
            <w:r w:rsidR="00686D24" w:rsidRPr="00211E01">
              <w:rPr>
                <w:color w:val="000000"/>
                <w:sz w:val="20"/>
                <w:szCs w:val="20"/>
              </w:rPr>
              <w:t>%</w:t>
            </w:r>
          </w:p>
        </w:tc>
      </w:tr>
      <w:tr w:rsidR="00280589" w:rsidRPr="00211E01" w:rsidTr="008E07A2">
        <w:trPr>
          <w:trHeight w:val="20"/>
          <w:jc w:val="center"/>
        </w:trPr>
        <w:tc>
          <w:tcPr>
            <w:tcW w:w="1047" w:type="dxa"/>
            <w:tcBorders>
              <w:left w:val="double" w:sz="6" w:space="0" w:color="auto"/>
              <w:bottom w:val="double" w:sz="6" w:space="0" w:color="auto"/>
              <w:right w:val="double" w:sz="6" w:space="0" w:color="auto"/>
            </w:tcBorders>
            <w:shd w:val="clear" w:color="auto" w:fill="auto"/>
            <w:noWrap/>
            <w:vAlign w:val="center"/>
          </w:tcPr>
          <w:p w:rsidR="00280589" w:rsidRPr="00211E01" w:rsidRDefault="00211E01" w:rsidP="001B2A36">
            <w:pPr>
              <w:jc w:val="center"/>
              <w:rPr>
                <w:rFonts w:eastAsia="Times New Roman"/>
                <w:i/>
                <w:color w:val="000000"/>
                <w:sz w:val="20"/>
                <w:szCs w:val="20"/>
              </w:rPr>
            </w:pPr>
            <w:r w:rsidRPr="00211E01">
              <w:rPr>
                <w:position w:val="-12"/>
                <w:sz w:val="20"/>
                <w:szCs w:val="20"/>
              </w:rPr>
              <w:object w:dxaOrig="260" w:dyaOrig="360">
                <v:shape id="_x0000_i1484" type="#_x0000_t75" style="width:11.25pt;height:15pt" o:ole="" o:preferrelative="f">
                  <v:imagedata r:id="rId822" o:title=""/>
                </v:shape>
                <o:OLEObject Type="Embed" ProgID="Equation.3" ShapeID="_x0000_i1484" DrawAspect="Content" ObjectID="_1519137333" r:id="rId889"/>
              </w:object>
            </w:r>
          </w:p>
        </w:tc>
        <w:tc>
          <w:tcPr>
            <w:tcW w:w="1110" w:type="dxa"/>
            <w:tcBorders>
              <w:left w:val="nil"/>
              <w:bottom w:val="double" w:sz="6" w:space="0" w:color="auto"/>
              <w:right w:val="double" w:sz="6" w:space="0" w:color="auto"/>
            </w:tcBorders>
            <w:shd w:val="clear" w:color="auto" w:fill="auto"/>
            <w:noWrap/>
            <w:vAlign w:val="center"/>
          </w:tcPr>
          <w:p w:rsidR="00280589" w:rsidRPr="00211E01" w:rsidRDefault="00280589" w:rsidP="001B2A36">
            <w:pPr>
              <w:tabs>
                <w:tab w:val="decimal" w:pos="146"/>
              </w:tabs>
              <w:jc w:val="center"/>
              <w:rPr>
                <w:color w:val="000000"/>
                <w:sz w:val="20"/>
                <w:szCs w:val="20"/>
              </w:rPr>
            </w:pPr>
            <w:r w:rsidRPr="00211E01">
              <w:rPr>
                <w:color w:val="000000"/>
                <w:sz w:val="20"/>
                <w:szCs w:val="20"/>
              </w:rPr>
              <w:t>1.000</w:t>
            </w:r>
          </w:p>
        </w:tc>
        <w:tc>
          <w:tcPr>
            <w:tcW w:w="1164" w:type="dxa"/>
            <w:tcBorders>
              <w:top w:val="nil"/>
              <w:left w:val="nil"/>
              <w:bottom w:val="double" w:sz="6" w:space="0" w:color="auto"/>
              <w:right w:val="single" w:sz="4" w:space="0" w:color="auto"/>
            </w:tcBorders>
            <w:shd w:val="clear" w:color="auto" w:fill="auto"/>
            <w:noWrap/>
            <w:vAlign w:val="center"/>
          </w:tcPr>
          <w:p w:rsidR="00280589" w:rsidRPr="00211E01" w:rsidRDefault="00280589" w:rsidP="001B2A36">
            <w:pPr>
              <w:tabs>
                <w:tab w:val="decimal" w:pos="137"/>
                <w:tab w:val="decimal" w:pos="287"/>
                <w:tab w:val="decimal" w:pos="437"/>
              </w:tabs>
              <w:jc w:val="center"/>
              <w:rPr>
                <w:color w:val="000000"/>
                <w:sz w:val="20"/>
                <w:szCs w:val="20"/>
              </w:rPr>
            </w:pPr>
            <w:r w:rsidRPr="00211E01">
              <w:rPr>
                <w:color w:val="000000"/>
                <w:sz w:val="20"/>
                <w:szCs w:val="20"/>
              </w:rPr>
              <w:t>1.156</w:t>
            </w:r>
          </w:p>
        </w:tc>
        <w:tc>
          <w:tcPr>
            <w:tcW w:w="1470" w:type="dxa"/>
            <w:tcBorders>
              <w:top w:val="nil"/>
              <w:left w:val="nil"/>
              <w:bottom w:val="double" w:sz="6" w:space="0" w:color="auto"/>
              <w:right w:val="double" w:sz="4" w:space="0" w:color="auto"/>
            </w:tcBorders>
            <w:shd w:val="clear" w:color="auto" w:fill="auto"/>
            <w:noWrap/>
            <w:vAlign w:val="center"/>
          </w:tcPr>
          <w:p w:rsidR="00280589" w:rsidRPr="00211E01" w:rsidRDefault="00280589" w:rsidP="001B2A36">
            <w:pPr>
              <w:tabs>
                <w:tab w:val="decimal" w:pos="284"/>
              </w:tabs>
              <w:jc w:val="center"/>
              <w:rPr>
                <w:color w:val="000000"/>
                <w:sz w:val="20"/>
                <w:szCs w:val="20"/>
              </w:rPr>
            </w:pPr>
            <w:r w:rsidRPr="00211E01">
              <w:rPr>
                <w:color w:val="000000"/>
                <w:sz w:val="20"/>
                <w:szCs w:val="20"/>
              </w:rPr>
              <w:t>15.6%</w:t>
            </w:r>
          </w:p>
        </w:tc>
        <w:tc>
          <w:tcPr>
            <w:tcW w:w="1493" w:type="dxa"/>
            <w:tcBorders>
              <w:top w:val="nil"/>
              <w:left w:val="nil"/>
              <w:bottom w:val="double" w:sz="6" w:space="0" w:color="auto"/>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0.520</w:t>
            </w:r>
          </w:p>
        </w:tc>
        <w:tc>
          <w:tcPr>
            <w:tcW w:w="1536" w:type="dxa"/>
            <w:tcBorders>
              <w:top w:val="nil"/>
              <w:left w:val="nil"/>
              <w:bottom w:val="double" w:sz="6" w:space="0" w:color="auto"/>
              <w:right w:val="single" w:sz="4" w:space="0" w:color="auto"/>
            </w:tcBorders>
            <w:shd w:val="clear" w:color="auto" w:fill="auto"/>
            <w:noWrap/>
            <w:vAlign w:val="center"/>
          </w:tcPr>
          <w:p w:rsidR="00280589" w:rsidRPr="00211E01" w:rsidRDefault="00280589" w:rsidP="001B2A36">
            <w:pPr>
              <w:jc w:val="center"/>
              <w:rPr>
                <w:color w:val="000000"/>
                <w:sz w:val="20"/>
                <w:szCs w:val="20"/>
              </w:rPr>
            </w:pPr>
            <w:r w:rsidRPr="00211E01">
              <w:rPr>
                <w:color w:val="000000"/>
                <w:sz w:val="20"/>
                <w:szCs w:val="20"/>
              </w:rPr>
              <w:t>0.473</w:t>
            </w:r>
          </w:p>
        </w:tc>
        <w:tc>
          <w:tcPr>
            <w:tcW w:w="2508" w:type="dxa"/>
            <w:tcBorders>
              <w:top w:val="nil"/>
              <w:left w:val="nil"/>
              <w:bottom w:val="double" w:sz="6" w:space="0" w:color="auto"/>
              <w:right w:val="double" w:sz="4" w:space="0" w:color="auto"/>
            </w:tcBorders>
            <w:shd w:val="clear" w:color="auto" w:fill="auto"/>
            <w:noWrap/>
            <w:vAlign w:val="center"/>
          </w:tcPr>
          <w:p w:rsidR="00280589" w:rsidRPr="00211E01" w:rsidRDefault="00280589" w:rsidP="001B2A36">
            <w:pPr>
              <w:tabs>
                <w:tab w:val="decimal" w:pos="278"/>
              </w:tabs>
              <w:jc w:val="center"/>
              <w:rPr>
                <w:color w:val="000000"/>
                <w:sz w:val="20"/>
                <w:szCs w:val="20"/>
              </w:rPr>
            </w:pPr>
            <w:r w:rsidRPr="00211E01">
              <w:rPr>
                <w:color w:val="000000"/>
                <w:sz w:val="20"/>
                <w:szCs w:val="20"/>
              </w:rPr>
              <w:t>9.8</w:t>
            </w:r>
            <w:r w:rsidR="00686D24" w:rsidRPr="00211E01">
              <w:rPr>
                <w:color w:val="000000"/>
                <w:sz w:val="20"/>
                <w:szCs w:val="20"/>
              </w:rPr>
              <w:t>%</w:t>
            </w:r>
          </w:p>
        </w:tc>
      </w:tr>
      <w:tr w:rsidR="003F39AE" w:rsidRPr="00211E01" w:rsidTr="008E07A2">
        <w:trPr>
          <w:trHeight w:val="20"/>
          <w:jc w:val="center"/>
        </w:trPr>
        <w:tc>
          <w:tcPr>
            <w:tcW w:w="2157" w:type="dxa"/>
            <w:gridSpan w:val="2"/>
            <w:tcBorders>
              <w:top w:val="double" w:sz="6" w:space="0" w:color="auto"/>
              <w:left w:val="double" w:sz="6" w:space="0" w:color="auto"/>
              <w:bottom w:val="double" w:sz="6" w:space="0" w:color="auto"/>
              <w:right w:val="double" w:sz="6" w:space="0" w:color="000000"/>
            </w:tcBorders>
            <w:shd w:val="clear" w:color="auto" w:fill="auto"/>
            <w:vAlign w:val="center"/>
          </w:tcPr>
          <w:p w:rsidR="003F39AE" w:rsidRPr="00211E01" w:rsidRDefault="003F39AE" w:rsidP="008E07A2">
            <w:pPr>
              <w:jc w:val="left"/>
              <w:rPr>
                <w:rFonts w:eastAsia="Times New Roman"/>
                <w:b/>
                <w:bCs/>
                <w:color w:val="000000"/>
                <w:sz w:val="19"/>
                <w:szCs w:val="19"/>
              </w:rPr>
            </w:pPr>
            <w:r w:rsidRPr="00211E01">
              <w:rPr>
                <w:rFonts w:eastAsia="Times New Roman"/>
                <w:b/>
                <w:bCs/>
                <w:color w:val="000000"/>
                <w:sz w:val="19"/>
                <w:szCs w:val="19"/>
              </w:rPr>
              <w:t>Overall Mean Value Across Parameters</w:t>
            </w:r>
          </w:p>
        </w:tc>
        <w:tc>
          <w:tcPr>
            <w:tcW w:w="2634" w:type="dxa"/>
            <w:gridSpan w:val="2"/>
            <w:tcBorders>
              <w:top w:val="double" w:sz="6" w:space="0" w:color="auto"/>
              <w:left w:val="nil"/>
              <w:bottom w:val="double" w:sz="6" w:space="0" w:color="auto"/>
              <w:right w:val="double" w:sz="6" w:space="0" w:color="auto"/>
            </w:tcBorders>
            <w:shd w:val="clear" w:color="auto" w:fill="auto"/>
            <w:noWrap/>
            <w:vAlign w:val="center"/>
          </w:tcPr>
          <w:p w:rsidR="003F39AE" w:rsidRPr="00211E01" w:rsidRDefault="003F39AE" w:rsidP="00D0065F">
            <w:pPr>
              <w:jc w:val="center"/>
              <w:rPr>
                <w:rFonts w:eastAsia="Times New Roman"/>
                <w:b/>
                <w:color w:val="000000"/>
                <w:sz w:val="20"/>
                <w:szCs w:val="20"/>
              </w:rPr>
            </w:pPr>
            <w:r w:rsidRPr="00211E01">
              <w:rPr>
                <w:rFonts w:eastAsia="Times New Roman"/>
                <w:b/>
                <w:color w:val="000000"/>
                <w:sz w:val="20"/>
                <w:szCs w:val="20"/>
              </w:rPr>
              <w:t>6.</w:t>
            </w:r>
            <w:r w:rsidR="00D0065F" w:rsidRPr="00211E01">
              <w:rPr>
                <w:rFonts w:eastAsia="Times New Roman"/>
                <w:b/>
                <w:color w:val="000000"/>
                <w:sz w:val="20"/>
                <w:szCs w:val="20"/>
              </w:rPr>
              <w:t>4</w:t>
            </w:r>
            <w:r w:rsidRPr="00211E01">
              <w:rPr>
                <w:rFonts w:eastAsia="Times New Roman"/>
                <w:b/>
                <w:color w:val="000000"/>
                <w:sz w:val="20"/>
                <w:szCs w:val="20"/>
              </w:rPr>
              <w:t>% (for APB)</w:t>
            </w:r>
          </w:p>
        </w:tc>
        <w:tc>
          <w:tcPr>
            <w:tcW w:w="1493" w:type="dxa"/>
            <w:tcBorders>
              <w:top w:val="double" w:sz="6" w:space="0" w:color="auto"/>
              <w:left w:val="nil"/>
              <w:bottom w:val="double" w:sz="6" w:space="0" w:color="auto"/>
              <w:right w:val="single" w:sz="4" w:space="0" w:color="auto"/>
            </w:tcBorders>
            <w:shd w:val="clear" w:color="auto" w:fill="auto"/>
            <w:noWrap/>
            <w:vAlign w:val="center"/>
          </w:tcPr>
          <w:p w:rsidR="003F39AE" w:rsidRPr="00211E01" w:rsidRDefault="003F39AE" w:rsidP="00D0065F">
            <w:pPr>
              <w:jc w:val="center"/>
              <w:rPr>
                <w:rFonts w:eastAsia="Times New Roman"/>
                <w:b/>
                <w:color w:val="000000"/>
                <w:sz w:val="20"/>
                <w:szCs w:val="20"/>
              </w:rPr>
            </w:pPr>
            <w:r w:rsidRPr="00211E01">
              <w:rPr>
                <w:rFonts w:eastAsia="Times New Roman"/>
                <w:b/>
                <w:color w:val="000000"/>
                <w:sz w:val="20"/>
                <w:szCs w:val="20"/>
              </w:rPr>
              <w:t>0.</w:t>
            </w:r>
            <w:r w:rsidR="00D0065F" w:rsidRPr="00211E01">
              <w:rPr>
                <w:rFonts w:eastAsia="Times New Roman"/>
                <w:b/>
                <w:color w:val="000000"/>
                <w:sz w:val="20"/>
                <w:szCs w:val="20"/>
              </w:rPr>
              <w:t>172</w:t>
            </w:r>
          </w:p>
        </w:tc>
        <w:tc>
          <w:tcPr>
            <w:tcW w:w="1536" w:type="dxa"/>
            <w:tcBorders>
              <w:top w:val="double" w:sz="6" w:space="0" w:color="auto"/>
              <w:left w:val="nil"/>
              <w:bottom w:val="double" w:sz="6" w:space="0" w:color="auto"/>
              <w:right w:val="single" w:sz="4" w:space="0" w:color="auto"/>
            </w:tcBorders>
            <w:shd w:val="clear" w:color="auto" w:fill="auto"/>
            <w:noWrap/>
            <w:vAlign w:val="center"/>
          </w:tcPr>
          <w:p w:rsidR="003F39AE" w:rsidRPr="00211E01" w:rsidRDefault="003F39AE" w:rsidP="00D0065F">
            <w:pPr>
              <w:jc w:val="center"/>
              <w:rPr>
                <w:rFonts w:eastAsia="Times New Roman"/>
                <w:b/>
                <w:color w:val="000000"/>
                <w:sz w:val="20"/>
                <w:szCs w:val="20"/>
              </w:rPr>
            </w:pPr>
            <w:r w:rsidRPr="00211E01">
              <w:rPr>
                <w:rFonts w:eastAsia="Times New Roman"/>
                <w:b/>
                <w:color w:val="000000"/>
                <w:sz w:val="20"/>
                <w:szCs w:val="20"/>
              </w:rPr>
              <w:t>0.</w:t>
            </w:r>
            <w:r w:rsidR="00D0065F" w:rsidRPr="00211E01">
              <w:rPr>
                <w:rFonts w:eastAsia="Times New Roman"/>
                <w:b/>
                <w:color w:val="000000"/>
                <w:sz w:val="20"/>
                <w:szCs w:val="20"/>
              </w:rPr>
              <w:t>165</w:t>
            </w:r>
          </w:p>
        </w:tc>
        <w:tc>
          <w:tcPr>
            <w:tcW w:w="2508" w:type="dxa"/>
            <w:tcBorders>
              <w:top w:val="double" w:sz="6" w:space="0" w:color="auto"/>
              <w:left w:val="nil"/>
              <w:bottom w:val="double" w:sz="6" w:space="0" w:color="auto"/>
              <w:right w:val="double" w:sz="6" w:space="0" w:color="auto"/>
            </w:tcBorders>
            <w:shd w:val="clear" w:color="auto" w:fill="auto"/>
            <w:noWrap/>
            <w:vAlign w:val="center"/>
          </w:tcPr>
          <w:p w:rsidR="003F39AE" w:rsidRPr="00211E01" w:rsidRDefault="003F39AE" w:rsidP="001B2A36">
            <w:pPr>
              <w:tabs>
                <w:tab w:val="decimal" w:pos="278"/>
              </w:tabs>
              <w:jc w:val="center"/>
              <w:rPr>
                <w:rFonts w:eastAsia="Times New Roman"/>
                <w:b/>
                <w:color w:val="000000"/>
                <w:sz w:val="20"/>
                <w:szCs w:val="20"/>
              </w:rPr>
            </w:pPr>
            <w:r w:rsidRPr="00211E01">
              <w:rPr>
                <w:rFonts w:eastAsia="Times New Roman"/>
                <w:b/>
                <w:color w:val="000000"/>
                <w:sz w:val="20"/>
                <w:szCs w:val="20"/>
              </w:rPr>
              <w:t>8.</w:t>
            </w:r>
            <w:r w:rsidR="00D0065F" w:rsidRPr="00211E01">
              <w:rPr>
                <w:rFonts w:eastAsia="Times New Roman"/>
                <w:b/>
                <w:color w:val="000000"/>
                <w:sz w:val="20"/>
                <w:szCs w:val="20"/>
              </w:rPr>
              <w:t>7</w:t>
            </w:r>
            <w:r w:rsidRPr="00211E01">
              <w:rPr>
                <w:rFonts w:eastAsia="Times New Roman"/>
                <w:b/>
                <w:color w:val="000000"/>
                <w:sz w:val="20"/>
                <w:szCs w:val="20"/>
              </w:rPr>
              <w:t>%</w:t>
            </w:r>
          </w:p>
        </w:tc>
      </w:tr>
      <w:tr w:rsidR="00280589" w:rsidRPr="00211E01" w:rsidTr="008E07A2">
        <w:trPr>
          <w:trHeight w:val="20"/>
          <w:jc w:val="center"/>
        </w:trPr>
        <w:tc>
          <w:tcPr>
            <w:tcW w:w="2157" w:type="dxa"/>
            <w:gridSpan w:val="2"/>
            <w:tcBorders>
              <w:top w:val="double" w:sz="6" w:space="0" w:color="auto"/>
              <w:left w:val="double" w:sz="6" w:space="0" w:color="auto"/>
              <w:bottom w:val="double" w:sz="6" w:space="0" w:color="auto"/>
              <w:right w:val="double" w:sz="6" w:space="0" w:color="000000"/>
            </w:tcBorders>
            <w:shd w:val="clear" w:color="auto" w:fill="auto"/>
            <w:noWrap/>
            <w:vAlign w:val="center"/>
          </w:tcPr>
          <w:p w:rsidR="00280589" w:rsidRPr="00211E01" w:rsidRDefault="00280589" w:rsidP="00226CA2">
            <w:pPr>
              <w:jc w:val="left"/>
              <w:rPr>
                <w:rFonts w:eastAsia="Times New Roman"/>
                <w:b/>
                <w:bCs/>
                <w:color w:val="000000"/>
                <w:sz w:val="19"/>
                <w:szCs w:val="19"/>
              </w:rPr>
            </w:pPr>
            <w:r w:rsidRPr="00211E01">
              <w:rPr>
                <w:rFonts w:eastAsia="Times New Roman"/>
                <w:b/>
                <w:bCs/>
                <w:color w:val="000000"/>
                <w:sz w:val="19"/>
                <w:szCs w:val="19"/>
              </w:rPr>
              <w:t>Mean Time (mins)</w:t>
            </w:r>
          </w:p>
        </w:tc>
        <w:tc>
          <w:tcPr>
            <w:tcW w:w="8171" w:type="dxa"/>
            <w:gridSpan w:val="5"/>
            <w:tcBorders>
              <w:top w:val="double" w:sz="6" w:space="0" w:color="auto"/>
              <w:left w:val="nil"/>
              <w:bottom w:val="double" w:sz="6" w:space="0" w:color="auto"/>
              <w:right w:val="double" w:sz="6" w:space="0" w:color="000000"/>
            </w:tcBorders>
            <w:shd w:val="clear" w:color="auto" w:fill="auto"/>
            <w:noWrap/>
            <w:vAlign w:val="center"/>
          </w:tcPr>
          <w:p w:rsidR="00280589" w:rsidRPr="00211E01" w:rsidRDefault="00280589" w:rsidP="00226CA2">
            <w:pPr>
              <w:jc w:val="center"/>
              <w:rPr>
                <w:rFonts w:eastAsia="Times New Roman"/>
                <w:color w:val="000000"/>
                <w:sz w:val="20"/>
                <w:szCs w:val="20"/>
              </w:rPr>
            </w:pPr>
            <w:r w:rsidRPr="00211E01">
              <w:rPr>
                <w:rFonts w:eastAsia="Times New Roman"/>
                <w:color w:val="000000"/>
                <w:sz w:val="20"/>
                <w:szCs w:val="20"/>
              </w:rPr>
              <w:t>72.4</w:t>
            </w:r>
          </w:p>
        </w:tc>
      </w:tr>
      <w:tr w:rsidR="00280589" w:rsidRPr="00211E01" w:rsidTr="008E07A2">
        <w:trPr>
          <w:trHeight w:val="20"/>
          <w:jc w:val="center"/>
        </w:trPr>
        <w:tc>
          <w:tcPr>
            <w:tcW w:w="2157" w:type="dxa"/>
            <w:gridSpan w:val="2"/>
            <w:tcBorders>
              <w:top w:val="nil"/>
              <w:left w:val="double" w:sz="6" w:space="0" w:color="auto"/>
              <w:bottom w:val="double" w:sz="6" w:space="0" w:color="auto"/>
              <w:right w:val="double" w:sz="6" w:space="0" w:color="000000"/>
            </w:tcBorders>
            <w:shd w:val="clear" w:color="auto" w:fill="auto"/>
            <w:noWrap/>
            <w:vAlign w:val="center"/>
          </w:tcPr>
          <w:p w:rsidR="00280589" w:rsidRPr="00211E01" w:rsidRDefault="00280589" w:rsidP="00226CA2">
            <w:pPr>
              <w:jc w:val="left"/>
              <w:rPr>
                <w:rFonts w:eastAsia="Times New Roman"/>
                <w:b/>
                <w:bCs/>
                <w:color w:val="000000"/>
                <w:sz w:val="19"/>
                <w:szCs w:val="19"/>
              </w:rPr>
            </w:pPr>
            <w:r w:rsidRPr="00211E01">
              <w:rPr>
                <w:rFonts w:eastAsia="Times New Roman"/>
                <w:b/>
                <w:bCs/>
                <w:color w:val="000000"/>
                <w:sz w:val="19"/>
                <w:szCs w:val="19"/>
              </w:rPr>
              <w:t>Std. dev of Time</w:t>
            </w:r>
          </w:p>
        </w:tc>
        <w:tc>
          <w:tcPr>
            <w:tcW w:w="8171" w:type="dxa"/>
            <w:gridSpan w:val="5"/>
            <w:tcBorders>
              <w:top w:val="double" w:sz="6" w:space="0" w:color="auto"/>
              <w:left w:val="nil"/>
              <w:bottom w:val="double" w:sz="6" w:space="0" w:color="auto"/>
              <w:right w:val="double" w:sz="6" w:space="0" w:color="000000"/>
            </w:tcBorders>
            <w:shd w:val="clear" w:color="auto" w:fill="auto"/>
            <w:noWrap/>
            <w:vAlign w:val="center"/>
          </w:tcPr>
          <w:p w:rsidR="00280589" w:rsidRPr="00211E01" w:rsidRDefault="00280589" w:rsidP="00226CA2">
            <w:pPr>
              <w:jc w:val="center"/>
              <w:rPr>
                <w:rFonts w:eastAsia="Times New Roman"/>
                <w:color w:val="000000"/>
                <w:sz w:val="20"/>
                <w:szCs w:val="20"/>
              </w:rPr>
            </w:pPr>
            <w:r w:rsidRPr="00211E01">
              <w:rPr>
                <w:rFonts w:eastAsia="Times New Roman"/>
                <w:color w:val="000000"/>
                <w:sz w:val="20"/>
                <w:szCs w:val="20"/>
              </w:rPr>
              <w:t>19.6</w:t>
            </w:r>
          </w:p>
        </w:tc>
      </w:tr>
      <w:tr w:rsidR="00280589" w:rsidRPr="00211E01" w:rsidTr="008E07A2">
        <w:trPr>
          <w:trHeight w:val="20"/>
          <w:jc w:val="center"/>
        </w:trPr>
        <w:tc>
          <w:tcPr>
            <w:tcW w:w="2157" w:type="dxa"/>
            <w:gridSpan w:val="2"/>
            <w:tcBorders>
              <w:top w:val="double" w:sz="6" w:space="0" w:color="auto"/>
              <w:left w:val="double" w:sz="6" w:space="0" w:color="auto"/>
              <w:bottom w:val="double" w:sz="6" w:space="0" w:color="auto"/>
              <w:right w:val="double" w:sz="6" w:space="0" w:color="000000"/>
            </w:tcBorders>
            <w:shd w:val="clear" w:color="auto" w:fill="auto"/>
            <w:vAlign w:val="center"/>
          </w:tcPr>
          <w:p w:rsidR="00280589" w:rsidRPr="00211E01" w:rsidRDefault="00280589" w:rsidP="00226CA2">
            <w:pPr>
              <w:jc w:val="left"/>
              <w:rPr>
                <w:rFonts w:eastAsia="Times New Roman"/>
                <w:b/>
                <w:bCs/>
                <w:color w:val="000000"/>
                <w:sz w:val="19"/>
                <w:szCs w:val="19"/>
              </w:rPr>
            </w:pPr>
            <w:r w:rsidRPr="00211E01">
              <w:rPr>
                <w:rFonts w:eastAsia="Times New Roman"/>
                <w:b/>
                <w:bCs/>
                <w:color w:val="000000"/>
                <w:sz w:val="19"/>
                <w:szCs w:val="19"/>
              </w:rPr>
              <w:t>% of Runs Converged</w:t>
            </w:r>
          </w:p>
        </w:tc>
        <w:tc>
          <w:tcPr>
            <w:tcW w:w="8171" w:type="dxa"/>
            <w:gridSpan w:val="5"/>
            <w:tcBorders>
              <w:top w:val="double" w:sz="6" w:space="0" w:color="auto"/>
              <w:left w:val="nil"/>
              <w:bottom w:val="double" w:sz="6" w:space="0" w:color="auto"/>
              <w:right w:val="double" w:sz="6" w:space="0" w:color="000000"/>
            </w:tcBorders>
            <w:shd w:val="clear" w:color="auto" w:fill="auto"/>
            <w:noWrap/>
            <w:vAlign w:val="center"/>
          </w:tcPr>
          <w:p w:rsidR="00280589" w:rsidRPr="00211E01" w:rsidRDefault="00280589" w:rsidP="00226CA2">
            <w:pPr>
              <w:jc w:val="center"/>
              <w:rPr>
                <w:rFonts w:eastAsia="Times New Roman"/>
                <w:color w:val="000000"/>
                <w:sz w:val="20"/>
                <w:szCs w:val="20"/>
              </w:rPr>
            </w:pPr>
            <w:r w:rsidRPr="00211E01">
              <w:rPr>
                <w:rFonts w:eastAsia="Times New Roman"/>
                <w:color w:val="000000"/>
                <w:sz w:val="20"/>
                <w:szCs w:val="20"/>
              </w:rPr>
              <w:t>100%</w:t>
            </w:r>
          </w:p>
        </w:tc>
      </w:tr>
    </w:tbl>
    <w:p w:rsidR="00211E01" w:rsidRPr="008E07A2" w:rsidRDefault="00211E01" w:rsidP="008E07A2">
      <w:pPr>
        <w:jc w:val="left"/>
        <w:rPr>
          <w:sz w:val="16"/>
          <w:szCs w:val="16"/>
        </w:rPr>
        <w:sectPr w:rsidR="00211E01" w:rsidRPr="008E07A2" w:rsidSect="008E07A2">
          <w:pgSz w:w="12240" w:h="15840"/>
          <w:pgMar w:top="1152" w:right="1440" w:bottom="1152" w:left="1440" w:header="720" w:footer="720" w:gutter="0"/>
          <w:cols w:space="720"/>
          <w:docGrid w:linePitch="360"/>
        </w:sectPr>
      </w:pPr>
    </w:p>
    <w:p w:rsidR="003B44E1" w:rsidRPr="008E478E" w:rsidRDefault="00884D45" w:rsidP="008E478E">
      <w:pPr>
        <w:spacing w:after="120"/>
        <w:ind w:left="-180" w:right="-180"/>
        <w:jc w:val="center"/>
        <w:rPr>
          <w:b/>
          <w:sz w:val="22"/>
        </w:rPr>
      </w:pPr>
      <w:proofErr w:type="gramStart"/>
      <w:r>
        <w:rPr>
          <w:b/>
          <w:sz w:val="22"/>
        </w:rPr>
        <w:lastRenderedPageBreak/>
        <w:t>Table 2a.</w:t>
      </w:r>
      <w:proofErr w:type="gramEnd"/>
      <w:r w:rsidR="003B44E1" w:rsidRPr="008E478E">
        <w:rPr>
          <w:b/>
          <w:sz w:val="22"/>
        </w:rPr>
        <w:t xml:space="preserve"> Effects of ignoring</w:t>
      </w:r>
      <w:r w:rsidR="00DA7DE9" w:rsidRPr="008E478E">
        <w:rPr>
          <w:sz w:val="22"/>
        </w:rPr>
        <w:t xml:space="preserve"> </w:t>
      </w:r>
      <w:r w:rsidR="008F3FED" w:rsidRPr="008E478E">
        <w:rPr>
          <w:b/>
          <w:sz w:val="22"/>
        </w:rPr>
        <w:t xml:space="preserve">continuous heterogeneity </w:t>
      </w:r>
      <w:r w:rsidR="00DA7DE9" w:rsidRPr="008E478E">
        <w:rPr>
          <w:b/>
          <w:sz w:val="22"/>
        </w:rPr>
        <w:t xml:space="preserve">and non-normality in the </w:t>
      </w:r>
      <w:r w:rsidR="00B51B8B" w:rsidRPr="008E478E">
        <w:rPr>
          <w:b/>
          <w:sz w:val="22"/>
        </w:rPr>
        <w:t>two-</w:t>
      </w:r>
      <w:r w:rsidR="00DA7DE9" w:rsidRPr="008E478E">
        <w:rPr>
          <w:b/>
          <w:sz w:val="22"/>
        </w:rPr>
        <w:t xml:space="preserve">segment model </w:t>
      </w:r>
    </w:p>
    <w:tbl>
      <w:tblPr>
        <w:tblW w:w="10265" w:type="dxa"/>
        <w:jc w:val="center"/>
        <w:tblLayout w:type="fixed"/>
        <w:tblLook w:val="04A0" w:firstRow="1" w:lastRow="0" w:firstColumn="1" w:lastColumn="0" w:noHBand="0" w:noVBand="1"/>
      </w:tblPr>
      <w:tblGrid>
        <w:gridCol w:w="1263"/>
        <w:gridCol w:w="1352"/>
        <w:gridCol w:w="1620"/>
        <w:gridCol w:w="2070"/>
        <w:gridCol w:w="1710"/>
        <w:gridCol w:w="2250"/>
      </w:tblGrid>
      <w:tr w:rsidR="00226CA2" w:rsidRPr="008E07A2" w:rsidTr="00E00692">
        <w:trPr>
          <w:cantSplit/>
          <w:trHeight w:val="20"/>
          <w:tblHeader/>
          <w:jc w:val="center"/>
        </w:trPr>
        <w:tc>
          <w:tcPr>
            <w:tcW w:w="1263" w:type="dxa"/>
            <w:vMerge w:val="restart"/>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226CA2" w:rsidRPr="008E07A2" w:rsidRDefault="008E07A2" w:rsidP="008E07A2">
            <w:pPr>
              <w:jc w:val="center"/>
              <w:rPr>
                <w:rFonts w:eastAsia="Times New Roman"/>
                <w:b/>
                <w:bCs/>
                <w:color w:val="000000"/>
                <w:sz w:val="20"/>
                <w:szCs w:val="20"/>
              </w:rPr>
            </w:pPr>
            <w:r>
              <w:rPr>
                <w:rFonts w:eastAsia="Times New Roman"/>
                <w:b/>
                <w:bCs/>
                <w:color w:val="000000"/>
                <w:sz w:val="20"/>
                <w:szCs w:val="20"/>
              </w:rPr>
              <w:t>Parameter</w:t>
            </w:r>
          </w:p>
        </w:tc>
        <w:tc>
          <w:tcPr>
            <w:tcW w:w="1352" w:type="dxa"/>
            <w:vMerge w:val="restart"/>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226CA2" w:rsidRPr="008E07A2" w:rsidRDefault="00226CA2" w:rsidP="00226CA2">
            <w:pPr>
              <w:jc w:val="center"/>
              <w:rPr>
                <w:rFonts w:eastAsia="Times New Roman"/>
                <w:b/>
                <w:bCs/>
                <w:color w:val="000000"/>
                <w:sz w:val="20"/>
                <w:szCs w:val="20"/>
              </w:rPr>
            </w:pPr>
            <w:r w:rsidRPr="008E07A2">
              <w:rPr>
                <w:rFonts w:eastAsia="Times New Roman"/>
                <w:b/>
                <w:bCs/>
                <w:color w:val="000000"/>
                <w:sz w:val="20"/>
                <w:szCs w:val="20"/>
              </w:rPr>
              <w:t>True Value</w:t>
            </w:r>
          </w:p>
        </w:tc>
        <w:tc>
          <w:tcPr>
            <w:tcW w:w="3690" w:type="dxa"/>
            <w:gridSpan w:val="2"/>
            <w:tcBorders>
              <w:top w:val="double" w:sz="6" w:space="0" w:color="auto"/>
              <w:left w:val="nil"/>
              <w:bottom w:val="double" w:sz="6" w:space="0" w:color="auto"/>
              <w:right w:val="double" w:sz="6" w:space="0" w:color="000000"/>
            </w:tcBorders>
            <w:shd w:val="clear" w:color="auto" w:fill="auto"/>
            <w:noWrap/>
            <w:tcMar>
              <w:left w:w="58" w:type="dxa"/>
              <w:right w:w="58" w:type="dxa"/>
            </w:tcMar>
            <w:vAlign w:val="center"/>
          </w:tcPr>
          <w:p w:rsidR="00226CA2" w:rsidRPr="008E07A2" w:rsidRDefault="00226CA2" w:rsidP="00226CA2">
            <w:pPr>
              <w:jc w:val="center"/>
              <w:rPr>
                <w:rFonts w:eastAsia="Times New Roman"/>
                <w:b/>
                <w:bCs/>
                <w:color w:val="000000"/>
                <w:sz w:val="20"/>
                <w:szCs w:val="20"/>
              </w:rPr>
            </w:pPr>
            <w:r w:rsidRPr="008E07A2">
              <w:rPr>
                <w:rFonts w:eastAsia="Times New Roman"/>
                <w:b/>
                <w:bCs/>
                <w:color w:val="000000"/>
                <w:sz w:val="20"/>
                <w:szCs w:val="20"/>
              </w:rPr>
              <w:t>Latent Class MDCP (LC-MDCP) Model</w:t>
            </w:r>
          </w:p>
        </w:tc>
        <w:tc>
          <w:tcPr>
            <w:tcW w:w="3960" w:type="dxa"/>
            <w:gridSpan w:val="2"/>
            <w:tcBorders>
              <w:top w:val="double" w:sz="6" w:space="0" w:color="auto"/>
              <w:left w:val="nil"/>
              <w:bottom w:val="double" w:sz="6" w:space="0" w:color="auto"/>
              <w:right w:val="double" w:sz="6" w:space="0" w:color="000000"/>
            </w:tcBorders>
            <w:shd w:val="clear" w:color="auto" w:fill="auto"/>
            <w:noWrap/>
            <w:tcMar>
              <w:left w:w="58" w:type="dxa"/>
              <w:right w:w="58" w:type="dxa"/>
            </w:tcMar>
            <w:vAlign w:val="center"/>
          </w:tcPr>
          <w:p w:rsidR="00226CA2" w:rsidRPr="008E07A2" w:rsidRDefault="009E7FCC" w:rsidP="00226CA2">
            <w:pPr>
              <w:jc w:val="center"/>
              <w:rPr>
                <w:rFonts w:eastAsia="Times New Roman"/>
                <w:b/>
                <w:bCs/>
                <w:color w:val="000000"/>
                <w:sz w:val="20"/>
                <w:szCs w:val="20"/>
              </w:rPr>
            </w:pPr>
            <w:r w:rsidRPr="008E07A2">
              <w:rPr>
                <w:rFonts w:eastAsia="Times New Roman"/>
                <w:b/>
                <w:bCs/>
                <w:color w:val="000000"/>
                <w:sz w:val="20"/>
                <w:szCs w:val="20"/>
              </w:rPr>
              <w:t xml:space="preserve">Random </w:t>
            </w:r>
            <w:proofErr w:type="spellStart"/>
            <w:r w:rsidRPr="008E07A2">
              <w:rPr>
                <w:rFonts w:eastAsia="Times New Roman"/>
                <w:b/>
                <w:bCs/>
                <w:color w:val="000000"/>
                <w:sz w:val="20"/>
                <w:szCs w:val="20"/>
              </w:rPr>
              <w:t>Coeffs</w:t>
            </w:r>
            <w:proofErr w:type="spellEnd"/>
            <w:r w:rsidRPr="008E07A2">
              <w:rPr>
                <w:rFonts w:eastAsia="Times New Roman"/>
                <w:b/>
                <w:bCs/>
                <w:color w:val="000000"/>
                <w:sz w:val="20"/>
                <w:szCs w:val="20"/>
              </w:rPr>
              <w:t>.</w:t>
            </w:r>
            <w:r w:rsidR="00226CA2" w:rsidRPr="008E07A2">
              <w:rPr>
                <w:rFonts w:eastAsia="Times New Roman"/>
                <w:b/>
                <w:bCs/>
                <w:color w:val="000000"/>
                <w:sz w:val="20"/>
                <w:szCs w:val="20"/>
              </w:rPr>
              <w:t xml:space="preserve"> MDCP</w:t>
            </w:r>
            <w:r w:rsidRPr="008E07A2">
              <w:rPr>
                <w:rFonts w:eastAsia="Times New Roman"/>
                <w:b/>
                <w:bCs/>
                <w:color w:val="000000"/>
                <w:sz w:val="20"/>
                <w:szCs w:val="20"/>
              </w:rPr>
              <w:t xml:space="preserve"> (RC-MDCP)</w:t>
            </w:r>
            <w:r w:rsidR="00226CA2" w:rsidRPr="008E07A2">
              <w:rPr>
                <w:rFonts w:eastAsia="Times New Roman"/>
                <w:b/>
                <w:bCs/>
                <w:color w:val="000000"/>
                <w:sz w:val="20"/>
                <w:szCs w:val="20"/>
              </w:rPr>
              <w:t xml:space="preserve"> Model</w:t>
            </w:r>
          </w:p>
        </w:tc>
      </w:tr>
      <w:tr w:rsidR="00226CA2" w:rsidRPr="008E07A2" w:rsidTr="00E00692">
        <w:trPr>
          <w:cantSplit/>
          <w:trHeight w:val="20"/>
          <w:tblHeader/>
          <w:jc w:val="center"/>
        </w:trPr>
        <w:tc>
          <w:tcPr>
            <w:tcW w:w="1263" w:type="dxa"/>
            <w:vMerge/>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226CA2" w:rsidRPr="008E07A2" w:rsidRDefault="00226CA2" w:rsidP="00226CA2">
            <w:pPr>
              <w:rPr>
                <w:rFonts w:eastAsia="Times New Roman"/>
                <w:b/>
                <w:bCs/>
                <w:color w:val="000000"/>
                <w:sz w:val="20"/>
                <w:szCs w:val="20"/>
              </w:rPr>
            </w:pPr>
          </w:p>
        </w:tc>
        <w:tc>
          <w:tcPr>
            <w:tcW w:w="1352" w:type="dxa"/>
            <w:vMerge/>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226CA2" w:rsidRPr="008E07A2" w:rsidRDefault="00226CA2" w:rsidP="00226CA2">
            <w:pPr>
              <w:rPr>
                <w:rFonts w:eastAsia="Times New Roman"/>
                <w:b/>
                <w:bCs/>
                <w:color w:val="000000"/>
                <w:sz w:val="20"/>
                <w:szCs w:val="20"/>
              </w:rPr>
            </w:pPr>
          </w:p>
        </w:tc>
        <w:tc>
          <w:tcPr>
            <w:tcW w:w="1620" w:type="dxa"/>
            <w:tcBorders>
              <w:top w:val="nil"/>
              <w:left w:val="nil"/>
              <w:bottom w:val="double" w:sz="6" w:space="0" w:color="auto"/>
              <w:right w:val="single" w:sz="4" w:space="0" w:color="auto"/>
            </w:tcBorders>
            <w:shd w:val="clear" w:color="auto" w:fill="auto"/>
            <w:tcMar>
              <w:left w:w="58" w:type="dxa"/>
              <w:right w:w="58" w:type="dxa"/>
            </w:tcMar>
            <w:vAlign w:val="center"/>
          </w:tcPr>
          <w:p w:rsidR="00226CA2" w:rsidRPr="008E07A2" w:rsidRDefault="00226CA2" w:rsidP="00226CA2">
            <w:pPr>
              <w:jc w:val="center"/>
              <w:rPr>
                <w:rFonts w:eastAsia="Times New Roman"/>
                <w:b/>
                <w:bCs/>
                <w:color w:val="000000"/>
                <w:sz w:val="20"/>
                <w:szCs w:val="20"/>
              </w:rPr>
            </w:pPr>
            <w:r w:rsidRPr="008E07A2">
              <w:rPr>
                <w:rFonts w:eastAsia="Times New Roman"/>
                <w:b/>
                <w:bCs/>
                <w:color w:val="000000"/>
                <w:sz w:val="20"/>
                <w:szCs w:val="20"/>
              </w:rPr>
              <w:t>Mean Estimate</w:t>
            </w:r>
          </w:p>
        </w:tc>
        <w:tc>
          <w:tcPr>
            <w:tcW w:w="2070" w:type="dxa"/>
            <w:tcBorders>
              <w:top w:val="nil"/>
              <w:left w:val="nil"/>
              <w:bottom w:val="double" w:sz="6" w:space="0" w:color="auto"/>
              <w:right w:val="double" w:sz="6" w:space="0" w:color="auto"/>
            </w:tcBorders>
            <w:shd w:val="clear" w:color="auto" w:fill="auto"/>
            <w:tcMar>
              <w:left w:w="58" w:type="dxa"/>
              <w:right w:w="58" w:type="dxa"/>
            </w:tcMar>
            <w:vAlign w:val="center"/>
          </w:tcPr>
          <w:p w:rsidR="00226CA2" w:rsidRPr="008E07A2" w:rsidRDefault="00226CA2" w:rsidP="00226CA2">
            <w:pPr>
              <w:jc w:val="center"/>
              <w:rPr>
                <w:rFonts w:eastAsia="Times New Roman"/>
                <w:b/>
                <w:bCs/>
                <w:color w:val="000000"/>
                <w:sz w:val="20"/>
                <w:szCs w:val="20"/>
              </w:rPr>
            </w:pPr>
            <w:r w:rsidRPr="008E07A2">
              <w:rPr>
                <w:rFonts w:eastAsia="Times New Roman"/>
                <w:b/>
                <w:bCs/>
                <w:color w:val="000000"/>
                <w:sz w:val="20"/>
                <w:szCs w:val="20"/>
              </w:rPr>
              <w:t>Absolute Percentage Bias</w:t>
            </w:r>
            <w:r w:rsidR="009370C2" w:rsidRPr="008E07A2">
              <w:rPr>
                <w:rFonts w:eastAsia="Times New Roman"/>
                <w:b/>
                <w:bCs/>
                <w:color w:val="000000"/>
                <w:sz w:val="20"/>
                <w:szCs w:val="20"/>
              </w:rPr>
              <w:t xml:space="preserve"> (APB)</w:t>
            </w:r>
          </w:p>
        </w:tc>
        <w:tc>
          <w:tcPr>
            <w:tcW w:w="1710" w:type="dxa"/>
            <w:tcBorders>
              <w:top w:val="nil"/>
              <w:left w:val="nil"/>
              <w:bottom w:val="double" w:sz="6" w:space="0" w:color="auto"/>
              <w:right w:val="single" w:sz="4" w:space="0" w:color="auto"/>
            </w:tcBorders>
            <w:shd w:val="clear" w:color="auto" w:fill="auto"/>
            <w:tcMar>
              <w:left w:w="58" w:type="dxa"/>
              <w:right w:w="58" w:type="dxa"/>
            </w:tcMar>
            <w:vAlign w:val="center"/>
          </w:tcPr>
          <w:p w:rsidR="00226CA2" w:rsidRPr="008E07A2" w:rsidRDefault="00226CA2" w:rsidP="00226CA2">
            <w:pPr>
              <w:jc w:val="center"/>
              <w:rPr>
                <w:rFonts w:eastAsia="Times New Roman"/>
                <w:b/>
                <w:bCs/>
                <w:color w:val="000000"/>
                <w:sz w:val="20"/>
                <w:szCs w:val="20"/>
              </w:rPr>
            </w:pPr>
            <w:r w:rsidRPr="008E07A2">
              <w:rPr>
                <w:rFonts w:eastAsia="Times New Roman"/>
                <w:b/>
                <w:bCs/>
                <w:color w:val="000000"/>
                <w:sz w:val="20"/>
                <w:szCs w:val="20"/>
              </w:rPr>
              <w:t>Mean Estimate</w:t>
            </w:r>
          </w:p>
        </w:tc>
        <w:tc>
          <w:tcPr>
            <w:tcW w:w="2250" w:type="dxa"/>
            <w:tcBorders>
              <w:top w:val="nil"/>
              <w:left w:val="nil"/>
              <w:bottom w:val="double" w:sz="6" w:space="0" w:color="auto"/>
              <w:right w:val="double" w:sz="6" w:space="0" w:color="auto"/>
            </w:tcBorders>
            <w:shd w:val="clear" w:color="auto" w:fill="auto"/>
            <w:tcMar>
              <w:left w:w="58" w:type="dxa"/>
              <w:right w:w="58" w:type="dxa"/>
            </w:tcMar>
            <w:vAlign w:val="center"/>
          </w:tcPr>
          <w:p w:rsidR="00226CA2" w:rsidRPr="008E07A2" w:rsidRDefault="00226CA2" w:rsidP="00226CA2">
            <w:pPr>
              <w:jc w:val="center"/>
              <w:rPr>
                <w:rFonts w:eastAsia="Times New Roman"/>
                <w:b/>
                <w:bCs/>
                <w:color w:val="000000"/>
                <w:sz w:val="20"/>
                <w:szCs w:val="20"/>
              </w:rPr>
            </w:pPr>
            <w:r w:rsidRPr="008E07A2">
              <w:rPr>
                <w:rFonts w:eastAsia="Times New Roman"/>
                <w:b/>
                <w:bCs/>
                <w:color w:val="000000"/>
                <w:sz w:val="20"/>
                <w:szCs w:val="20"/>
              </w:rPr>
              <w:t>Absolute Percentage Bias</w:t>
            </w:r>
            <w:r w:rsidR="009370C2" w:rsidRPr="008E07A2">
              <w:rPr>
                <w:rFonts w:eastAsia="Times New Roman"/>
                <w:b/>
                <w:bCs/>
                <w:color w:val="000000"/>
                <w:sz w:val="20"/>
                <w:szCs w:val="20"/>
              </w:rPr>
              <w:t xml:space="preserve"> (APB)</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10"/>
                <w:sz w:val="20"/>
                <w:szCs w:val="20"/>
              </w:rPr>
              <w:object w:dxaOrig="300" w:dyaOrig="340" w14:anchorId="370EB6A5">
                <v:shape id="_x0000_i1485" type="#_x0000_t75" style="width:12pt;height:14.25pt" o:ole="" o:preferrelative="f">
                  <v:imagedata r:id="rId778" o:title=""/>
                </v:shape>
                <o:OLEObject Type="Embed" ProgID="Equation.3" ShapeID="_x0000_i1485" DrawAspect="Content" ObjectID="_1519137334" r:id="rId890"/>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1.000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1.203</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color w:val="000000"/>
                <w:sz w:val="20"/>
                <w:szCs w:val="20"/>
              </w:rPr>
            </w:pPr>
            <w:r w:rsidRPr="008E07A2">
              <w:rPr>
                <w:color w:val="000000"/>
                <w:sz w:val="20"/>
                <w:szCs w:val="20"/>
              </w:rPr>
              <w:t>20.3%</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1.349</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34.9%</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10"/>
                <w:sz w:val="20"/>
                <w:szCs w:val="20"/>
              </w:rPr>
              <w:object w:dxaOrig="320" w:dyaOrig="340" w14:anchorId="6C0F9D04">
                <v:shape id="_x0000_i1486" type="#_x0000_t75" style="width:12.75pt;height:14.25pt" o:ole="" o:preferrelative="f">
                  <v:imagedata r:id="rId780" o:title=""/>
                </v:shape>
                <o:OLEObject Type="Embed" ProgID="Equation.3" ShapeID="_x0000_i1486" DrawAspect="Content" ObjectID="_1519137335" r:id="rId891"/>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2.000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1.543</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color w:val="000000"/>
                <w:sz w:val="20"/>
                <w:szCs w:val="20"/>
              </w:rPr>
            </w:pPr>
            <w:r w:rsidRPr="008E07A2">
              <w:rPr>
                <w:color w:val="000000"/>
                <w:sz w:val="20"/>
                <w:szCs w:val="20"/>
              </w:rPr>
              <w:t>22.9%</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1.690</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15.5%</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12"/>
                <w:sz w:val="20"/>
                <w:szCs w:val="20"/>
              </w:rPr>
              <w:object w:dxaOrig="300" w:dyaOrig="360" w14:anchorId="74542BA8">
                <v:shape id="_x0000_i1487" type="#_x0000_t75" style="width:12pt;height:15pt" o:ole="" o:preferrelative="f">
                  <v:imagedata r:id="rId782" o:title=""/>
                </v:shape>
                <o:OLEObject Type="Embed" ProgID="Equation.3" ShapeID="_x0000_i1487" DrawAspect="Content" ObjectID="_1519137336" r:id="rId892"/>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0.600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0.890</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color w:val="000000"/>
                <w:sz w:val="20"/>
                <w:szCs w:val="20"/>
              </w:rPr>
            </w:pPr>
            <w:r w:rsidRPr="008E07A2">
              <w:rPr>
                <w:color w:val="000000"/>
                <w:sz w:val="20"/>
                <w:szCs w:val="20"/>
              </w:rPr>
              <w:t>48.3%</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0.337</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43.8%</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10"/>
                <w:sz w:val="20"/>
                <w:szCs w:val="20"/>
              </w:rPr>
              <w:object w:dxaOrig="320" w:dyaOrig="340" w14:anchorId="309F552B">
                <v:shape id="_x0000_i1488" type="#_x0000_t75" style="width:12.75pt;height:14.25pt" o:ole="" o:preferrelative="f">
                  <v:imagedata r:id="rId784" o:title=""/>
                </v:shape>
                <o:OLEObject Type="Embed" ProgID="Equation.3" ShapeID="_x0000_i1488" DrawAspect="Content" ObjectID="_1519137337" r:id="rId893"/>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2.000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1.293</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sz w:val="20"/>
                <w:szCs w:val="20"/>
              </w:rPr>
            </w:pPr>
            <w:r w:rsidRPr="008E07A2">
              <w:rPr>
                <w:sz w:val="20"/>
                <w:szCs w:val="20"/>
              </w:rPr>
              <w:t>35.4%</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1.349</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32.6%</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10"/>
                <w:sz w:val="20"/>
                <w:szCs w:val="20"/>
              </w:rPr>
              <w:object w:dxaOrig="320" w:dyaOrig="340" w14:anchorId="085F9991">
                <v:shape id="_x0000_i1489" type="#_x0000_t75" style="width:12.75pt;height:14.25pt" o:ole="" o:preferrelative="f">
                  <v:imagedata r:id="rId786" o:title=""/>
                </v:shape>
                <o:OLEObject Type="Embed" ProgID="Equation.3" ShapeID="_x0000_i1489" DrawAspect="Content" ObjectID="_1519137338" r:id="rId894"/>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1.500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1.402</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sz w:val="20"/>
                <w:szCs w:val="20"/>
              </w:rPr>
            </w:pPr>
            <w:r w:rsidRPr="008E07A2">
              <w:rPr>
                <w:sz w:val="20"/>
                <w:szCs w:val="20"/>
              </w:rPr>
              <w:t>6.5%</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1.690</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12.7%</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12"/>
                <w:sz w:val="20"/>
                <w:szCs w:val="20"/>
              </w:rPr>
              <w:object w:dxaOrig="320" w:dyaOrig="360" w14:anchorId="63E95E70">
                <v:shape id="_x0000_i1490" type="#_x0000_t75" style="width:12.75pt;height:15pt" o:ole="" o:preferrelative="f">
                  <v:imagedata r:id="rId788" o:title=""/>
                </v:shape>
                <o:OLEObject Type="Embed" ProgID="Equation.3" ShapeID="_x0000_i1490" DrawAspect="Content" ObjectID="_1519137339" r:id="rId895"/>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0.200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0.289</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sz w:val="20"/>
                <w:szCs w:val="20"/>
              </w:rPr>
            </w:pPr>
            <w:r w:rsidRPr="008E07A2">
              <w:rPr>
                <w:sz w:val="20"/>
                <w:szCs w:val="20"/>
              </w:rPr>
              <w:t>44.5%</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0.337</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68.7%</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6"/>
                <w:sz w:val="20"/>
                <w:szCs w:val="20"/>
              </w:rPr>
              <w:object w:dxaOrig="220" w:dyaOrig="340" w14:anchorId="00716146">
                <v:shape id="_x0000_i1491" type="#_x0000_t75" style="width:9.75pt;height:15pt" o:ole="" o:preferrelative="f">
                  <v:imagedata r:id="rId790" o:title=""/>
                </v:shape>
                <o:OLEObject Type="Embed" ProgID="Equation.3" ShapeID="_x0000_i1491" DrawAspect="Content" ObjectID="_1519137340" r:id="rId896"/>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0.500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0.654</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sz w:val="20"/>
                <w:szCs w:val="20"/>
              </w:rPr>
            </w:pPr>
            <w:r w:rsidRPr="008E07A2">
              <w:rPr>
                <w:sz w:val="20"/>
                <w:szCs w:val="20"/>
              </w:rPr>
              <w:t>30.8%</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0.427</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0.4%</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i/>
                <w:color w:val="000000"/>
                <w:sz w:val="20"/>
                <w:szCs w:val="20"/>
              </w:rPr>
            </w:pPr>
            <w:r w:rsidRPr="008E07A2">
              <w:rPr>
                <w:position w:val="-14"/>
                <w:sz w:val="20"/>
                <w:szCs w:val="20"/>
              </w:rPr>
              <w:object w:dxaOrig="420" w:dyaOrig="380" w14:anchorId="4FEE13FF">
                <v:shape id="_x0000_i1492" type="#_x0000_t75" style="width:17.25pt;height:15.75pt" o:ole="" o:preferrelative="f">
                  <v:imagedata r:id="rId792" o:title=""/>
                </v:shape>
                <o:OLEObject Type="Embed" ProgID="Equation.3" ShapeID="_x0000_i1492" DrawAspect="Content" ObjectID="_1519137341" r:id="rId897"/>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0.500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0.592</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color w:val="000000"/>
                <w:sz w:val="20"/>
                <w:szCs w:val="20"/>
              </w:rPr>
            </w:pPr>
            <w:r w:rsidRPr="008E07A2">
              <w:rPr>
                <w:color w:val="000000"/>
                <w:sz w:val="20"/>
                <w:szCs w:val="20"/>
              </w:rPr>
              <w:t>18.4%</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0.376</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24.8%</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i/>
                <w:color w:val="000000"/>
                <w:sz w:val="20"/>
                <w:szCs w:val="20"/>
              </w:rPr>
            </w:pPr>
            <w:r w:rsidRPr="008E07A2">
              <w:rPr>
                <w:position w:val="-14"/>
                <w:sz w:val="20"/>
                <w:szCs w:val="20"/>
              </w:rPr>
              <w:object w:dxaOrig="420" w:dyaOrig="380" w14:anchorId="46BEA569">
                <v:shape id="_x0000_i1493" type="#_x0000_t75" style="width:17.25pt;height:15.75pt" o:ole="" o:preferrelative="f">
                  <v:imagedata r:id="rId794" o:title=""/>
                </v:shape>
                <o:OLEObject Type="Embed" ProgID="Equation.3" ShapeID="_x0000_i1493" DrawAspect="Content" ObjectID="_1519137342" r:id="rId898"/>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AE0315">
            <w:pPr>
              <w:jc w:val="center"/>
              <w:rPr>
                <w:color w:val="000000"/>
                <w:sz w:val="20"/>
                <w:szCs w:val="20"/>
              </w:rPr>
            </w:pPr>
            <w:r w:rsidRPr="008E07A2">
              <w:rPr>
                <w:color w:val="000000"/>
                <w:sz w:val="20"/>
                <w:szCs w:val="20"/>
              </w:rPr>
              <w:t>0.866</w:t>
            </w:r>
          </w:p>
        </w:tc>
        <w:tc>
          <w:tcPr>
            <w:tcW w:w="1620" w:type="dxa"/>
            <w:tcBorders>
              <w:top w:val="nil"/>
              <w:left w:val="nil"/>
              <w:bottom w:val="nil"/>
              <w:right w:val="nil"/>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0.965</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color w:val="000000"/>
                <w:sz w:val="20"/>
                <w:szCs w:val="20"/>
              </w:rPr>
            </w:pPr>
            <w:r w:rsidRPr="008E07A2">
              <w:rPr>
                <w:color w:val="000000"/>
                <w:sz w:val="20"/>
                <w:szCs w:val="20"/>
              </w:rPr>
              <w:t>11.4%</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AE0315">
            <w:pPr>
              <w:jc w:val="center"/>
              <w:rPr>
                <w:color w:val="000000"/>
                <w:sz w:val="20"/>
                <w:szCs w:val="20"/>
              </w:rPr>
            </w:pPr>
            <w:r w:rsidRPr="008E07A2">
              <w:rPr>
                <w:color w:val="000000"/>
                <w:sz w:val="20"/>
                <w:szCs w:val="20"/>
              </w:rPr>
              <w:t>0.572</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34.0%</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i/>
                <w:color w:val="000000"/>
                <w:sz w:val="20"/>
                <w:szCs w:val="20"/>
              </w:rPr>
            </w:pPr>
            <w:r w:rsidRPr="008E07A2">
              <w:rPr>
                <w:position w:val="-14"/>
                <w:sz w:val="20"/>
                <w:szCs w:val="20"/>
              </w:rPr>
              <w:object w:dxaOrig="420" w:dyaOrig="380" w14:anchorId="18250F61">
                <v:shape id="_x0000_i1494" type="#_x0000_t75" style="width:17.25pt;height:15.75pt" o:ole="" o:preferrelative="f">
                  <v:imagedata r:id="rId796" o:title=""/>
                </v:shape>
                <o:OLEObject Type="Embed" ProgID="Equation.3" ShapeID="_x0000_i1494" DrawAspect="Content" ObjectID="_1519137343" r:id="rId899"/>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AE0315">
            <w:pPr>
              <w:jc w:val="center"/>
              <w:rPr>
                <w:color w:val="000000"/>
                <w:sz w:val="20"/>
                <w:szCs w:val="20"/>
              </w:rPr>
            </w:pPr>
            <w:r w:rsidRPr="008E07A2">
              <w:rPr>
                <w:color w:val="000000"/>
                <w:sz w:val="20"/>
                <w:szCs w:val="20"/>
              </w:rPr>
              <w:t>0.700</w:t>
            </w:r>
          </w:p>
        </w:tc>
        <w:tc>
          <w:tcPr>
            <w:tcW w:w="1620" w:type="dxa"/>
            <w:tcBorders>
              <w:top w:val="nil"/>
              <w:left w:val="nil"/>
              <w:bottom w:val="nil"/>
              <w:right w:val="nil"/>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w:t>
            </w:r>
            <w:r w:rsidRPr="008E07A2">
              <w:rPr>
                <w:color w:val="000000"/>
                <w:sz w:val="20"/>
                <w:szCs w:val="20"/>
                <w:vertAlign w:val="superscript"/>
              </w:rPr>
              <w:t>a</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color w:val="000000"/>
                <w:sz w:val="20"/>
                <w:szCs w:val="20"/>
              </w:rPr>
            </w:pPr>
            <w:r w:rsidRPr="008E07A2">
              <w:rPr>
                <w:color w:val="000000"/>
                <w:sz w:val="20"/>
                <w:szCs w:val="20"/>
              </w:rPr>
              <w:t>--</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0B06DF">
            <w:pPr>
              <w:jc w:val="center"/>
              <w:rPr>
                <w:color w:val="000000"/>
                <w:sz w:val="20"/>
                <w:szCs w:val="20"/>
              </w:rPr>
            </w:pPr>
            <w:r w:rsidRPr="008E07A2">
              <w:rPr>
                <w:color w:val="000000"/>
                <w:sz w:val="20"/>
                <w:szCs w:val="20"/>
              </w:rPr>
              <w:t>0.942</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34.6%</w:t>
            </w:r>
          </w:p>
        </w:tc>
      </w:tr>
      <w:tr w:rsidR="008E07A2" w:rsidRPr="008E07A2" w:rsidTr="00E00692">
        <w:trPr>
          <w:trHeight w:val="20"/>
          <w:jc w:val="center"/>
        </w:trPr>
        <w:tc>
          <w:tcPr>
            <w:tcW w:w="1263" w:type="dxa"/>
            <w:tcBorders>
              <w:top w:val="nil"/>
              <w:left w:val="double" w:sz="6" w:space="0" w:color="auto"/>
              <w:right w:val="double" w:sz="6" w:space="0" w:color="auto"/>
            </w:tcBorders>
            <w:shd w:val="clear" w:color="auto" w:fill="auto"/>
            <w:noWrap/>
            <w:vAlign w:val="center"/>
          </w:tcPr>
          <w:p w:rsidR="008E07A2" w:rsidRPr="008E07A2" w:rsidRDefault="008E07A2" w:rsidP="008E07A2">
            <w:pPr>
              <w:jc w:val="center"/>
              <w:rPr>
                <w:rFonts w:eastAsia="Times New Roman"/>
                <w:i/>
                <w:color w:val="000000"/>
                <w:sz w:val="20"/>
                <w:szCs w:val="20"/>
              </w:rPr>
            </w:pPr>
            <w:r w:rsidRPr="008E07A2">
              <w:rPr>
                <w:position w:val="-14"/>
                <w:sz w:val="20"/>
                <w:szCs w:val="20"/>
              </w:rPr>
              <w:object w:dxaOrig="420" w:dyaOrig="380" w14:anchorId="019F4B77">
                <v:shape id="_x0000_i1495" type="#_x0000_t75" style="width:17.25pt;height:15.75pt" o:ole="" o:preferrelative="f">
                  <v:imagedata r:id="rId798" o:title=""/>
                </v:shape>
                <o:OLEObject Type="Embed" ProgID="Equation.3" ShapeID="_x0000_i1495" DrawAspect="Content" ObjectID="_1519137344" r:id="rId900"/>
              </w:object>
            </w:r>
          </w:p>
        </w:tc>
        <w:tc>
          <w:tcPr>
            <w:tcW w:w="1352" w:type="dxa"/>
            <w:tcBorders>
              <w:top w:val="nil"/>
              <w:left w:val="nil"/>
              <w:right w:val="double" w:sz="6"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0.519</w:t>
            </w:r>
          </w:p>
        </w:tc>
        <w:tc>
          <w:tcPr>
            <w:tcW w:w="1620" w:type="dxa"/>
            <w:tcBorders>
              <w:top w:val="nil"/>
              <w:left w:val="nil"/>
              <w:right w:val="nil"/>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w:t>
            </w:r>
            <w:r w:rsidRPr="008E07A2">
              <w:rPr>
                <w:color w:val="000000"/>
                <w:sz w:val="20"/>
                <w:szCs w:val="20"/>
                <w:vertAlign w:val="superscript"/>
              </w:rPr>
              <w:t>a</w:t>
            </w:r>
          </w:p>
        </w:tc>
        <w:tc>
          <w:tcPr>
            <w:tcW w:w="2070" w:type="dxa"/>
            <w:tcBorders>
              <w:top w:val="nil"/>
              <w:left w:val="single" w:sz="4" w:space="0" w:color="auto"/>
              <w:right w:val="double" w:sz="4" w:space="0" w:color="auto"/>
            </w:tcBorders>
            <w:shd w:val="clear" w:color="auto" w:fill="auto"/>
            <w:noWrap/>
            <w:vAlign w:val="center"/>
          </w:tcPr>
          <w:p w:rsidR="008E07A2" w:rsidRPr="008E07A2" w:rsidRDefault="008E07A2" w:rsidP="00686D24">
            <w:pPr>
              <w:tabs>
                <w:tab w:val="decimal" w:pos="335"/>
              </w:tabs>
              <w:jc w:val="center"/>
              <w:rPr>
                <w:color w:val="000000"/>
                <w:sz w:val="20"/>
                <w:szCs w:val="20"/>
              </w:rPr>
            </w:pPr>
            <w:r w:rsidRPr="008E07A2">
              <w:rPr>
                <w:color w:val="000000"/>
                <w:sz w:val="20"/>
                <w:szCs w:val="20"/>
              </w:rPr>
              <w:t>--</w:t>
            </w:r>
          </w:p>
        </w:tc>
        <w:tc>
          <w:tcPr>
            <w:tcW w:w="1710" w:type="dxa"/>
            <w:tcBorders>
              <w:top w:val="nil"/>
              <w:left w:val="double" w:sz="4" w:space="0" w:color="auto"/>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0.626</w:t>
            </w:r>
          </w:p>
        </w:tc>
        <w:tc>
          <w:tcPr>
            <w:tcW w:w="2250" w:type="dxa"/>
            <w:tcBorders>
              <w:top w:val="nil"/>
              <w:left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20.6%</w:t>
            </w:r>
          </w:p>
        </w:tc>
      </w:tr>
      <w:tr w:rsidR="008E07A2" w:rsidRPr="008E07A2" w:rsidTr="00E00692">
        <w:trPr>
          <w:trHeight w:val="20"/>
          <w:jc w:val="center"/>
        </w:trPr>
        <w:tc>
          <w:tcPr>
            <w:tcW w:w="1263" w:type="dxa"/>
            <w:tcBorders>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i/>
                <w:color w:val="000000"/>
                <w:sz w:val="20"/>
                <w:szCs w:val="20"/>
              </w:rPr>
            </w:pPr>
            <w:r w:rsidRPr="008E07A2">
              <w:rPr>
                <w:position w:val="-14"/>
                <w:sz w:val="20"/>
                <w:szCs w:val="20"/>
              </w:rPr>
              <w:object w:dxaOrig="420" w:dyaOrig="380" w14:anchorId="54616B19">
                <v:shape id="_x0000_i1496" type="#_x0000_t75" style="width:17.25pt;height:15.75pt" o:ole="" o:preferrelative="f">
                  <v:imagedata r:id="rId800" o:title=""/>
                </v:shape>
                <o:OLEObject Type="Embed" ProgID="Equation.3" ShapeID="_x0000_i1496" DrawAspect="Content" ObjectID="_1519137345" r:id="rId901"/>
              </w:object>
            </w:r>
          </w:p>
        </w:tc>
        <w:tc>
          <w:tcPr>
            <w:tcW w:w="1352" w:type="dxa"/>
            <w:tcBorders>
              <w:left w:val="nil"/>
              <w:bottom w:val="nil"/>
              <w:right w:val="double" w:sz="6"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0.374</w:t>
            </w:r>
          </w:p>
        </w:tc>
        <w:tc>
          <w:tcPr>
            <w:tcW w:w="1620" w:type="dxa"/>
            <w:tcBorders>
              <w:left w:val="nil"/>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w:t>
            </w:r>
            <w:r w:rsidRPr="008E07A2">
              <w:rPr>
                <w:color w:val="000000"/>
                <w:sz w:val="20"/>
                <w:szCs w:val="20"/>
                <w:vertAlign w:val="superscript"/>
              </w:rPr>
              <w:t>a</w:t>
            </w:r>
          </w:p>
        </w:tc>
        <w:tc>
          <w:tcPr>
            <w:tcW w:w="2070" w:type="dxa"/>
            <w:tcBorders>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color w:val="000000"/>
                <w:sz w:val="20"/>
                <w:szCs w:val="20"/>
              </w:rPr>
            </w:pPr>
            <w:r w:rsidRPr="008E07A2">
              <w:rPr>
                <w:color w:val="000000"/>
                <w:sz w:val="20"/>
                <w:szCs w:val="20"/>
              </w:rPr>
              <w:t>--</w:t>
            </w:r>
          </w:p>
        </w:tc>
        <w:tc>
          <w:tcPr>
            <w:tcW w:w="1710" w:type="dxa"/>
            <w:tcBorders>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0.407</w:t>
            </w:r>
          </w:p>
        </w:tc>
        <w:tc>
          <w:tcPr>
            <w:tcW w:w="2250" w:type="dxa"/>
            <w:tcBorders>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8.8%</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14"/>
                <w:sz w:val="20"/>
                <w:szCs w:val="20"/>
              </w:rPr>
              <w:object w:dxaOrig="420" w:dyaOrig="380" w14:anchorId="67A55184">
                <v:shape id="_x0000_i1497" type="#_x0000_t75" style="width:17.25pt;height:15.75pt" o:ole="" o:preferrelative="f">
                  <v:imagedata r:id="rId802" o:title=""/>
                </v:shape>
                <o:OLEObject Type="Embed" ProgID="Equation.3" ShapeID="_x0000_i1497" DrawAspect="Content" ObjectID="_1519137346" r:id="rId902"/>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0.900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0.782</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sz w:val="20"/>
                <w:szCs w:val="20"/>
              </w:rPr>
            </w:pPr>
            <w:r w:rsidRPr="008E07A2">
              <w:rPr>
                <w:sz w:val="20"/>
                <w:szCs w:val="20"/>
              </w:rPr>
              <w:t>13.1%</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vertAlign w:val="superscript"/>
              </w:rPr>
            </w:pPr>
            <w:r w:rsidRPr="008E07A2">
              <w:rPr>
                <w:color w:val="000000"/>
                <w:sz w:val="20"/>
                <w:szCs w:val="20"/>
              </w:rPr>
              <w:t>--</w:t>
            </w:r>
            <w:r w:rsidRPr="008E07A2">
              <w:rPr>
                <w:color w:val="000000"/>
                <w:sz w:val="20"/>
                <w:szCs w:val="20"/>
                <w:vertAlign w:val="superscript"/>
              </w:rPr>
              <w:t>b</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14"/>
                <w:sz w:val="20"/>
                <w:szCs w:val="20"/>
              </w:rPr>
              <w:object w:dxaOrig="440" w:dyaOrig="380" w14:anchorId="2FACB80F">
                <v:shape id="_x0000_i1498" type="#_x0000_t75" style="width:17.25pt;height:15.75pt" o:ole="" o:preferrelative="f">
                  <v:imagedata r:id="rId804" o:title=""/>
                </v:shape>
                <o:OLEObject Type="Embed" ProgID="Equation.3" ShapeID="_x0000_i1498" DrawAspect="Content" ObjectID="_1519137347" r:id="rId903"/>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0.600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0.329</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sz w:val="20"/>
                <w:szCs w:val="20"/>
              </w:rPr>
            </w:pPr>
            <w:r w:rsidRPr="008E07A2">
              <w:rPr>
                <w:sz w:val="20"/>
                <w:szCs w:val="20"/>
              </w:rPr>
              <w:t>45.2%</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0.376</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37.3%</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14"/>
                <w:sz w:val="20"/>
                <w:szCs w:val="20"/>
              </w:rPr>
              <w:object w:dxaOrig="440" w:dyaOrig="380" w14:anchorId="65E9EAA2">
                <v:shape id="_x0000_i1499" type="#_x0000_t75" style="width:17.25pt;height:15.75pt" o:ole="" o:preferrelative="f">
                  <v:imagedata r:id="rId806" o:title=""/>
                </v:shape>
                <o:OLEObject Type="Embed" ProgID="Equation.3" ShapeID="_x0000_i1499" DrawAspect="Content" ObjectID="_1519137348" r:id="rId904"/>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0.800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0.764</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sz w:val="20"/>
                <w:szCs w:val="20"/>
              </w:rPr>
            </w:pPr>
            <w:r w:rsidRPr="008E07A2">
              <w:rPr>
                <w:sz w:val="20"/>
                <w:szCs w:val="20"/>
              </w:rPr>
              <w:t>4.5%</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0.942</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17.8%</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14"/>
                <w:sz w:val="20"/>
                <w:szCs w:val="20"/>
              </w:rPr>
              <w:object w:dxaOrig="440" w:dyaOrig="380" w14:anchorId="49ABB0FF">
                <v:shape id="_x0000_i1500" type="#_x0000_t75" style="width:17.25pt;height:15.75pt" o:ole="" o:preferrelative="f">
                  <v:imagedata r:id="rId808" o:title=""/>
                </v:shape>
                <o:OLEObject Type="Embed" ProgID="Equation.3" ShapeID="_x0000_i1500" DrawAspect="Content" ObjectID="_1519137349" r:id="rId905"/>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0.800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sz w:val="20"/>
                <w:szCs w:val="20"/>
              </w:rPr>
            </w:pPr>
            <w:r w:rsidRPr="008E07A2">
              <w:rPr>
                <w:color w:val="000000"/>
                <w:sz w:val="20"/>
                <w:szCs w:val="20"/>
              </w:rPr>
              <w:t>--</w:t>
            </w:r>
            <w:r w:rsidRPr="008E07A2">
              <w:rPr>
                <w:color w:val="000000"/>
                <w:sz w:val="20"/>
                <w:szCs w:val="20"/>
                <w:vertAlign w:val="superscript"/>
              </w:rPr>
              <w:t>a</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sz w:val="20"/>
                <w:szCs w:val="20"/>
              </w:rPr>
            </w:pPr>
            <w:r w:rsidRPr="008E07A2">
              <w:rPr>
                <w:sz w:val="20"/>
                <w:szCs w:val="20"/>
              </w:rPr>
              <w:t>--</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0.572</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28.5%</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14"/>
                <w:sz w:val="20"/>
                <w:szCs w:val="20"/>
              </w:rPr>
              <w:object w:dxaOrig="440" w:dyaOrig="380" w14:anchorId="777614C2">
                <v:shape id="_x0000_i1501" type="#_x0000_t75" style="width:17.25pt;height:15.75pt" o:ole="" o:preferrelative="f">
                  <v:imagedata r:id="rId810" o:title=""/>
                </v:shape>
                <o:OLEObject Type="Embed" ProgID="Equation.3" ShapeID="_x0000_i1501" DrawAspect="Content" ObjectID="_1519137350" r:id="rId906"/>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0.400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sz w:val="20"/>
                <w:szCs w:val="20"/>
              </w:rPr>
            </w:pPr>
            <w:r w:rsidRPr="008E07A2">
              <w:rPr>
                <w:color w:val="000000"/>
                <w:sz w:val="20"/>
                <w:szCs w:val="20"/>
              </w:rPr>
              <w:t>--</w:t>
            </w:r>
            <w:r w:rsidRPr="008E07A2">
              <w:rPr>
                <w:color w:val="000000"/>
                <w:sz w:val="20"/>
                <w:szCs w:val="20"/>
                <w:vertAlign w:val="superscript"/>
              </w:rPr>
              <w:t>a</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sz w:val="20"/>
                <w:szCs w:val="20"/>
              </w:rPr>
            </w:pPr>
            <w:r w:rsidRPr="008E07A2">
              <w:rPr>
                <w:sz w:val="20"/>
                <w:szCs w:val="20"/>
              </w:rPr>
              <w:t>--</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0.626</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56.4%</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14"/>
                <w:sz w:val="20"/>
                <w:szCs w:val="20"/>
              </w:rPr>
              <w:object w:dxaOrig="440" w:dyaOrig="380" w14:anchorId="1DDFB403">
                <v:shape id="_x0000_i1502" type="#_x0000_t75" style="width:17.25pt;height:15.75pt" o:ole="" o:preferrelative="f">
                  <v:imagedata r:id="rId812" o:title=""/>
                </v:shape>
                <o:OLEObject Type="Embed" ProgID="Equation.3" ShapeID="_x0000_i1502" DrawAspect="Content" ObjectID="_1519137351" r:id="rId907"/>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0.300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sz w:val="20"/>
                <w:szCs w:val="20"/>
              </w:rPr>
            </w:pPr>
            <w:r w:rsidRPr="008E07A2">
              <w:rPr>
                <w:color w:val="000000"/>
                <w:sz w:val="20"/>
                <w:szCs w:val="20"/>
              </w:rPr>
              <w:t>--</w:t>
            </w:r>
            <w:r w:rsidRPr="008E07A2">
              <w:rPr>
                <w:color w:val="000000"/>
                <w:sz w:val="20"/>
                <w:szCs w:val="20"/>
                <w:vertAlign w:val="superscript"/>
              </w:rPr>
              <w:t>a</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sz w:val="20"/>
                <w:szCs w:val="20"/>
              </w:rPr>
            </w:pPr>
            <w:r w:rsidRPr="008E07A2">
              <w:rPr>
                <w:color w:val="000000"/>
                <w:sz w:val="20"/>
                <w:szCs w:val="20"/>
              </w:rPr>
              <w:t>--</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0.407</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35.6%</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10"/>
                <w:sz w:val="20"/>
                <w:szCs w:val="20"/>
              </w:rPr>
              <w:object w:dxaOrig="360" w:dyaOrig="340" w14:anchorId="4EBBE451">
                <v:shape id="_x0000_i1503" type="#_x0000_t75" style="width:15pt;height:14.25pt" o:ole="" o:preferrelative="f">
                  <v:imagedata r:id="rId814" o:title=""/>
                </v:shape>
                <o:OLEObject Type="Embed" ProgID="Equation.3" ShapeID="_x0000_i1503" DrawAspect="Content" ObjectID="_1519137352" r:id="rId908"/>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0.600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sz w:val="20"/>
                <w:szCs w:val="20"/>
              </w:rPr>
            </w:pPr>
            <w:r w:rsidRPr="008E07A2">
              <w:rPr>
                <w:sz w:val="20"/>
                <w:szCs w:val="20"/>
              </w:rPr>
              <w:t>0.431</w:t>
            </w:r>
          </w:p>
        </w:tc>
        <w:tc>
          <w:tcPr>
            <w:tcW w:w="2070" w:type="dxa"/>
            <w:tcBorders>
              <w:top w:val="nil"/>
              <w:left w:val="single" w:sz="4" w:space="0" w:color="auto"/>
              <w:bottom w:val="nil"/>
              <w:right w:val="double" w:sz="4" w:space="0" w:color="auto"/>
            </w:tcBorders>
            <w:shd w:val="clear" w:color="auto" w:fill="auto"/>
            <w:noWrap/>
            <w:vAlign w:val="center"/>
          </w:tcPr>
          <w:p w:rsidR="008E07A2" w:rsidRPr="008E07A2" w:rsidRDefault="008E07A2" w:rsidP="00686D24">
            <w:pPr>
              <w:tabs>
                <w:tab w:val="decimal" w:pos="335"/>
              </w:tabs>
              <w:jc w:val="center"/>
              <w:rPr>
                <w:sz w:val="20"/>
                <w:szCs w:val="20"/>
              </w:rPr>
            </w:pPr>
            <w:r w:rsidRPr="008E07A2">
              <w:rPr>
                <w:sz w:val="20"/>
                <w:szCs w:val="20"/>
              </w:rPr>
              <w:t>28.2%</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w:t>
            </w:r>
            <w:r w:rsidRPr="008E07A2">
              <w:rPr>
                <w:color w:val="000000"/>
                <w:sz w:val="20"/>
                <w:szCs w:val="20"/>
                <w:vertAlign w:val="superscript"/>
              </w:rPr>
              <w:t>c</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10"/>
                <w:sz w:val="20"/>
                <w:szCs w:val="20"/>
              </w:rPr>
              <w:object w:dxaOrig="380" w:dyaOrig="340" w14:anchorId="4E030A55">
                <v:shape id="_x0000_i1504" type="#_x0000_t75" style="width:15.75pt;height:14.25pt" o:ole="" o:preferrelative="f">
                  <v:imagedata r:id="rId816" o:title=""/>
                </v:shape>
                <o:OLEObject Type="Embed" ProgID="Equation.3" ShapeID="_x0000_i1504" DrawAspect="Content" ObjectID="_1519137353" r:id="rId909"/>
              </w:object>
            </w:r>
          </w:p>
        </w:tc>
        <w:tc>
          <w:tcPr>
            <w:tcW w:w="1352" w:type="dxa"/>
            <w:tcBorders>
              <w:top w:val="nil"/>
              <w:left w:val="nil"/>
              <w:bottom w:val="nil"/>
              <w:right w:val="double" w:sz="6" w:space="0" w:color="auto"/>
            </w:tcBorders>
            <w:shd w:val="clear" w:color="auto" w:fill="auto"/>
            <w:noWrap/>
          </w:tcPr>
          <w:p w:rsidR="008E07A2" w:rsidRPr="008E07A2" w:rsidRDefault="008E07A2" w:rsidP="00226CA2">
            <w:pPr>
              <w:jc w:val="center"/>
              <w:rPr>
                <w:sz w:val="20"/>
                <w:szCs w:val="20"/>
              </w:rPr>
            </w:pPr>
            <w:r w:rsidRPr="008E07A2">
              <w:rPr>
                <w:sz w:val="20"/>
                <w:szCs w:val="20"/>
              </w:rPr>
              <w:t>0.100</w:t>
            </w:r>
          </w:p>
        </w:tc>
        <w:tc>
          <w:tcPr>
            <w:tcW w:w="1620" w:type="dxa"/>
            <w:tcBorders>
              <w:top w:val="nil"/>
              <w:left w:val="nil"/>
              <w:bottom w:val="nil"/>
              <w:right w:val="single" w:sz="4" w:space="0" w:color="auto"/>
            </w:tcBorders>
            <w:shd w:val="clear" w:color="auto" w:fill="auto"/>
            <w:noWrap/>
          </w:tcPr>
          <w:p w:rsidR="008E07A2" w:rsidRPr="008E07A2" w:rsidRDefault="008E07A2" w:rsidP="00226CA2">
            <w:pPr>
              <w:jc w:val="center"/>
              <w:rPr>
                <w:sz w:val="20"/>
                <w:szCs w:val="20"/>
              </w:rPr>
            </w:pPr>
            <w:r w:rsidRPr="008E07A2">
              <w:rPr>
                <w:sz w:val="20"/>
                <w:szCs w:val="20"/>
              </w:rPr>
              <w:t>0.140</w:t>
            </w:r>
          </w:p>
        </w:tc>
        <w:tc>
          <w:tcPr>
            <w:tcW w:w="2070" w:type="dxa"/>
            <w:tcBorders>
              <w:top w:val="nil"/>
              <w:left w:val="single" w:sz="4" w:space="0" w:color="auto"/>
              <w:bottom w:val="nil"/>
              <w:right w:val="double" w:sz="4" w:space="0" w:color="auto"/>
            </w:tcBorders>
            <w:shd w:val="clear" w:color="auto" w:fill="auto"/>
            <w:noWrap/>
          </w:tcPr>
          <w:p w:rsidR="008E07A2" w:rsidRPr="008E07A2" w:rsidRDefault="008E07A2" w:rsidP="00686D24">
            <w:pPr>
              <w:tabs>
                <w:tab w:val="decimal" w:pos="335"/>
              </w:tabs>
              <w:jc w:val="center"/>
              <w:rPr>
                <w:sz w:val="20"/>
                <w:szCs w:val="20"/>
              </w:rPr>
            </w:pPr>
            <w:r w:rsidRPr="008E07A2">
              <w:rPr>
                <w:sz w:val="20"/>
                <w:szCs w:val="20"/>
              </w:rPr>
              <w:t>40.0%</w:t>
            </w:r>
          </w:p>
        </w:tc>
        <w:tc>
          <w:tcPr>
            <w:tcW w:w="1710" w:type="dxa"/>
            <w:tcBorders>
              <w:top w:val="nil"/>
              <w:left w:val="double" w:sz="4" w:space="0" w:color="auto"/>
              <w:bottom w:val="nil"/>
              <w:right w:val="single" w:sz="4" w:space="0" w:color="auto"/>
            </w:tcBorders>
            <w:shd w:val="clear" w:color="auto" w:fill="auto"/>
            <w:noWrap/>
          </w:tcPr>
          <w:p w:rsidR="008E07A2" w:rsidRPr="008E07A2" w:rsidRDefault="008E07A2" w:rsidP="00226CA2">
            <w:pPr>
              <w:jc w:val="center"/>
              <w:rPr>
                <w:color w:val="000000"/>
                <w:sz w:val="20"/>
                <w:szCs w:val="20"/>
              </w:rPr>
            </w:pPr>
            <w:r w:rsidRPr="008E07A2">
              <w:rPr>
                <w:color w:val="000000"/>
                <w:sz w:val="20"/>
                <w:szCs w:val="20"/>
              </w:rPr>
              <w:t>--</w:t>
            </w:r>
            <w:r w:rsidRPr="008E07A2">
              <w:rPr>
                <w:color w:val="000000"/>
                <w:sz w:val="20"/>
                <w:szCs w:val="20"/>
                <w:vertAlign w:val="superscript"/>
              </w:rPr>
              <w:t>c</w:t>
            </w:r>
          </w:p>
        </w:tc>
        <w:tc>
          <w:tcPr>
            <w:tcW w:w="2250" w:type="dxa"/>
            <w:tcBorders>
              <w:top w:val="nil"/>
              <w:left w:val="nil"/>
              <w:bottom w:val="nil"/>
              <w:right w:val="double" w:sz="4" w:space="0" w:color="auto"/>
            </w:tcBorders>
            <w:shd w:val="clear" w:color="auto" w:fill="auto"/>
            <w:noWrap/>
          </w:tcPr>
          <w:p w:rsidR="008E07A2" w:rsidRPr="008E07A2" w:rsidRDefault="008E07A2" w:rsidP="00686D24">
            <w:pPr>
              <w:tabs>
                <w:tab w:val="decimal" w:pos="403"/>
              </w:tabs>
              <w:jc w:val="center"/>
              <w:rPr>
                <w:color w:val="000000"/>
                <w:sz w:val="20"/>
                <w:szCs w:val="20"/>
              </w:rPr>
            </w:pPr>
            <w:r w:rsidRPr="008E07A2">
              <w:rPr>
                <w:color w:val="000000"/>
                <w:sz w:val="20"/>
                <w:szCs w:val="20"/>
              </w:rPr>
              <w:t>--</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color w:val="000000"/>
                <w:sz w:val="20"/>
                <w:szCs w:val="20"/>
              </w:rPr>
            </w:pPr>
            <w:r w:rsidRPr="008E07A2">
              <w:rPr>
                <w:position w:val="-10"/>
                <w:sz w:val="20"/>
                <w:szCs w:val="20"/>
              </w:rPr>
              <w:object w:dxaOrig="240" w:dyaOrig="340" w14:anchorId="3354A9D6">
                <v:shape id="_x0000_i1505" type="#_x0000_t75" style="width:9.75pt;height:14.25pt" o:ole="" o:preferrelative="f">
                  <v:imagedata r:id="rId818" o:title=""/>
                </v:shape>
                <o:OLEObject Type="Embed" ProgID="Equation.3" ShapeID="_x0000_i1505" DrawAspect="Content" ObjectID="_1519137354" r:id="rId910"/>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1.000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1.209</w:t>
            </w:r>
          </w:p>
        </w:tc>
        <w:tc>
          <w:tcPr>
            <w:tcW w:w="207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335"/>
              </w:tabs>
              <w:jc w:val="center"/>
              <w:rPr>
                <w:color w:val="000000"/>
                <w:sz w:val="20"/>
                <w:szCs w:val="20"/>
              </w:rPr>
            </w:pPr>
            <w:r w:rsidRPr="008E07A2">
              <w:rPr>
                <w:color w:val="000000"/>
                <w:sz w:val="20"/>
                <w:szCs w:val="20"/>
              </w:rPr>
              <w:t>20.9%</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1.030</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3.0%</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i/>
                <w:color w:val="000000"/>
                <w:sz w:val="20"/>
                <w:szCs w:val="20"/>
              </w:rPr>
            </w:pPr>
            <w:r w:rsidRPr="008E07A2">
              <w:rPr>
                <w:position w:val="-10"/>
                <w:sz w:val="20"/>
                <w:szCs w:val="20"/>
              </w:rPr>
              <w:object w:dxaOrig="279" w:dyaOrig="340" w14:anchorId="0AE1D250">
                <v:shape id="_x0000_i1506" type="#_x0000_t75" style="width:12pt;height:14.25pt" o:ole="" o:preferrelative="f">
                  <v:imagedata r:id="rId820" o:title=""/>
                </v:shape>
                <o:OLEObject Type="Embed" ProgID="Equation.3" ShapeID="_x0000_i1506" DrawAspect="Content" ObjectID="_1519137355" r:id="rId911"/>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1.000</w:t>
            </w:r>
          </w:p>
        </w:tc>
        <w:tc>
          <w:tcPr>
            <w:tcW w:w="1620" w:type="dxa"/>
            <w:tcBorders>
              <w:top w:val="nil"/>
              <w:left w:val="nil"/>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1.823</w:t>
            </w:r>
          </w:p>
        </w:tc>
        <w:tc>
          <w:tcPr>
            <w:tcW w:w="207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335"/>
              </w:tabs>
              <w:jc w:val="center"/>
              <w:rPr>
                <w:color w:val="000000"/>
                <w:sz w:val="20"/>
                <w:szCs w:val="20"/>
              </w:rPr>
            </w:pPr>
            <w:r w:rsidRPr="008E07A2">
              <w:rPr>
                <w:color w:val="000000"/>
                <w:sz w:val="20"/>
                <w:szCs w:val="20"/>
              </w:rPr>
              <w:t>82.3%</w:t>
            </w:r>
          </w:p>
        </w:tc>
        <w:tc>
          <w:tcPr>
            <w:tcW w:w="1710" w:type="dxa"/>
            <w:tcBorders>
              <w:top w:val="nil"/>
              <w:left w:val="double" w:sz="4" w:space="0" w:color="auto"/>
              <w:bottom w:val="nil"/>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1.405</w:t>
            </w:r>
          </w:p>
        </w:tc>
        <w:tc>
          <w:tcPr>
            <w:tcW w:w="2250" w:type="dxa"/>
            <w:tcBorders>
              <w:top w:val="nil"/>
              <w:left w:val="nil"/>
              <w:bottom w:val="nil"/>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40.5%</w:t>
            </w:r>
          </w:p>
        </w:tc>
      </w:tr>
      <w:tr w:rsidR="008E07A2" w:rsidRPr="008E07A2" w:rsidTr="00E00692">
        <w:trPr>
          <w:trHeight w:val="20"/>
          <w:jc w:val="center"/>
        </w:trPr>
        <w:tc>
          <w:tcPr>
            <w:tcW w:w="1263" w:type="dxa"/>
            <w:tcBorders>
              <w:top w:val="nil"/>
              <w:left w:val="double" w:sz="6" w:space="0" w:color="auto"/>
              <w:bottom w:val="nil"/>
              <w:right w:val="double" w:sz="6" w:space="0" w:color="auto"/>
            </w:tcBorders>
            <w:shd w:val="clear" w:color="auto" w:fill="auto"/>
            <w:noWrap/>
            <w:vAlign w:val="center"/>
          </w:tcPr>
          <w:p w:rsidR="008E07A2" w:rsidRPr="008E07A2" w:rsidRDefault="008E07A2" w:rsidP="008E07A2">
            <w:pPr>
              <w:jc w:val="center"/>
              <w:rPr>
                <w:rFonts w:eastAsia="Times New Roman"/>
                <w:i/>
                <w:color w:val="000000"/>
                <w:sz w:val="20"/>
                <w:szCs w:val="20"/>
              </w:rPr>
            </w:pPr>
            <w:r w:rsidRPr="008E07A2">
              <w:rPr>
                <w:position w:val="-12"/>
                <w:sz w:val="20"/>
                <w:szCs w:val="20"/>
              </w:rPr>
              <w:object w:dxaOrig="260" w:dyaOrig="360" w14:anchorId="0F12ABFD">
                <v:shape id="_x0000_i1507" type="#_x0000_t75" style="width:11.25pt;height:15pt" o:ole="" o:preferrelative="f">
                  <v:imagedata r:id="rId822" o:title=""/>
                </v:shape>
                <o:OLEObject Type="Embed" ProgID="Equation.3" ShapeID="_x0000_i1507" DrawAspect="Content" ObjectID="_1519137356" r:id="rId912"/>
              </w:object>
            </w:r>
          </w:p>
        </w:tc>
        <w:tc>
          <w:tcPr>
            <w:tcW w:w="1352" w:type="dxa"/>
            <w:tcBorders>
              <w:top w:val="nil"/>
              <w:left w:val="nil"/>
              <w:bottom w:val="nil"/>
              <w:right w:val="double" w:sz="6"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1.000</w:t>
            </w:r>
          </w:p>
        </w:tc>
        <w:tc>
          <w:tcPr>
            <w:tcW w:w="1620" w:type="dxa"/>
            <w:tcBorders>
              <w:top w:val="nil"/>
              <w:left w:val="nil"/>
              <w:bottom w:val="double" w:sz="6" w:space="0" w:color="auto"/>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1.117</w:t>
            </w:r>
          </w:p>
        </w:tc>
        <w:tc>
          <w:tcPr>
            <w:tcW w:w="2070" w:type="dxa"/>
            <w:tcBorders>
              <w:top w:val="nil"/>
              <w:left w:val="single" w:sz="4" w:space="0" w:color="auto"/>
              <w:bottom w:val="double" w:sz="6" w:space="0" w:color="auto"/>
              <w:right w:val="double" w:sz="4" w:space="0" w:color="auto"/>
            </w:tcBorders>
            <w:shd w:val="clear" w:color="auto" w:fill="auto"/>
            <w:noWrap/>
            <w:vAlign w:val="center"/>
          </w:tcPr>
          <w:p w:rsidR="008E07A2" w:rsidRPr="008E07A2" w:rsidRDefault="008E07A2" w:rsidP="00686D24">
            <w:pPr>
              <w:tabs>
                <w:tab w:val="decimal" w:pos="335"/>
              </w:tabs>
              <w:jc w:val="center"/>
              <w:rPr>
                <w:color w:val="000000"/>
                <w:sz w:val="20"/>
                <w:szCs w:val="20"/>
              </w:rPr>
            </w:pPr>
            <w:r w:rsidRPr="008E07A2">
              <w:rPr>
                <w:color w:val="000000"/>
                <w:sz w:val="20"/>
                <w:szCs w:val="20"/>
              </w:rPr>
              <w:t>11.7%</w:t>
            </w:r>
          </w:p>
        </w:tc>
        <w:tc>
          <w:tcPr>
            <w:tcW w:w="1710" w:type="dxa"/>
            <w:tcBorders>
              <w:top w:val="nil"/>
              <w:left w:val="double" w:sz="4" w:space="0" w:color="auto"/>
              <w:bottom w:val="double" w:sz="6" w:space="0" w:color="auto"/>
              <w:right w:val="single" w:sz="4" w:space="0" w:color="auto"/>
            </w:tcBorders>
            <w:shd w:val="clear" w:color="auto" w:fill="auto"/>
            <w:noWrap/>
            <w:vAlign w:val="center"/>
          </w:tcPr>
          <w:p w:rsidR="008E07A2" w:rsidRPr="008E07A2" w:rsidRDefault="008E07A2" w:rsidP="00226CA2">
            <w:pPr>
              <w:jc w:val="center"/>
              <w:rPr>
                <w:color w:val="000000"/>
                <w:sz w:val="20"/>
                <w:szCs w:val="20"/>
              </w:rPr>
            </w:pPr>
            <w:r w:rsidRPr="008E07A2">
              <w:rPr>
                <w:color w:val="000000"/>
                <w:sz w:val="20"/>
                <w:szCs w:val="20"/>
              </w:rPr>
              <w:t>1.017</w:t>
            </w:r>
          </w:p>
        </w:tc>
        <w:tc>
          <w:tcPr>
            <w:tcW w:w="2250" w:type="dxa"/>
            <w:tcBorders>
              <w:top w:val="nil"/>
              <w:left w:val="nil"/>
              <w:bottom w:val="double" w:sz="6" w:space="0" w:color="auto"/>
              <w:right w:val="double" w:sz="4" w:space="0" w:color="auto"/>
            </w:tcBorders>
            <w:shd w:val="clear" w:color="auto" w:fill="auto"/>
            <w:noWrap/>
            <w:vAlign w:val="center"/>
          </w:tcPr>
          <w:p w:rsidR="008E07A2" w:rsidRPr="008E07A2" w:rsidRDefault="008E07A2" w:rsidP="00686D24">
            <w:pPr>
              <w:tabs>
                <w:tab w:val="decimal" w:pos="403"/>
              </w:tabs>
              <w:jc w:val="center"/>
              <w:rPr>
                <w:color w:val="000000"/>
                <w:sz w:val="20"/>
                <w:szCs w:val="20"/>
              </w:rPr>
            </w:pPr>
            <w:r w:rsidRPr="008E07A2">
              <w:rPr>
                <w:color w:val="000000"/>
                <w:sz w:val="20"/>
                <w:szCs w:val="20"/>
              </w:rPr>
              <w:t>1.7%</w:t>
            </w:r>
          </w:p>
        </w:tc>
      </w:tr>
      <w:tr w:rsidR="00AE0315" w:rsidRPr="008E07A2" w:rsidTr="00E00692">
        <w:trPr>
          <w:trHeight w:val="144"/>
          <w:jc w:val="center"/>
        </w:trPr>
        <w:tc>
          <w:tcPr>
            <w:tcW w:w="2615" w:type="dxa"/>
            <w:gridSpan w:val="2"/>
            <w:tcBorders>
              <w:top w:val="double" w:sz="6" w:space="0" w:color="auto"/>
              <w:left w:val="double" w:sz="6" w:space="0" w:color="auto"/>
              <w:bottom w:val="double" w:sz="6" w:space="0" w:color="auto"/>
              <w:right w:val="double" w:sz="6" w:space="0" w:color="000000"/>
            </w:tcBorders>
            <w:shd w:val="clear" w:color="auto" w:fill="auto"/>
            <w:tcMar>
              <w:left w:w="58" w:type="dxa"/>
              <w:right w:w="58" w:type="dxa"/>
            </w:tcMar>
            <w:vAlign w:val="center"/>
          </w:tcPr>
          <w:p w:rsidR="00AE0315" w:rsidRPr="008E07A2" w:rsidRDefault="00AE0315" w:rsidP="00226CA2">
            <w:pPr>
              <w:jc w:val="left"/>
              <w:rPr>
                <w:rFonts w:eastAsia="Times New Roman"/>
                <w:b/>
                <w:bCs/>
                <w:color w:val="000000"/>
                <w:sz w:val="20"/>
                <w:szCs w:val="20"/>
              </w:rPr>
            </w:pPr>
            <w:r w:rsidRPr="008E07A2">
              <w:rPr>
                <w:rFonts w:eastAsia="Times New Roman"/>
                <w:b/>
                <w:bCs/>
                <w:color w:val="000000"/>
                <w:sz w:val="20"/>
                <w:szCs w:val="20"/>
              </w:rPr>
              <w:t>Overall Mean Value Across Parameters</w:t>
            </w:r>
          </w:p>
        </w:tc>
        <w:tc>
          <w:tcPr>
            <w:tcW w:w="3690" w:type="dxa"/>
            <w:gridSpan w:val="2"/>
            <w:tcBorders>
              <w:top w:val="double" w:sz="6" w:space="0" w:color="auto"/>
              <w:left w:val="nil"/>
              <w:bottom w:val="double" w:sz="6" w:space="0" w:color="auto"/>
              <w:right w:val="double" w:sz="6" w:space="0" w:color="auto"/>
            </w:tcBorders>
            <w:shd w:val="clear" w:color="auto" w:fill="auto"/>
            <w:noWrap/>
            <w:vAlign w:val="center"/>
          </w:tcPr>
          <w:p w:rsidR="00AE0315" w:rsidRPr="008E07A2" w:rsidRDefault="008C77F4" w:rsidP="00226CA2">
            <w:pPr>
              <w:jc w:val="center"/>
              <w:rPr>
                <w:rFonts w:eastAsia="Times New Roman"/>
                <w:b/>
                <w:color w:val="000000"/>
                <w:sz w:val="20"/>
                <w:szCs w:val="20"/>
              </w:rPr>
            </w:pPr>
            <w:r w:rsidRPr="008E07A2">
              <w:rPr>
                <w:rFonts w:eastAsia="Times New Roman"/>
                <w:b/>
                <w:color w:val="000000"/>
                <w:sz w:val="20"/>
                <w:szCs w:val="20"/>
              </w:rPr>
              <w:t>28.5</w:t>
            </w:r>
            <w:r w:rsidR="00AE0315" w:rsidRPr="008E07A2">
              <w:rPr>
                <w:rFonts w:eastAsia="Times New Roman"/>
                <w:b/>
                <w:color w:val="000000"/>
                <w:sz w:val="20"/>
                <w:szCs w:val="20"/>
              </w:rPr>
              <w:t>% (for APB)</w:t>
            </w:r>
          </w:p>
        </w:tc>
        <w:tc>
          <w:tcPr>
            <w:tcW w:w="3960" w:type="dxa"/>
            <w:gridSpan w:val="2"/>
            <w:tcBorders>
              <w:top w:val="double" w:sz="6" w:space="0" w:color="auto"/>
              <w:left w:val="nil"/>
              <w:bottom w:val="double" w:sz="6" w:space="0" w:color="auto"/>
              <w:right w:val="double" w:sz="6" w:space="0" w:color="auto"/>
            </w:tcBorders>
            <w:shd w:val="clear" w:color="auto" w:fill="auto"/>
            <w:noWrap/>
            <w:vAlign w:val="center"/>
          </w:tcPr>
          <w:p w:rsidR="00AE0315" w:rsidRPr="008E07A2" w:rsidRDefault="00AE0315" w:rsidP="00226CA2">
            <w:pPr>
              <w:jc w:val="center"/>
              <w:rPr>
                <w:rFonts w:eastAsia="Times New Roman"/>
                <w:b/>
                <w:color w:val="000000"/>
                <w:sz w:val="20"/>
                <w:szCs w:val="20"/>
              </w:rPr>
            </w:pPr>
            <w:r w:rsidRPr="008E07A2">
              <w:rPr>
                <w:rFonts w:eastAsia="Times New Roman"/>
                <w:b/>
                <w:color w:val="000000"/>
                <w:sz w:val="20"/>
                <w:szCs w:val="20"/>
              </w:rPr>
              <w:t>26.0% (for APB)</w:t>
            </w:r>
          </w:p>
        </w:tc>
      </w:tr>
      <w:tr w:rsidR="00226CA2" w:rsidRPr="008E07A2" w:rsidTr="00E00692">
        <w:trPr>
          <w:trHeight w:val="144"/>
          <w:jc w:val="center"/>
        </w:trPr>
        <w:tc>
          <w:tcPr>
            <w:tcW w:w="2615" w:type="dxa"/>
            <w:gridSpan w:val="2"/>
            <w:tcBorders>
              <w:top w:val="double" w:sz="6" w:space="0" w:color="auto"/>
              <w:left w:val="double" w:sz="6" w:space="0" w:color="auto"/>
              <w:bottom w:val="double" w:sz="6" w:space="0" w:color="auto"/>
              <w:right w:val="double" w:sz="6" w:space="0" w:color="000000"/>
            </w:tcBorders>
            <w:shd w:val="clear" w:color="auto" w:fill="auto"/>
            <w:tcMar>
              <w:left w:w="58" w:type="dxa"/>
              <w:right w:w="58" w:type="dxa"/>
            </w:tcMar>
            <w:vAlign w:val="center"/>
          </w:tcPr>
          <w:p w:rsidR="00226CA2" w:rsidRPr="008E07A2" w:rsidRDefault="00226CA2" w:rsidP="00AE0315">
            <w:pPr>
              <w:jc w:val="left"/>
              <w:rPr>
                <w:rFonts w:eastAsia="Times New Roman"/>
                <w:b/>
                <w:bCs/>
                <w:color w:val="000000"/>
                <w:sz w:val="20"/>
                <w:szCs w:val="20"/>
              </w:rPr>
            </w:pPr>
            <w:r w:rsidRPr="008E07A2">
              <w:rPr>
                <w:rFonts w:eastAsia="Times New Roman"/>
                <w:b/>
                <w:bCs/>
                <w:color w:val="000000"/>
                <w:sz w:val="20"/>
                <w:szCs w:val="20"/>
              </w:rPr>
              <w:t xml:space="preserve">Mean </w:t>
            </w:r>
            <w:r w:rsidR="00AE0315" w:rsidRPr="008E07A2">
              <w:rPr>
                <w:rFonts w:eastAsia="Times New Roman"/>
                <w:b/>
                <w:bCs/>
                <w:color w:val="000000"/>
                <w:sz w:val="20"/>
                <w:szCs w:val="20"/>
              </w:rPr>
              <w:t>(across 100 data sets)</w:t>
            </w:r>
            <w:r w:rsidRPr="008E07A2">
              <w:rPr>
                <w:rFonts w:eastAsia="Times New Roman"/>
                <w:b/>
                <w:bCs/>
                <w:color w:val="000000"/>
                <w:sz w:val="20"/>
                <w:szCs w:val="20"/>
              </w:rPr>
              <w:t xml:space="preserve"> log-likelihood value at convergence</w:t>
            </w:r>
          </w:p>
        </w:tc>
        <w:tc>
          <w:tcPr>
            <w:tcW w:w="3690" w:type="dxa"/>
            <w:gridSpan w:val="2"/>
            <w:tcBorders>
              <w:top w:val="nil"/>
              <w:left w:val="nil"/>
              <w:bottom w:val="double" w:sz="6" w:space="0" w:color="auto"/>
              <w:right w:val="double" w:sz="6" w:space="0" w:color="auto"/>
            </w:tcBorders>
            <w:shd w:val="clear" w:color="auto" w:fill="auto"/>
            <w:noWrap/>
            <w:vAlign w:val="center"/>
          </w:tcPr>
          <w:p w:rsidR="00226CA2" w:rsidRPr="008E07A2" w:rsidRDefault="00A12CE3" w:rsidP="00226CA2">
            <w:pPr>
              <w:jc w:val="center"/>
              <w:rPr>
                <w:rFonts w:eastAsia="Times New Roman"/>
                <w:b/>
                <w:color w:val="000000"/>
                <w:sz w:val="20"/>
                <w:szCs w:val="20"/>
              </w:rPr>
            </w:pPr>
            <w:r w:rsidRPr="008E07A2">
              <w:rPr>
                <w:rFonts w:eastAsia="Times New Roman"/>
                <w:b/>
                <w:color w:val="000000"/>
                <w:sz w:val="20"/>
                <w:szCs w:val="20"/>
              </w:rPr>
              <w:t>-39</w:t>
            </w:r>
            <w:r w:rsidR="008C77F4" w:rsidRPr="008E07A2">
              <w:rPr>
                <w:rFonts w:eastAsia="Times New Roman"/>
                <w:b/>
                <w:color w:val="000000"/>
                <w:sz w:val="20"/>
                <w:szCs w:val="20"/>
              </w:rPr>
              <w:t>,</w:t>
            </w:r>
            <w:r w:rsidRPr="008E07A2">
              <w:rPr>
                <w:rFonts w:eastAsia="Times New Roman"/>
                <w:b/>
                <w:color w:val="000000"/>
                <w:sz w:val="20"/>
                <w:szCs w:val="20"/>
              </w:rPr>
              <w:t>5</w:t>
            </w:r>
            <w:r w:rsidR="008C77F4" w:rsidRPr="008E07A2">
              <w:rPr>
                <w:rFonts w:eastAsia="Times New Roman"/>
                <w:b/>
                <w:color w:val="000000"/>
                <w:sz w:val="20"/>
                <w:szCs w:val="20"/>
              </w:rPr>
              <w:t>17.923</w:t>
            </w:r>
          </w:p>
        </w:tc>
        <w:tc>
          <w:tcPr>
            <w:tcW w:w="3960" w:type="dxa"/>
            <w:gridSpan w:val="2"/>
            <w:tcBorders>
              <w:top w:val="nil"/>
              <w:left w:val="nil"/>
              <w:bottom w:val="double" w:sz="6" w:space="0" w:color="auto"/>
              <w:right w:val="double" w:sz="6" w:space="0" w:color="auto"/>
            </w:tcBorders>
            <w:shd w:val="clear" w:color="auto" w:fill="auto"/>
            <w:noWrap/>
            <w:vAlign w:val="center"/>
          </w:tcPr>
          <w:p w:rsidR="00226CA2" w:rsidRPr="008E07A2" w:rsidRDefault="00226CA2" w:rsidP="00226CA2">
            <w:pPr>
              <w:jc w:val="center"/>
              <w:rPr>
                <w:rFonts w:eastAsia="Times New Roman"/>
                <w:b/>
                <w:color w:val="000000"/>
                <w:sz w:val="20"/>
                <w:szCs w:val="20"/>
              </w:rPr>
            </w:pPr>
            <w:r w:rsidRPr="008E07A2">
              <w:rPr>
                <w:rFonts w:eastAsia="Times New Roman"/>
                <w:b/>
                <w:color w:val="000000"/>
                <w:sz w:val="20"/>
                <w:szCs w:val="20"/>
              </w:rPr>
              <w:t>-39,561.115</w:t>
            </w:r>
          </w:p>
        </w:tc>
      </w:tr>
      <w:tr w:rsidR="00226CA2" w:rsidRPr="008E07A2" w:rsidTr="00E00692">
        <w:trPr>
          <w:trHeight w:val="144"/>
          <w:jc w:val="center"/>
        </w:trPr>
        <w:tc>
          <w:tcPr>
            <w:tcW w:w="2615" w:type="dxa"/>
            <w:gridSpan w:val="2"/>
            <w:tcBorders>
              <w:top w:val="double" w:sz="6" w:space="0" w:color="auto"/>
              <w:left w:val="double" w:sz="6" w:space="0" w:color="auto"/>
              <w:bottom w:val="double" w:sz="6" w:space="0" w:color="auto"/>
              <w:right w:val="double" w:sz="6" w:space="0" w:color="000000"/>
            </w:tcBorders>
            <w:shd w:val="clear" w:color="auto" w:fill="auto"/>
            <w:tcMar>
              <w:left w:w="58" w:type="dxa"/>
              <w:right w:w="58" w:type="dxa"/>
            </w:tcMar>
            <w:vAlign w:val="center"/>
          </w:tcPr>
          <w:p w:rsidR="00226CA2" w:rsidRPr="008E07A2" w:rsidRDefault="00226CA2" w:rsidP="009370C2">
            <w:pPr>
              <w:jc w:val="left"/>
              <w:rPr>
                <w:rFonts w:eastAsia="Times New Roman"/>
                <w:b/>
                <w:bCs/>
                <w:color w:val="000000"/>
                <w:sz w:val="20"/>
                <w:szCs w:val="20"/>
              </w:rPr>
            </w:pPr>
            <w:r w:rsidRPr="008E07A2">
              <w:rPr>
                <w:rFonts w:eastAsia="Times New Roman"/>
                <w:b/>
                <w:bCs/>
                <w:color w:val="000000"/>
                <w:sz w:val="20"/>
                <w:szCs w:val="20"/>
              </w:rPr>
              <w:t xml:space="preserve">Number of times the </w:t>
            </w:r>
            <w:r w:rsidR="00AE0315" w:rsidRPr="008E07A2">
              <w:rPr>
                <w:rFonts w:eastAsia="Times New Roman"/>
                <w:b/>
                <w:bCs/>
                <w:color w:val="000000"/>
                <w:sz w:val="20"/>
                <w:szCs w:val="20"/>
              </w:rPr>
              <w:t xml:space="preserve">likelihood ratio test </w:t>
            </w:r>
            <w:r w:rsidRPr="008E07A2">
              <w:rPr>
                <w:rFonts w:eastAsia="Times New Roman"/>
                <w:b/>
                <w:bCs/>
                <w:color w:val="000000"/>
                <w:sz w:val="20"/>
                <w:szCs w:val="20"/>
              </w:rPr>
              <w:t xml:space="preserve">statistic favors the </w:t>
            </w:r>
            <w:r w:rsidR="009370C2" w:rsidRPr="008E07A2">
              <w:rPr>
                <w:rFonts w:eastAsia="Times New Roman"/>
                <w:b/>
                <w:bCs/>
                <w:color w:val="000000"/>
                <w:sz w:val="20"/>
                <w:szCs w:val="20"/>
              </w:rPr>
              <w:t>FDMN-MDCP</w:t>
            </w:r>
            <w:r w:rsidRPr="008E07A2">
              <w:rPr>
                <w:rFonts w:eastAsia="Times New Roman"/>
                <w:b/>
                <w:bCs/>
                <w:color w:val="000000"/>
                <w:sz w:val="20"/>
                <w:szCs w:val="20"/>
              </w:rPr>
              <w:t xml:space="preserve"> </w:t>
            </w:r>
            <w:proofErr w:type="spellStart"/>
            <w:r w:rsidRPr="008E07A2">
              <w:rPr>
                <w:rFonts w:eastAsia="Times New Roman"/>
                <w:b/>
                <w:bCs/>
                <w:color w:val="000000"/>
                <w:sz w:val="20"/>
                <w:szCs w:val="20"/>
              </w:rPr>
              <w:t>model</w:t>
            </w:r>
            <w:r w:rsidR="009B46C2" w:rsidRPr="008E07A2">
              <w:rPr>
                <w:rFonts w:eastAsia="Times New Roman"/>
                <w:bCs/>
                <w:color w:val="000000"/>
                <w:sz w:val="20"/>
                <w:szCs w:val="20"/>
                <w:vertAlign w:val="superscript"/>
              </w:rPr>
              <w:t>d</w:t>
            </w:r>
            <w:proofErr w:type="spellEnd"/>
          </w:p>
        </w:tc>
        <w:tc>
          <w:tcPr>
            <w:tcW w:w="3690" w:type="dxa"/>
            <w:gridSpan w:val="2"/>
            <w:tcBorders>
              <w:top w:val="nil"/>
              <w:left w:val="nil"/>
              <w:bottom w:val="double" w:sz="6" w:space="0" w:color="auto"/>
              <w:right w:val="double" w:sz="6" w:space="0" w:color="auto"/>
            </w:tcBorders>
            <w:shd w:val="clear" w:color="auto" w:fill="auto"/>
            <w:noWrap/>
            <w:vAlign w:val="center"/>
          </w:tcPr>
          <w:p w:rsidR="00226CA2" w:rsidRPr="008E07A2" w:rsidRDefault="00226CA2" w:rsidP="009370C2">
            <w:pPr>
              <w:jc w:val="center"/>
              <w:rPr>
                <w:rFonts w:eastAsia="Times New Roman"/>
                <w:color w:val="000000"/>
                <w:sz w:val="20"/>
                <w:szCs w:val="20"/>
              </w:rPr>
            </w:pPr>
            <w:r w:rsidRPr="008E07A2">
              <w:rPr>
                <w:rFonts w:eastAsia="Times New Roman"/>
                <w:color w:val="000000"/>
                <w:sz w:val="20"/>
                <w:szCs w:val="20"/>
              </w:rPr>
              <w:t xml:space="preserve">All one hundred times when compared with </w:t>
            </w:r>
            <m:oMath>
              <m:sSubSup>
                <m:sSubSupPr>
                  <m:ctrlPr>
                    <w:rPr>
                      <w:rFonts w:ascii="Cambria Math" w:eastAsia="Times New Roman" w:hAnsi="Cambria Math"/>
                      <w:i/>
                      <w:color w:val="000000"/>
                      <w:sz w:val="20"/>
                      <w:szCs w:val="20"/>
                    </w:rPr>
                  </m:ctrlPr>
                </m:sSubSupPr>
                <m:e>
                  <m:r>
                    <w:rPr>
                      <w:rFonts w:ascii="Cambria Math" w:eastAsia="Times New Roman" w:hAnsi="Cambria Math"/>
                      <w:color w:val="000000"/>
                      <w:sz w:val="20"/>
                      <w:szCs w:val="20"/>
                    </w:rPr>
                    <m:t>χ</m:t>
                  </m:r>
                </m:e>
                <m:sub>
                  <m:r>
                    <w:rPr>
                      <w:rFonts w:ascii="Cambria Math" w:eastAsia="Times New Roman" w:hAnsi="Cambria Math"/>
                      <w:color w:val="000000"/>
                      <w:sz w:val="20"/>
                      <w:szCs w:val="20"/>
                    </w:rPr>
                    <m:t>6,0.95</m:t>
                  </m:r>
                </m:sub>
                <m:sup>
                  <m:r>
                    <w:rPr>
                      <w:rFonts w:ascii="Cambria Math" w:eastAsia="Times New Roman" w:hAnsi="Cambria Math"/>
                      <w:color w:val="000000"/>
                      <w:sz w:val="20"/>
                      <w:szCs w:val="20"/>
                    </w:rPr>
                    <m:t>2</m:t>
                  </m:r>
                </m:sup>
              </m:sSubSup>
              <m:r>
                <w:rPr>
                  <w:rFonts w:ascii="Cambria Math" w:eastAsia="Times New Roman" w:hAnsi="Cambria Math"/>
                  <w:color w:val="000000"/>
                  <w:sz w:val="20"/>
                  <w:szCs w:val="20"/>
                </w:rPr>
                <m:t>=12.59</m:t>
              </m:r>
            </m:oMath>
          </w:p>
        </w:tc>
        <w:tc>
          <w:tcPr>
            <w:tcW w:w="3960" w:type="dxa"/>
            <w:gridSpan w:val="2"/>
            <w:tcBorders>
              <w:top w:val="nil"/>
              <w:left w:val="nil"/>
              <w:bottom w:val="double" w:sz="6" w:space="0" w:color="auto"/>
              <w:right w:val="double" w:sz="6" w:space="0" w:color="auto"/>
            </w:tcBorders>
            <w:shd w:val="clear" w:color="auto" w:fill="auto"/>
            <w:noWrap/>
            <w:vAlign w:val="center"/>
          </w:tcPr>
          <w:p w:rsidR="009370C2" w:rsidRPr="008E07A2" w:rsidRDefault="00226CA2" w:rsidP="009370C2">
            <w:pPr>
              <w:jc w:val="center"/>
              <w:rPr>
                <w:rFonts w:eastAsia="Times New Roman"/>
                <w:color w:val="000000"/>
                <w:sz w:val="20"/>
                <w:szCs w:val="20"/>
              </w:rPr>
            </w:pPr>
            <w:r w:rsidRPr="008E07A2">
              <w:rPr>
                <w:rFonts w:eastAsia="Times New Roman"/>
                <w:color w:val="000000"/>
                <w:sz w:val="20"/>
                <w:szCs w:val="20"/>
              </w:rPr>
              <w:t>All one hundred times when compared with</w:t>
            </w:r>
          </w:p>
          <w:p w:rsidR="00226CA2" w:rsidRPr="008E07A2" w:rsidRDefault="00226CA2" w:rsidP="009370C2">
            <w:pPr>
              <w:jc w:val="center"/>
              <w:rPr>
                <w:rFonts w:eastAsia="Times New Roman"/>
                <w:b/>
                <w:color w:val="000000"/>
                <w:sz w:val="20"/>
                <w:szCs w:val="20"/>
              </w:rPr>
            </w:pPr>
            <w:r w:rsidRPr="008E07A2">
              <w:rPr>
                <w:rFonts w:eastAsia="Times New Roman"/>
                <w:color w:val="000000"/>
                <w:sz w:val="20"/>
                <w:szCs w:val="20"/>
              </w:rPr>
              <w:t xml:space="preserve"> </w:t>
            </w:r>
            <m:oMath>
              <m:sSubSup>
                <m:sSubSupPr>
                  <m:ctrlPr>
                    <w:rPr>
                      <w:rFonts w:ascii="Cambria Math" w:eastAsia="Times New Roman" w:hAnsi="Cambria Math"/>
                      <w:i/>
                      <w:color w:val="000000"/>
                      <w:sz w:val="20"/>
                      <w:szCs w:val="20"/>
                    </w:rPr>
                  </m:ctrlPr>
                </m:sSubSupPr>
                <m:e>
                  <m:r>
                    <w:rPr>
                      <w:rFonts w:ascii="Cambria Math" w:eastAsia="Times New Roman" w:hAnsi="Cambria Math"/>
                      <w:color w:val="000000"/>
                      <w:sz w:val="20"/>
                      <w:szCs w:val="20"/>
                    </w:rPr>
                    <m:t>χ</m:t>
                  </m:r>
                </m:e>
                <m:sub>
                  <m:r>
                    <w:rPr>
                      <w:rFonts w:ascii="Cambria Math" w:eastAsia="Times New Roman" w:hAnsi="Cambria Math"/>
                      <w:color w:val="000000"/>
                      <w:sz w:val="20"/>
                      <w:szCs w:val="20"/>
                    </w:rPr>
                    <m:t>13,0.95</m:t>
                  </m:r>
                </m:sub>
                <m:sup>
                  <m:r>
                    <w:rPr>
                      <w:rFonts w:ascii="Cambria Math" w:eastAsia="Times New Roman" w:hAnsi="Cambria Math"/>
                      <w:color w:val="000000"/>
                      <w:sz w:val="20"/>
                      <w:szCs w:val="20"/>
                    </w:rPr>
                    <m:t>2</m:t>
                  </m:r>
                </m:sup>
              </m:sSubSup>
              <m:r>
                <w:rPr>
                  <w:rFonts w:ascii="Cambria Math" w:eastAsia="Times New Roman" w:hAnsi="Cambria Math"/>
                  <w:color w:val="000000"/>
                  <w:sz w:val="20"/>
                  <w:szCs w:val="20"/>
                </w:rPr>
                <m:t>=22.36</m:t>
              </m:r>
            </m:oMath>
          </w:p>
        </w:tc>
      </w:tr>
      <w:tr w:rsidR="00226CA2" w:rsidRPr="008E07A2" w:rsidTr="00E00692">
        <w:trPr>
          <w:trHeight w:val="144"/>
          <w:jc w:val="center"/>
        </w:trPr>
        <w:tc>
          <w:tcPr>
            <w:tcW w:w="10265" w:type="dxa"/>
            <w:gridSpan w:val="6"/>
            <w:tcBorders>
              <w:top w:val="double" w:sz="6" w:space="0" w:color="auto"/>
            </w:tcBorders>
            <w:shd w:val="clear" w:color="auto" w:fill="auto"/>
            <w:vAlign w:val="center"/>
          </w:tcPr>
          <w:p w:rsidR="00226CA2" w:rsidRPr="003A58BC" w:rsidRDefault="00226CA2" w:rsidP="00226CA2">
            <w:pPr>
              <w:jc w:val="left"/>
              <w:rPr>
                <w:rFonts w:eastAsia="Times New Roman"/>
                <w:bCs/>
                <w:color w:val="000000"/>
                <w:sz w:val="19"/>
                <w:szCs w:val="19"/>
              </w:rPr>
            </w:pPr>
            <w:proofErr w:type="spellStart"/>
            <w:proofErr w:type="gramStart"/>
            <w:r w:rsidRPr="003A58BC">
              <w:rPr>
                <w:rFonts w:eastAsia="Times New Roman"/>
                <w:bCs/>
                <w:color w:val="000000"/>
                <w:sz w:val="19"/>
                <w:szCs w:val="19"/>
                <w:vertAlign w:val="superscript"/>
              </w:rPr>
              <w:t>a</w:t>
            </w:r>
            <w:proofErr w:type="spellEnd"/>
            <w:proofErr w:type="gramEnd"/>
            <w:r w:rsidR="008E07A2" w:rsidRPr="003A58BC">
              <w:rPr>
                <w:rFonts w:eastAsia="Times New Roman"/>
                <w:bCs/>
                <w:color w:val="000000"/>
                <w:sz w:val="19"/>
                <w:szCs w:val="19"/>
                <w:vertAlign w:val="superscript"/>
              </w:rPr>
              <w:t xml:space="preserve"> </w:t>
            </w:r>
            <w:r w:rsidRPr="003A58BC">
              <w:rPr>
                <w:rFonts w:eastAsia="Times New Roman"/>
                <w:bCs/>
                <w:color w:val="000000"/>
                <w:sz w:val="18"/>
                <w:szCs w:val="19"/>
              </w:rPr>
              <w:t xml:space="preserve">These parameters are not </w:t>
            </w:r>
            <w:r w:rsidR="003A58BC" w:rsidRPr="003A58BC">
              <w:rPr>
                <w:rFonts w:eastAsia="Times New Roman"/>
                <w:bCs/>
                <w:color w:val="000000"/>
                <w:sz w:val="18"/>
                <w:szCs w:val="19"/>
              </w:rPr>
              <w:t xml:space="preserve">estimated and are fixed at 0.0 </w:t>
            </w:r>
            <w:r w:rsidRPr="003A58BC">
              <w:rPr>
                <w:rFonts w:eastAsia="Times New Roman"/>
                <w:bCs/>
                <w:color w:val="000000"/>
                <w:sz w:val="18"/>
                <w:szCs w:val="19"/>
              </w:rPr>
              <w:t>(see Section 3.1.3).</w:t>
            </w:r>
          </w:p>
          <w:p w:rsidR="00062A17" w:rsidRPr="003A58BC" w:rsidRDefault="00062A17" w:rsidP="00226CA2">
            <w:pPr>
              <w:jc w:val="left"/>
              <w:rPr>
                <w:rFonts w:eastAsia="Times New Roman"/>
                <w:bCs/>
                <w:color w:val="000000"/>
                <w:sz w:val="19"/>
                <w:szCs w:val="19"/>
              </w:rPr>
            </w:pPr>
            <w:proofErr w:type="gramStart"/>
            <w:r w:rsidRPr="003A58BC">
              <w:rPr>
                <w:rFonts w:eastAsia="Times New Roman"/>
                <w:bCs/>
                <w:color w:val="000000"/>
                <w:sz w:val="19"/>
                <w:szCs w:val="19"/>
                <w:vertAlign w:val="superscript"/>
              </w:rPr>
              <w:t>b</w:t>
            </w:r>
            <w:proofErr w:type="gramEnd"/>
            <w:r w:rsidR="008E07A2" w:rsidRPr="003A58BC">
              <w:rPr>
                <w:rFonts w:eastAsia="Times New Roman"/>
                <w:bCs/>
                <w:color w:val="000000"/>
                <w:sz w:val="19"/>
                <w:szCs w:val="19"/>
                <w:vertAlign w:val="superscript"/>
              </w:rPr>
              <w:t xml:space="preserve"> </w:t>
            </w:r>
            <w:r w:rsidR="009B46C2" w:rsidRPr="003A58BC">
              <w:rPr>
                <w:rFonts w:eastAsia="Times New Roman"/>
                <w:bCs/>
                <w:color w:val="000000"/>
                <w:sz w:val="18"/>
                <w:szCs w:val="19"/>
              </w:rPr>
              <w:t>This parameter is fixed to 1.0 for identification</w:t>
            </w:r>
            <w:r w:rsidR="00E00692" w:rsidRPr="003A58BC">
              <w:rPr>
                <w:rFonts w:eastAsia="Times New Roman"/>
                <w:bCs/>
                <w:color w:val="000000"/>
                <w:sz w:val="18"/>
                <w:szCs w:val="19"/>
              </w:rPr>
              <w:t>.</w:t>
            </w:r>
          </w:p>
          <w:p w:rsidR="00226CA2" w:rsidRPr="003A58BC" w:rsidRDefault="00062A17" w:rsidP="00226CA2">
            <w:pPr>
              <w:jc w:val="left"/>
              <w:rPr>
                <w:rFonts w:eastAsia="Times New Roman"/>
                <w:bCs/>
                <w:color w:val="000000"/>
                <w:sz w:val="19"/>
                <w:szCs w:val="19"/>
              </w:rPr>
            </w:pPr>
            <w:proofErr w:type="gramStart"/>
            <w:r w:rsidRPr="003A58BC">
              <w:rPr>
                <w:rFonts w:eastAsia="Times New Roman"/>
                <w:bCs/>
                <w:color w:val="000000"/>
                <w:sz w:val="19"/>
                <w:szCs w:val="19"/>
                <w:vertAlign w:val="superscript"/>
              </w:rPr>
              <w:t>c</w:t>
            </w:r>
            <w:proofErr w:type="gramEnd"/>
            <w:r w:rsidR="008E07A2" w:rsidRPr="003A58BC">
              <w:rPr>
                <w:rFonts w:eastAsia="Times New Roman"/>
                <w:bCs/>
                <w:color w:val="000000"/>
                <w:sz w:val="19"/>
                <w:szCs w:val="19"/>
                <w:vertAlign w:val="superscript"/>
              </w:rPr>
              <w:t xml:space="preserve"> </w:t>
            </w:r>
            <w:r w:rsidR="00226CA2" w:rsidRPr="003A58BC">
              <w:rPr>
                <w:rFonts w:eastAsia="Times New Roman"/>
                <w:bCs/>
                <w:color w:val="000000"/>
                <w:sz w:val="18"/>
                <w:szCs w:val="19"/>
              </w:rPr>
              <w:t>These parameters are implicitly fixed to the value of minus infinity</w:t>
            </w:r>
            <w:r w:rsidR="00834F13" w:rsidRPr="003A58BC">
              <w:rPr>
                <w:rFonts w:eastAsia="Times New Roman"/>
                <w:bCs/>
                <w:color w:val="000000"/>
                <w:sz w:val="18"/>
                <w:szCs w:val="19"/>
              </w:rPr>
              <w:t>.</w:t>
            </w:r>
          </w:p>
          <w:p w:rsidR="00073FF4" w:rsidRPr="003A58BC" w:rsidRDefault="00073FF4" w:rsidP="00413833">
            <w:pPr>
              <w:ind w:right="-106"/>
              <w:jc w:val="left"/>
              <w:rPr>
                <w:rFonts w:eastAsia="Times New Roman"/>
                <w:color w:val="000000"/>
                <w:sz w:val="18"/>
                <w:szCs w:val="18"/>
              </w:rPr>
            </w:pPr>
            <w:proofErr w:type="gramStart"/>
            <w:r w:rsidRPr="003A58BC">
              <w:rPr>
                <w:rFonts w:eastAsia="Times New Roman"/>
                <w:bCs/>
                <w:color w:val="000000"/>
                <w:sz w:val="19"/>
                <w:szCs w:val="19"/>
                <w:vertAlign w:val="superscript"/>
              </w:rPr>
              <w:t>d</w:t>
            </w:r>
            <w:proofErr w:type="gramEnd"/>
            <w:r w:rsidRPr="003A58BC">
              <w:rPr>
                <w:rFonts w:eastAsia="Times New Roman"/>
                <w:bCs/>
                <w:color w:val="000000"/>
                <w:sz w:val="19"/>
                <w:szCs w:val="19"/>
                <w:vertAlign w:val="superscript"/>
              </w:rPr>
              <w:t xml:space="preserve"> </w:t>
            </w:r>
            <w:r w:rsidRPr="003A58BC">
              <w:rPr>
                <w:rFonts w:eastAsia="Times New Roman"/>
                <w:bCs/>
                <w:color w:val="000000"/>
                <w:sz w:val="18"/>
                <w:szCs w:val="19"/>
              </w:rPr>
              <w:t>The mean (across data sets) log-likelihood value at convergence for the FDMN-MDCP model with a two-segment mixture is -38,927.438.</w:t>
            </w:r>
          </w:p>
        </w:tc>
      </w:tr>
    </w:tbl>
    <w:p w:rsidR="008E07A2" w:rsidRDefault="008E07A2" w:rsidP="000701B3">
      <w:pPr>
        <w:jc w:val="center"/>
        <w:rPr>
          <w:b/>
        </w:rPr>
        <w:sectPr w:rsidR="008E07A2" w:rsidSect="00073FF4">
          <w:pgSz w:w="12240" w:h="15840" w:code="1"/>
          <w:pgMar w:top="1440" w:right="1440" w:bottom="1440" w:left="1440" w:header="720" w:footer="720" w:gutter="0"/>
          <w:cols w:space="720"/>
          <w:docGrid w:linePitch="360"/>
        </w:sectPr>
      </w:pPr>
    </w:p>
    <w:p w:rsidR="000701B3" w:rsidRPr="00E00692" w:rsidRDefault="00884D45" w:rsidP="00E00692">
      <w:pPr>
        <w:spacing w:after="40"/>
        <w:ind w:left="-90" w:right="-90"/>
        <w:jc w:val="center"/>
        <w:rPr>
          <w:b/>
          <w:sz w:val="22"/>
        </w:rPr>
      </w:pPr>
      <w:proofErr w:type="gramStart"/>
      <w:r>
        <w:rPr>
          <w:b/>
          <w:sz w:val="22"/>
        </w:rPr>
        <w:lastRenderedPageBreak/>
        <w:t>Table 2b.</w:t>
      </w:r>
      <w:proofErr w:type="gramEnd"/>
      <w:r w:rsidR="000701B3" w:rsidRPr="00E00692">
        <w:rPr>
          <w:b/>
          <w:sz w:val="22"/>
        </w:rPr>
        <w:t xml:space="preserve"> Effects of ignoring</w:t>
      </w:r>
      <w:r w:rsidR="000701B3" w:rsidRPr="00E00692">
        <w:rPr>
          <w:sz w:val="22"/>
        </w:rPr>
        <w:t xml:space="preserve"> </w:t>
      </w:r>
      <w:r w:rsidR="009B46C2" w:rsidRPr="00E00692">
        <w:rPr>
          <w:b/>
          <w:sz w:val="22"/>
        </w:rPr>
        <w:t>continuous heterogeneity and</w:t>
      </w:r>
      <w:r w:rsidR="009B46C2" w:rsidRPr="00E00692">
        <w:rPr>
          <w:sz w:val="22"/>
        </w:rPr>
        <w:t xml:space="preserve"> </w:t>
      </w:r>
      <w:r w:rsidR="000701B3" w:rsidRPr="00E00692">
        <w:rPr>
          <w:b/>
          <w:sz w:val="22"/>
        </w:rPr>
        <w:t xml:space="preserve">non-normality in the </w:t>
      </w:r>
      <w:r w:rsidR="00B51B8B" w:rsidRPr="00E00692">
        <w:rPr>
          <w:b/>
          <w:sz w:val="22"/>
        </w:rPr>
        <w:t>three-</w:t>
      </w:r>
      <w:r w:rsidR="00E00692" w:rsidRPr="00E00692">
        <w:rPr>
          <w:b/>
          <w:sz w:val="22"/>
        </w:rPr>
        <w:t>segment model</w:t>
      </w:r>
    </w:p>
    <w:tbl>
      <w:tblPr>
        <w:tblW w:w="10313" w:type="dxa"/>
        <w:jc w:val="center"/>
        <w:tblLayout w:type="fixed"/>
        <w:tblLook w:val="04A0" w:firstRow="1" w:lastRow="0" w:firstColumn="1" w:lastColumn="0" w:noHBand="0" w:noVBand="1"/>
      </w:tblPr>
      <w:tblGrid>
        <w:gridCol w:w="1377"/>
        <w:gridCol w:w="1701"/>
        <w:gridCol w:w="1499"/>
        <w:gridCol w:w="1936"/>
        <w:gridCol w:w="1805"/>
        <w:gridCol w:w="1995"/>
      </w:tblGrid>
      <w:tr w:rsidR="006026BC" w:rsidRPr="00E00692" w:rsidTr="00413833">
        <w:trPr>
          <w:cantSplit/>
          <w:trHeight w:val="144"/>
          <w:tblHeader/>
          <w:jc w:val="center"/>
        </w:trPr>
        <w:tc>
          <w:tcPr>
            <w:tcW w:w="1377" w:type="dxa"/>
            <w:vMerge w:val="restart"/>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6026BC" w:rsidRPr="00E00692" w:rsidRDefault="00E00692" w:rsidP="00E00692">
            <w:pPr>
              <w:jc w:val="center"/>
              <w:rPr>
                <w:rFonts w:eastAsia="Times New Roman"/>
                <w:b/>
                <w:bCs/>
                <w:color w:val="000000"/>
                <w:sz w:val="19"/>
                <w:szCs w:val="19"/>
              </w:rPr>
            </w:pPr>
            <w:r w:rsidRPr="00E00692">
              <w:rPr>
                <w:rFonts w:eastAsia="Times New Roman"/>
                <w:b/>
                <w:bCs/>
                <w:color w:val="000000"/>
                <w:sz w:val="19"/>
                <w:szCs w:val="19"/>
              </w:rPr>
              <w:t>Parameter</w:t>
            </w:r>
          </w:p>
        </w:tc>
        <w:tc>
          <w:tcPr>
            <w:tcW w:w="1701" w:type="dxa"/>
            <w:vMerge w:val="restart"/>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6026BC" w:rsidRPr="00E00692" w:rsidRDefault="006026BC" w:rsidP="000B06DF">
            <w:pPr>
              <w:jc w:val="center"/>
              <w:rPr>
                <w:rFonts w:eastAsia="Times New Roman"/>
                <w:b/>
                <w:bCs/>
                <w:color w:val="000000"/>
                <w:sz w:val="19"/>
                <w:szCs w:val="19"/>
              </w:rPr>
            </w:pPr>
            <w:r w:rsidRPr="00E00692">
              <w:rPr>
                <w:rFonts w:eastAsia="Times New Roman"/>
                <w:b/>
                <w:bCs/>
                <w:color w:val="000000"/>
                <w:sz w:val="19"/>
                <w:szCs w:val="19"/>
              </w:rPr>
              <w:t>True Value</w:t>
            </w:r>
          </w:p>
        </w:tc>
        <w:tc>
          <w:tcPr>
            <w:tcW w:w="3435" w:type="dxa"/>
            <w:gridSpan w:val="2"/>
            <w:tcBorders>
              <w:top w:val="double" w:sz="6" w:space="0" w:color="auto"/>
              <w:left w:val="nil"/>
              <w:bottom w:val="double" w:sz="6" w:space="0" w:color="auto"/>
              <w:right w:val="double" w:sz="6" w:space="0" w:color="000000"/>
            </w:tcBorders>
            <w:shd w:val="clear" w:color="auto" w:fill="auto"/>
            <w:noWrap/>
            <w:tcMar>
              <w:left w:w="58" w:type="dxa"/>
              <w:right w:w="58" w:type="dxa"/>
            </w:tcMar>
            <w:vAlign w:val="center"/>
          </w:tcPr>
          <w:p w:rsidR="006026BC" w:rsidRPr="00E00692" w:rsidRDefault="006026BC" w:rsidP="006026BC">
            <w:pPr>
              <w:jc w:val="center"/>
              <w:rPr>
                <w:rFonts w:eastAsia="Times New Roman"/>
                <w:b/>
                <w:bCs/>
                <w:color w:val="000000"/>
                <w:sz w:val="19"/>
                <w:szCs w:val="19"/>
              </w:rPr>
            </w:pPr>
            <w:r w:rsidRPr="00E00692">
              <w:rPr>
                <w:rFonts w:eastAsia="Times New Roman"/>
                <w:b/>
                <w:bCs/>
                <w:color w:val="000000"/>
                <w:sz w:val="19"/>
                <w:szCs w:val="19"/>
              </w:rPr>
              <w:t>Latent Class MDCP Model</w:t>
            </w:r>
          </w:p>
        </w:tc>
        <w:tc>
          <w:tcPr>
            <w:tcW w:w="3800" w:type="dxa"/>
            <w:gridSpan w:val="2"/>
            <w:tcBorders>
              <w:top w:val="double" w:sz="6" w:space="0" w:color="auto"/>
              <w:left w:val="nil"/>
              <w:bottom w:val="double" w:sz="6" w:space="0" w:color="auto"/>
              <w:right w:val="double" w:sz="6" w:space="0" w:color="000000"/>
            </w:tcBorders>
            <w:shd w:val="clear" w:color="auto" w:fill="auto"/>
            <w:noWrap/>
            <w:tcMar>
              <w:left w:w="58" w:type="dxa"/>
              <w:right w:w="58" w:type="dxa"/>
            </w:tcMar>
            <w:vAlign w:val="center"/>
          </w:tcPr>
          <w:p w:rsidR="006026BC" w:rsidRPr="00E00692" w:rsidRDefault="006026BC" w:rsidP="000B06DF">
            <w:pPr>
              <w:jc w:val="center"/>
              <w:rPr>
                <w:rFonts w:eastAsia="Times New Roman"/>
                <w:b/>
                <w:bCs/>
                <w:color w:val="000000"/>
                <w:sz w:val="19"/>
                <w:szCs w:val="19"/>
              </w:rPr>
            </w:pPr>
            <w:r w:rsidRPr="00E00692">
              <w:rPr>
                <w:rFonts w:eastAsia="Times New Roman"/>
                <w:b/>
                <w:bCs/>
                <w:color w:val="000000"/>
                <w:sz w:val="19"/>
                <w:szCs w:val="19"/>
              </w:rPr>
              <w:t xml:space="preserve">Random </w:t>
            </w:r>
            <w:proofErr w:type="spellStart"/>
            <w:r w:rsidRPr="00E00692">
              <w:rPr>
                <w:rFonts w:eastAsia="Times New Roman"/>
                <w:b/>
                <w:bCs/>
                <w:color w:val="000000"/>
                <w:sz w:val="19"/>
                <w:szCs w:val="19"/>
              </w:rPr>
              <w:t>Coeff</w:t>
            </w:r>
            <w:proofErr w:type="spellEnd"/>
            <w:r w:rsidRPr="00E00692">
              <w:rPr>
                <w:rFonts w:eastAsia="Times New Roman"/>
                <w:b/>
                <w:bCs/>
                <w:color w:val="000000"/>
                <w:sz w:val="19"/>
                <w:szCs w:val="19"/>
              </w:rPr>
              <w:t>. MDCP (RC-MDCP) Model</w:t>
            </w:r>
          </w:p>
        </w:tc>
      </w:tr>
      <w:tr w:rsidR="006026BC" w:rsidRPr="00E00692" w:rsidTr="00413833">
        <w:trPr>
          <w:cantSplit/>
          <w:trHeight w:val="144"/>
          <w:tblHeader/>
          <w:jc w:val="center"/>
        </w:trPr>
        <w:tc>
          <w:tcPr>
            <w:tcW w:w="1377" w:type="dxa"/>
            <w:vMerge/>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6026BC" w:rsidRPr="00E00692" w:rsidRDefault="006026BC" w:rsidP="000B06DF">
            <w:pPr>
              <w:rPr>
                <w:rFonts w:eastAsia="Times New Roman"/>
                <w:b/>
                <w:bCs/>
                <w:color w:val="000000"/>
                <w:sz w:val="19"/>
                <w:szCs w:val="19"/>
              </w:rPr>
            </w:pPr>
          </w:p>
        </w:tc>
        <w:tc>
          <w:tcPr>
            <w:tcW w:w="1701" w:type="dxa"/>
            <w:vMerge/>
            <w:tcBorders>
              <w:top w:val="double" w:sz="6" w:space="0" w:color="auto"/>
              <w:left w:val="double" w:sz="6" w:space="0" w:color="auto"/>
              <w:bottom w:val="double" w:sz="6" w:space="0" w:color="000000"/>
              <w:right w:val="double" w:sz="6" w:space="0" w:color="auto"/>
            </w:tcBorders>
            <w:tcMar>
              <w:left w:w="58" w:type="dxa"/>
              <w:right w:w="58" w:type="dxa"/>
            </w:tcMar>
            <w:vAlign w:val="center"/>
          </w:tcPr>
          <w:p w:rsidR="006026BC" w:rsidRPr="00E00692" w:rsidRDefault="006026BC" w:rsidP="000B06DF">
            <w:pPr>
              <w:rPr>
                <w:rFonts w:eastAsia="Times New Roman"/>
                <w:b/>
                <w:bCs/>
                <w:color w:val="000000"/>
                <w:sz w:val="19"/>
                <w:szCs w:val="19"/>
              </w:rPr>
            </w:pPr>
          </w:p>
        </w:tc>
        <w:tc>
          <w:tcPr>
            <w:tcW w:w="1499" w:type="dxa"/>
            <w:tcBorders>
              <w:top w:val="nil"/>
              <w:left w:val="nil"/>
              <w:bottom w:val="double" w:sz="6" w:space="0" w:color="auto"/>
              <w:right w:val="single" w:sz="4" w:space="0" w:color="auto"/>
            </w:tcBorders>
            <w:shd w:val="clear" w:color="auto" w:fill="auto"/>
            <w:tcMar>
              <w:left w:w="58" w:type="dxa"/>
              <w:right w:w="58" w:type="dxa"/>
            </w:tcMar>
            <w:vAlign w:val="center"/>
          </w:tcPr>
          <w:p w:rsidR="006026BC" w:rsidRPr="00E00692" w:rsidRDefault="006026BC" w:rsidP="000B06DF">
            <w:pPr>
              <w:jc w:val="center"/>
              <w:rPr>
                <w:rFonts w:eastAsia="Times New Roman"/>
                <w:b/>
                <w:bCs/>
                <w:color w:val="000000"/>
                <w:sz w:val="19"/>
                <w:szCs w:val="19"/>
              </w:rPr>
            </w:pPr>
            <w:r w:rsidRPr="00E00692">
              <w:rPr>
                <w:rFonts w:eastAsia="Times New Roman"/>
                <w:b/>
                <w:bCs/>
                <w:color w:val="000000"/>
                <w:sz w:val="19"/>
                <w:szCs w:val="19"/>
              </w:rPr>
              <w:t>Mean Estimate</w:t>
            </w:r>
          </w:p>
        </w:tc>
        <w:tc>
          <w:tcPr>
            <w:tcW w:w="1936" w:type="dxa"/>
            <w:tcBorders>
              <w:top w:val="nil"/>
              <w:left w:val="nil"/>
              <w:bottom w:val="double" w:sz="6" w:space="0" w:color="auto"/>
              <w:right w:val="double" w:sz="6" w:space="0" w:color="auto"/>
            </w:tcBorders>
            <w:shd w:val="clear" w:color="auto" w:fill="auto"/>
            <w:tcMar>
              <w:left w:w="58" w:type="dxa"/>
              <w:right w:w="58" w:type="dxa"/>
            </w:tcMar>
            <w:vAlign w:val="center"/>
          </w:tcPr>
          <w:p w:rsidR="006026BC" w:rsidRPr="00E00692" w:rsidRDefault="006026BC" w:rsidP="000B06DF">
            <w:pPr>
              <w:jc w:val="center"/>
              <w:rPr>
                <w:rFonts w:eastAsia="Times New Roman"/>
                <w:b/>
                <w:bCs/>
                <w:color w:val="000000"/>
                <w:sz w:val="19"/>
                <w:szCs w:val="19"/>
              </w:rPr>
            </w:pPr>
            <w:r w:rsidRPr="00E00692">
              <w:rPr>
                <w:rFonts w:eastAsia="Times New Roman"/>
                <w:b/>
                <w:bCs/>
                <w:color w:val="000000"/>
                <w:sz w:val="19"/>
                <w:szCs w:val="19"/>
              </w:rPr>
              <w:t>Absolute Percentage Bias (APB)</w:t>
            </w:r>
          </w:p>
        </w:tc>
        <w:tc>
          <w:tcPr>
            <w:tcW w:w="1805" w:type="dxa"/>
            <w:tcBorders>
              <w:top w:val="nil"/>
              <w:left w:val="nil"/>
              <w:bottom w:val="double" w:sz="6" w:space="0" w:color="auto"/>
              <w:right w:val="single" w:sz="4" w:space="0" w:color="auto"/>
            </w:tcBorders>
            <w:shd w:val="clear" w:color="auto" w:fill="auto"/>
            <w:tcMar>
              <w:left w:w="58" w:type="dxa"/>
              <w:right w:w="58" w:type="dxa"/>
            </w:tcMar>
            <w:vAlign w:val="center"/>
          </w:tcPr>
          <w:p w:rsidR="006026BC" w:rsidRPr="00E00692" w:rsidRDefault="006026BC" w:rsidP="000B06DF">
            <w:pPr>
              <w:jc w:val="center"/>
              <w:rPr>
                <w:rFonts w:eastAsia="Times New Roman"/>
                <w:b/>
                <w:bCs/>
                <w:color w:val="000000"/>
                <w:sz w:val="19"/>
                <w:szCs w:val="19"/>
              </w:rPr>
            </w:pPr>
            <w:r w:rsidRPr="00E00692">
              <w:rPr>
                <w:rFonts w:eastAsia="Times New Roman"/>
                <w:b/>
                <w:bCs/>
                <w:color w:val="000000"/>
                <w:sz w:val="19"/>
                <w:szCs w:val="19"/>
              </w:rPr>
              <w:t>Mean Estimate</w:t>
            </w:r>
          </w:p>
        </w:tc>
        <w:tc>
          <w:tcPr>
            <w:tcW w:w="1995" w:type="dxa"/>
            <w:tcBorders>
              <w:top w:val="nil"/>
              <w:left w:val="nil"/>
              <w:bottom w:val="double" w:sz="6" w:space="0" w:color="auto"/>
              <w:right w:val="double" w:sz="6" w:space="0" w:color="auto"/>
            </w:tcBorders>
            <w:shd w:val="clear" w:color="auto" w:fill="auto"/>
            <w:tcMar>
              <w:left w:w="58" w:type="dxa"/>
              <w:right w:w="58" w:type="dxa"/>
            </w:tcMar>
            <w:vAlign w:val="center"/>
          </w:tcPr>
          <w:p w:rsidR="006026BC" w:rsidRPr="00E00692" w:rsidRDefault="006026BC" w:rsidP="000B06DF">
            <w:pPr>
              <w:jc w:val="center"/>
              <w:rPr>
                <w:rFonts w:eastAsia="Times New Roman"/>
                <w:b/>
                <w:bCs/>
                <w:color w:val="000000"/>
                <w:sz w:val="19"/>
                <w:szCs w:val="19"/>
              </w:rPr>
            </w:pPr>
            <w:r w:rsidRPr="00E00692">
              <w:rPr>
                <w:rFonts w:eastAsia="Times New Roman"/>
                <w:b/>
                <w:bCs/>
                <w:color w:val="000000"/>
                <w:sz w:val="19"/>
                <w:szCs w:val="19"/>
              </w:rPr>
              <w:t>Absolute Percentage Bias (APB)</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300" w:dyaOrig="360" w14:anchorId="669120F7">
                <v:shape id="_x0000_i1508" type="#_x0000_t75" style="width:12.75pt;height:15.75pt" o:ole="" o:preferrelative="f">
                  <v:imagedata r:id="rId825" o:title=""/>
                </v:shape>
                <o:OLEObject Type="Embed" ProgID="Equation.3" ShapeID="_x0000_i1508" DrawAspect="Content" ObjectID="_1519137357" r:id="rId913"/>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1.000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1.543</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54.3%</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1.738</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73.8%</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300" w:dyaOrig="360" w14:anchorId="7534BB6F">
                <v:shape id="_x0000_i1509" type="#_x0000_t75" style="width:12.75pt;height:15.75pt" o:ole="" o:preferrelative="f">
                  <v:imagedata r:id="rId827" o:title=""/>
                </v:shape>
                <o:OLEObject Type="Embed" ProgID="Equation.3" ShapeID="_x0000_i1509" DrawAspect="Content" ObjectID="_1519137358" r:id="rId914"/>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2.000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1.276</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36.2%</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1.277</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36.1%</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2"/>
                <w:sz w:val="19"/>
                <w:szCs w:val="19"/>
              </w:rPr>
              <w:object w:dxaOrig="300" w:dyaOrig="380" w14:anchorId="5219743A">
                <v:shape id="_x0000_i1510" type="#_x0000_t75" style="width:12.75pt;height:15.75pt" o:ole="" o:preferrelative="f">
                  <v:imagedata r:id="rId829" o:title=""/>
                </v:shape>
                <o:OLEObject Type="Embed" ProgID="Equation.3" ShapeID="_x0000_i1510" DrawAspect="Content" ObjectID="_1519137359" r:id="rId915"/>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0.600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0.320</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46.7%</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0.246</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59.0%</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320" w:dyaOrig="360" w14:anchorId="712D68AC">
                <v:shape id="_x0000_i1511" type="#_x0000_t75" style="width:14.25pt;height:15.75pt" o:ole="" o:preferrelative="f">
                  <v:imagedata r:id="rId831" o:title=""/>
                </v:shape>
                <o:OLEObject Type="Embed" ProgID="Equation.3" ShapeID="_x0000_i1511" DrawAspect="Content" ObjectID="_1519137360" r:id="rId916"/>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2.000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1.652</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17.4%</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1.738</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13.1%</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320" w:dyaOrig="360" w14:anchorId="2F8C3BAD">
                <v:shape id="_x0000_i1512" type="#_x0000_t75" style="width:14.25pt;height:15.75pt" o:ole="" o:preferrelative="f">
                  <v:imagedata r:id="rId833" o:title=""/>
                </v:shape>
                <o:OLEObject Type="Embed" ProgID="Equation.3" ShapeID="_x0000_i1512" DrawAspect="Content" ObjectID="_1519137361" r:id="rId917"/>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1.500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1.724</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14.9%</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1.277</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14.9%</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2"/>
                <w:sz w:val="19"/>
                <w:szCs w:val="19"/>
              </w:rPr>
              <w:object w:dxaOrig="320" w:dyaOrig="380" w14:anchorId="1795DD4A">
                <v:shape id="_x0000_i1513" type="#_x0000_t75" style="width:14.25pt;height:15.75pt" o:ole="" o:preferrelative="f">
                  <v:imagedata r:id="rId835" o:title=""/>
                </v:shape>
                <o:OLEObject Type="Embed" ProgID="Equation.3" ShapeID="_x0000_i1513" DrawAspect="Content" ObjectID="_1519137362" r:id="rId918"/>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0.200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0.102</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49.0%</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0.246</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23.1%</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2"/>
                <w:sz w:val="19"/>
                <w:szCs w:val="19"/>
              </w:rPr>
              <w:object w:dxaOrig="300" w:dyaOrig="380" w14:anchorId="09126521">
                <v:shape id="_x0000_i1514" type="#_x0000_t75" style="width:12.75pt;height:15.75pt" o:ole="" o:preferrelative="f">
                  <v:imagedata r:id="rId837" o:title=""/>
                </v:shape>
                <o:OLEObject Type="Embed" ProgID="Equation.3" ShapeID="_x0000_i1514" DrawAspect="Content" ObjectID="_1519137363" r:id="rId919"/>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3.000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1.592</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46.9%</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1.738</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42.1%</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2"/>
                <w:sz w:val="19"/>
                <w:szCs w:val="19"/>
              </w:rPr>
              <w:object w:dxaOrig="320" w:dyaOrig="380" w14:anchorId="1D9AA9D2">
                <v:shape id="_x0000_i1515" type="#_x0000_t75" style="width:14.25pt;height:15.75pt" o:ole="" o:preferrelative="f">
                  <v:imagedata r:id="rId839" o:title=""/>
                </v:shape>
                <o:OLEObject Type="Embed" ProgID="Equation.3" ShapeID="_x0000_i1515" DrawAspect="Content" ObjectID="_1519137364" r:id="rId920"/>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1.300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1.035</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20.4%</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1.277</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1.8%</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2"/>
                <w:sz w:val="19"/>
                <w:szCs w:val="19"/>
              </w:rPr>
              <w:object w:dxaOrig="320" w:dyaOrig="380" w14:anchorId="0D32FC39">
                <v:shape id="_x0000_i1516" type="#_x0000_t75" style="width:14.25pt;height:15.75pt" o:ole="" o:preferrelative="f">
                  <v:imagedata r:id="rId841" o:title=""/>
                </v:shape>
                <o:OLEObject Type="Embed" ProgID="Equation.3" ShapeID="_x0000_i1516" DrawAspect="Content" ObjectID="_1519137365" r:id="rId921"/>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0.300</w:t>
            </w:r>
          </w:p>
        </w:tc>
        <w:tc>
          <w:tcPr>
            <w:tcW w:w="1499" w:type="dxa"/>
            <w:tcBorders>
              <w:top w:val="nil"/>
              <w:left w:val="nil"/>
              <w:bottom w:val="nil"/>
              <w:right w:val="nil"/>
            </w:tcBorders>
            <w:shd w:val="clear" w:color="auto" w:fill="auto"/>
            <w:noWrap/>
            <w:vAlign w:val="center"/>
          </w:tcPr>
          <w:p w:rsidR="00E00692" w:rsidRPr="00E00692" w:rsidRDefault="00E00692" w:rsidP="000B06DF">
            <w:pPr>
              <w:jc w:val="center"/>
              <w:rPr>
                <w:sz w:val="19"/>
                <w:szCs w:val="19"/>
              </w:rPr>
            </w:pPr>
            <w:r w:rsidRPr="00E00692">
              <w:rPr>
                <w:sz w:val="19"/>
                <w:szCs w:val="19"/>
              </w:rPr>
              <w:t>0.472</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57.3%</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0.246</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17.9%</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6"/>
                <w:sz w:val="19"/>
                <w:szCs w:val="19"/>
              </w:rPr>
              <w:object w:dxaOrig="279" w:dyaOrig="340" w14:anchorId="1EC576BB">
                <v:shape id="_x0000_i1517" type="#_x0000_t75" style="width:12pt;height:15pt" o:ole="" o:preferrelative="f">
                  <v:imagedata r:id="rId843" o:title=""/>
                </v:shape>
                <o:OLEObject Type="Embed" ProgID="Equation.3" ShapeID="_x0000_i1517" DrawAspect="Content" ObjectID="_1519137366" r:id="rId922"/>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0.500</w:t>
            </w:r>
          </w:p>
        </w:tc>
        <w:tc>
          <w:tcPr>
            <w:tcW w:w="1499" w:type="dxa"/>
            <w:tcBorders>
              <w:top w:val="nil"/>
              <w:left w:val="nil"/>
              <w:bottom w:val="nil"/>
              <w:right w:val="nil"/>
            </w:tcBorders>
            <w:shd w:val="clear" w:color="auto" w:fill="auto"/>
            <w:noWrap/>
            <w:vAlign w:val="center"/>
          </w:tcPr>
          <w:p w:rsidR="00E00692" w:rsidRPr="00E00692" w:rsidRDefault="00E00692" w:rsidP="000B06DF">
            <w:pPr>
              <w:jc w:val="center"/>
              <w:rPr>
                <w:sz w:val="19"/>
                <w:szCs w:val="19"/>
              </w:rPr>
            </w:pPr>
            <w:r w:rsidRPr="00E00692">
              <w:rPr>
                <w:sz w:val="19"/>
                <w:szCs w:val="19"/>
              </w:rPr>
              <w:t>0.366</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26.8%</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0.418</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16.4%</w:t>
            </w:r>
          </w:p>
        </w:tc>
      </w:tr>
      <w:tr w:rsidR="00E00692" w:rsidRPr="00E00692" w:rsidTr="00413833">
        <w:trPr>
          <w:cantSplit/>
          <w:trHeight w:val="144"/>
          <w:jc w:val="center"/>
        </w:trPr>
        <w:tc>
          <w:tcPr>
            <w:tcW w:w="1377" w:type="dxa"/>
            <w:tcBorders>
              <w:top w:val="nil"/>
              <w:left w:val="double" w:sz="6" w:space="0" w:color="auto"/>
              <w:right w:val="double" w:sz="6" w:space="0" w:color="auto"/>
            </w:tcBorders>
            <w:shd w:val="clear" w:color="auto" w:fill="auto"/>
            <w:noWrap/>
            <w:vAlign w:val="center"/>
          </w:tcPr>
          <w:p w:rsidR="00E00692" w:rsidRPr="00E00692" w:rsidRDefault="00E00692" w:rsidP="008F1C54">
            <w:pPr>
              <w:jc w:val="center"/>
              <w:rPr>
                <w:rFonts w:eastAsia="Times New Roman"/>
                <w:i/>
                <w:color w:val="000000"/>
                <w:sz w:val="19"/>
                <w:szCs w:val="19"/>
              </w:rPr>
            </w:pPr>
            <w:r w:rsidRPr="00E00692">
              <w:rPr>
                <w:position w:val="-10"/>
                <w:sz w:val="19"/>
                <w:szCs w:val="19"/>
              </w:rPr>
              <w:object w:dxaOrig="520" w:dyaOrig="360" w14:anchorId="01685318">
                <v:shape id="_x0000_i1518" type="#_x0000_t75" style="width:21.75pt;height:15pt" o:ole="" o:preferrelative="f">
                  <v:imagedata r:id="rId845" o:title=""/>
                </v:shape>
                <o:OLEObject Type="Embed" ProgID="Equation.3" ShapeID="_x0000_i1518" DrawAspect="Content" ObjectID="_1519137367" r:id="rId923"/>
              </w:object>
            </w:r>
          </w:p>
        </w:tc>
        <w:tc>
          <w:tcPr>
            <w:tcW w:w="1701" w:type="dxa"/>
            <w:tcBorders>
              <w:top w:val="nil"/>
              <w:left w:val="nil"/>
              <w:right w:val="double" w:sz="6"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0.500</w:t>
            </w:r>
          </w:p>
        </w:tc>
        <w:tc>
          <w:tcPr>
            <w:tcW w:w="1499" w:type="dxa"/>
            <w:tcBorders>
              <w:top w:val="nil"/>
              <w:left w:val="nil"/>
              <w:right w:val="nil"/>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0.411</w:t>
            </w:r>
          </w:p>
        </w:tc>
        <w:tc>
          <w:tcPr>
            <w:tcW w:w="1936" w:type="dxa"/>
            <w:tcBorders>
              <w:top w:val="nil"/>
              <w:left w:val="single" w:sz="4" w:space="0" w:color="auto"/>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17.8%</w:t>
            </w:r>
          </w:p>
        </w:tc>
        <w:tc>
          <w:tcPr>
            <w:tcW w:w="1805" w:type="dxa"/>
            <w:tcBorders>
              <w:top w:val="nil"/>
              <w:left w:val="double" w:sz="4" w:space="0" w:color="auto"/>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0.063</w:t>
            </w:r>
          </w:p>
        </w:tc>
        <w:tc>
          <w:tcPr>
            <w:tcW w:w="1995" w:type="dxa"/>
            <w:tcBorders>
              <w:top w:val="nil"/>
              <w:left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87.4%</w:t>
            </w:r>
          </w:p>
        </w:tc>
      </w:tr>
      <w:tr w:rsidR="00E00692" w:rsidRPr="00E00692" w:rsidTr="00413833">
        <w:trPr>
          <w:cantSplit/>
          <w:trHeight w:val="144"/>
          <w:jc w:val="center"/>
        </w:trPr>
        <w:tc>
          <w:tcPr>
            <w:tcW w:w="1377" w:type="dxa"/>
            <w:tcBorders>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i/>
                <w:color w:val="000000"/>
                <w:sz w:val="19"/>
                <w:szCs w:val="19"/>
              </w:rPr>
            </w:pPr>
            <w:r w:rsidRPr="00E00692">
              <w:rPr>
                <w:position w:val="-10"/>
                <w:sz w:val="19"/>
                <w:szCs w:val="19"/>
              </w:rPr>
              <w:object w:dxaOrig="499" w:dyaOrig="360" w14:anchorId="6821DAB7">
                <v:shape id="_x0000_i1519" type="#_x0000_t75" style="width:21.75pt;height:15pt" o:ole="" o:preferrelative="f">
                  <v:imagedata r:id="rId847" o:title=""/>
                </v:shape>
                <o:OLEObject Type="Embed" ProgID="Equation.3" ShapeID="_x0000_i1519" DrawAspect="Content" ObjectID="_1519137368" r:id="rId924"/>
              </w:object>
            </w:r>
          </w:p>
        </w:tc>
        <w:tc>
          <w:tcPr>
            <w:tcW w:w="1701" w:type="dxa"/>
            <w:tcBorders>
              <w:left w:val="nil"/>
              <w:bottom w:val="nil"/>
              <w:right w:val="double" w:sz="6"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0.866</w:t>
            </w:r>
          </w:p>
        </w:tc>
        <w:tc>
          <w:tcPr>
            <w:tcW w:w="1499" w:type="dxa"/>
            <w:tcBorders>
              <w:left w:val="nil"/>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0.599</w:t>
            </w:r>
          </w:p>
        </w:tc>
        <w:tc>
          <w:tcPr>
            <w:tcW w:w="1936" w:type="dxa"/>
            <w:tcBorders>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30.8%</w:t>
            </w:r>
          </w:p>
        </w:tc>
        <w:tc>
          <w:tcPr>
            <w:tcW w:w="1805" w:type="dxa"/>
            <w:tcBorders>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0.926</w:t>
            </w:r>
          </w:p>
        </w:tc>
        <w:tc>
          <w:tcPr>
            <w:tcW w:w="1995" w:type="dxa"/>
            <w:tcBorders>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6.9%</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i/>
                <w:color w:val="000000"/>
                <w:sz w:val="19"/>
                <w:szCs w:val="19"/>
              </w:rPr>
            </w:pPr>
            <w:r w:rsidRPr="00E00692">
              <w:rPr>
                <w:position w:val="-10"/>
                <w:sz w:val="19"/>
                <w:szCs w:val="19"/>
              </w:rPr>
              <w:object w:dxaOrig="520" w:dyaOrig="360" w14:anchorId="5C9461AE">
                <v:shape id="_x0000_i1520" type="#_x0000_t75" style="width:21.75pt;height:15pt" o:ole="" o:preferrelative="f">
                  <v:imagedata r:id="rId849" o:title=""/>
                </v:shape>
                <o:OLEObject Type="Embed" ProgID="Equation.3" ShapeID="_x0000_i1520" DrawAspect="Content" ObjectID="_1519137369" r:id="rId925"/>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E56108">
            <w:pPr>
              <w:jc w:val="center"/>
              <w:rPr>
                <w:color w:val="000000"/>
                <w:sz w:val="19"/>
                <w:szCs w:val="19"/>
              </w:rPr>
            </w:pPr>
            <w:r w:rsidRPr="00E00692">
              <w:rPr>
                <w:color w:val="000000"/>
                <w:sz w:val="19"/>
                <w:szCs w:val="19"/>
              </w:rPr>
              <w:t>0.700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w:t>
            </w:r>
            <w:r w:rsidRPr="00E00692">
              <w:rPr>
                <w:color w:val="000000"/>
                <w:sz w:val="19"/>
                <w:szCs w:val="19"/>
                <w:vertAlign w:val="superscript"/>
              </w:rPr>
              <w:t>a</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E56108">
            <w:pPr>
              <w:jc w:val="center"/>
              <w:rPr>
                <w:color w:val="000000"/>
                <w:sz w:val="19"/>
                <w:szCs w:val="19"/>
              </w:rPr>
            </w:pPr>
            <w:r w:rsidRPr="00E00692">
              <w:rPr>
                <w:color w:val="000000"/>
                <w:sz w:val="19"/>
                <w:szCs w:val="19"/>
              </w:rPr>
              <w:t>0.322</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54.0%</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i/>
                <w:color w:val="000000"/>
                <w:sz w:val="19"/>
                <w:szCs w:val="19"/>
              </w:rPr>
            </w:pPr>
            <w:r w:rsidRPr="00E00692">
              <w:rPr>
                <w:position w:val="-10"/>
                <w:sz w:val="19"/>
                <w:szCs w:val="19"/>
              </w:rPr>
              <w:object w:dxaOrig="499" w:dyaOrig="360" w14:anchorId="5A6CC72B">
                <v:shape id="_x0000_i1521" type="#_x0000_t75" style="width:21.75pt;height:15pt" o:ole="" o:preferrelative="f">
                  <v:imagedata r:id="rId851" o:title=""/>
                </v:shape>
                <o:OLEObject Type="Embed" ProgID="Equation.3" ShapeID="_x0000_i1521" DrawAspect="Content" ObjectID="_1519137370" r:id="rId926"/>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0.519</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w:t>
            </w:r>
            <w:r w:rsidRPr="00E00692">
              <w:rPr>
                <w:color w:val="000000"/>
                <w:sz w:val="19"/>
                <w:szCs w:val="19"/>
                <w:vertAlign w:val="superscript"/>
              </w:rPr>
              <w:t xml:space="preserve"> a</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0.618</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19.1%</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i/>
                <w:color w:val="000000"/>
                <w:sz w:val="19"/>
                <w:szCs w:val="19"/>
              </w:rPr>
            </w:pPr>
            <w:r w:rsidRPr="00E00692">
              <w:rPr>
                <w:position w:val="-10"/>
                <w:sz w:val="19"/>
                <w:szCs w:val="19"/>
              </w:rPr>
              <w:object w:dxaOrig="499" w:dyaOrig="360" w14:anchorId="193954A4">
                <v:shape id="_x0000_i1522" type="#_x0000_t75" style="width:21.75pt;height:15pt" o:ole="" o:preferrelative="f">
                  <v:imagedata r:id="rId853" o:title=""/>
                </v:shape>
                <o:OLEObject Type="Embed" ProgID="Equation.3" ShapeID="_x0000_i1522" DrawAspect="Content" ObjectID="_1519137371" r:id="rId927"/>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0.374</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w:t>
            </w:r>
            <w:r w:rsidRPr="00E00692">
              <w:rPr>
                <w:color w:val="000000"/>
                <w:sz w:val="19"/>
                <w:szCs w:val="19"/>
                <w:vertAlign w:val="superscript"/>
              </w:rPr>
              <w:t xml:space="preserve"> a</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0.546</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46.1%</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499" w:dyaOrig="360" w14:anchorId="4E38DD9A">
                <v:shape id="_x0000_i1523" type="#_x0000_t75" style="width:21.75pt;height:15pt" o:ole="" o:preferrelative="f">
                  <v:imagedata r:id="rId855" o:title=""/>
                </v:shape>
                <o:OLEObject Type="Embed" ProgID="Equation.3" ShapeID="_x0000_i1523" DrawAspect="Content" ObjectID="_1519137372" r:id="rId928"/>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0.900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0.724</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19.6%</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vertAlign w:val="superscript"/>
              </w:rPr>
            </w:pPr>
            <w:r w:rsidRPr="00E00692">
              <w:rPr>
                <w:color w:val="000000"/>
                <w:sz w:val="19"/>
                <w:szCs w:val="19"/>
              </w:rPr>
              <w:t>--</w:t>
            </w:r>
            <w:r w:rsidRPr="00E00692">
              <w:rPr>
                <w:color w:val="000000"/>
                <w:sz w:val="19"/>
                <w:szCs w:val="19"/>
                <w:vertAlign w:val="superscript"/>
              </w:rPr>
              <w:t>b</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540" w:dyaOrig="360" w14:anchorId="149395F0">
                <v:shape id="_x0000_i1524" type="#_x0000_t75" style="width:22.5pt;height:15pt" o:ole="" o:preferrelative="f">
                  <v:imagedata r:id="rId857" o:title=""/>
                </v:shape>
                <o:OLEObject Type="Embed" ProgID="Equation.3" ShapeID="_x0000_i1524" DrawAspect="Content" ObjectID="_1519137373" r:id="rId929"/>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0.600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0.326</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45.7%</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0.063</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89.5%</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520" w:dyaOrig="360" w14:anchorId="7CF6CA2B">
                <v:shape id="_x0000_i1525" type="#_x0000_t75" style="width:21.75pt;height:15pt" o:ole="" o:preferrelative="f">
                  <v:imagedata r:id="rId859" o:title=""/>
                </v:shape>
                <o:OLEObject Type="Embed" ProgID="Equation.3" ShapeID="_x0000_i1525" DrawAspect="Content" ObjectID="_1519137374" r:id="rId930"/>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0.800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0.598</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25.3%</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0.322</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59.7%</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520" w:dyaOrig="360" w14:anchorId="599BA666">
                <v:shape id="_x0000_i1526" type="#_x0000_t75" style="width:21.75pt;height:15pt" o:ole="" o:preferrelative="f">
                  <v:imagedata r:id="rId861" o:title=""/>
                </v:shape>
                <o:OLEObject Type="Embed" ProgID="Equation.3" ShapeID="_x0000_i1526" DrawAspect="Content" ObjectID="_1519137375" r:id="rId931"/>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0.800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w:t>
            </w:r>
            <w:r w:rsidRPr="00E00692">
              <w:rPr>
                <w:color w:val="000000"/>
                <w:sz w:val="19"/>
                <w:szCs w:val="19"/>
                <w:vertAlign w:val="superscript"/>
              </w:rPr>
              <w:t xml:space="preserve"> a</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0.926</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15.7%</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520" w:dyaOrig="360" w14:anchorId="43D74917">
                <v:shape id="_x0000_i1527" type="#_x0000_t75" style="width:21.75pt;height:15pt" o:ole="" o:preferrelative="f">
                  <v:imagedata r:id="rId863" o:title=""/>
                </v:shape>
                <o:OLEObject Type="Embed" ProgID="Equation.3" ShapeID="_x0000_i1527" DrawAspect="Content" ObjectID="_1519137376" r:id="rId932"/>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0.400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w:t>
            </w:r>
            <w:r w:rsidRPr="00E00692">
              <w:rPr>
                <w:color w:val="000000"/>
                <w:sz w:val="19"/>
                <w:szCs w:val="19"/>
                <w:vertAlign w:val="superscript"/>
              </w:rPr>
              <w:t xml:space="preserve"> a</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0.618</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54.5%</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520" w:dyaOrig="360" w14:anchorId="08E18992">
                <v:shape id="_x0000_i1528" type="#_x0000_t75" style="width:21.75pt;height:15pt" o:ole="" o:preferrelative="f">
                  <v:imagedata r:id="rId865" o:title=""/>
                </v:shape>
                <o:OLEObject Type="Embed" ProgID="Equation.3" ShapeID="_x0000_i1528" DrawAspect="Content" ObjectID="_1519137377" r:id="rId933"/>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0.300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w:t>
            </w:r>
            <w:r w:rsidRPr="00E00692">
              <w:rPr>
                <w:color w:val="000000"/>
                <w:sz w:val="19"/>
                <w:szCs w:val="19"/>
                <w:vertAlign w:val="superscript"/>
              </w:rPr>
              <w:t xml:space="preserve"> a</w:t>
            </w:r>
          </w:p>
        </w:tc>
        <w:tc>
          <w:tcPr>
            <w:tcW w:w="1936"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0.546</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82.1%</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499" w:dyaOrig="360" w14:anchorId="4AC80FCA">
                <v:shape id="_x0000_i1529" type="#_x0000_t75" style="width:21.75pt;height:15pt" o:ole="" o:preferrelative="f">
                  <v:imagedata r:id="rId867" o:title=""/>
                </v:shape>
                <o:OLEObject Type="Embed" ProgID="Equation.3" ShapeID="_x0000_i1529" DrawAspect="Content" ObjectID="_1519137378" r:id="rId934"/>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2.000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1.396</w:t>
            </w:r>
          </w:p>
        </w:tc>
        <w:tc>
          <w:tcPr>
            <w:tcW w:w="1936"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30.2%</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vertAlign w:val="superscript"/>
              </w:rPr>
            </w:pPr>
            <w:r w:rsidRPr="00E00692">
              <w:rPr>
                <w:color w:val="000000"/>
                <w:sz w:val="19"/>
                <w:szCs w:val="19"/>
              </w:rPr>
              <w:t>--</w:t>
            </w:r>
            <w:r w:rsidRPr="00E00692">
              <w:rPr>
                <w:color w:val="000000"/>
                <w:sz w:val="19"/>
                <w:szCs w:val="19"/>
                <w:vertAlign w:val="superscript"/>
              </w:rPr>
              <w:t>b</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520" w:dyaOrig="360" w14:anchorId="7B3E495A">
                <v:shape id="_x0000_i1530" type="#_x0000_t75" style="width:21.75pt;height:15pt" o:ole="" o:preferrelative="f">
                  <v:imagedata r:id="rId869" o:title=""/>
                </v:shape>
                <o:OLEObject Type="Embed" ProgID="Equation.3" ShapeID="_x0000_i1530" DrawAspect="Content" ObjectID="_1519137379" r:id="rId935"/>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0.500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0.398</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20.4%</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0.063</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87.4%</w:t>
            </w:r>
          </w:p>
        </w:tc>
      </w:tr>
      <w:tr w:rsidR="00E00692" w:rsidRPr="00E00692" w:rsidTr="00413833">
        <w:trPr>
          <w:cantSplit/>
          <w:trHeight w:val="144"/>
          <w:jc w:val="center"/>
        </w:trPr>
        <w:tc>
          <w:tcPr>
            <w:tcW w:w="1377" w:type="dxa"/>
            <w:tcBorders>
              <w:top w:val="nil"/>
              <w:left w:val="double" w:sz="6" w:space="0" w:color="auto"/>
              <w:bottom w:val="nil"/>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520" w:dyaOrig="360" w14:anchorId="15E94A00">
                <v:shape id="_x0000_i1531" type="#_x0000_t75" style="width:21.75pt;height:15pt" o:ole="" o:preferrelative="f">
                  <v:imagedata r:id="rId871" o:title=""/>
                </v:shape>
                <o:OLEObject Type="Embed" ProgID="Equation.3" ShapeID="_x0000_i1531" DrawAspect="Content" ObjectID="_1519137380" r:id="rId936"/>
              </w:object>
            </w:r>
          </w:p>
        </w:tc>
        <w:tc>
          <w:tcPr>
            <w:tcW w:w="1701" w:type="dxa"/>
            <w:tcBorders>
              <w:top w:val="nil"/>
              <w:left w:val="nil"/>
              <w:bottom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1.000</w:t>
            </w:r>
          </w:p>
        </w:tc>
        <w:tc>
          <w:tcPr>
            <w:tcW w:w="1499" w:type="dxa"/>
            <w:tcBorders>
              <w:top w:val="nil"/>
              <w:left w:val="nil"/>
              <w:bottom w:val="nil"/>
              <w:right w:val="single" w:sz="4"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0.733</w:t>
            </w:r>
          </w:p>
        </w:tc>
        <w:tc>
          <w:tcPr>
            <w:tcW w:w="1936" w:type="dxa"/>
            <w:tcBorders>
              <w:top w:val="nil"/>
              <w:left w:val="single" w:sz="4" w:space="0" w:color="auto"/>
              <w:bottom w:val="nil"/>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26.7%</w:t>
            </w:r>
          </w:p>
        </w:tc>
        <w:tc>
          <w:tcPr>
            <w:tcW w:w="1805" w:type="dxa"/>
            <w:tcBorders>
              <w:top w:val="nil"/>
              <w:left w:val="double" w:sz="4" w:space="0" w:color="auto"/>
              <w:bottom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0.322</w:t>
            </w:r>
          </w:p>
        </w:tc>
        <w:tc>
          <w:tcPr>
            <w:tcW w:w="1995" w:type="dxa"/>
            <w:tcBorders>
              <w:top w:val="nil"/>
              <w:left w:val="nil"/>
              <w:bottom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67.8%</w:t>
            </w:r>
          </w:p>
        </w:tc>
      </w:tr>
      <w:tr w:rsidR="00E00692" w:rsidRPr="00E00692" w:rsidTr="00413833">
        <w:trPr>
          <w:cantSplit/>
          <w:trHeight w:val="144"/>
          <w:jc w:val="center"/>
        </w:trPr>
        <w:tc>
          <w:tcPr>
            <w:tcW w:w="1377" w:type="dxa"/>
            <w:tcBorders>
              <w:top w:val="nil"/>
              <w:left w:val="double" w:sz="6" w:space="0" w:color="auto"/>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520" w:dyaOrig="360" w14:anchorId="760FE704">
                <v:shape id="_x0000_i1532" type="#_x0000_t75" style="width:21.75pt;height:15pt" o:ole="" o:preferrelative="f">
                  <v:imagedata r:id="rId873" o:title=""/>
                </v:shape>
                <o:OLEObject Type="Embed" ProgID="Equation.3" ShapeID="_x0000_i1532" DrawAspect="Content" ObjectID="_1519137381" r:id="rId937"/>
              </w:object>
            </w:r>
          </w:p>
        </w:tc>
        <w:tc>
          <w:tcPr>
            <w:tcW w:w="1701" w:type="dxa"/>
            <w:tcBorders>
              <w:top w:val="nil"/>
              <w:left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0.600</w:t>
            </w:r>
          </w:p>
        </w:tc>
        <w:tc>
          <w:tcPr>
            <w:tcW w:w="1499" w:type="dxa"/>
            <w:tcBorders>
              <w:top w:val="nil"/>
              <w:left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w:t>
            </w:r>
            <w:r w:rsidRPr="00E00692">
              <w:rPr>
                <w:color w:val="000000"/>
                <w:sz w:val="19"/>
                <w:szCs w:val="19"/>
                <w:vertAlign w:val="superscript"/>
              </w:rPr>
              <w:t xml:space="preserve"> a</w:t>
            </w:r>
          </w:p>
        </w:tc>
        <w:tc>
          <w:tcPr>
            <w:tcW w:w="1936" w:type="dxa"/>
            <w:tcBorders>
              <w:top w:val="nil"/>
              <w:left w:val="single" w:sz="4" w:space="0" w:color="auto"/>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w:t>
            </w:r>
          </w:p>
        </w:tc>
        <w:tc>
          <w:tcPr>
            <w:tcW w:w="1805" w:type="dxa"/>
            <w:tcBorders>
              <w:top w:val="nil"/>
              <w:left w:val="double" w:sz="4" w:space="0" w:color="auto"/>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0.926</w:t>
            </w:r>
          </w:p>
        </w:tc>
        <w:tc>
          <w:tcPr>
            <w:tcW w:w="1995" w:type="dxa"/>
            <w:tcBorders>
              <w:top w:val="nil"/>
              <w:left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54.3%</w:t>
            </w:r>
          </w:p>
        </w:tc>
      </w:tr>
      <w:tr w:rsidR="00E00692" w:rsidRPr="00E00692" w:rsidTr="00413833">
        <w:trPr>
          <w:cantSplit/>
          <w:trHeight w:val="144"/>
          <w:jc w:val="center"/>
        </w:trPr>
        <w:tc>
          <w:tcPr>
            <w:tcW w:w="1377" w:type="dxa"/>
            <w:tcBorders>
              <w:left w:val="double" w:sz="6" w:space="0" w:color="auto"/>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520" w:dyaOrig="360" w14:anchorId="3CB45420">
                <v:shape id="_x0000_i1533" type="#_x0000_t75" style="width:21.75pt;height:15pt" o:ole="" o:preferrelative="f">
                  <v:imagedata r:id="rId875" o:title=""/>
                </v:shape>
                <o:OLEObject Type="Embed" ProgID="Equation.3" ShapeID="_x0000_i1533" DrawAspect="Content" ObjectID="_1519137382" r:id="rId938"/>
              </w:object>
            </w:r>
          </w:p>
        </w:tc>
        <w:tc>
          <w:tcPr>
            <w:tcW w:w="1701" w:type="dxa"/>
            <w:tcBorders>
              <w:left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0.800</w:t>
            </w:r>
          </w:p>
        </w:tc>
        <w:tc>
          <w:tcPr>
            <w:tcW w:w="1499" w:type="dxa"/>
            <w:tcBorders>
              <w:left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w:t>
            </w:r>
            <w:r w:rsidRPr="00E00692">
              <w:rPr>
                <w:color w:val="000000"/>
                <w:sz w:val="19"/>
                <w:szCs w:val="19"/>
                <w:vertAlign w:val="superscript"/>
              </w:rPr>
              <w:t xml:space="preserve"> a</w:t>
            </w:r>
          </w:p>
        </w:tc>
        <w:tc>
          <w:tcPr>
            <w:tcW w:w="1936" w:type="dxa"/>
            <w:tcBorders>
              <w:left w:val="single" w:sz="4" w:space="0" w:color="auto"/>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w:t>
            </w:r>
          </w:p>
        </w:tc>
        <w:tc>
          <w:tcPr>
            <w:tcW w:w="1805" w:type="dxa"/>
            <w:tcBorders>
              <w:left w:val="double" w:sz="4" w:space="0" w:color="auto"/>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0.618</w:t>
            </w:r>
          </w:p>
        </w:tc>
        <w:tc>
          <w:tcPr>
            <w:tcW w:w="1995" w:type="dxa"/>
            <w:tcBorders>
              <w:left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22.7%</w:t>
            </w:r>
          </w:p>
        </w:tc>
      </w:tr>
      <w:tr w:rsidR="00E00692" w:rsidRPr="00E00692" w:rsidTr="00413833">
        <w:trPr>
          <w:cantSplit/>
          <w:trHeight w:val="144"/>
          <w:jc w:val="center"/>
        </w:trPr>
        <w:tc>
          <w:tcPr>
            <w:tcW w:w="1377" w:type="dxa"/>
            <w:tcBorders>
              <w:top w:val="nil"/>
              <w:left w:val="double" w:sz="6" w:space="0" w:color="auto"/>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520" w:dyaOrig="360" w14:anchorId="0799A0A8">
                <v:shape id="_x0000_i1534" type="#_x0000_t75" style="width:21.75pt;height:15pt" o:ole="" o:preferrelative="f">
                  <v:imagedata r:id="rId877" o:title=""/>
                </v:shape>
                <o:OLEObject Type="Embed" ProgID="Equation.3" ShapeID="_x0000_i1534" DrawAspect="Content" ObjectID="_1519137383" r:id="rId939"/>
              </w:object>
            </w:r>
          </w:p>
        </w:tc>
        <w:tc>
          <w:tcPr>
            <w:tcW w:w="1701" w:type="dxa"/>
            <w:tcBorders>
              <w:top w:val="nil"/>
              <w:left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0.900</w:t>
            </w:r>
          </w:p>
        </w:tc>
        <w:tc>
          <w:tcPr>
            <w:tcW w:w="1499" w:type="dxa"/>
            <w:tcBorders>
              <w:top w:val="nil"/>
              <w:left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w:t>
            </w:r>
            <w:r w:rsidRPr="00E00692">
              <w:rPr>
                <w:color w:val="000000"/>
                <w:sz w:val="19"/>
                <w:szCs w:val="19"/>
                <w:vertAlign w:val="superscript"/>
              </w:rPr>
              <w:t xml:space="preserve"> a</w:t>
            </w:r>
          </w:p>
        </w:tc>
        <w:tc>
          <w:tcPr>
            <w:tcW w:w="1936" w:type="dxa"/>
            <w:tcBorders>
              <w:top w:val="nil"/>
              <w:left w:val="single" w:sz="4" w:space="0" w:color="auto"/>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w:t>
            </w:r>
          </w:p>
        </w:tc>
        <w:tc>
          <w:tcPr>
            <w:tcW w:w="1805" w:type="dxa"/>
            <w:tcBorders>
              <w:top w:val="nil"/>
              <w:left w:val="double" w:sz="4" w:space="0" w:color="auto"/>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0.546</w:t>
            </w:r>
          </w:p>
        </w:tc>
        <w:tc>
          <w:tcPr>
            <w:tcW w:w="1995" w:type="dxa"/>
            <w:tcBorders>
              <w:top w:val="nil"/>
              <w:left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39.3%</w:t>
            </w:r>
          </w:p>
        </w:tc>
      </w:tr>
      <w:tr w:rsidR="00E00692" w:rsidRPr="00E00692" w:rsidTr="00413833">
        <w:trPr>
          <w:cantSplit/>
          <w:trHeight w:val="144"/>
          <w:jc w:val="center"/>
        </w:trPr>
        <w:tc>
          <w:tcPr>
            <w:tcW w:w="1377" w:type="dxa"/>
            <w:tcBorders>
              <w:top w:val="nil"/>
              <w:left w:val="double" w:sz="6" w:space="0" w:color="auto"/>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360" w:dyaOrig="360" w14:anchorId="57D6246F">
                <v:shape id="_x0000_i1535" type="#_x0000_t75" style="width:15pt;height:15pt" o:ole="" o:preferrelative="f">
                  <v:imagedata r:id="rId879" o:title=""/>
                </v:shape>
                <o:OLEObject Type="Embed" ProgID="Equation.3" ShapeID="_x0000_i1535" DrawAspect="Content" ObjectID="_1519137384" r:id="rId940"/>
              </w:object>
            </w:r>
          </w:p>
        </w:tc>
        <w:tc>
          <w:tcPr>
            <w:tcW w:w="1701" w:type="dxa"/>
            <w:tcBorders>
              <w:top w:val="nil"/>
              <w:left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0.600</w:t>
            </w:r>
          </w:p>
        </w:tc>
        <w:tc>
          <w:tcPr>
            <w:tcW w:w="1499" w:type="dxa"/>
            <w:tcBorders>
              <w:top w:val="nil"/>
              <w:left w:val="nil"/>
              <w:right w:val="single" w:sz="4"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0.467</w:t>
            </w:r>
          </w:p>
        </w:tc>
        <w:tc>
          <w:tcPr>
            <w:tcW w:w="1936" w:type="dxa"/>
            <w:tcBorders>
              <w:top w:val="nil"/>
              <w:left w:val="single" w:sz="4" w:space="0" w:color="auto"/>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22.2%</w:t>
            </w:r>
          </w:p>
        </w:tc>
        <w:tc>
          <w:tcPr>
            <w:tcW w:w="1805" w:type="dxa"/>
            <w:tcBorders>
              <w:top w:val="nil"/>
              <w:left w:val="double" w:sz="4" w:space="0" w:color="auto"/>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w:t>
            </w:r>
            <w:r w:rsidRPr="00E00692">
              <w:rPr>
                <w:color w:val="000000"/>
                <w:sz w:val="19"/>
                <w:szCs w:val="19"/>
                <w:vertAlign w:val="superscript"/>
              </w:rPr>
              <w:t>c</w:t>
            </w:r>
          </w:p>
        </w:tc>
        <w:tc>
          <w:tcPr>
            <w:tcW w:w="1995" w:type="dxa"/>
            <w:tcBorders>
              <w:top w:val="nil"/>
              <w:left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w:t>
            </w:r>
          </w:p>
        </w:tc>
      </w:tr>
      <w:tr w:rsidR="00E00692" w:rsidRPr="00E00692" w:rsidTr="00413833">
        <w:trPr>
          <w:cantSplit/>
          <w:trHeight w:val="144"/>
          <w:jc w:val="center"/>
        </w:trPr>
        <w:tc>
          <w:tcPr>
            <w:tcW w:w="1377" w:type="dxa"/>
            <w:tcBorders>
              <w:top w:val="nil"/>
              <w:left w:val="double" w:sz="6" w:space="0" w:color="auto"/>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360" w:dyaOrig="360" w14:anchorId="4400C93C">
                <v:shape id="_x0000_i1536" type="#_x0000_t75" style="width:15pt;height:15pt" o:ole="" o:preferrelative="f">
                  <v:imagedata r:id="rId881" o:title=""/>
                </v:shape>
                <o:OLEObject Type="Embed" ProgID="Equation.3" ShapeID="_x0000_i1536" DrawAspect="Content" ObjectID="_1519137385" r:id="rId941"/>
              </w:object>
            </w:r>
          </w:p>
        </w:tc>
        <w:tc>
          <w:tcPr>
            <w:tcW w:w="1701" w:type="dxa"/>
            <w:tcBorders>
              <w:top w:val="nil"/>
              <w:left w:val="nil"/>
              <w:right w:val="double" w:sz="6" w:space="0" w:color="auto"/>
            </w:tcBorders>
            <w:shd w:val="clear" w:color="auto" w:fill="auto"/>
            <w:noWrap/>
          </w:tcPr>
          <w:p w:rsidR="00E00692" w:rsidRPr="00E00692" w:rsidRDefault="00E00692" w:rsidP="000B06DF">
            <w:pPr>
              <w:jc w:val="center"/>
              <w:rPr>
                <w:sz w:val="19"/>
                <w:szCs w:val="19"/>
              </w:rPr>
            </w:pPr>
            <w:r w:rsidRPr="00E00692">
              <w:rPr>
                <w:sz w:val="19"/>
                <w:szCs w:val="19"/>
              </w:rPr>
              <w:t>0.100</w:t>
            </w:r>
          </w:p>
        </w:tc>
        <w:tc>
          <w:tcPr>
            <w:tcW w:w="1499" w:type="dxa"/>
            <w:tcBorders>
              <w:top w:val="nil"/>
              <w:left w:val="nil"/>
              <w:right w:val="single" w:sz="4" w:space="0" w:color="auto"/>
            </w:tcBorders>
            <w:shd w:val="clear" w:color="auto" w:fill="auto"/>
            <w:noWrap/>
          </w:tcPr>
          <w:p w:rsidR="00E00692" w:rsidRPr="00E00692" w:rsidRDefault="00E00692" w:rsidP="000B06DF">
            <w:pPr>
              <w:jc w:val="center"/>
              <w:rPr>
                <w:sz w:val="19"/>
                <w:szCs w:val="19"/>
              </w:rPr>
            </w:pPr>
            <w:r w:rsidRPr="00E00692">
              <w:rPr>
                <w:sz w:val="19"/>
                <w:szCs w:val="19"/>
              </w:rPr>
              <w:t>0.156</w:t>
            </w:r>
          </w:p>
        </w:tc>
        <w:tc>
          <w:tcPr>
            <w:tcW w:w="1936" w:type="dxa"/>
            <w:tcBorders>
              <w:top w:val="nil"/>
              <w:left w:val="single" w:sz="4" w:space="0" w:color="auto"/>
              <w:right w:val="double" w:sz="4" w:space="0" w:color="auto"/>
            </w:tcBorders>
            <w:shd w:val="clear" w:color="auto" w:fill="auto"/>
            <w:noWrap/>
          </w:tcPr>
          <w:p w:rsidR="00E00692" w:rsidRPr="00E00692" w:rsidRDefault="00E00692" w:rsidP="00AD3F9D">
            <w:pPr>
              <w:tabs>
                <w:tab w:val="decimal" w:pos="276"/>
                <w:tab w:val="decimal" w:pos="399"/>
              </w:tabs>
              <w:jc w:val="center"/>
              <w:rPr>
                <w:sz w:val="19"/>
                <w:szCs w:val="19"/>
              </w:rPr>
            </w:pPr>
            <w:r w:rsidRPr="00E00692">
              <w:rPr>
                <w:sz w:val="19"/>
                <w:szCs w:val="19"/>
              </w:rPr>
              <w:t>56.0%</w:t>
            </w:r>
          </w:p>
        </w:tc>
        <w:tc>
          <w:tcPr>
            <w:tcW w:w="1805" w:type="dxa"/>
            <w:tcBorders>
              <w:top w:val="nil"/>
              <w:left w:val="double" w:sz="4" w:space="0" w:color="auto"/>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w:t>
            </w:r>
            <w:r w:rsidRPr="00E00692">
              <w:rPr>
                <w:color w:val="000000"/>
                <w:sz w:val="19"/>
                <w:szCs w:val="19"/>
                <w:vertAlign w:val="superscript"/>
              </w:rPr>
              <w:t>c</w:t>
            </w:r>
          </w:p>
        </w:tc>
        <w:tc>
          <w:tcPr>
            <w:tcW w:w="1995" w:type="dxa"/>
            <w:tcBorders>
              <w:top w:val="nil"/>
              <w:left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w:t>
            </w:r>
          </w:p>
        </w:tc>
      </w:tr>
      <w:tr w:rsidR="00E00692" w:rsidRPr="00E00692" w:rsidTr="00413833">
        <w:trPr>
          <w:cantSplit/>
          <w:trHeight w:val="144"/>
          <w:jc w:val="center"/>
        </w:trPr>
        <w:tc>
          <w:tcPr>
            <w:tcW w:w="1377" w:type="dxa"/>
            <w:tcBorders>
              <w:top w:val="nil"/>
              <w:left w:val="double" w:sz="6" w:space="0" w:color="auto"/>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2"/>
                <w:sz w:val="19"/>
                <w:szCs w:val="19"/>
              </w:rPr>
              <w:object w:dxaOrig="360" w:dyaOrig="380" w14:anchorId="21F55463">
                <v:shape id="_x0000_i1537" type="#_x0000_t75" style="width:15pt;height:15.75pt" o:ole="" o:preferrelative="f">
                  <v:imagedata r:id="rId883" o:title=""/>
                </v:shape>
                <o:OLEObject Type="Embed" ProgID="Equation.3" ShapeID="_x0000_i1537" DrawAspect="Content" ObjectID="_1519137386" r:id="rId942"/>
              </w:object>
            </w:r>
          </w:p>
        </w:tc>
        <w:tc>
          <w:tcPr>
            <w:tcW w:w="1701" w:type="dxa"/>
            <w:tcBorders>
              <w:top w:val="nil"/>
              <w:left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0.400</w:t>
            </w:r>
          </w:p>
        </w:tc>
        <w:tc>
          <w:tcPr>
            <w:tcW w:w="1499" w:type="dxa"/>
            <w:tcBorders>
              <w:top w:val="nil"/>
              <w:left w:val="nil"/>
              <w:right w:val="single" w:sz="4"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0.298</w:t>
            </w:r>
          </w:p>
        </w:tc>
        <w:tc>
          <w:tcPr>
            <w:tcW w:w="1936" w:type="dxa"/>
            <w:tcBorders>
              <w:top w:val="nil"/>
              <w:left w:val="single" w:sz="4" w:space="0" w:color="auto"/>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25.5%</w:t>
            </w:r>
          </w:p>
        </w:tc>
        <w:tc>
          <w:tcPr>
            <w:tcW w:w="1805" w:type="dxa"/>
            <w:tcBorders>
              <w:top w:val="nil"/>
              <w:left w:val="double" w:sz="4" w:space="0" w:color="auto"/>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w:t>
            </w:r>
            <w:r w:rsidRPr="00E00692">
              <w:rPr>
                <w:color w:val="000000"/>
                <w:sz w:val="19"/>
                <w:szCs w:val="19"/>
                <w:vertAlign w:val="superscript"/>
              </w:rPr>
              <w:t>c</w:t>
            </w:r>
          </w:p>
        </w:tc>
        <w:tc>
          <w:tcPr>
            <w:tcW w:w="1995" w:type="dxa"/>
            <w:tcBorders>
              <w:top w:val="nil"/>
              <w:left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w:t>
            </w:r>
          </w:p>
        </w:tc>
      </w:tr>
      <w:tr w:rsidR="00E00692" w:rsidRPr="00E00692" w:rsidTr="00413833">
        <w:trPr>
          <w:cantSplit/>
          <w:trHeight w:val="144"/>
          <w:jc w:val="center"/>
        </w:trPr>
        <w:tc>
          <w:tcPr>
            <w:tcW w:w="1377" w:type="dxa"/>
            <w:tcBorders>
              <w:top w:val="nil"/>
              <w:left w:val="double" w:sz="6" w:space="0" w:color="auto"/>
              <w:right w:val="double" w:sz="6" w:space="0" w:color="auto"/>
            </w:tcBorders>
            <w:shd w:val="clear" w:color="auto" w:fill="auto"/>
            <w:noWrap/>
            <w:vAlign w:val="center"/>
          </w:tcPr>
          <w:p w:rsidR="00E00692" w:rsidRPr="00E00692" w:rsidRDefault="00E00692" w:rsidP="008F1C54">
            <w:pPr>
              <w:jc w:val="center"/>
              <w:rPr>
                <w:sz w:val="19"/>
                <w:szCs w:val="19"/>
              </w:rPr>
            </w:pPr>
            <w:r w:rsidRPr="00E00692">
              <w:rPr>
                <w:position w:val="-12"/>
                <w:sz w:val="19"/>
                <w:szCs w:val="19"/>
              </w:rPr>
              <w:object w:dxaOrig="360" w:dyaOrig="380" w14:anchorId="00CC6612">
                <v:shape id="_x0000_i1538" type="#_x0000_t75" style="width:15pt;height:15.75pt" o:ole="" o:preferrelative="f">
                  <v:imagedata r:id="rId885" o:title=""/>
                </v:shape>
                <o:OLEObject Type="Embed" ProgID="Equation.3" ShapeID="_x0000_i1538" DrawAspect="Content" ObjectID="_1519137387" r:id="rId943"/>
              </w:object>
            </w:r>
          </w:p>
        </w:tc>
        <w:tc>
          <w:tcPr>
            <w:tcW w:w="1701" w:type="dxa"/>
            <w:tcBorders>
              <w:top w:val="nil"/>
              <w:left w:val="nil"/>
              <w:right w:val="double" w:sz="6"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0.000</w:t>
            </w:r>
          </w:p>
        </w:tc>
        <w:tc>
          <w:tcPr>
            <w:tcW w:w="1499" w:type="dxa"/>
            <w:tcBorders>
              <w:top w:val="nil"/>
              <w:left w:val="nil"/>
              <w:right w:val="single" w:sz="4" w:space="0" w:color="auto"/>
            </w:tcBorders>
            <w:shd w:val="clear" w:color="auto" w:fill="auto"/>
            <w:noWrap/>
            <w:vAlign w:val="center"/>
          </w:tcPr>
          <w:p w:rsidR="00E00692" w:rsidRPr="00E00692" w:rsidRDefault="00E00692" w:rsidP="000B06DF">
            <w:pPr>
              <w:jc w:val="center"/>
              <w:rPr>
                <w:sz w:val="19"/>
                <w:szCs w:val="19"/>
              </w:rPr>
            </w:pPr>
            <w:r w:rsidRPr="00E00692">
              <w:rPr>
                <w:sz w:val="19"/>
                <w:szCs w:val="19"/>
              </w:rPr>
              <w:t>0.017</w:t>
            </w:r>
          </w:p>
        </w:tc>
        <w:tc>
          <w:tcPr>
            <w:tcW w:w="1936" w:type="dxa"/>
            <w:tcBorders>
              <w:top w:val="nil"/>
              <w:left w:val="single" w:sz="4" w:space="0" w:color="auto"/>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sz w:val="19"/>
                <w:szCs w:val="19"/>
              </w:rPr>
            </w:pPr>
            <w:r w:rsidRPr="00E00692">
              <w:rPr>
                <w:sz w:val="19"/>
                <w:szCs w:val="19"/>
              </w:rPr>
              <w:t>17.0%</w:t>
            </w:r>
          </w:p>
        </w:tc>
        <w:tc>
          <w:tcPr>
            <w:tcW w:w="1805" w:type="dxa"/>
            <w:tcBorders>
              <w:top w:val="nil"/>
              <w:left w:val="double" w:sz="4" w:space="0" w:color="auto"/>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w:t>
            </w:r>
            <w:r w:rsidRPr="00E00692">
              <w:rPr>
                <w:color w:val="000000"/>
                <w:sz w:val="19"/>
                <w:szCs w:val="19"/>
                <w:vertAlign w:val="superscript"/>
              </w:rPr>
              <w:t>c</w:t>
            </w:r>
          </w:p>
        </w:tc>
        <w:tc>
          <w:tcPr>
            <w:tcW w:w="1995" w:type="dxa"/>
            <w:tcBorders>
              <w:top w:val="nil"/>
              <w:left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w:t>
            </w:r>
          </w:p>
        </w:tc>
      </w:tr>
      <w:tr w:rsidR="00E00692" w:rsidRPr="00E00692" w:rsidTr="00413833">
        <w:trPr>
          <w:cantSplit/>
          <w:trHeight w:val="144"/>
          <w:jc w:val="center"/>
        </w:trPr>
        <w:tc>
          <w:tcPr>
            <w:tcW w:w="1377" w:type="dxa"/>
            <w:tcBorders>
              <w:top w:val="nil"/>
              <w:left w:val="double" w:sz="6" w:space="0" w:color="auto"/>
              <w:right w:val="double" w:sz="6" w:space="0" w:color="auto"/>
            </w:tcBorders>
            <w:shd w:val="clear" w:color="auto" w:fill="auto"/>
            <w:noWrap/>
            <w:vAlign w:val="center"/>
          </w:tcPr>
          <w:p w:rsidR="00E00692" w:rsidRPr="00E00692" w:rsidRDefault="00E00692" w:rsidP="008F1C54">
            <w:pPr>
              <w:jc w:val="center"/>
              <w:rPr>
                <w:rFonts w:eastAsia="Times New Roman"/>
                <w:color w:val="000000"/>
                <w:sz w:val="19"/>
                <w:szCs w:val="19"/>
              </w:rPr>
            </w:pPr>
            <w:r w:rsidRPr="00E00692">
              <w:rPr>
                <w:position w:val="-10"/>
                <w:sz w:val="19"/>
                <w:szCs w:val="19"/>
              </w:rPr>
              <w:object w:dxaOrig="240" w:dyaOrig="340" w14:anchorId="589F65A1">
                <v:shape id="_x0000_i1539" type="#_x0000_t75" style="width:9.75pt;height:14.25pt" o:ole="" o:preferrelative="f">
                  <v:imagedata r:id="rId818" o:title=""/>
                </v:shape>
                <o:OLEObject Type="Embed" ProgID="Equation.3" ShapeID="_x0000_i1539" DrawAspect="Content" ObjectID="_1519137388" r:id="rId944"/>
              </w:object>
            </w:r>
          </w:p>
        </w:tc>
        <w:tc>
          <w:tcPr>
            <w:tcW w:w="1701" w:type="dxa"/>
            <w:tcBorders>
              <w:top w:val="nil"/>
              <w:left w:val="nil"/>
              <w:right w:val="double" w:sz="6"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1.000</w:t>
            </w:r>
          </w:p>
        </w:tc>
        <w:tc>
          <w:tcPr>
            <w:tcW w:w="1499" w:type="dxa"/>
            <w:tcBorders>
              <w:top w:val="nil"/>
              <w:left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1.327</w:t>
            </w:r>
          </w:p>
        </w:tc>
        <w:tc>
          <w:tcPr>
            <w:tcW w:w="1936" w:type="dxa"/>
            <w:tcBorders>
              <w:top w:val="nil"/>
              <w:left w:val="single" w:sz="4" w:space="0" w:color="auto"/>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32.7%</w:t>
            </w:r>
          </w:p>
        </w:tc>
        <w:tc>
          <w:tcPr>
            <w:tcW w:w="1805" w:type="dxa"/>
            <w:tcBorders>
              <w:top w:val="nil"/>
              <w:left w:val="double" w:sz="4" w:space="0" w:color="auto"/>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2.723</w:t>
            </w:r>
          </w:p>
        </w:tc>
        <w:tc>
          <w:tcPr>
            <w:tcW w:w="1995" w:type="dxa"/>
            <w:tcBorders>
              <w:top w:val="nil"/>
              <w:left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172.3%</w:t>
            </w:r>
          </w:p>
        </w:tc>
      </w:tr>
      <w:tr w:rsidR="00E00692" w:rsidRPr="00E00692" w:rsidTr="00413833">
        <w:trPr>
          <w:cantSplit/>
          <w:trHeight w:val="144"/>
          <w:jc w:val="center"/>
        </w:trPr>
        <w:tc>
          <w:tcPr>
            <w:tcW w:w="1377" w:type="dxa"/>
            <w:tcBorders>
              <w:top w:val="nil"/>
              <w:left w:val="double" w:sz="6" w:space="0" w:color="auto"/>
              <w:right w:val="double" w:sz="6" w:space="0" w:color="auto"/>
            </w:tcBorders>
            <w:shd w:val="clear" w:color="auto" w:fill="auto"/>
            <w:noWrap/>
            <w:vAlign w:val="center"/>
          </w:tcPr>
          <w:p w:rsidR="00E00692" w:rsidRPr="00E00692" w:rsidRDefault="00E00692" w:rsidP="008F1C54">
            <w:pPr>
              <w:jc w:val="center"/>
              <w:rPr>
                <w:rFonts w:eastAsia="Times New Roman"/>
                <w:i/>
                <w:color w:val="000000"/>
                <w:sz w:val="19"/>
                <w:szCs w:val="19"/>
              </w:rPr>
            </w:pPr>
            <w:r w:rsidRPr="00E00692">
              <w:rPr>
                <w:position w:val="-10"/>
                <w:sz w:val="19"/>
                <w:szCs w:val="19"/>
              </w:rPr>
              <w:object w:dxaOrig="279" w:dyaOrig="340" w14:anchorId="123BE89D">
                <v:shape id="_x0000_i1540" type="#_x0000_t75" style="width:12pt;height:14.25pt" o:ole="" o:preferrelative="f">
                  <v:imagedata r:id="rId820" o:title=""/>
                </v:shape>
                <o:OLEObject Type="Embed" ProgID="Equation.3" ShapeID="_x0000_i1540" DrawAspect="Content" ObjectID="_1519137389" r:id="rId945"/>
              </w:object>
            </w:r>
          </w:p>
        </w:tc>
        <w:tc>
          <w:tcPr>
            <w:tcW w:w="1701" w:type="dxa"/>
            <w:tcBorders>
              <w:top w:val="nil"/>
              <w:left w:val="nil"/>
              <w:right w:val="double" w:sz="6"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1.000</w:t>
            </w:r>
          </w:p>
        </w:tc>
        <w:tc>
          <w:tcPr>
            <w:tcW w:w="1499" w:type="dxa"/>
            <w:tcBorders>
              <w:top w:val="nil"/>
              <w:left w:val="nil"/>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1.201</w:t>
            </w:r>
          </w:p>
        </w:tc>
        <w:tc>
          <w:tcPr>
            <w:tcW w:w="1936" w:type="dxa"/>
            <w:tcBorders>
              <w:top w:val="nil"/>
              <w:left w:val="single" w:sz="4" w:space="0" w:color="auto"/>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20.1%</w:t>
            </w:r>
          </w:p>
        </w:tc>
        <w:tc>
          <w:tcPr>
            <w:tcW w:w="1805" w:type="dxa"/>
            <w:tcBorders>
              <w:top w:val="nil"/>
              <w:left w:val="double" w:sz="4" w:space="0" w:color="auto"/>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2.959</w:t>
            </w:r>
          </w:p>
        </w:tc>
        <w:tc>
          <w:tcPr>
            <w:tcW w:w="1995" w:type="dxa"/>
            <w:tcBorders>
              <w:top w:val="nil"/>
              <w:left w:val="nil"/>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195.9%</w:t>
            </w:r>
          </w:p>
        </w:tc>
      </w:tr>
      <w:tr w:rsidR="00E00692" w:rsidRPr="00E00692" w:rsidTr="00413833">
        <w:trPr>
          <w:cantSplit/>
          <w:trHeight w:val="144"/>
          <w:jc w:val="center"/>
        </w:trPr>
        <w:tc>
          <w:tcPr>
            <w:tcW w:w="1377" w:type="dxa"/>
            <w:tcBorders>
              <w:top w:val="nil"/>
              <w:left w:val="double" w:sz="6" w:space="0" w:color="auto"/>
              <w:right w:val="double" w:sz="6" w:space="0" w:color="auto"/>
            </w:tcBorders>
            <w:shd w:val="clear" w:color="auto" w:fill="auto"/>
            <w:noWrap/>
            <w:vAlign w:val="center"/>
          </w:tcPr>
          <w:p w:rsidR="00E00692" w:rsidRPr="00E00692" w:rsidRDefault="00E00692" w:rsidP="008F1C54">
            <w:pPr>
              <w:jc w:val="center"/>
              <w:rPr>
                <w:rFonts w:eastAsia="Times New Roman"/>
                <w:i/>
                <w:color w:val="000000"/>
                <w:sz w:val="19"/>
                <w:szCs w:val="19"/>
              </w:rPr>
            </w:pPr>
            <w:r w:rsidRPr="00E00692">
              <w:rPr>
                <w:position w:val="-12"/>
                <w:sz w:val="19"/>
                <w:szCs w:val="19"/>
              </w:rPr>
              <w:object w:dxaOrig="260" w:dyaOrig="360" w14:anchorId="7C33A1E1">
                <v:shape id="_x0000_i1541" type="#_x0000_t75" style="width:11.25pt;height:15pt" o:ole="" o:preferrelative="f">
                  <v:imagedata r:id="rId822" o:title=""/>
                </v:shape>
                <o:OLEObject Type="Embed" ProgID="Equation.3" ShapeID="_x0000_i1541" DrawAspect="Content" ObjectID="_1519137390" r:id="rId946"/>
              </w:object>
            </w:r>
          </w:p>
        </w:tc>
        <w:tc>
          <w:tcPr>
            <w:tcW w:w="1701" w:type="dxa"/>
            <w:tcBorders>
              <w:top w:val="nil"/>
              <w:left w:val="nil"/>
              <w:right w:val="double" w:sz="6"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1.000</w:t>
            </w:r>
          </w:p>
        </w:tc>
        <w:tc>
          <w:tcPr>
            <w:tcW w:w="1499" w:type="dxa"/>
            <w:tcBorders>
              <w:top w:val="nil"/>
              <w:left w:val="nil"/>
              <w:bottom w:val="double" w:sz="6" w:space="0" w:color="auto"/>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1.102</w:t>
            </w:r>
          </w:p>
        </w:tc>
        <w:tc>
          <w:tcPr>
            <w:tcW w:w="1936" w:type="dxa"/>
            <w:tcBorders>
              <w:top w:val="nil"/>
              <w:left w:val="single" w:sz="4" w:space="0" w:color="auto"/>
              <w:bottom w:val="double" w:sz="6" w:space="0" w:color="auto"/>
              <w:right w:val="double" w:sz="4" w:space="0" w:color="auto"/>
            </w:tcBorders>
            <w:shd w:val="clear" w:color="auto" w:fill="auto"/>
            <w:noWrap/>
            <w:vAlign w:val="center"/>
          </w:tcPr>
          <w:p w:rsidR="00E00692" w:rsidRPr="00E00692" w:rsidRDefault="00E00692" w:rsidP="00AD3F9D">
            <w:pPr>
              <w:tabs>
                <w:tab w:val="decimal" w:pos="276"/>
                <w:tab w:val="decimal" w:pos="399"/>
              </w:tabs>
              <w:jc w:val="center"/>
              <w:rPr>
                <w:color w:val="000000"/>
                <w:sz w:val="19"/>
                <w:szCs w:val="19"/>
              </w:rPr>
            </w:pPr>
            <w:r w:rsidRPr="00E00692">
              <w:rPr>
                <w:color w:val="000000"/>
                <w:sz w:val="19"/>
                <w:szCs w:val="19"/>
              </w:rPr>
              <w:t>10.2%</w:t>
            </w:r>
          </w:p>
        </w:tc>
        <w:tc>
          <w:tcPr>
            <w:tcW w:w="1805" w:type="dxa"/>
            <w:tcBorders>
              <w:top w:val="nil"/>
              <w:left w:val="double" w:sz="4" w:space="0" w:color="auto"/>
              <w:bottom w:val="double" w:sz="6" w:space="0" w:color="auto"/>
              <w:right w:val="single" w:sz="4" w:space="0" w:color="auto"/>
            </w:tcBorders>
            <w:shd w:val="clear" w:color="auto" w:fill="auto"/>
            <w:noWrap/>
            <w:vAlign w:val="center"/>
          </w:tcPr>
          <w:p w:rsidR="00E00692" w:rsidRPr="00E00692" w:rsidRDefault="00E00692" w:rsidP="000B06DF">
            <w:pPr>
              <w:jc w:val="center"/>
              <w:rPr>
                <w:color w:val="000000"/>
                <w:sz w:val="19"/>
                <w:szCs w:val="19"/>
              </w:rPr>
            </w:pPr>
            <w:r w:rsidRPr="00E00692">
              <w:rPr>
                <w:color w:val="000000"/>
                <w:sz w:val="19"/>
                <w:szCs w:val="19"/>
              </w:rPr>
              <w:t>2.871</w:t>
            </w:r>
          </w:p>
        </w:tc>
        <w:tc>
          <w:tcPr>
            <w:tcW w:w="1995" w:type="dxa"/>
            <w:tcBorders>
              <w:top w:val="nil"/>
              <w:left w:val="nil"/>
              <w:bottom w:val="double" w:sz="6" w:space="0" w:color="auto"/>
              <w:right w:val="double" w:sz="4" w:space="0" w:color="auto"/>
            </w:tcBorders>
            <w:shd w:val="clear" w:color="auto" w:fill="auto"/>
            <w:noWrap/>
            <w:vAlign w:val="center"/>
          </w:tcPr>
          <w:p w:rsidR="00E00692" w:rsidRPr="00E00692" w:rsidRDefault="00E00692" w:rsidP="00AD3F9D">
            <w:pPr>
              <w:tabs>
                <w:tab w:val="decimal" w:pos="240"/>
                <w:tab w:val="decimal" w:pos="498"/>
              </w:tabs>
              <w:jc w:val="center"/>
              <w:rPr>
                <w:color w:val="000000"/>
                <w:sz w:val="19"/>
                <w:szCs w:val="19"/>
              </w:rPr>
            </w:pPr>
            <w:r w:rsidRPr="00E00692">
              <w:rPr>
                <w:color w:val="000000"/>
                <w:sz w:val="19"/>
                <w:szCs w:val="19"/>
              </w:rPr>
              <w:t>187.1%</w:t>
            </w:r>
          </w:p>
        </w:tc>
      </w:tr>
      <w:tr w:rsidR="00E56108" w:rsidRPr="00E00692" w:rsidTr="00413833">
        <w:trPr>
          <w:cantSplit/>
          <w:trHeight w:val="144"/>
          <w:jc w:val="center"/>
        </w:trPr>
        <w:tc>
          <w:tcPr>
            <w:tcW w:w="3078" w:type="dxa"/>
            <w:gridSpan w:val="2"/>
            <w:tcBorders>
              <w:top w:val="double" w:sz="6" w:space="0" w:color="auto"/>
              <w:left w:val="double" w:sz="6" w:space="0" w:color="auto"/>
              <w:bottom w:val="double" w:sz="6" w:space="0" w:color="auto"/>
              <w:right w:val="double" w:sz="6" w:space="0" w:color="000000"/>
            </w:tcBorders>
            <w:shd w:val="clear" w:color="auto" w:fill="auto"/>
            <w:tcMar>
              <w:left w:w="58" w:type="dxa"/>
              <w:right w:w="58" w:type="dxa"/>
            </w:tcMar>
            <w:vAlign w:val="center"/>
          </w:tcPr>
          <w:p w:rsidR="00E56108" w:rsidRPr="00E00692" w:rsidRDefault="00E56108" w:rsidP="000B06DF">
            <w:pPr>
              <w:jc w:val="left"/>
              <w:rPr>
                <w:rFonts w:eastAsia="Times New Roman"/>
                <w:b/>
                <w:bCs/>
                <w:color w:val="000000"/>
                <w:sz w:val="18"/>
                <w:szCs w:val="18"/>
              </w:rPr>
            </w:pPr>
            <w:r w:rsidRPr="00E00692">
              <w:rPr>
                <w:rFonts w:eastAsia="Times New Roman"/>
                <w:b/>
                <w:bCs/>
                <w:color w:val="000000"/>
                <w:sz w:val="18"/>
                <w:szCs w:val="18"/>
              </w:rPr>
              <w:t>Overall Mean Value Across Parameters</w:t>
            </w:r>
          </w:p>
        </w:tc>
        <w:tc>
          <w:tcPr>
            <w:tcW w:w="3435" w:type="dxa"/>
            <w:gridSpan w:val="2"/>
            <w:tcBorders>
              <w:top w:val="double" w:sz="6" w:space="0" w:color="auto"/>
              <w:left w:val="nil"/>
              <w:bottom w:val="double" w:sz="6" w:space="0" w:color="auto"/>
              <w:right w:val="double" w:sz="6" w:space="0" w:color="auto"/>
            </w:tcBorders>
            <w:shd w:val="clear" w:color="auto" w:fill="auto"/>
            <w:noWrap/>
            <w:tcMar>
              <w:left w:w="58" w:type="dxa"/>
              <w:right w:w="58" w:type="dxa"/>
            </w:tcMar>
            <w:vAlign w:val="center"/>
          </w:tcPr>
          <w:p w:rsidR="00E56108" w:rsidRPr="00E00692" w:rsidRDefault="00A12CE3" w:rsidP="00391711">
            <w:pPr>
              <w:jc w:val="center"/>
              <w:rPr>
                <w:rFonts w:eastAsia="Times New Roman"/>
                <w:b/>
                <w:color w:val="000000"/>
                <w:sz w:val="19"/>
                <w:szCs w:val="19"/>
              </w:rPr>
            </w:pPr>
            <w:r w:rsidRPr="00E00692">
              <w:rPr>
                <w:rFonts w:eastAsia="Times New Roman"/>
                <w:b/>
                <w:color w:val="000000"/>
                <w:sz w:val="19"/>
                <w:szCs w:val="19"/>
              </w:rPr>
              <w:t>3</w:t>
            </w:r>
            <w:r w:rsidR="00391711" w:rsidRPr="00E00692">
              <w:rPr>
                <w:rFonts w:eastAsia="Times New Roman"/>
                <w:b/>
                <w:color w:val="000000"/>
                <w:sz w:val="19"/>
                <w:szCs w:val="19"/>
              </w:rPr>
              <w:t>0.8</w:t>
            </w:r>
            <w:r w:rsidR="00E56108" w:rsidRPr="00E00692">
              <w:rPr>
                <w:rFonts w:eastAsia="Times New Roman"/>
                <w:b/>
                <w:color w:val="000000"/>
                <w:sz w:val="19"/>
                <w:szCs w:val="19"/>
              </w:rPr>
              <w:t>% (for APB)</w:t>
            </w:r>
          </w:p>
        </w:tc>
        <w:tc>
          <w:tcPr>
            <w:tcW w:w="3800" w:type="dxa"/>
            <w:gridSpan w:val="2"/>
            <w:tcBorders>
              <w:top w:val="double" w:sz="6" w:space="0" w:color="auto"/>
              <w:left w:val="nil"/>
              <w:bottom w:val="double" w:sz="6" w:space="0" w:color="auto"/>
              <w:right w:val="double" w:sz="6" w:space="0" w:color="auto"/>
            </w:tcBorders>
            <w:shd w:val="clear" w:color="auto" w:fill="auto"/>
            <w:noWrap/>
            <w:tcMar>
              <w:left w:w="58" w:type="dxa"/>
              <w:right w:w="58" w:type="dxa"/>
            </w:tcMar>
            <w:vAlign w:val="center"/>
          </w:tcPr>
          <w:p w:rsidR="00E56108" w:rsidRPr="00E00692" w:rsidRDefault="00E56108" w:rsidP="000B06DF">
            <w:pPr>
              <w:jc w:val="center"/>
              <w:rPr>
                <w:rFonts w:eastAsia="Times New Roman"/>
                <w:b/>
                <w:color w:val="000000"/>
                <w:sz w:val="19"/>
                <w:szCs w:val="19"/>
              </w:rPr>
            </w:pPr>
            <w:r w:rsidRPr="00E00692">
              <w:rPr>
                <w:rFonts w:eastAsia="Times New Roman"/>
                <w:b/>
                <w:color w:val="000000"/>
                <w:sz w:val="19"/>
                <w:szCs w:val="19"/>
              </w:rPr>
              <w:t>82.9% (for APB)</w:t>
            </w:r>
          </w:p>
        </w:tc>
      </w:tr>
      <w:tr w:rsidR="006026BC" w:rsidRPr="00E00692" w:rsidTr="00413833">
        <w:trPr>
          <w:cantSplit/>
          <w:trHeight w:val="144"/>
          <w:jc w:val="center"/>
        </w:trPr>
        <w:tc>
          <w:tcPr>
            <w:tcW w:w="3078" w:type="dxa"/>
            <w:gridSpan w:val="2"/>
            <w:tcBorders>
              <w:top w:val="double" w:sz="6" w:space="0" w:color="auto"/>
              <w:left w:val="double" w:sz="6" w:space="0" w:color="auto"/>
              <w:bottom w:val="double" w:sz="6" w:space="0" w:color="auto"/>
              <w:right w:val="double" w:sz="6" w:space="0" w:color="000000"/>
            </w:tcBorders>
            <w:shd w:val="clear" w:color="auto" w:fill="auto"/>
            <w:tcMar>
              <w:left w:w="58" w:type="dxa"/>
              <w:right w:w="58" w:type="dxa"/>
            </w:tcMar>
            <w:vAlign w:val="center"/>
          </w:tcPr>
          <w:p w:rsidR="006026BC" w:rsidRPr="00E00692" w:rsidRDefault="006026BC" w:rsidP="00E56108">
            <w:pPr>
              <w:jc w:val="left"/>
              <w:rPr>
                <w:rFonts w:eastAsia="Times New Roman"/>
                <w:b/>
                <w:bCs/>
                <w:color w:val="000000"/>
                <w:sz w:val="18"/>
                <w:szCs w:val="18"/>
              </w:rPr>
            </w:pPr>
            <w:r w:rsidRPr="00E00692">
              <w:rPr>
                <w:rFonts w:eastAsia="Times New Roman"/>
                <w:b/>
                <w:bCs/>
                <w:color w:val="000000"/>
                <w:sz w:val="18"/>
                <w:szCs w:val="18"/>
              </w:rPr>
              <w:t xml:space="preserve">Mean </w:t>
            </w:r>
            <w:r w:rsidR="00E56108" w:rsidRPr="00E00692">
              <w:rPr>
                <w:rFonts w:eastAsia="Times New Roman"/>
                <w:b/>
                <w:bCs/>
                <w:color w:val="000000"/>
                <w:sz w:val="18"/>
                <w:szCs w:val="18"/>
              </w:rPr>
              <w:t>(across 100 data sets)</w:t>
            </w:r>
            <w:r w:rsidRPr="00E00692">
              <w:rPr>
                <w:rFonts w:eastAsia="Times New Roman"/>
                <w:b/>
                <w:bCs/>
                <w:color w:val="000000"/>
                <w:sz w:val="18"/>
                <w:szCs w:val="18"/>
              </w:rPr>
              <w:t xml:space="preserve"> log-likelihood value at convergence</w:t>
            </w:r>
          </w:p>
        </w:tc>
        <w:tc>
          <w:tcPr>
            <w:tcW w:w="3435" w:type="dxa"/>
            <w:gridSpan w:val="2"/>
            <w:tcBorders>
              <w:top w:val="nil"/>
              <w:left w:val="nil"/>
              <w:bottom w:val="double" w:sz="6" w:space="0" w:color="auto"/>
              <w:right w:val="double" w:sz="6" w:space="0" w:color="auto"/>
            </w:tcBorders>
            <w:shd w:val="clear" w:color="auto" w:fill="auto"/>
            <w:noWrap/>
            <w:tcMar>
              <w:left w:w="58" w:type="dxa"/>
              <w:right w:w="58" w:type="dxa"/>
            </w:tcMar>
            <w:vAlign w:val="center"/>
          </w:tcPr>
          <w:p w:rsidR="006026BC" w:rsidRPr="00E00692" w:rsidRDefault="006026BC" w:rsidP="00A12CE3">
            <w:pPr>
              <w:jc w:val="center"/>
              <w:rPr>
                <w:rFonts w:eastAsia="Times New Roman"/>
                <w:b/>
                <w:color w:val="000000"/>
                <w:sz w:val="19"/>
                <w:szCs w:val="19"/>
              </w:rPr>
            </w:pPr>
            <w:r w:rsidRPr="00E00692">
              <w:rPr>
                <w:rFonts w:eastAsia="Times New Roman"/>
                <w:b/>
                <w:color w:val="000000"/>
                <w:sz w:val="19"/>
                <w:szCs w:val="19"/>
              </w:rPr>
              <w:t>-39,</w:t>
            </w:r>
            <w:r w:rsidR="00A12CE3" w:rsidRPr="00E00692">
              <w:rPr>
                <w:rFonts w:eastAsia="Times New Roman"/>
                <w:b/>
                <w:color w:val="000000"/>
                <w:sz w:val="19"/>
                <w:szCs w:val="19"/>
              </w:rPr>
              <w:t>599.201</w:t>
            </w:r>
          </w:p>
        </w:tc>
        <w:tc>
          <w:tcPr>
            <w:tcW w:w="3800" w:type="dxa"/>
            <w:gridSpan w:val="2"/>
            <w:tcBorders>
              <w:top w:val="nil"/>
              <w:left w:val="nil"/>
              <w:bottom w:val="double" w:sz="6" w:space="0" w:color="auto"/>
              <w:right w:val="double" w:sz="6" w:space="0" w:color="auto"/>
            </w:tcBorders>
            <w:shd w:val="clear" w:color="auto" w:fill="auto"/>
            <w:noWrap/>
            <w:tcMar>
              <w:left w:w="58" w:type="dxa"/>
              <w:right w:w="58" w:type="dxa"/>
            </w:tcMar>
            <w:vAlign w:val="center"/>
          </w:tcPr>
          <w:p w:rsidR="006026BC" w:rsidRPr="00E00692" w:rsidRDefault="006026BC" w:rsidP="000B06DF">
            <w:pPr>
              <w:jc w:val="center"/>
              <w:rPr>
                <w:rFonts w:eastAsia="Times New Roman"/>
                <w:b/>
                <w:color w:val="000000"/>
                <w:sz w:val="19"/>
                <w:szCs w:val="19"/>
              </w:rPr>
            </w:pPr>
            <w:r w:rsidRPr="00E00692">
              <w:rPr>
                <w:rFonts w:eastAsia="Times New Roman"/>
                <w:b/>
                <w:color w:val="000000"/>
                <w:sz w:val="19"/>
                <w:szCs w:val="19"/>
              </w:rPr>
              <w:t>-39,797.634</w:t>
            </w:r>
          </w:p>
        </w:tc>
      </w:tr>
      <w:tr w:rsidR="006026BC" w:rsidRPr="00E00692" w:rsidTr="00413833">
        <w:trPr>
          <w:cantSplit/>
          <w:trHeight w:val="144"/>
          <w:jc w:val="center"/>
        </w:trPr>
        <w:tc>
          <w:tcPr>
            <w:tcW w:w="3078" w:type="dxa"/>
            <w:gridSpan w:val="2"/>
            <w:tcBorders>
              <w:top w:val="double" w:sz="6" w:space="0" w:color="auto"/>
              <w:left w:val="double" w:sz="6" w:space="0" w:color="auto"/>
              <w:bottom w:val="double" w:sz="6" w:space="0" w:color="auto"/>
              <w:right w:val="double" w:sz="6" w:space="0" w:color="000000"/>
            </w:tcBorders>
            <w:shd w:val="clear" w:color="auto" w:fill="auto"/>
            <w:tcMar>
              <w:left w:w="58" w:type="dxa"/>
              <w:right w:w="58" w:type="dxa"/>
            </w:tcMar>
            <w:vAlign w:val="center"/>
          </w:tcPr>
          <w:p w:rsidR="006026BC" w:rsidRPr="00E00692" w:rsidRDefault="006026BC" w:rsidP="00E56108">
            <w:pPr>
              <w:jc w:val="left"/>
              <w:rPr>
                <w:rFonts w:eastAsia="Times New Roman"/>
                <w:b/>
                <w:bCs/>
                <w:color w:val="000000"/>
                <w:sz w:val="19"/>
                <w:szCs w:val="19"/>
              </w:rPr>
            </w:pPr>
            <w:r w:rsidRPr="00E00692">
              <w:rPr>
                <w:rFonts w:eastAsia="Times New Roman"/>
                <w:b/>
                <w:bCs/>
                <w:color w:val="000000"/>
                <w:sz w:val="18"/>
                <w:szCs w:val="18"/>
              </w:rPr>
              <w:t xml:space="preserve">Number of times the </w:t>
            </w:r>
            <w:r w:rsidR="00E56108" w:rsidRPr="00E00692">
              <w:rPr>
                <w:rFonts w:eastAsia="Times New Roman"/>
                <w:b/>
                <w:bCs/>
                <w:color w:val="000000"/>
                <w:sz w:val="18"/>
                <w:szCs w:val="18"/>
              </w:rPr>
              <w:t xml:space="preserve">likelihood ratio test </w:t>
            </w:r>
            <w:r w:rsidRPr="00E00692">
              <w:rPr>
                <w:rFonts w:eastAsia="Times New Roman"/>
                <w:b/>
                <w:bCs/>
                <w:color w:val="000000"/>
                <w:sz w:val="18"/>
                <w:szCs w:val="18"/>
              </w:rPr>
              <w:t xml:space="preserve">favors the </w:t>
            </w:r>
            <w:r w:rsidR="00E56108" w:rsidRPr="00E00692">
              <w:rPr>
                <w:rFonts w:eastAsia="Times New Roman"/>
                <w:b/>
                <w:bCs/>
                <w:color w:val="000000"/>
                <w:sz w:val="18"/>
                <w:szCs w:val="18"/>
              </w:rPr>
              <w:t>FDMN-</w:t>
            </w:r>
            <w:r w:rsidRPr="00E00692">
              <w:rPr>
                <w:rFonts w:eastAsia="Times New Roman"/>
                <w:b/>
                <w:bCs/>
                <w:color w:val="000000"/>
                <w:sz w:val="18"/>
                <w:szCs w:val="18"/>
              </w:rPr>
              <w:t xml:space="preserve">MDCP </w:t>
            </w:r>
            <w:proofErr w:type="spellStart"/>
            <w:r w:rsidR="00E56108" w:rsidRPr="00E00692">
              <w:rPr>
                <w:rFonts w:eastAsia="Times New Roman"/>
                <w:b/>
                <w:bCs/>
                <w:color w:val="000000"/>
                <w:sz w:val="18"/>
                <w:szCs w:val="18"/>
              </w:rPr>
              <w:t>mode</w:t>
            </w:r>
            <w:r w:rsidRPr="00E00692">
              <w:rPr>
                <w:rFonts w:eastAsia="Times New Roman"/>
                <w:b/>
                <w:bCs/>
                <w:color w:val="000000"/>
                <w:sz w:val="18"/>
                <w:szCs w:val="18"/>
              </w:rPr>
              <w:t>l</w:t>
            </w:r>
            <w:r w:rsidR="009B46C2" w:rsidRPr="00E00692">
              <w:rPr>
                <w:rFonts w:eastAsia="Times New Roman"/>
                <w:bCs/>
                <w:color w:val="000000"/>
                <w:sz w:val="19"/>
                <w:szCs w:val="19"/>
                <w:vertAlign w:val="superscript"/>
              </w:rPr>
              <w:t>d</w:t>
            </w:r>
            <w:proofErr w:type="spellEnd"/>
          </w:p>
        </w:tc>
        <w:tc>
          <w:tcPr>
            <w:tcW w:w="3435" w:type="dxa"/>
            <w:gridSpan w:val="2"/>
            <w:tcBorders>
              <w:top w:val="nil"/>
              <w:left w:val="nil"/>
              <w:bottom w:val="double" w:sz="6" w:space="0" w:color="auto"/>
              <w:right w:val="double" w:sz="6" w:space="0" w:color="auto"/>
            </w:tcBorders>
            <w:shd w:val="clear" w:color="auto" w:fill="auto"/>
            <w:noWrap/>
            <w:tcMar>
              <w:left w:w="58" w:type="dxa"/>
              <w:right w:w="58" w:type="dxa"/>
            </w:tcMar>
            <w:vAlign w:val="center"/>
          </w:tcPr>
          <w:p w:rsidR="006026BC" w:rsidRPr="00E00692" w:rsidRDefault="006026BC" w:rsidP="00A12CE3">
            <w:pPr>
              <w:jc w:val="center"/>
              <w:rPr>
                <w:rFonts w:eastAsia="Times New Roman"/>
                <w:b/>
                <w:color w:val="000000"/>
                <w:sz w:val="19"/>
                <w:szCs w:val="19"/>
              </w:rPr>
            </w:pPr>
            <w:r w:rsidRPr="00E00692">
              <w:rPr>
                <w:rFonts w:eastAsia="Times New Roman"/>
                <w:color w:val="000000"/>
                <w:sz w:val="19"/>
                <w:szCs w:val="19"/>
              </w:rPr>
              <w:t xml:space="preserve">All one hundred times when compared with </w:t>
            </w:r>
            <m:oMath>
              <m:sSubSup>
                <m:sSubSupPr>
                  <m:ctrlPr>
                    <w:rPr>
                      <w:rFonts w:ascii="Cambria Math" w:eastAsia="Times New Roman" w:hAnsi="Cambria Math"/>
                      <w:i/>
                      <w:color w:val="000000"/>
                      <w:sz w:val="19"/>
                      <w:szCs w:val="19"/>
                    </w:rPr>
                  </m:ctrlPr>
                </m:sSubSupPr>
                <m:e>
                  <m:r>
                    <w:rPr>
                      <w:rFonts w:ascii="Cambria Math" w:eastAsia="Times New Roman" w:hAnsi="Cambria Math"/>
                      <w:color w:val="000000"/>
                      <w:sz w:val="19"/>
                      <w:szCs w:val="19"/>
                    </w:rPr>
                    <m:t>χ</m:t>
                  </m:r>
                </m:e>
                <m:sub>
                  <m:r>
                    <w:rPr>
                      <w:rFonts w:ascii="Cambria Math" w:eastAsia="Times New Roman" w:hAnsi="Cambria Math"/>
                      <w:color w:val="000000"/>
                      <w:sz w:val="19"/>
                      <w:szCs w:val="19"/>
                    </w:rPr>
                    <m:t>9,0.95</m:t>
                  </m:r>
                </m:sub>
                <m:sup>
                  <m:r>
                    <w:rPr>
                      <w:rFonts w:ascii="Cambria Math" w:eastAsia="Times New Roman" w:hAnsi="Cambria Math"/>
                      <w:color w:val="000000"/>
                      <w:sz w:val="19"/>
                      <w:szCs w:val="19"/>
                    </w:rPr>
                    <m:t>2</m:t>
                  </m:r>
                </m:sup>
              </m:sSubSup>
              <m:r>
                <w:rPr>
                  <w:rFonts w:ascii="Cambria Math" w:eastAsia="Times New Roman" w:hAnsi="Cambria Math"/>
                  <w:color w:val="000000"/>
                  <w:sz w:val="19"/>
                  <w:szCs w:val="19"/>
                </w:rPr>
                <m:t>=16.92</m:t>
              </m:r>
            </m:oMath>
          </w:p>
        </w:tc>
        <w:tc>
          <w:tcPr>
            <w:tcW w:w="3800" w:type="dxa"/>
            <w:gridSpan w:val="2"/>
            <w:tcBorders>
              <w:top w:val="nil"/>
              <w:left w:val="nil"/>
              <w:bottom w:val="double" w:sz="6" w:space="0" w:color="auto"/>
              <w:right w:val="double" w:sz="6" w:space="0" w:color="auto"/>
            </w:tcBorders>
            <w:shd w:val="clear" w:color="auto" w:fill="auto"/>
            <w:noWrap/>
            <w:tcMar>
              <w:left w:w="58" w:type="dxa"/>
              <w:right w:w="58" w:type="dxa"/>
            </w:tcMar>
            <w:vAlign w:val="center"/>
          </w:tcPr>
          <w:p w:rsidR="006026BC" w:rsidRPr="00E00692" w:rsidRDefault="006026BC" w:rsidP="00A12CE3">
            <w:pPr>
              <w:jc w:val="center"/>
              <w:rPr>
                <w:rFonts w:eastAsia="Times New Roman"/>
                <w:b/>
                <w:color w:val="000000"/>
                <w:sz w:val="19"/>
                <w:szCs w:val="19"/>
              </w:rPr>
            </w:pPr>
            <w:r w:rsidRPr="00E00692">
              <w:rPr>
                <w:rFonts w:eastAsia="Times New Roman"/>
                <w:color w:val="000000"/>
                <w:sz w:val="19"/>
                <w:szCs w:val="19"/>
              </w:rPr>
              <w:t xml:space="preserve">All one hundred times when compared with </w:t>
            </w:r>
            <m:oMath>
              <m:sSubSup>
                <m:sSubSupPr>
                  <m:ctrlPr>
                    <w:rPr>
                      <w:rFonts w:ascii="Cambria Math" w:eastAsia="Times New Roman" w:hAnsi="Cambria Math"/>
                      <w:i/>
                      <w:color w:val="000000"/>
                      <w:sz w:val="19"/>
                      <w:szCs w:val="19"/>
                    </w:rPr>
                  </m:ctrlPr>
                </m:sSubSupPr>
                <m:e>
                  <m:r>
                    <w:rPr>
                      <w:rFonts w:ascii="Cambria Math" w:eastAsia="Times New Roman" w:hAnsi="Cambria Math"/>
                      <w:color w:val="000000"/>
                      <w:sz w:val="19"/>
                      <w:szCs w:val="19"/>
                    </w:rPr>
                    <m:t>χ</m:t>
                  </m:r>
                </m:e>
                <m:sub>
                  <m:r>
                    <w:rPr>
                      <w:rFonts w:ascii="Cambria Math" w:eastAsia="Times New Roman" w:hAnsi="Cambria Math"/>
                      <w:color w:val="000000"/>
                      <w:sz w:val="19"/>
                      <w:szCs w:val="19"/>
                    </w:rPr>
                    <m:t>27,0.95</m:t>
                  </m:r>
                </m:sub>
                <m:sup>
                  <m:r>
                    <w:rPr>
                      <w:rFonts w:ascii="Cambria Math" w:eastAsia="Times New Roman" w:hAnsi="Cambria Math"/>
                      <w:color w:val="000000"/>
                      <w:sz w:val="19"/>
                      <w:szCs w:val="19"/>
                    </w:rPr>
                    <m:t>2</m:t>
                  </m:r>
                </m:sup>
              </m:sSubSup>
              <m:r>
                <w:rPr>
                  <w:rFonts w:ascii="Cambria Math" w:eastAsia="Times New Roman" w:hAnsi="Cambria Math"/>
                  <w:color w:val="000000"/>
                  <w:sz w:val="19"/>
                  <w:szCs w:val="19"/>
                </w:rPr>
                <m:t>=40.11</m:t>
              </m:r>
            </m:oMath>
          </w:p>
        </w:tc>
      </w:tr>
      <w:tr w:rsidR="00834F13" w:rsidRPr="00E00692" w:rsidTr="00413833">
        <w:trPr>
          <w:cantSplit/>
          <w:trHeight w:val="144"/>
          <w:jc w:val="center"/>
        </w:trPr>
        <w:tc>
          <w:tcPr>
            <w:tcW w:w="10313" w:type="dxa"/>
            <w:gridSpan w:val="6"/>
            <w:tcBorders>
              <w:top w:val="double" w:sz="6" w:space="0" w:color="auto"/>
            </w:tcBorders>
            <w:shd w:val="clear" w:color="auto" w:fill="auto"/>
            <w:vAlign w:val="center"/>
          </w:tcPr>
          <w:p w:rsidR="00834F13" w:rsidRPr="00E00692" w:rsidRDefault="00834F13" w:rsidP="000B06DF">
            <w:pPr>
              <w:jc w:val="left"/>
              <w:rPr>
                <w:rFonts w:eastAsia="Times New Roman"/>
                <w:bCs/>
                <w:color w:val="000000"/>
                <w:sz w:val="18"/>
                <w:szCs w:val="18"/>
              </w:rPr>
            </w:pPr>
            <w:proofErr w:type="spellStart"/>
            <w:proofErr w:type="gramStart"/>
            <w:r w:rsidRPr="00E00692">
              <w:rPr>
                <w:rFonts w:eastAsia="Times New Roman"/>
                <w:bCs/>
                <w:color w:val="000000"/>
                <w:sz w:val="19"/>
                <w:szCs w:val="19"/>
                <w:vertAlign w:val="superscript"/>
              </w:rPr>
              <w:t>a</w:t>
            </w:r>
            <w:proofErr w:type="spellEnd"/>
            <w:proofErr w:type="gramEnd"/>
            <w:r w:rsidR="00E00692" w:rsidRPr="00E00692">
              <w:rPr>
                <w:rFonts w:eastAsia="Times New Roman"/>
                <w:bCs/>
                <w:color w:val="000000"/>
                <w:sz w:val="19"/>
                <w:szCs w:val="19"/>
                <w:vertAlign w:val="superscript"/>
              </w:rPr>
              <w:t xml:space="preserve"> </w:t>
            </w:r>
            <w:r w:rsidRPr="00E00692">
              <w:rPr>
                <w:rFonts w:eastAsia="Times New Roman"/>
                <w:bCs/>
                <w:color w:val="000000"/>
                <w:sz w:val="18"/>
                <w:szCs w:val="18"/>
              </w:rPr>
              <w:t>These parameters are not estimated and are fixed at 0.0  (see Section 3.1.3).</w:t>
            </w:r>
          </w:p>
          <w:p w:rsidR="009B46C2" w:rsidRPr="00E00692" w:rsidRDefault="009B46C2" w:rsidP="000B06DF">
            <w:pPr>
              <w:jc w:val="left"/>
              <w:rPr>
                <w:rFonts w:eastAsia="Times New Roman"/>
                <w:bCs/>
                <w:color w:val="000000"/>
                <w:sz w:val="19"/>
                <w:szCs w:val="19"/>
              </w:rPr>
            </w:pPr>
            <w:proofErr w:type="gramStart"/>
            <w:r w:rsidRPr="00E00692">
              <w:rPr>
                <w:rFonts w:eastAsia="Times New Roman"/>
                <w:bCs/>
                <w:color w:val="000000"/>
                <w:sz w:val="19"/>
                <w:szCs w:val="19"/>
                <w:vertAlign w:val="superscript"/>
              </w:rPr>
              <w:t>b</w:t>
            </w:r>
            <w:proofErr w:type="gramEnd"/>
            <w:r w:rsidR="00E00692" w:rsidRPr="00E00692">
              <w:rPr>
                <w:rFonts w:eastAsia="Times New Roman"/>
                <w:bCs/>
                <w:color w:val="000000"/>
                <w:sz w:val="19"/>
                <w:szCs w:val="19"/>
                <w:vertAlign w:val="superscript"/>
              </w:rPr>
              <w:t xml:space="preserve"> </w:t>
            </w:r>
            <w:r w:rsidRPr="00E00692">
              <w:rPr>
                <w:rFonts w:eastAsia="Times New Roman"/>
                <w:bCs/>
                <w:color w:val="000000"/>
                <w:sz w:val="18"/>
                <w:szCs w:val="19"/>
              </w:rPr>
              <w:t>This parameter is fixed to 1.0 for identification</w:t>
            </w:r>
            <w:r w:rsidR="00E00692" w:rsidRPr="00E00692">
              <w:rPr>
                <w:rFonts w:eastAsia="Times New Roman"/>
                <w:bCs/>
                <w:color w:val="000000"/>
                <w:sz w:val="18"/>
                <w:szCs w:val="19"/>
              </w:rPr>
              <w:t>.</w:t>
            </w:r>
          </w:p>
          <w:p w:rsidR="00834F13" w:rsidRDefault="009B46C2" w:rsidP="000B06DF">
            <w:pPr>
              <w:jc w:val="left"/>
              <w:rPr>
                <w:rFonts w:eastAsia="Times New Roman"/>
                <w:bCs/>
                <w:color w:val="000000"/>
                <w:sz w:val="18"/>
                <w:szCs w:val="19"/>
              </w:rPr>
            </w:pPr>
            <w:proofErr w:type="gramStart"/>
            <w:r w:rsidRPr="00E00692">
              <w:rPr>
                <w:rFonts w:eastAsia="Times New Roman"/>
                <w:bCs/>
                <w:color w:val="000000"/>
                <w:sz w:val="19"/>
                <w:szCs w:val="19"/>
                <w:vertAlign w:val="superscript"/>
              </w:rPr>
              <w:t>c</w:t>
            </w:r>
            <w:proofErr w:type="gramEnd"/>
            <w:r w:rsidR="00E00692" w:rsidRPr="00E00692">
              <w:rPr>
                <w:rFonts w:eastAsia="Times New Roman"/>
                <w:bCs/>
                <w:color w:val="000000"/>
                <w:sz w:val="19"/>
                <w:szCs w:val="19"/>
                <w:vertAlign w:val="superscript"/>
              </w:rPr>
              <w:t xml:space="preserve"> </w:t>
            </w:r>
            <w:r w:rsidR="00834F13" w:rsidRPr="00E00692">
              <w:rPr>
                <w:rFonts w:eastAsia="Times New Roman"/>
                <w:bCs/>
                <w:color w:val="000000"/>
                <w:sz w:val="18"/>
                <w:szCs w:val="19"/>
              </w:rPr>
              <w:t>These parameters are implicitly fixed to the value of minus infinity.</w:t>
            </w:r>
          </w:p>
          <w:p w:rsidR="00073FF4" w:rsidRPr="00E00692" w:rsidRDefault="00073FF4" w:rsidP="00413833">
            <w:pPr>
              <w:ind w:right="-212"/>
              <w:jc w:val="left"/>
              <w:rPr>
                <w:rFonts w:eastAsia="Times New Roman"/>
                <w:color w:val="000000"/>
                <w:sz w:val="19"/>
                <w:szCs w:val="19"/>
              </w:rPr>
            </w:pPr>
            <w:proofErr w:type="gramStart"/>
            <w:r w:rsidRPr="00E00692">
              <w:rPr>
                <w:rFonts w:eastAsia="Times New Roman"/>
                <w:bCs/>
                <w:color w:val="000000"/>
                <w:sz w:val="19"/>
                <w:szCs w:val="19"/>
                <w:vertAlign w:val="superscript"/>
              </w:rPr>
              <w:t>d</w:t>
            </w:r>
            <w:proofErr w:type="gramEnd"/>
            <w:r w:rsidRPr="00E00692">
              <w:rPr>
                <w:rFonts w:eastAsia="Times New Roman"/>
                <w:bCs/>
                <w:color w:val="000000"/>
                <w:sz w:val="19"/>
                <w:szCs w:val="19"/>
                <w:vertAlign w:val="superscript"/>
              </w:rPr>
              <w:t xml:space="preserve"> </w:t>
            </w:r>
            <w:r w:rsidRPr="00E00692">
              <w:rPr>
                <w:rFonts w:eastAsia="Times New Roman"/>
                <w:bCs/>
                <w:color w:val="000000"/>
                <w:sz w:val="18"/>
                <w:szCs w:val="19"/>
              </w:rPr>
              <w:t>The mean (across data sets) log-likelihood value at convergence for the FDMN-MDCP model with a three-segment mixture is -39,001.232</w:t>
            </w:r>
            <w:r>
              <w:rPr>
                <w:rFonts w:eastAsia="Times New Roman"/>
                <w:bCs/>
                <w:color w:val="000000"/>
                <w:sz w:val="18"/>
                <w:szCs w:val="19"/>
              </w:rPr>
              <w:t>.</w:t>
            </w:r>
          </w:p>
        </w:tc>
      </w:tr>
    </w:tbl>
    <w:p w:rsidR="00073FF4" w:rsidRPr="00073FF4" w:rsidRDefault="00073FF4" w:rsidP="00073FF4">
      <w:pPr>
        <w:autoSpaceDE w:val="0"/>
        <w:autoSpaceDN w:val="0"/>
        <w:adjustRightInd w:val="0"/>
        <w:spacing w:after="120" w:line="276" w:lineRule="auto"/>
        <w:rPr>
          <w:rFonts w:ascii="TimesNewRomanPSMT" w:hAnsi="TimesNewRomanPSMT" w:cs="TimesNewRomanPSMT"/>
          <w:sz w:val="16"/>
          <w:szCs w:val="16"/>
        </w:rPr>
        <w:sectPr w:rsidR="00073FF4" w:rsidRPr="00073FF4" w:rsidSect="00413833">
          <w:pgSz w:w="12240" w:h="15840" w:code="1"/>
          <w:pgMar w:top="864" w:right="1440" w:bottom="864" w:left="1440" w:header="720" w:footer="720" w:gutter="0"/>
          <w:cols w:space="720"/>
          <w:docGrid w:linePitch="360"/>
        </w:sectPr>
      </w:pPr>
    </w:p>
    <w:p w:rsidR="000711F1" w:rsidRDefault="000711F1" w:rsidP="00073FF4">
      <w:pPr>
        <w:autoSpaceDE w:val="0"/>
        <w:autoSpaceDN w:val="0"/>
        <w:adjustRightInd w:val="0"/>
        <w:spacing w:after="120" w:line="276" w:lineRule="auto"/>
        <w:jc w:val="center"/>
        <w:rPr>
          <w:rFonts w:ascii="TimesNewRomanPSMT" w:hAnsi="TimesNewRomanPSMT" w:cs="TimesNewRomanPSMT"/>
          <w:b/>
          <w:sz w:val="22"/>
        </w:rPr>
      </w:pPr>
    </w:p>
    <w:p w:rsidR="00636F38" w:rsidRPr="00073FF4" w:rsidRDefault="00884D45" w:rsidP="00073FF4">
      <w:pPr>
        <w:autoSpaceDE w:val="0"/>
        <w:autoSpaceDN w:val="0"/>
        <w:adjustRightInd w:val="0"/>
        <w:spacing w:after="120" w:line="276" w:lineRule="auto"/>
        <w:jc w:val="center"/>
        <w:rPr>
          <w:rFonts w:ascii="TimesNewRomanPSMT" w:hAnsi="TimesNewRomanPSMT" w:cs="TimesNewRomanPSMT"/>
          <w:b/>
          <w:sz w:val="22"/>
        </w:rPr>
      </w:pPr>
      <w:proofErr w:type="gramStart"/>
      <w:r>
        <w:rPr>
          <w:rFonts w:ascii="TimesNewRomanPSMT" w:hAnsi="TimesNewRomanPSMT" w:cs="TimesNewRomanPSMT"/>
          <w:b/>
          <w:sz w:val="22"/>
        </w:rPr>
        <w:t>Table 3.</w:t>
      </w:r>
      <w:proofErr w:type="gramEnd"/>
      <w:r w:rsidR="00636F38" w:rsidRPr="00073FF4">
        <w:rPr>
          <w:rFonts w:ascii="TimesNewRomanPSMT" w:hAnsi="TimesNewRomanPSMT" w:cs="TimesNewRomanPSMT"/>
          <w:b/>
          <w:sz w:val="22"/>
        </w:rPr>
        <w:t xml:space="preserve"> Recr</w:t>
      </w:r>
      <w:r w:rsidR="00073FF4">
        <w:rPr>
          <w:rFonts w:ascii="TimesNewRomanPSMT" w:hAnsi="TimesNewRomanPSMT" w:cs="TimesNewRomanPSMT"/>
          <w:b/>
          <w:sz w:val="22"/>
        </w:rPr>
        <w:t>eational Travel Number of Trips</w:t>
      </w: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
        <w:gridCol w:w="2027"/>
        <w:gridCol w:w="1283"/>
        <w:gridCol w:w="1283"/>
        <w:gridCol w:w="1284"/>
        <w:gridCol w:w="1283"/>
        <w:gridCol w:w="1284"/>
      </w:tblGrid>
      <w:tr w:rsidR="00636F38" w:rsidRPr="00BA38DA" w:rsidTr="0097711B">
        <w:trPr>
          <w:trHeight w:val="300"/>
          <w:jc w:val="center"/>
        </w:trPr>
        <w:tc>
          <w:tcPr>
            <w:tcW w:w="1494" w:type="dxa"/>
            <w:vMerge w:val="restart"/>
            <w:tcBorders>
              <w:top w:val="double" w:sz="6" w:space="0" w:color="000000"/>
              <w:left w:val="double" w:sz="6" w:space="0" w:color="000000"/>
            </w:tcBorders>
            <w:shd w:val="clear" w:color="auto" w:fill="auto"/>
            <w:noWrap/>
            <w:vAlign w:val="center"/>
            <w:hideMark/>
          </w:tcPr>
          <w:p w:rsidR="00636F38" w:rsidRPr="00BA38DA" w:rsidRDefault="00636F38" w:rsidP="00BD6523">
            <w:pPr>
              <w:jc w:val="center"/>
              <w:rPr>
                <w:rFonts w:eastAsia="Times New Roman"/>
                <w:color w:val="000000"/>
                <w:sz w:val="22"/>
              </w:rPr>
            </w:pPr>
            <w:r w:rsidRPr="00BA38DA">
              <w:rPr>
                <w:rFonts w:eastAsia="Times New Roman"/>
                <w:color w:val="000000"/>
                <w:sz w:val="22"/>
              </w:rPr>
              <w:t>Number of trips</w:t>
            </w:r>
          </w:p>
        </w:tc>
        <w:tc>
          <w:tcPr>
            <w:tcW w:w="2027" w:type="dxa"/>
            <w:vMerge w:val="restart"/>
            <w:tcBorders>
              <w:top w:val="double" w:sz="6" w:space="0" w:color="000000"/>
            </w:tcBorders>
            <w:shd w:val="clear" w:color="auto" w:fill="auto"/>
            <w:noWrap/>
            <w:vAlign w:val="center"/>
            <w:hideMark/>
          </w:tcPr>
          <w:p w:rsidR="00636F38" w:rsidRPr="00BA38DA" w:rsidRDefault="00636F38" w:rsidP="00BD6523">
            <w:pPr>
              <w:jc w:val="center"/>
              <w:rPr>
                <w:rFonts w:eastAsia="Times New Roman"/>
                <w:color w:val="000000"/>
                <w:sz w:val="22"/>
              </w:rPr>
            </w:pPr>
            <w:r w:rsidRPr="00BA38DA">
              <w:rPr>
                <w:rFonts w:eastAsia="Times New Roman"/>
                <w:color w:val="000000"/>
                <w:sz w:val="22"/>
              </w:rPr>
              <w:t>Number of individuals</w:t>
            </w:r>
          </w:p>
        </w:tc>
        <w:tc>
          <w:tcPr>
            <w:tcW w:w="6417" w:type="dxa"/>
            <w:gridSpan w:val="5"/>
            <w:tcBorders>
              <w:top w:val="double" w:sz="6" w:space="0" w:color="000000"/>
              <w:bottom w:val="single" w:sz="4" w:space="0" w:color="auto"/>
              <w:right w:val="double" w:sz="6" w:space="0" w:color="000000"/>
            </w:tcBorders>
            <w:shd w:val="clear" w:color="auto" w:fill="auto"/>
            <w:noWrap/>
            <w:vAlign w:val="center"/>
            <w:hideMark/>
          </w:tcPr>
          <w:p w:rsidR="00636F38" w:rsidRPr="00BA38DA" w:rsidRDefault="00636F38" w:rsidP="00BD6523">
            <w:pPr>
              <w:jc w:val="center"/>
              <w:rPr>
                <w:rFonts w:eastAsia="Times New Roman"/>
                <w:color w:val="000000"/>
                <w:sz w:val="22"/>
                <w:vertAlign w:val="superscript"/>
              </w:rPr>
            </w:pPr>
            <w:r w:rsidRPr="00BA38DA">
              <w:rPr>
                <w:rFonts w:eastAsia="Times New Roman"/>
                <w:color w:val="000000"/>
                <w:sz w:val="22"/>
              </w:rPr>
              <w:t xml:space="preserve">Number (%) of individuals </w:t>
            </w:r>
            <w:proofErr w:type="spellStart"/>
            <w:r w:rsidRPr="00BA38DA">
              <w:rPr>
                <w:rFonts w:eastAsia="Times New Roman"/>
                <w:color w:val="000000"/>
                <w:sz w:val="22"/>
              </w:rPr>
              <w:t>visiting</w:t>
            </w:r>
            <w:r w:rsidR="00F35702" w:rsidRPr="00BA38DA">
              <w:rPr>
                <w:rFonts w:eastAsia="Times New Roman"/>
                <w:color w:val="000000"/>
                <w:sz w:val="22"/>
                <w:vertAlign w:val="superscript"/>
              </w:rPr>
              <w:t>a</w:t>
            </w:r>
            <w:proofErr w:type="spellEnd"/>
          </w:p>
        </w:tc>
      </w:tr>
      <w:tr w:rsidR="00636F38" w:rsidRPr="00BA38DA" w:rsidTr="0097711B">
        <w:trPr>
          <w:trHeight w:val="300"/>
          <w:jc w:val="center"/>
        </w:trPr>
        <w:tc>
          <w:tcPr>
            <w:tcW w:w="1494" w:type="dxa"/>
            <w:vMerge/>
            <w:tcBorders>
              <w:left w:val="double" w:sz="6" w:space="0" w:color="000000"/>
              <w:bottom w:val="double" w:sz="6" w:space="0" w:color="000000"/>
            </w:tcBorders>
            <w:vAlign w:val="center"/>
            <w:hideMark/>
          </w:tcPr>
          <w:p w:rsidR="00636F38" w:rsidRPr="00BA38DA" w:rsidRDefault="00636F38" w:rsidP="00BD6523">
            <w:pPr>
              <w:jc w:val="center"/>
              <w:rPr>
                <w:rFonts w:eastAsia="Times New Roman"/>
                <w:color w:val="000000"/>
                <w:sz w:val="22"/>
              </w:rPr>
            </w:pPr>
          </w:p>
        </w:tc>
        <w:tc>
          <w:tcPr>
            <w:tcW w:w="2027" w:type="dxa"/>
            <w:vMerge/>
            <w:tcBorders>
              <w:bottom w:val="double" w:sz="6" w:space="0" w:color="000000"/>
            </w:tcBorders>
            <w:vAlign w:val="center"/>
            <w:hideMark/>
          </w:tcPr>
          <w:p w:rsidR="00636F38" w:rsidRPr="00BA38DA" w:rsidRDefault="00636F38" w:rsidP="00BD6523">
            <w:pPr>
              <w:jc w:val="center"/>
              <w:rPr>
                <w:rFonts w:eastAsia="Times New Roman"/>
                <w:color w:val="000000"/>
                <w:sz w:val="22"/>
              </w:rPr>
            </w:pPr>
          </w:p>
        </w:tc>
        <w:tc>
          <w:tcPr>
            <w:tcW w:w="1283" w:type="dxa"/>
            <w:tcBorders>
              <w:top w:val="single" w:sz="4" w:space="0" w:color="auto"/>
              <w:bottom w:val="double" w:sz="6" w:space="0" w:color="000000"/>
              <w:right w:val="nil"/>
            </w:tcBorders>
            <w:shd w:val="clear" w:color="auto" w:fill="auto"/>
            <w:noWrap/>
            <w:vAlign w:val="center"/>
            <w:hideMark/>
          </w:tcPr>
          <w:p w:rsidR="00636F38" w:rsidRPr="00BA38DA" w:rsidRDefault="00636F38" w:rsidP="00BD6523">
            <w:pPr>
              <w:jc w:val="center"/>
              <w:rPr>
                <w:rFonts w:eastAsia="Times New Roman"/>
                <w:color w:val="000000"/>
                <w:sz w:val="22"/>
              </w:rPr>
            </w:pPr>
            <w:r w:rsidRPr="00BA38DA">
              <w:rPr>
                <w:rFonts w:eastAsia="Times New Roman"/>
                <w:color w:val="000000"/>
                <w:sz w:val="22"/>
              </w:rPr>
              <w:t>1 region</w:t>
            </w:r>
          </w:p>
        </w:tc>
        <w:tc>
          <w:tcPr>
            <w:tcW w:w="1283" w:type="dxa"/>
            <w:tcBorders>
              <w:top w:val="single" w:sz="4" w:space="0" w:color="auto"/>
              <w:left w:val="nil"/>
              <w:bottom w:val="double" w:sz="6" w:space="0" w:color="000000"/>
              <w:right w:val="nil"/>
            </w:tcBorders>
            <w:shd w:val="clear" w:color="auto" w:fill="auto"/>
            <w:noWrap/>
            <w:vAlign w:val="center"/>
            <w:hideMark/>
          </w:tcPr>
          <w:p w:rsidR="00636F38" w:rsidRPr="00BA38DA" w:rsidRDefault="00636F38" w:rsidP="00BD6523">
            <w:pPr>
              <w:jc w:val="center"/>
              <w:rPr>
                <w:rFonts w:eastAsia="Times New Roman"/>
                <w:color w:val="000000"/>
                <w:sz w:val="22"/>
              </w:rPr>
            </w:pPr>
            <w:r w:rsidRPr="00BA38DA">
              <w:rPr>
                <w:rFonts w:eastAsia="Times New Roman"/>
                <w:color w:val="000000"/>
                <w:sz w:val="22"/>
              </w:rPr>
              <w:t>2 regions</w:t>
            </w:r>
          </w:p>
        </w:tc>
        <w:tc>
          <w:tcPr>
            <w:tcW w:w="1284" w:type="dxa"/>
            <w:tcBorders>
              <w:top w:val="single" w:sz="4" w:space="0" w:color="auto"/>
              <w:left w:val="nil"/>
              <w:bottom w:val="double" w:sz="6" w:space="0" w:color="000000"/>
              <w:right w:val="nil"/>
            </w:tcBorders>
            <w:shd w:val="clear" w:color="auto" w:fill="auto"/>
            <w:noWrap/>
            <w:vAlign w:val="center"/>
            <w:hideMark/>
          </w:tcPr>
          <w:p w:rsidR="00636F38" w:rsidRPr="00BA38DA" w:rsidRDefault="00636F38" w:rsidP="00BD6523">
            <w:pPr>
              <w:jc w:val="center"/>
              <w:rPr>
                <w:rFonts w:eastAsia="Times New Roman"/>
                <w:color w:val="000000"/>
                <w:sz w:val="22"/>
              </w:rPr>
            </w:pPr>
            <w:r w:rsidRPr="00BA38DA">
              <w:rPr>
                <w:rFonts w:eastAsia="Times New Roman"/>
                <w:color w:val="000000"/>
                <w:sz w:val="22"/>
              </w:rPr>
              <w:t>3 regions</w:t>
            </w:r>
          </w:p>
        </w:tc>
        <w:tc>
          <w:tcPr>
            <w:tcW w:w="1283" w:type="dxa"/>
            <w:tcBorders>
              <w:top w:val="single" w:sz="4" w:space="0" w:color="auto"/>
              <w:left w:val="nil"/>
              <w:bottom w:val="double" w:sz="6" w:space="0" w:color="000000"/>
              <w:right w:val="nil"/>
            </w:tcBorders>
            <w:shd w:val="clear" w:color="auto" w:fill="auto"/>
            <w:noWrap/>
            <w:vAlign w:val="center"/>
            <w:hideMark/>
          </w:tcPr>
          <w:p w:rsidR="00636F38" w:rsidRPr="00BA38DA" w:rsidRDefault="00636F38" w:rsidP="00BD6523">
            <w:pPr>
              <w:jc w:val="center"/>
              <w:rPr>
                <w:rFonts w:eastAsia="Times New Roman"/>
                <w:color w:val="000000"/>
                <w:sz w:val="22"/>
              </w:rPr>
            </w:pPr>
            <w:r w:rsidRPr="00BA38DA">
              <w:rPr>
                <w:rFonts w:eastAsia="Times New Roman"/>
                <w:color w:val="000000"/>
                <w:sz w:val="22"/>
              </w:rPr>
              <w:t>4 regions</w:t>
            </w:r>
          </w:p>
        </w:tc>
        <w:tc>
          <w:tcPr>
            <w:tcW w:w="1284" w:type="dxa"/>
            <w:tcBorders>
              <w:top w:val="single" w:sz="4" w:space="0" w:color="auto"/>
              <w:left w:val="nil"/>
              <w:bottom w:val="double" w:sz="6" w:space="0" w:color="000000"/>
              <w:right w:val="double" w:sz="6" w:space="0" w:color="000000"/>
            </w:tcBorders>
            <w:shd w:val="clear" w:color="auto" w:fill="auto"/>
            <w:noWrap/>
            <w:vAlign w:val="center"/>
            <w:hideMark/>
          </w:tcPr>
          <w:p w:rsidR="00636F38" w:rsidRPr="00BA38DA" w:rsidRDefault="00636F38" w:rsidP="00BD6523">
            <w:pPr>
              <w:jc w:val="center"/>
              <w:rPr>
                <w:rFonts w:eastAsia="Times New Roman"/>
                <w:color w:val="000000"/>
                <w:sz w:val="22"/>
              </w:rPr>
            </w:pPr>
            <w:r w:rsidRPr="00BA38DA">
              <w:rPr>
                <w:rFonts w:eastAsia="Times New Roman"/>
                <w:color w:val="000000"/>
                <w:sz w:val="22"/>
              </w:rPr>
              <w:t>5 regions</w:t>
            </w:r>
          </w:p>
        </w:tc>
      </w:tr>
      <w:tr w:rsidR="00636F38" w:rsidRPr="00BA38DA" w:rsidTr="0097711B">
        <w:trPr>
          <w:trHeight w:val="720"/>
          <w:jc w:val="center"/>
        </w:trPr>
        <w:tc>
          <w:tcPr>
            <w:tcW w:w="1494" w:type="dxa"/>
            <w:tcBorders>
              <w:top w:val="double" w:sz="6" w:space="0" w:color="000000"/>
              <w:left w:val="double" w:sz="6" w:space="0" w:color="000000"/>
              <w:bottom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1</w:t>
            </w:r>
          </w:p>
        </w:tc>
        <w:tc>
          <w:tcPr>
            <w:tcW w:w="2027" w:type="dxa"/>
            <w:tcBorders>
              <w:top w:val="double" w:sz="6" w:space="0" w:color="000000"/>
              <w:bottom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2</w:t>
            </w:r>
            <w:r w:rsidR="00AD3F9D" w:rsidRPr="00BA38DA">
              <w:rPr>
                <w:rFonts w:eastAsia="Times New Roman"/>
                <w:color w:val="000000"/>
                <w:sz w:val="22"/>
              </w:rPr>
              <w:t>,</w:t>
            </w:r>
            <w:r w:rsidRPr="00BA38DA">
              <w:rPr>
                <w:rFonts w:eastAsia="Times New Roman"/>
                <w:color w:val="000000"/>
                <w:sz w:val="22"/>
              </w:rPr>
              <w:t>535</w:t>
            </w:r>
          </w:p>
          <w:p w:rsidR="001F46DC" w:rsidRPr="00BA38DA" w:rsidRDefault="005A1EBC" w:rsidP="00BA38DA">
            <w:pPr>
              <w:jc w:val="center"/>
              <w:rPr>
                <w:rFonts w:eastAsia="Times New Roman"/>
                <w:color w:val="000000"/>
                <w:sz w:val="22"/>
              </w:rPr>
            </w:pPr>
            <w:r w:rsidRPr="00BA38DA">
              <w:rPr>
                <w:rFonts w:eastAsia="Times New Roman"/>
                <w:color w:val="000000"/>
                <w:sz w:val="22"/>
              </w:rPr>
              <w:t>(72.3</w:t>
            </w:r>
            <w:r w:rsidR="00BA38DA">
              <w:rPr>
                <w:rFonts w:eastAsia="Times New Roman"/>
                <w:color w:val="000000"/>
                <w:sz w:val="22"/>
              </w:rPr>
              <w:t>%)</w:t>
            </w:r>
          </w:p>
        </w:tc>
        <w:tc>
          <w:tcPr>
            <w:tcW w:w="1283" w:type="dxa"/>
            <w:tcBorders>
              <w:top w:val="double" w:sz="6" w:space="0" w:color="000000"/>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2</w:t>
            </w:r>
            <w:r w:rsidR="00AD3F9D" w:rsidRPr="00BA38DA">
              <w:rPr>
                <w:rFonts w:eastAsia="Times New Roman"/>
                <w:color w:val="000000"/>
                <w:sz w:val="22"/>
              </w:rPr>
              <w:t>,</w:t>
            </w:r>
            <w:r w:rsidRPr="00BA38DA">
              <w:rPr>
                <w:rFonts w:eastAsia="Times New Roman"/>
                <w:color w:val="000000"/>
                <w:sz w:val="22"/>
              </w:rPr>
              <w:t>535</w:t>
            </w:r>
          </w:p>
          <w:p w:rsidR="00636F38" w:rsidRPr="00BA38DA" w:rsidRDefault="00636F38" w:rsidP="005A1EBC">
            <w:pPr>
              <w:jc w:val="center"/>
              <w:rPr>
                <w:rFonts w:eastAsia="Times New Roman"/>
                <w:color w:val="000000"/>
                <w:sz w:val="22"/>
              </w:rPr>
            </w:pPr>
            <w:r w:rsidRPr="00BA38DA">
              <w:rPr>
                <w:rFonts w:eastAsia="Times New Roman"/>
                <w:color w:val="000000"/>
                <w:sz w:val="22"/>
              </w:rPr>
              <w:t>(100%)</w:t>
            </w:r>
          </w:p>
        </w:tc>
        <w:tc>
          <w:tcPr>
            <w:tcW w:w="1283" w:type="dxa"/>
            <w:tcBorders>
              <w:top w:val="double" w:sz="6" w:space="0" w:color="000000"/>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c>
          <w:tcPr>
            <w:tcW w:w="1284" w:type="dxa"/>
            <w:tcBorders>
              <w:top w:val="double" w:sz="6" w:space="0" w:color="000000"/>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c>
          <w:tcPr>
            <w:tcW w:w="1283" w:type="dxa"/>
            <w:tcBorders>
              <w:top w:val="double" w:sz="6" w:space="0" w:color="000000"/>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c>
          <w:tcPr>
            <w:tcW w:w="1284" w:type="dxa"/>
            <w:tcBorders>
              <w:top w:val="double" w:sz="6" w:space="0" w:color="000000"/>
              <w:left w:val="nil"/>
              <w:bottom w:val="nil"/>
              <w:right w:val="double" w:sz="6" w:space="0" w:color="000000"/>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r>
      <w:tr w:rsidR="00636F38" w:rsidRPr="00BA38DA" w:rsidTr="0097711B">
        <w:trPr>
          <w:trHeight w:val="720"/>
          <w:jc w:val="center"/>
        </w:trPr>
        <w:tc>
          <w:tcPr>
            <w:tcW w:w="1494" w:type="dxa"/>
            <w:tcBorders>
              <w:top w:val="nil"/>
              <w:left w:val="double" w:sz="6" w:space="0" w:color="000000"/>
              <w:bottom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2</w:t>
            </w:r>
          </w:p>
        </w:tc>
        <w:tc>
          <w:tcPr>
            <w:tcW w:w="2027" w:type="dxa"/>
            <w:tcBorders>
              <w:top w:val="nil"/>
              <w:bottom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732</w:t>
            </w:r>
          </w:p>
          <w:p w:rsidR="001F46DC" w:rsidRPr="00BA38DA" w:rsidRDefault="00BA38DA" w:rsidP="00BA38DA">
            <w:pPr>
              <w:jc w:val="center"/>
              <w:rPr>
                <w:rFonts w:eastAsia="Times New Roman"/>
                <w:color w:val="000000"/>
                <w:sz w:val="22"/>
              </w:rPr>
            </w:pPr>
            <w:r>
              <w:rPr>
                <w:rFonts w:eastAsia="Times New Roman"/>
                <w:color w:val="000000"/>
                <w:sz w:val="22"/>
              </w:rPr>
              <w:t>(20.9%)</w:t>
            </w:r>
          </w:p>
        </w:tc>
        <w:tc>
          <w:tcPr>
            <w:tcW w:w="1283" w:type="dxa"/>
            <w:tcBorders>
              <w:top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342</w:t>
            </w:r>
          </w:p>
          <w:p w:rsidR="00636F38" w:rsidRPr="00BA38DA" w:rsidRDefault="00636F38" w:rsidP="005A1EBC">
            <w:pPr>
              <w:jc w:val="center"/>
              <w:rPr>
                <w:rFonts w:eastAsia="Times New Roman"/>
                <w:color w:val="000000"/>
                <w:sz w:val="22"/>
              </w:rPr>
            </w:pPr>
            <w:r w:rsidRPr="00BA38DA">
              <w:rPr>
                <w:rFonts w:eastAsia="Times New Roman"/>
                <w:color w:val="000000"/>
                <w:sz w:val="22"/>
              </w:rPr>
              <w:t>(46.7%)</w:t>
            </w:r>
          </w:p>
        </w:tc>
        <w:tc>
          <w:tcPr>
            <w:tcW w:w="1283"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390</w:t>
            </w:r>
          </w:p>
          <w:p w:rsidR="00636F38" w:rsidRPr="00BA38DA" w:rsidRDefault="00636F38" w:rsidP="005A1EBC">
            <w:pPr>
              <w:jc w:val="center"/>
              <w:rPr>
                <w:rFonts w:eastAsia="Times New Roman"/>
                <w:color w:val="000000"/>
                <w:sz w:val="22"/>
              </w:rPr>
            </w:pPr>
            <w:r w:rsidRPr="00BA38DA">
              <w:rPr>
                <w:rFonts w:eastAsia="Times New Roman"/>
                <w:color w:val="000000"/>
                <w:sz w:val="22"/>
              </w:rPr>
              <w:t>(53.3%)</w:t>
            </w:r>
          </w:p>
        </w:tc>
        <w:tc>
          <w:tcPr>
            <w:tcW w:w="1284"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c>
          <w:tcPr>
            <w:tcW w:w="1283"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c>
          <w:tcPr>
            <w:tcW w:w="1284" w:type="dxa"/>
            <w:tcBorders>
              <w:top w:val="nil"/>
              <w:left w:val="nil"/>
              <w:bottom w:val="nil"/>
              <w:right w:val="double" w:sz="6" w:space="0" w:color="000000"/>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r>
      <w:tr w:rsidR="00636F38" w:rsidRPr="00BA38DA" w:rsidTr="0097711B">
        <w:trPr>
          <w:trHeight w:val="720"/>
          <w:jc w:val="center"/>
        </w:trPr>
        <w:tc>
          <w:tcPr>
            <w:tcW w:w="1494" w:type="dxa"/>
            <w:tcBorders>
              <w:top w:val="nil"/>
              <w:left w:val="double" w:sz="6" w:space="0" w:color="000000"/>
              <w:bottom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3</w:t>
            </w:r>
          </w:p>
        </w:tc>
        <w:tc>
          <w:tcPr>
            <w:tcW w:w="2027" w:type="dxa"/>
            <w:tcBorders>
              <w:top w:val="nil"/>
              <w:bottom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180</w:t>
            </w:r>
          </w:p>
          <w:p w:rsidR="001F46DC" w:rsidRPr="00BA38DA" w:rsidRDefault="00BA38DA" w:rsidP="00BA38DA">
            <w:pPr>
              <w:jc w:val="center"/>
              <w:rPr>
                <w:rFonts w:eastAsia="Times New Roman"/>
                <w:color w:val="000000"/>
                <w:sz w:val="22"/>
              </w:rPr>
            </w:pPr>
            <w:r>
              <w:rPr>
                <w:rFonts w:eastAsia="Times New Roman"/>
                <w:color w:val="000000"/>
                <w:sz w:val="22"/>
              </w:rPr>
              <w:t>(5.0%)</w:t>
            </w:r>
          </w:p>
        </w:tc>
        <w:tc>
          <w:tcPr>
            <w:tcW w:w="1283" w:type="dxa"/>
            <w:tcBorders>
              <w:top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63</w:t>
            </w:r>
          </w:p>
          <w:p w:rsidR="00636F38" w:rsidRPr="00BA38DA" w:rsidRDefault="00636F38" w:rsidP="005A1EBC">
            <w:pPr>
              <w:jc w:val="center"/>
              <w:rPr>
                <w:rFonts w:eastAsia="Times New Roman"/>
                <w:color w:val="000000"/>
                <w:sz w:val="22"/>
              </w:rPr>
            </w:pPr>
            <w:r w:rsidRPr="00BA38DA">
              <w:rPr>
                <w:rFonts w:eastAsia="Times New Roman"/>
                <w:color w:val="000000"/>
                <w:sz w:val="22"/>
              </w:rPr>
              <w:t>(35%)</w:t>
            </w:r>
          </w:p>
        </w:tc>
        <w:tc>
          <w:tcPr>
            <w:tcW w:w="1283"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87</w:t>
            </w:r>
          </w:p>
          <w:p w:rsidR="00636F38" w:rsidRPr="00BA38DA" w:rsidRDefault="00636F38" w:rsidP="005A1EBC">
            <w:pPr>
              <w:jc w:val="center"/>
              <w:rPr>
                <w:rFonts w:eastAsia="Times New Roman"/>
                <w:color w:val="000000"/>
                <w:sz w:val="22"/>
              </w:rPr>
            </w:pPr>
            <w:r w:rsidRPr="00BA38DA">
              <w:rPr>
                <w:rFonts w:eastAsia="Times New Roman"/>
                <w:color w:val="000000"/>
                <w:sz w:val="22"/>
              </w:rPr>
              <w:t>(48.3%)</w:t>
            </w:r>
          </w:p>
        </w:tc>
        <w:tc>
          <w:tcPr>
            <w:tcW w:w="1284"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30</w:t>
            </w:r>
          </w:p>
          <w:p w:rsidR="00636F38" w:rsidRPr="00BA38DA" w:rsidRDefault="00636F38" w:rsidP="005A1EBC">
            <w:pPr>
              <w:jc w:val="center"/>
              <w:rPr>
                <w:rFonts w:eastAsia="Times New Roman"/>
                <w:color w:val="000000"/>
                <w:sz w:val="22"/>
              </w:rPr>
            </w:pPr>
            <w:r w:rsidRPr="00BA38DA">
              <w:rPr>
                <w:rFonts w:eastAsia="Times New Roman"/>
                <w:color w:val="000000"/>
                <w:sz w:val="22"/>
              </w:rPr>
              <w:t>(16.7%)</w:t>
            </w:r>
          </w:p>
        </w:tc>
        <w:tc>
          <w:tcPr>
            <w:tcW w:w="1283"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c>
          <w:tcPr>
            <w:tcW w:w="1284" w:type="dxa"/>
            <w:tcBorders>
              <w:top w:val="nil"/>
              <w:left w:val="nil"/>
              <w:bottom w:val="nil"/>
              <w:right w:val="double" w:sz="6" w:space="0" w:color="000000"/>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r>
      <w:tr w:rsidR="00636F38" w:rsidRPr="00BA38DA" w:rsidTr="0097711B">
        <w:trPr>
          <w:trHeight w:val="720"/>
          <w:jc w:val="center"/>
        </w:trPr>
        <w:tc>
          <w:tcPr>
            <w:tcW w:w="1494" w:type="dxa"/>
            <w:tcBorders>
              <w:top w:val="nil"/>
              <w:left w:val="double" w:sz="6" w:space="0" w:color="000000"/>
              <w:bottom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4</w:t>
            </w:r>
          </w:p>
        </w:tc>
        <w:tc>
          <w:tcPr>
            <w:tcW w:w="2027" w:type="dxa"/>
            <w:tcBorders>
              <w:top w:val="nil"/>
              <w:bottom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47</w:t>
            </w:r>
          </w:p>
          <w:p w:rsidR="001F46DC" w:rsidRPr="00BA38DA" w:rsidRDefault="00BA38DA" w:rsidP="00BA38DA">
            <w:pPr>
              <w:jc w:val="center"/>
              <w:rPr>
                <w:rFonts w:eastAsia="Times New Roman"/>
                <w:color w:val="000000"/>
                <w:sz w:val="22"/>
              </w:rPr>
            </w:pPr>
            <w:r>
              <w:rPr>
                <w:rFonts w:eastAsia="Times New Roman"/>
                <w:color w:val="000000"/>
                <w:sz w:val="22"/>
              </w:rPr>
              <w:t>(1.3%)</w:t>
            </w:r>
          </w:p>
        </w:tc>
        <w:tc>
          <w:tcPr>
            <w:tcW w:w="1283" w:type="dxa"/>
            <w:tcBorders>
              <w:top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14</w:t>
            </w:r>
          </w:p>
          <w:p w:rsidR="00636F38" w:rsidRPr="00BA38DA" w:rsidRDefault="00636F38" w:rsidP="005A1EBC">
            <w:pPr>
              <w:jc w:val="center"/>
              <w:rPr>
                <w:rFonts w:eastAsia="Times New Roman"/>
                <w:color w:val="000000"/>
                <w:sz w:val="22"/>
              </w:rPr>
            </w:pPr>
            <w:r w:rsidRPr="00BA38DA">
              <w:rPr>
                <w:rFonts w:eastAsia="Times New Roman"/>
                <w:color w:val="000000"/>
                <w:sz w:val="22"/>
              </w:rPr>
              <w:t>(29.8%)</w:t>
            </w:r>
          </w:p>
        </w:tc>
        <w:tc>
          <w:tcPr>
            <w:tcW w:w="1283"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23</w:t>
            </w:r>
          </w:p>
          <w:p w:rsidR="00636F38" w:rsidRPr="00BA38DA" w:rsidRDefault="00636F38" w:rsidP="005A1EBC">
            <w:pPr>
              <w:jc w:val="center"/>
              <w:rPr>
                <w:rFonts w:eastAsia="Times New Roman"/>
                <w:color w:val="000000"/>
                <w:sz w:val="22"/>
              </w:rPr>
            </w:pPr>
            <w:r w:rsidRPr="00BA38DA">
              <w:rPr>
                <w:rFonts w:eastAsia="Times New Roman"/>
                <w:color w:val="000000"/>
                <w:sz w:val="22"/>
              </w:rPr>
              <w:t>(48.9%)</w:t>
            </w:r>
          </w:p>
        </w:tc>
        <w:tc>
          <w:tcPr>
            <w:tcW w:w="1284"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7</w:t>
            </w:r>
          </w:p>
          <w:p w:rsidR="00636F38" w:rsidRPr="00BA38DA" w:rsidRDefault="00636F38" w:rsidP="005A1EBC">
            <w:pPr>
              <w:jc w:val="center"/>
              <w:rPr>
                <w:rFonts w:eastAsia="Times New Roman"/>
                <w:color w:val="000000"/>
                <w:sz w:val="22"/>
              </w:rPr>
            </w:pPr>
            <w:r w:rsidRPr="00BA38DA">
              <w:rPr>
                <w:rFonts w:eastAsia="Times New Roman"/>
                <w:color w:val="000000"/>
                <w:sz w:val="22"/>
              </w:rPr>
              <w:t>(14.9%)</w:t>
            </w:r>
          </w:p>
        </w:tc>
        <w:tc>
          <w:tcPr>
            <w:tcW w:w="1283"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3</w:t>
            </w:r>
          </w:p>
          <w:p w:rsidR="00636F38" w:rsidRPr="00BA38DA" w:rsidRDefault="00636F38" w:rsidP="005A1EBC">
            <w:pPr>
              <w:jc w:val="center"/>
              <w:rPr>
                <w:rFonts w:eastAsia="Times New Roman"/>
                <w:color w:val="000000"/>
                <w:sz w:val="22"/>
              </w:rPr>
            </w:pPr>
            <w:r w:rsidRPr="00BA38DA">
              <w:rPr>
                <w:rFonts w:eastAsia="Times New Roman"/>
                <w:color w:val="000000"/>
                <w:sz w:val="22"/>
              </w:rPr>
              <w:t>(6.4%)</w:t>
            </w:r>
          </w:p>
        </w:tc>
        <w:tc>
          <w:tcPr>
            <w:tcW w:w="1284" w:type="dxa"/>
            <w:tcBorders>
              <w:top w:val="nil"/>
              <w:left w:val="nil"/>
              <w:bottom w:val="nil"/>
              <w:right w:val="double" w:sz="6" w:space="0" w:color="000000"/>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r>
      <w:tr w:rsidR="00636F38" w:rsidRPr="00BA38DA" w:rsidTr="0097711B">
        <w:trPr>
          <w:trHeight w:val="720"/>
          <w:jc w:val="center"/>
        </w:trPr>
        <w:tc>
          <w:tcPr>
            <w:tcW w:w="1494" w:type="dxa"/>
            <w:tcBorders>
              <w:top w:val="nil"/>
              <w:left w:val="double" w:sz="6" w:space="0" w:color="000000"/>
              <w:bottom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5</w:t>
            </w:r>
          </w:p>
        </w:tc>
        <w:tc>
          <w:tcPr>
            <w:tcW w:w="2027" w:type="dxa"/>
            <w:tcBorders>
              <w:top w:val="nil"/>
              <w:bottom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7</w:t>
            </w:r>
          </w:p>
          <w:p w:rsidR="001F46DC" w:rsidRPr="00BA38DA" w:rsidRDefault="00BA38DA" w:rsidP="00BA38DA">
            <w:pPr>
              <w:jc w:val="center"/>
              <w:rPr>
                <w:rFonts w:eastAsia="Times New Roman"/>
                <w:color w:val="000000"/>
                <w:sz w:val="22"/>
              </w:rPr>
            </w:pPr>
            <w:r>
              <w:rPr>
                <w:rFonts w:eastAsia="Times New Roman"/>
                <w:color w:val="000000"/>
                <w:sz w:val="22"/>
              </w:rPr>
              <w:t>(0.2%)</w:t>
            </w:r>
          </w:p>
        </w:tc>
        <w:tc>
          <w:tcPr>
            <w:tcW w:w="1283" w:type="dxa"/>
            <w:tcBorders>
              <w:top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1</w:t>
            </w:r>
          </w:p>
          <w:p w:rsidR="00636F38" w:rsidRPr="00BA38DA" w:rsidRDefault="00636F38" w:rsidP="005A1EBC">
            <w:pPr>
              <w:jc w:val="center"/>
              <w:rPr>
                <w:rFonts w:eastAsia="Times New Roman"/>
                <w:color w:val="000000"/>
                <w:sz w:val="22"/>
              </w:rPr>
            </w:pPr>
            <w:r w:rsidRPr="00BA38DA">
              <w:rPr>
                <w:rFonts w:eastAsia="Times New Roman"/>
                <w:color w:val="000000"/>
                <w:sz w:val="22"/>
              </w:rPr>
              <w:t>(14.3%)</w:t>
            </w:r>
          </w:p>
        </w:tc>
        <w:tc>
          <w:tcPr>
            <w:tcW w:w="1283"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2</w:t>
            </w:r>
          </w:p>
          <w:p w:rsidR="00636F38" w:rsidRPr="00BA38DA" w:rsidRDefault="00636F38" w:rsidP="005A1EBC">
            <w:pPr>
              <w:jc w:val="center"/>
              <w:rPr>
                <w:rFonts w:eastAsia="Times New Roman"/>
                <w:color w:val="000000"/>
                <w:sz w:val="22"/>
              </w:rPr>
            </w:pPr>
            <w:r w:rsidRPr="00BA38DA">
              <w:rPr>
                <w:rFonts w:eastAsia="Times New Roman"/>
                <w:color w:val="000000"/>
                <w:sz w:val="22"/>
              </w:rPr>
              <w:t>(28.6%)</w:t>
            </w:r>
          </w:p>
        </w:tc>
        <w:tc>
          <w:tcPr>
            <w:tcW w:w="1284"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3</w:t>
            </w:r>
          </w:p>
          <w:p w:rsidR="00636F38" w:rsidRPr="00BA38DA" w:rsidRDefault="00636F38" w:rsidP="005A1EBC">
            <w:pPr>
              <w:jc w:val="center"/>
              <w:rPr>
                <w:rFonts w:eastAsia="Times New Roman"/>
                <w:color w:val="000000"/>
                <w:sz w:val="22"/>
              </w:rPr>
            </w:pPr>
            <w:r w:rsidRPr="00BA38DA">
              <w:rPr>
                <w:rFonts w:eastAsia="Times New Roman"/>
                <w:color w:val="000000"/>
                <w:sz w:val="22"/>
              </w:rPr>
              <w:t>(42.8%)</w:t>
            </w:r>
          </w:p>
        </w:tc>
        <w:tc>
          <w:tcPr>
            <w:tcW w:w="1283"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c>
          <w:tcPr>
            <w:tcW w:w="1284" w:type="dxa"/>
            <w:tcBorders>
              <w:top w:val="nil"/>
              <w:left w:val="nil"/>
              <w:bottom w:val="nil"/>
              <w:right w:val="double" w:sz="6" w:space="0" w:color="000000"/>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1</w:t>
            </w:r>
          </w:p>
          <w:p w:rsidR="00636F38" w:rsidRPr="00BA38DA" w:rsidRDefault="00636F38" w:rsidP="005A1EBC">
            <w:pPr>
              <w:jc w:val="center"/>
              <w:rPr>
                <w:rFonts w:eastAsia="Times New Roman"/>
                <w:color w:val="000000"/>
                <w:sz w:val="22"/>
              </w:rPr>
            </w:pPr>
            <w:r w:rsidRPr="00BA38DA">
              <w:rPr>
                <w:rFonts w:eastAsia="Times New Roman"/>
                <w:color w:val="000000"/>
                <w:sz w:val="22"/>
              </w:rPr>
              <w:t>(14.3%)</w:t>
            </w:r>
          </w:p>
        </w:tc>
      </w:tr>
      <w:tr w:rsidR="00636F38" w:rsidRPr="00BA38DA" w:rsidTr="0097711B">
        <w:trPr>
          <w:trHeight w:val="720"/>
          <w:jc w:val="center"/>
        </w:trPr>
        <w:tc>
          <w:tcPr>
            <w:tcW w:w="1494" w:type="dxa"/>
            <w:tcBorders>
              <w:top w:val="nil"/>
              <w:left w:val="double" w:sz="6" w:space="0" w:color="000000"/>
              <w:bottom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6</w:t>
            </w:r>
          </w:p>
        </w:tc>
        <w:tc>
          <w:tcPr>
            <w:tcW w:w="2027" w:type="dxa"/>
            <w:tcBorders>
              <w:top w:val="nil"/>
              <w:bottom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3</w:t>
            </w:r>
          </w:p>
          <w:p w:rsidR="001F46DC" w:rsidRPr="00BA38DA" w:rsidRDefault="00BA38DA" w:rsidP="00BA38DA">
            <w:pPr>
              <w:jc w:val="center"/>
              <w:rPr>
                <w:rFonts w:eastAsia="Times New Roman"/>
                <w:color w:val="000000"/>
                <w:sz w:val="22"/>
              </w:rPr>
            </w:pPr>
            <w:r>
              <w:rPr>
                <w:rFonts w:eastAsia="Times New Roman"/>
                <w:color w:val="000000"/>
                <w:sz w:val="22"/>
              </w:rPr>
              <w:t>(0.1%)</w:t>
            </w:r>
          </w:p>
        </w:tc>
        <w:tc>
          <w:tcPr>
            <w:tcW w:w="1283" w:type="dxa"/>
            <w:tcBorders>
              <w:top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2</w:t>
            </w:r>
          </w:p>
          <w:p w:rsidR="00636F38" w:rsidRPr="00BA38DA" w:rsidRDefault="00636F38" w:rsidP="005A1EBC">
            <w:pPr>
              <w:jc w:val="center"/>
              <w:rPr>
                <w:rFonts w:eastAsia="Times New Roman"/>
                <w:color w:val="000000"/>
                <w:sz w:val="22"/>
              </w:rPr>
            </w:pPr>
            <w:r w:rsidRPr="00BA38DA">
              <w:rPr>
                <w:rFonts w:eastAsia="Times New Roman"/>
                <w:color w:val="000000"/>
                <w:sz w:val="22"/>
              </w:rPr>
              <w:t>(66.7%)</w:t>
            </w:r>
          </w:p>
        </w:tc>
        <w:tc>
          <w:tcPr>
            <w:tcW w:w="1283"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1</w:t>
            </w:r>
          </w:p>
          <w:p w:rsidR="00636F38" w:rsidRPr="00BA38DA" w:rsidRDefault="00636F38" w:rsidP="005A1EBC">
            <w:pPr>
              <w:jc w:val="center"/>
              <w:rPr>
                <w:rFonts w:eastAsia="Times New Roman"/>
                <w:color w:val="000000"/>
                <w:sz w:val="22"/>
              </w:rPr>
            </w:pPr>
            <w:r w:rsidRPr="00BA38DA">
              <w:rPr>
                <w:rFonts w:eastAsia="Times New Roman"/>
                <w:color w:val="000000"/>
                <w:sz w:val="22"/>
              </w:rPr>
              <w:t>(33.3%)</w:t>
            </w:r>
          </w:p>
        </w:tc>
        <w:tc>
          <w:tcPr>
            <w:tcW w:w="1284"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c>
          <w:tcPr>
            <w:tcW w:w="1283"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c>
          <w:tcPr>
            <w:tcW w:w="1284" w:type="dxa"/>
            <w:tcBorders>
              <w:top w:val="nil"/>
              <w:left w:val="nil"/>
              <w:bottom w:val="nil"/>
              <w:right w:val="double" w:sz="6" w:space="0" w:color="000000"/>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r>
      <w:tr w:rsidR="00636F38" w:rsidRPr="00BA38DA" w:rsidTr="0097711B">
        <w:trPr>
          <w:trHeight w:val="720"/>
          <w:jc w:val="center"/>
        </w:trPr>
        <w:tc>
          <w:tcPr>
            <w:tcW w:w="1494" w:type="dxa"/>
            <w:tcBorders>
              <w:top w:val="nil"/>
              <w:left w:val="double" w:sz="6" w:space="0" w:color="000000"/>
              <w:bottom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7</w:t>
            </w:r>
          </w:p>
        </w:tc>
        <w:tc>
          <w:tcPr>
            <w:tcW w:w="2027" w:type="dxa"/>
            <w:tcBorders>
              <w:top w:val="nil"/>
              <w:bottom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2</w:t>
            </w:r>
          </w:p>
          <w:p w:rsidR="001F46DC" w:rsidRPr="00BA38DA" w:rsidRDefault="00BA38DA" w:rsidP="00BA38DA">
            <w:pPr>
              <w:jc w:val="center"/>
              <w:rPr>
                <w:rFonts w:eastAsia="Times New Roman"/>
                <w:color w:val="000000"/>
                <w:sz w:val="22"/>
              </w:rPr>
            </w:pPr>
            <w:r>
              <w:rPr>
                <w:rFonts w:eastAsia="Times New Roman"/>
                <w:color w:val="000000"/>
                <w:sz w:val="22"/>
              </w:rPr>
              <w:t>(0.1%)</w:t>
            </w:r>
          </w:p>
        </w:tc>
        <w:tc>
          <w:tcPr>
            <w:tcW w:w="1283" w:type="dxa"/>
            <w:tcBorders>
              <w:top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c>
          <w:tcPr>
            <w:tcW w:w="1283"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1</w:t>
            </w:r>
          </w:p>
          <w:p w:rsidR="00636F38" w:rsidRPr="00BA38DA" w:rsidRDefault="00636F38" w:rsidP="005A1EBC">
            <w:pPr>
              <w:jc w:val="center"/>
              <w:rPr>
                <w:rFonts w:eastAsia="Times New Roman"/>
                <w:color w:val="000000"/>
                <w:sz w:val="22"/>
              </w:rPr>
            </w:pPr>
            <w:r w:rsidRPr="00BA38DA">
              <w:rPr>
                <w:rFonts w:eastAsia="Times New Roman"/>
                <w:color w:val="000000"/>
                <w:sz w:val="22"/>
              </w:rPr>
              <w:t>(50%)</w:t>
            </w:r>
          </w:p>
        </w:tc>
        <w:tc>
          <w:tcPr>
            <w:tcW w:w="1284"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1</w:t>
            </w:r>
          </w:p>
          <w:p w:rsidR="00636F38" w:rsidRPr="00BA38DA" w:rsidRDefault="00636F38" w:rsidP="005A1EBC">
            <w:pPr>
              <w:jc w:val="center"/>
              <w:rPr>
                <w:rFonts w:eastAsia="Times New Roman"/>
                <w:color w:val="000000"/>
                <w:sz w:val="22"/>
              </w:rPr>
            </w:pPr>
            <w:r w:rsidRPr="00BA38DA">
              <w:rPr>
                <w:rFonts w:eastAsia="Times New Roman"/>
                <w:color w:val="000000"/>
                <w:sz w:val="22"/>
              </w:rPr>
              <w:t>(50%)</w:t>
            </w:r>
          </w:p>
        </w:tc>
        <w:tc>
          <w:tcPr>
            <w:tcW w:w="1283" w:type="dxa"/>
            <w:tcBorders>
              <w:top w:val="nil"/>
              <w:left w:val="nil"/>
              <w:bottom w:val="nil"/>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c>
          <w:tcPr>
            <w:tcW w:w="1284" w:type="dxa"/>
            <w:tcBorders>
              <w:top w:val="nil"/>
              <w:left w:val="nil"/>
              <w:bottom w:val="nil"/>
              <w:right w:val="double" w:sz="6" w:space="0" w:color="000000"/>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r>
      <w:tr w:rsidR="00636F38" w:rsidRPr="00BA38DA" w:rsidTr="0097711B">
        <w:trPr>
          <w:trHeight w:val="720"/>
          <w:jc w:val="center"/>
        </w:trPr>
        <w:tc>
          <w:tcPr>
            <w:tcW w:w="1494" w:type="dxa"/>
            <w:tcBorders>
              <w:top w:val="nil"/>
              <w:left w:val="double" w:sz="6" w:space="0" w:color="000000"/>
              <w:bottom w:val="double" w:sz="6" w:space="0" w:color="000000"/>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10</w:t>
            </w:r>
          </w:p>
        </w:tc>
        <w:tc>
          <w:tcPr>
            <w:tcW w:w="2027" w:type="dxa"/>
            <w:tcBorders>
              <w:top w:val="nil"/>
              <w:bottom w:val="double" w:sz="6" w:space="0" w:color="000000"/>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2</w:t>
            </w:r>
          </w:p>
          <w:p w:rsidR="001F46DC" w:rsidRPr="00BA38DA" w:rsidRDefault="00BA38DA" w:rsidP="00BA38DA">
            <w:pPr>
              <w:jc w:val="center"/>
              <w:rPr>
                <w:rFonts w:eastAsia="Times New Roman"/>
                <w:color w:val="000000"/>
                <w:sz w:val="22"/>
              </w:rPr>
            </w:pPr>
            <w:r>
              <w:rPr>
                <w:rFonts w:eastAsia="Times New Roman"/>
                <w:color w:val="000000"/>
                <w:sz w:val="22"/>
              </w:rPr>
              <w:t>(0.1%)</w:t>
            </w:r>
          </w:p>
        </w:tc>
        <w:tc>
          <w:tcPr>
            <w:tcW w:w="1283" w:type="dxa"/>
            <w:tcBorders>
              <w:top w:val="nil"/>
              <w:bottom w:val="double" w:sz="6" w:space="0" w:color="000000"/>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c>
          <w:tcPr>
            <w:tcW w:w="1283" w:type="dxa"/>
            <w:tcBorders>
              <w:top w:val="nil"/>
              <w:left w:val="nil"/>
              <w:bottom w:val="double" w:sz="6" w:space="0" w:color="000000"/>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c>
          <w:tcPr>
            <w:tcW w:w="1284" w:type="dxa"/>
            <w:tcBorders>
              <w:top w:val="nil"/>
              <w:left w:val="nil"/>
              <w:bottom w:val="double" w:sz="6" w:space="0" w:color="000000"/>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2</w:t>
            </w:r>
          </w:p>
          <w:p w:rsidR="00636F38" w:rsidRPr="00BA38DA" w:rsidRDefault="00636F38" w:rsidP="005A1EBC">
            <w:pPr>
              <w:jc w:val="center"/>
              <w:rPr>
                <w:rFonts w:eastAsia="Times New Roman"/>
                <w:color w:val="000000"/>
                <w:sz w:val="22"/>
              </w:rPr>
            </w:pPr>
            <w:r w:rsidRPr="00BA38DA">
              <w:rPr>
                <w:rFonts w:eastAsia="Times New Roman"/>
                <w:color w:val="000000"/>
                <w:sz w:val="22"/>
              </w:rPr>
              <w:t>(100%)</w:t>
            </w:r>
          </w:p>
        </w:tc>
        <w:tc>
          <w:tcPr>
            <w:tcW w:w="1283" w:type="dxa"/>
            <w:tcBorders>
              <w:top w:val="nil"/>
              <w:left w:val="nil"/>
              <w:bottom w:val="double" w:sz="6" w:space="0" w:color="000000"/>
              <w:right w:val="nil"/>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c>
          <w:tcPr>
            <w:tcW w:w="1284" w:type="dxa"/>
            <w:tcBorders>
              <w:top w:val="nil"/>
              <w:left w:val="nil"/>
              <w:bottom w:val="double" w:sz="6" w:space="0" w:color="000000"/>
              <w:right w:val="double" w:sz="6" w:space="0" w:color="000000"/>
            </w:tcBorders>
            <w:shd w:val="clear" w:color="auto" w:fill="auto"/>
            <w:noWrap/>
            <w:hideMark/>
          </w:tcPr>
          <w:p w:rsidR="00636F38" w:rsidRPr="00BA38DA" w:rsidRDefault="00636F38" w:rsidP="005A1EBC">
            <w:pPr>
              <w:jc w:val="center"/>
              <w:rPr>
                <w:rFonts w:eastAsia="Times New Roman"/>
                <w:color w:val="000000"/>
                <w:sz w:val="22"/>
              </w:rPr>
            </w:pPr>
            <w:r w:rsidRPr="00BA38DA">
              <w:rPr>
                <w:rFonts w:eastAsia="Times New Roman"/>
                <w:color w:val="000000"/>
                <w:sz w:val="22"/>
              </w:rPr>
              <w:t>0</w:t>
            </w:r>
          </w:p>
          <w:p w:rsidR="00636F38" w:rsidRPr="00BA38DA" w:rsidRDefault="00636F38" w:rsidP="005A1EBC">
            <w:pPr>
              <w:jc w:val="center"/>
              <w:rPr>
                <w:rFonts w:eastAsia="Times New Roman"/>
                <w:color w:val="000000"/>
                <w:sz w:val="22"/>
              </w:rPr>
            </w:pPr>
          </w:p>
        </w:tc>
      </w:tr>
    </w:tbl>
    <w:p w:rsidR="00636F38" w:rsidRPr="003A58BC" w:rsidRDefault="00BA38DA" w:rsidP="00F35702">
      <w:pPr>
        <w:rPr>
          <w:sz w:val="19"/>
          <w:szCs w:val="19"/>
        </w:rPr>
      </w:pPr>
      <w:proofErr w:type="gramStart"/>
      <w:r w:rsidRPr="003A58BC">
        <w:rPr>
          <w:rFonts w:eastAsia="Times New Roman"/>
          <w:color w:val="000000"/>
          <w:sz w:val="19"/>
          <w:szCs w:val="19"/>
          <w:vertAlign w:val="superscript"/>
        </w:rPr>
        <w:t>a</w:t>
      </w:r>
      <w:proofErr w:type="gramEnd"/>
      <w:r w:rsidRPr="003A58BC">
        <w:rPr>
          <w:sz w:val="19"/>
          <w:szCs w:val="19"/>
          <w:vertAlign w:val="superscript"/>
        </w:rPr>
        <w:t xml:space="preserve"> </w:t>
      </w:r>
      <w:r w:rsidR="00636F38" w:rsidRPr="003A58BC">
        <w:rPr>
          <w:sz w:val="19"/>
          <w:szCs w:val="19"/>
        </w:rPr>
        <w:t xml:space="preserve">Percentages add up to 100% in each row. </w:t>
      </w:r>
    </w:p>
    <w:p w:rsidR="00F35702" w:rsidRDefault="00F35702" w:rsidP="00636F38">
      <w:pPr>
        <w:jc w:val="center"/>
        <w:rPr>
          <w:b/>
        </w:rPr>
      </w:pPr>
    </w:p>
    <w:p w:rsidR="00636F38" w:rsidRDefault="00636F38" w:rsidP="00636F38">
      <w:pPr>
        <w:jc w:val="center"/>
        <w:rPr>
          <w:b/>
        </w:rPr>
        <w:sectPr w:rsidR="00636F38" w:rsidSect="00073FF4">
          <w:pgSz w:w="12240" w:h="15840" w:code="1"/>
          <w:pgMar w:top="1440" w:right="1440" w:bottom="1440" w:left="1440" w:header="720" w:footer="720" w:gutter="0"/>
          <w:cols w:space="720"/>
          <w:docGrid w:linePitch="360"/>
        </w:sectPr>
      </w:pPr>
    </w:p>
    <w:p w:rsidR="00636F38" w:rsidRDefault="00636F38" w:rsidP="00636F38">
      <w:pPr>
        <w:autoSpaceDE w:val="0"/>
        <w:autoSpaceDN w:val="0"/>
        <w:adjustRightInd w:val="0"/>
        <w:spacing w:after="120" w:line="276" w:lineRule="auto"/>
        <w:jc w:val="center"/>
        <w:rPr>
          <w:rFonts w:ascii="TimesNewRomanPSMT" w:hAnsi="TimesNewRomanPSMT" w:cs="TimesNewRomanPSMT"/>
          <w:b/>
          <w:szCs w:val="24"/>
        </w:rPr>
      </w:pPr>
    </w:p>
    <w:p w:rsidR="00636F38" w:rsidRPr="00073FF4" w:rsidRDefault="00636F38" w:rsidP="00636F38">
      <w:pPr>
        <w:autoSpaceDE w:val="0"/>
        <w:autoSpaceDN w:val="0"/>
        <w:adjustRightInd w:val="0"/>
        <w:spacing w:after="120" w:line="276" w:lineRule="auto"/>
        <w:jc w:val="center"/>
        <w:rPr>
          <w:rFonts w:ascii="TimesNewRomanPSMT" w:hAnsi="TimesNewRomanPSMT" w:cs="TimesNewRomanPSMT"/>
          <w:b/>
          <w:sz w:val="22"/>
        </w:rPr>
      </w:pPr>
      <w:proofErr w:type="gramStart"/>
      <w:r w:rsidRPr="00073FF4">
        <w:rPr>
          <w:rFonts w:ascii="TimesNewRomanPSMT" w:hAnsi="TimesNewRomanPSMT" w:cs="TimesNewRomanPSMT"/>
          <w:b/>
          <w:sz w:val="22"/>
        </w:rPr>
        <w:t>Tabl</w:t>
      </w:r>
      <w:r w:rsidR="00884D45">
        <w:rPr>
          <w:rFonts w:ascii="TimesNewRomanPSMT" w:hAnsi="TimesNewRomanPSMT" w:cs="TimesNewRomanPSMT"/>
          <w:b/>
          <w:sz w:val="22"/>
        </w:rPr>
        <w:t>e 4.</w:t>
      </w:r>
      <w:proofErr w:type="gramEnd"/>
      <w:r w:rsidRPr="00073FF4">
        <w:rPr>
          <w:rFonts w:ascii="TimesNewRomanPSMT" w:hAnsi="TimesNewRomanPSMT" w:cs="TimesNewRomanPSMT"/>
          <w:b/>
          <w:sz w:val="22"/>
        </w:rPr>
        <w:t xml:space="preserve"> Destination Region Characteristics</w:t>
      </w:r>
    </w:p>
    <w:tbl>
      <w:tblPr>
        <w:tblW w:w="13080" w:type="dxa"/>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765"/>
        <w:gridCol w:w="2058"/>
        <w:gridCol w:w="1260"/>
        <w:gridCol w:w="1438"/>
        <w:gridCol w:w="1418"/>
        <w:gridCol w:w="949"/>
        <w:gridCol w:w="963"/>
        <w:gridCol w:w="989"/>
        <w:gridCol w:w="1231"/>
        <w:gridCol w:w="1019"/>
        <w:gridCol w:w="990"/>
      </w:tblGrid>
      <w:tr w:rsidR="0095796B" w:rsidRPr="002532BD" w:rsidTr="00073FF4">
        <w:trPr>
          <w:trHeight w:val="315"/>
          <w:jc w:val="center"/>
        </w:trPr>
        <w:tc>
          <w:tcPr>
            <w:tcW w:w="765" w:type="dxa"/>
            <w:vMerge w:val="restart"/>
            <w:tcBorders>
              <w:top w:val="double" w:sz="6" w:space="0" w:color="auto"/>
              <w:right w:val="double" w:sz="6" w:space="0" w:color="auto"/>
            </w:tcBorders>
            <w:tcMar>
              <w:left w:w="58" w:type="dxa"/>
              <w:right w:w="58" w:type="dxa"/>
            </w:tcMar>
            <w:vAlign w:val="center"/>
          </w:tcPr>
          <w:p w:rsidR="0095796B" w:rsidRDefault="0095796B" w:rsidP="0095796B">
            <w:pPr>
              <w:jc w:val="center"/>
              <w:rPr>
                <w:rFonts w:eastAsia="Times New Roman"/>
                <w:color w:val="000000"/>
                <w:sz w:val="20"/>
                <w:szCs w:val="20"/>
              </w:rPr>
            </w:pPr>
            <w:r>
              <w:rPr>
                <w:rFonts w:eastAsia="Times New Roman"/>
                <w:color w:val="000000"/>
                <w:sz w:val="20"/>
                <w:szCs w:val="20"/>
              </w:rPr>
              <w:t>Island</w:t>
            </w:r>
          </w:p>
        </w:tc>
        <w:tc>
          <w:tcPr>
            <w:tcW w:w="2058" w:type="dxa"/>
            <w:vMerge w:val="restart"/>
            <w:tcBorders>
              <w:top w:val="double" w:sz="6" w:space="0" w:color="auto"/>
              <w:bottom w:val="single" w:sz="4" w:space="0" w:color="auto"/>
              <w:right w:val="double" w:sz="6" w:space="0" w:color="auto"/>
            </w:tcBorders>
            <w:shd w:val="clear" w:color="auto" w:fill="auto"/>
            <w:noWrap/>
            <w:tcMar>
              <w:left w:w="58" w:type="dxa"/>
              <w:right w:w="58" w:type="dxa"/>
            </w:tcMar>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Region</w:t>
            </w:r>
          </w:p>
        </w:tc>
        <w:tc>
          <w:tcPr>
            <w:tcW w:w="4116" w:type="dxa"/>
            <w:gridSpan w:val="3"/>
            <w:tcBorders>
              <w:top w:val="double" w:sz="6" w:space="0" w:color="auto"/>
              <w:left w:val="double" w:sz="6" w:space="0" w:color="auto"/>
              <w:bottom w:val="single" w:sz="4" w:space="0" w:color="auto"/>
              <w:right w:val="double" w:sz="6" w:space="0" w:color="auto"/>
            </w:tcBorders>
            <w:shd w:val="clear" w:color="auto" w:fill="auto"/>
            <w:noWrap/>
            <w:tcMar>
              <w:left w:w="58" w:type="dxa"/>
              <w:right w:w="58" w:type="dxa"/>
            </w:tcMar>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Travel Impedance Measures (Std. Dev.)</w:t>
            </w:r>
          </w:p>
        </w:tc>
        <w:tc>
          <w:tcPr>
            <w:tcW w:w="6141" w:type="dxa"/>
            <w:gridSpan w:val="6"/>
            <w:tcBorders>
              <w:top w:val="double" w:sz="6" w:space="0" w:color="auto"/>
              <w:left w:val="double" w:sz="6" w:space="0" w:color="auto"/>
              <w:bottom w:val="single" w:sz="4" w:space="0" w:color="auto"/>
            </w:tcBorders>
            <w:shd w:val="clear" w:color="auto" w:fill="auto"/>
            <w:noWrap/>
            <w:tcMar>
              <w:left w:w="58" w:type="dxa"/>
              <w:right w:w="58" w:type="dxa"/>
            </w:tcMar>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Land Cover Percentage</w:t>
            </w:r>
          </w:p>
        </w:tc>
      </w:tr>
      <w:tr w:rsidR="0095796B" w:rsidRPr="002532BD" w:rsidTr="00073FF4">
        <w:trPr>
          <w:trHeight w:val="315"/>
          <w:jc w:val="center"/>
        </w:trPr>
        <w:tc>
          <w:tcPr>
            <w:tcW w:w="765" w:type="dxa"/>
            <w:vMerge/>
            <w:tcBorders>
              <w:bottom w:val="double" w:sz="6" w:space="0" w:color="auto"/>
              <w:right w:val="double" w:sz="6" w:space="0" w:color="auto"/>
            </w:tcBorders>
            <w:tcMar>
              <w:left w:w="58" w:type="dxa"/>
              <w:right w:w="58" w:type="dxa"/>
            </w:tcMar>
          </w:tcPr>
          <w:p w:rsidR="0095796B" w:rsidRPr="002532BD" w:rsidRDefault="0095796B" w:rsidP="00BD6523">
            <w:pPr>
              <w:jc w:val="center"/>
              <w:rPr>
                <w:rFonts w:eastAsia="Times New Roman"/>
                <w:color w:val="000000"/>
                <w:sz w:val="20"/>
                <w:szCs w:val="20"/>
              </w:rPr>
            </w:pPr>
          </w:p>
        </w:tc>
        <w:tc>
          <w:tcPr>
            <w:tcW w:w="2058" w:type="dxa"/>
            <w:vMerge/>
            <w:tcBorders>
              <w:top w:val="single" w:sz="4" w:space="0" w:color="auto"/>
              <w:bottom w:val="double" w:sz="6" w:space="0" w:color="auto"/>
              <w:right w:val="double" w:sz="6" w:space="0" w:color="auto"/>
            </w:tcBorders>
            <w:shd w:val="clear" w:color="auto" w:fill="auto"/>
            <w:noWrap/>
            <w:tcMar>
              <w:left w:w="58" w:type="dxa"/>
              <w:right w:w="58" w:type="dxa"/>
            </w:tcMar>
            <w:vAlign w:val="center"/>
          </w:tcPr>
          <w:p w:rsidR="0095796B" w:rsidRPr="002532BD" w:rsidRDefault="0095796B" w:rsidP="00BD6523">
            <w:pPr>
              <w:jc w:val="center"/>
              <w:rPr>
                <w:rFonts w:eastAsia="Times New Roman"/>
                <w:color w:val="000000"/>
                <w:sz w:val="20"/>
                <w:szCs w:val="20"/>
              </w:rPr>
            </w:pPr>
          </w:p>
        </w:tc>
        <w:tc>
          <w:tcPr>
            <w:tcW w:w="1260" w:type="dxa"/>
            <w:tcBorders>
              <w:top w:val="single" w:sz="4" w:space="0" w:color="auto"/>
              <w:left w:val="double" w:sz="6" w:space="0" w:color="auto"/>
              <w:bottom w:val="double" w:sz="6" w:space="0" w:color="auto"/>
            </w:tcBorders>
            <w:shd w:val="clear" w:color="auto" w:fill="auto"/>
            <w:noWrap/>
            <w:tcMar>
              <w:left w:w="58" w:type="dxa"/>
              <w:right w:w="58" w:type="dxa"/>
            </w:tcMar>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Travel Time (hours)</w:t>
            </w:r>
          </w:p>
        </w:tc>
        <w:tc>
          <w:tcPr>
            <w:tcW w:w="1438" w:type="dxa"/>
            <w:tcBorders>
              <w:top w:val="single" w:sz="4" w:space="0" w:color="auto"/>
              <w:bottom w:val="double" w:sz="6" w:space="0" w:color="auto"/>
            </w:tcBorders>
            <w:shd w:val="clear" w:color="auto" w:fill="auto"/>
            <w:noWrap/>
            <w:tcMar>
              <w:left w:w="58" w:type="dxa"/>
              <w:right w:w="58" w:type="dxa"/>
            </w:tcMar>
            <w:vAlign w:val="center"/>
          </w:tcPr>
          <w:p w:rsidR="0095796B" w:rsidRPr="002532BD" w:rsidRDefault="00073FF4" w:rsidP="00BD6523">
            <w:pPr>
              <w:jc w:val="center"/>
              <w:rPr>
                <w:rFonts w:eastAsia="Times New Roman"/>
                <w:color w:val="000000"/>
                <w:sz w:val="20"/>
                <w:szCs w:val="20"/>
              </w:rPr>
            </w:pPr>
            <w:r>
              <w:rPr>
                <w:rFonts w:eastAsia="Times New Roman"/>
                <w:color w:val="000000"/>
                <w:sz w:val="20"/>
                <w:szCs w:val="20"/>
              </w:rPr>
              <w:t xml:space="preserve">Travel </w:t>
            </w:r>
            <w:r w:rsidR="0095796B">
              <w:rPr>
                <w:rFonts w:eastAsia="Times New Roman"/>
                <w:color w:val="000000"/>
                <w:sz w:val="20"/>
                <w:szCs w:val="20"/>
              </w:rPr>
              <w:t>Distance (miles)</w:t>
            </w:r>
          </w:p>
        </w:tc>
        <w:tc>
          <w:tcPr>
            <w:tcW w:w="1418" w:type="dxa"/>
            <w:tcBorders>
              <w:top w:val="single" w:sz="4" w:space="0" w:color="auto"/>
              <w:bottom w:val="double" w:sz="6" w:space="0" w:color="auto"/>
              <w:right w:val="double" w:sz="6" w:space="0" w:color="auto"/>
            </w:tcBorders>
            <w:shd w:val="clear" w:color="auto" w:fill="auto"/>
            <w:noWrap/>
            <w:tcMar>
              <w:left w:w="58" w:type="dxa"/>
              <w:right w:w="58" w:type="dxa"/>
            </w:tcMar>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Cost (</w:t>
            </w:r>
            <w:r w:rsidR="007716C1">
              <w:rPr>
                <w:rFonts w:eastAsia="Times New Roman"/>
                <w:color w:val="000000"/>
                <w:sz w:val="20"/>
                <w:szCs w:val="20"/>
              </w:rPr>
              <w:t>NZ</w:t>
            </w:r>
            <w:r>
              <w:rPr>
                <w:rFonts w:eastAsia="Times New Roman"/>
                <w:color w:val="000000"/>
                <w:sz w:val="20"/>
                <w:szCs w:val="20"/>
              </w:rPr>
              <w:t>$)</w:t>
            </w:r>
          </w:p>
        </w:tc>
        <w:tc>
          <w:tcPr>
            <w:tcW w:w="949" w:type="dxa"/>
            <w:tcBorders>
              <w:top w:val="single" w:sz="4" w:space="0" w:color="auto"/>
              <w:left w:val="double" w:sz="6" w:space="0" w:color="auto"/>
              <w:bottom w:val="double" w:sz="6" w:space="0" w:color="auto"/>
            </w:tcBorders>
            <w:shd w:val="clear" w:color="auto" w:fill="auto"/>
            <w:noWrap/>
            <w:tcMar>
              <w:left w:w="58" w:type="dxa"/>
              <w:right w:w="58" w:type="dxa"/>
            </w:tcMar>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Urban</w:t>
            </w:r>
          </w:p>
        </w:tc>
        <w:tc>
          <w:tcPr>
            <w:tcW w:w="963" w:type="dxa"/>
            <w:tcBorders>
              <w:top w:val="single" w:sz="4" w:space="0" w:color="auto"/>
              <w:bottom w:val="double" w:sz="6" w:space="0" w:color="auto"/>
            </w:tcBorders>
            <w:shd w:val="clear" w:color="auto" w:fill="auto"/>
            <w:noWrap/>
            <w:tcMar>
              <w:left w:w="58" w:type="dxa"/>
              <w:right w:w="58" w:type="dxa"/>
            </w:tcMar>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Water</w:t>
            </w:r>
          </w:p>
        </w:tc>
        <w:tc>
          <w:tcPr>
            <w:tcW w:w="989" w:type="dxa"/>
            <w:tcBorders>
              <w:top w:val="single" w:sz="4" w:space="0" w:color="auto"/>
              <w:bottom w:val="double" w:sz="6" w:space="0" w:color="auto"/>
            </w:tcBorders>
            <w:shd w:val="clear" w:color="auto" w:fill="auto"/>
            <w:noWrap/>
            <w:tcMar>
              <w:left w:w="58" w:type="dxa"/>
              <w:right w:w="58" w:type="dxa"/>
            </w:tcMar>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Wetland</w:t>
            </w:r>
          </w:p>
        </w:tc>
        <w:tc>
          <w:tcPr>
            <w:tcW w:w="1231" w:type="dxa"/>
            <w:tcBorders>
              <w:top w:val="single" w:sz="4" w:space="0" w:color="auto"/>
              <w:bottom w:val="double" w:sz="6" w:space="0" w:color="auto"/>
            </w:tcBorders>
            <w:tcMar>
              <w:left w:w="58" w:type="dxa"/>
              <w:right w:w="58" w:type="dxa"/>
            </w:tcMar>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Agricultural</w:t>
            </w:r>
          </w:p>
        </w:tc>
        <w:tc>
          <w:tcPr>
            <w:tcW w:w="1019" w:type="dxa"/>
            <w:tcBorders>
              <w:top w:val="single" w:sz="4" w:space="0" w:color="auto"/>
              <w:bottom w:val="double" w:sz="6" w:space="0" w:color="auto"/>
            </w:tcBorders>
            <w:tcMar>
              <w:left w:w="58" w:type="dxa"/>
              <w:right w:w="58" w:type="dxa"/>
            </w:tcMar>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Bare-land</w:t>
            </w:r>
          </w:p>
        </w:tc>
        <w:tc>
          <w:tcPr>
            <w:tcW w:w="990" w:type="dxa"/>
            <w:tcBorders>
              <w:top w:val="single" w:sz="4" w:space="0" w:color="auto"/>
              <w:bottom w:val="double" w:sz="6" w:space="0" w:color="auto"/>
            </w:tcBorders>
            <w:tcMar>
              <w:left w:w="58" w:type="dxa"/>
              <w:right w:w="58" w:type="dxa"/>
            </w:tcMar>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Forest</w:t>
            </w:r>
          </w:p>
        </w:tc>
      </w:tr>
      <w:tr w:rsidR="0095796B" w:rsidRPr="002532BD" w:rsidTr="00BA38DA">
        <w:trPr>
          <w:cantSplit/>
          <w:trHeight w:val="360"/>
          <w:jc w:val="center"/>
        </w:trPr>
        <w:tc>
          <w:tcPr>
            <w:tcW w:w="765" w:type="dxa"/>
            <w:vMerge w:val="restart"/>
            <w:tcBorders>
              <w:top w:val="double" w:sz="6" w:space="0" w:color="auto"/>
              <w:right w:val="double" w:sz="6" w:space="0" w:color="auto"/>
            </w:tcBorders>
            <w:textDirection w:val="btLr"/>
            <w:vAlign w:val="center"/>
          </w:tcPr>
          <w:p w:rsidR="0095796B" w:rsidRDefault="00781F89" w:rsidP="00781F89">
            <w:pPr>
              <w:ind w:left="113" w:right="113"/>
              <w:jc w:val="center"/>
              <w:rPr>
                <w:rFonts w:eastAsia="Times New Roman"/>
                <w:color w:val="000000"/>
                <w:sz w:val="20"/>
                <w:szCs w:val="20"/>
              </w:rPr>
            </w:pPr>
            <w:r>
              <w:rPr>
                <w:rFonts w:eastAsia="Times New Roman"/>
                <w:color w:val="000000"/>
                <w:sz w:val="20"/>
                <w:szCs w:val="20"/>
              </w:rPr>
              <w:t>NORTH ISLAND</w:t>
            </w:r>
          </w:p>
        </w:tc>
        <w:tc>
          <w:tcPr>
            <w:tcW w:w="2058" w:type="dxa"/>
            <w:tcBorders>
              <w:top w:val="double" w:sz="6" w:space="0" w:color="auto"/>
              <w:right w:val="double" w:sz="6" w:space="0" w:color="auto"/>
            </w:tcBorders>
            <w:shd w:val="clear" w:color="auto" w:fill="auto"/>
            <w:noWrap/>
            <w:vAlign w:val="center"/>
          </w:tcPr>
          <w:p w:rsidR="0095796B" w:rsidRPr="00413E43" w:rsidRDefault="0095796B" w:rsidP="00BD6523">
            <w:pPr>
              <w:jc w:val="left"/>
              <w:rPr>
                <w:rFonts w:eastAsia="Times New Roman"/>
                <w:color w:val="000000"/>
                <w:sz w:val="20"/>
                <w:szCs w:val="20"/>
              </w:rPr>
            </w:pPr>
            <w:r>
              <w:rPr>
                <w:rFonts w:eastAsia="Times New Roman"/>
                <w:color w:val="000000"/>
                <w:sz w:val="20"/>
                <w:szCs w:val="20"/>
              </w:rPr>
              <w:t>Northland</w:t>
            </w:r>
          </w:p>
        </w:tc>
        <w:tc>
          <w:tcPr>
            <w:tcW w:w="1260" w:type="dxa"/>
            <w:tcBorders>
              <w:top w:val="double" w:sz="6" w:space="0" w:color="auto"/>
              <w:left w:val="double" w:sz="6" w:space="0" w:color="auto"/>
            </w:tcBorders>
            <w:shd w:val="clear" w:color="auto" w:fill="auto"/>
            <w:noWrap/>
            <w:vAlign w:val="center"/>
          </w:tcPr>
          <w:p w:rsidR="0095796B" w:rsidRPr="002532BD" w:rsidRDefault="00620C93" w:rsidP="00BD6523">
            <w:pPr>
              <w:jc w:val="center"/>
              <w:rPr>
                <w:rFonts w:eastAsia="Times New Roman"/>
                <w:color w:val="000000"/>
                <w:sz w:val="20"/>
                <w:szCs w:val="20"/>
              </w:rPr>
            </w:pPr>
            <w:r>
              <w:rPr>
                <w:rFonts w:eastAsia="Times New Roman"/>
                <w:color w:val="000000"/>
                <w:sz w:val="20"/>
                <w:szCs w:val="20"/>
              </w:rPr>
              <w:t xml:space="preserve"> </w:t>
            </w:r>
            <w:r w:rsidR="009B46C2">
              <w:rPr>
                <w:rFonts w:eastAsia="Times New Roman"/>
                <w:color w:val="000000"/>
                <w:sz w:val="20"/>
                <w:szCs w:val="20"/>
              </w:rPr>
              <w:t xml:space="preserve"> </w:t>
            </w:r>
            <w:r w:rsidR="0095796B">
              <w:rPr>
                <w:rFonts w:eastAsia="Times New Roman"/>
                <w:color w:val="000000"/>
                <w:sz w:val="20"/>
                <w:szCs w:val="20"/>
              </w:rPr>
              <w:t>8.31 (6.53</w:t>
            </w:r>
            <w:r w:rsidR="0095796B" w:rsidRPr="002532BD">
              <w:rPr>
                <w:rFonts w:eastAsia="Times New Roman"/>
                <w:color w:val="000000"/>
                <w:sz w:val="20"/>
                <w:szCs w:val="20"/>
              </w:rPr>
              <w:t>)</w:t>
            </w:r>
          </w:p>
        </w:tc>
        <w:tc>
          <w:tcPr>
            <w:tcW w:w="1438" w:type="dxa"/>
            <w:tcBorders>
              <w:top w:val="double" w:sz="6" w:space="0" w:color="auto"/>
            </w:tcBorders>
            <w:shd w:val="clear" w:color="auto" w:fill="auto"/>
            <w:noWrap/>
            <w:vAlign w:val="center"/>
          </w:tcPr>
          <w:p w:rsidR="0095796B" w:rsidRPr="002532BD" w:rsidRDefault="0061038C" w:rsidP="0061038C">
            <w:pPr>
              <w:rPr>
                <w:rFonts w:eastAsia="Times New Roman"/>
                <w:color w:val="000000"/>
                <w:sz w:val="20"/>
                <w:szCs w:val="20"/>
              </w:rPr>
            </w:pPr>
            <w:r>
              <w:rPr>
                <w:rFonts w:eastAsia="Times New Roman"/>
                <w:color w:val="000000"/>
                <w:sz w:val="20"/>
                <w:szCs w:val="20"/>
              </w:rPr>
              <w:t xml:space="preserve"> </w:t>
            </w:r>
            <w:r w:rsidR="0095796B">
              <w:rPr>
                <w:rFonts w:eastAsia="Times New Roman"/>
                <w:color w:val="000000"/>
                <w:sz w:val="20"/>
                <w:szCs w:val="20"/>
              </w:rPr>
              <w:t>397.6 (303.9</w:t>
            </w:r>
            <w:r w:rsidR="0095796B" w:rsidRPr="002532BD">
              <w:rPr>
                <w:rFonts w:eastAsia="Times New Roman"/>
                <w:color w:val="000000"/>
                <w:sz w:val="20"/>
                <w:szCs w:val="20"/>
              </w:rPr>
              <w:t>)</w:t>
            </w:r>
          </w:p>
        </w:tc>
        <w:tc>
          <w:tcPr>
            <w:tcW w:w="1418" w:type="dxa"/>
            <w:tcBorders>
              <w:top w:val="double" w:sz="6" w:space="0" w:color="auto"/>
              <w:right w:val="double" w:sz="6" w:space="0" w:color="auto"/>
            </w:tcBorders>
            <w:shd w:val="clear" w:color="auto" w:fill="auto"/>
            <w:noWrap/>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314.1 (334.2)</w:t>
            </w:r>
          </w:p>
        </w:tc>
        <w:tc>
          <w:tcPr>
            <w:tcW w:w="949" w:type="dxa"/>
            <w:tcBorders>
              <w:top w:val="double" w:sz="6" w:space="0" w:color="auto"/>
              <w:left w:val="double" w:sz="6" w:space="0" w:color="auto"/>
            </w:tcBorders>
            <w:shd w:val="clear" w:color="auto" w:fill="auto"/>
            <w:noWrap/>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0.75</w:t>
            </w:r>
          </w:p>
        </w:tc>
        <w:tc>
          <w:tcPr>
            <w:tcW w:w="963" w:type="dxa"/>
            <w:tcBorders>
              <w:top w:val="double" w:sz="6" w:space="0" w:color="auto"/>
            </w:tcBorders>
            <w:shd w:val="clear" w:color="auto" w:fill="auto"/>
            <w:noWrap/>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2.44</w:t>
            </w:r>
          </w:p>
        </w:tc>
        <w:tc>
          <w:tcPr>
            <w:tcW w:w="989" w:type="dxa"/>
            <w:tcBorders>
              <w:top w:val="double" w:sz="6" w:space="0" w:color="auto"/>
            </w:tcBorders>
            <w:shd w:val="clear" w:color="auto" w:fill="auto"/>
            <w:noWrap/>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0.92</w:t>
            </w:r>
          </w:p>
        </w:tc>
        <w:tc>
          <w:tcPr>
            <w:tcW w:w="1231" w:type="dxa"/>
            <w:tcBorders>
              <w:top w:val="double" w:sz="6" w:space="0" w:color="auto"/>
            </w:tcBorders>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47.92</w:t>
            </w:r>
          </w:p>
        </w:tc>
        <w:tc>
          <w:tcPr>
            <w:tcW w:w="1019" w:type="dxa"/>
            <w:tcBorders>
              <w:top w:val="double" w:sz="6" w:space="0" w:color="auto"/>
            </w:tcBorders>
            <w:vAlign w:val="center"/>
          </w:tcPr>
          <w:p w:rsidR="0095796B" w:rsidRPr="002532BD" w:rsidRDefault="0095796B" w:rsidP="002D7544">
            <w:pPr>
              <w:tabs>
                <w:tab w:val="decimal" w:pos="142"/>
                <w:tab w:val="decimal" w:pos="232"/>
              </w:tabs>
              <w:jc w:val="center"/>
              <w:rPr>
                <w:rFonts w:eastAsia="Times New Roman"/>
                <w:color w:val="000000"/>
                <w:sz w:val="20"/>
                <w:szCs w:val="20"/>
              </w:rPr>
            </w:pPr>
            <w:r>
              <w:rPr>
                <w:rFonts w:eastAsia="Times New Roman"/>
                <w:color w:val="000000"/>
                <w:sz w:val="20"/>
                <w:szCs w:val="20"/>
              </w:rPr>
              <w:t>1.18</w:t>
            </w:r>
          </w:p>
        </w:tc>
        <w:tc>
          <w:tcPr>
            <w:tcW w:w="990" w:type="dxa"/>
            <w:tcBorders>
              <w:top w:val="double" w:sz="6" w:space="0" w:color="auto"/>
            </w:tcBorders>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46.79</w:t>
            </w:r>
          </w:p>
        </w:tc>
      </w:tr>
      <w:tr w:rsidR="0095796B" w:rsidRPr="002532BD" w:rsidTr="00BA38DA">
        <w:trPr>
          <w:cantSplit/>
          <w:trHeight w:val="360"/>
          <w:jc w:val="center"/>
        </w:trPr>
        <w:tc>
          <w:tcPr>
            <w:tcW w:w="765" w:type="dxa"/>
            <w:vMerge/>
            <w:tcBorders>
              <w:right w:val="double" w:sz="6" w:space="0" w:color="auto"/>
            </w:tcBorders>
          </w:tcPr>
          <w:p w:rsidR="0095796B" w:rsidRDefault="0095796B" w:rsidP="00BD6523">
            <w:pPr>
              <w:jc w:val="left"/>
              <w:rPr>
                <w:rFonts w:eastAsia="Times New Roman"/>
                <w:color w:val="000000"/>
                <w:sz w:val="20"/>
                <w:szCs w:val="20"/>
              </w:rPr>
            </w:pPr>
          </w:p>
        </w:tc>
        <w:tc>
          <w:tcPr>
            <w:tcW w:w="2058" w:type="dxa"/>
            <w:tcBorders>
              <w:right w:val="double" w:sz="6" w:space="0" w:color="auto"/>
            </w:tcBorders>
            <w:shd w:val="clear" w:color="auto" w:fill="auto"/>
            <w:noWrap/>
            <w:vAlign w:val="center"/>
          </w:tcPr>
          <w:p w:rsidR="0095796B" w:rsidRPr="00413E43" w:rsidRDefault="0095796B" w:rsidP="00BD6523">
            <w:pPr>
              <w:jc w:val="left"/>
              <w:rPr>
                <w:rFonts w:eastAsia="Times New Roman"/>
                <w:color w:val="000000"/>
                <w:sz w:val="20"/>
                <w:szCs w:val="20"/>
              </w:rPr>
            </w:pPr>
            <w:r>
              <w:rPr>
                <w:rFonts w:eastAsia="Times New Roman"/>
                <w:color w:val="000000"/>
                <w:sz w:val="20"/>
                <w:szCs w:val="20"/>
              </w:rPr>
              <w:t>Auckland</w:t>
            </w:r>
          </w:p>
        </w:tc>
        <w:tc>
          <w:tcPr>
            <w:tcW w:w="1260" w:type="dxa"/>
            <w:tcBorders>
              <w:left w:val="double" w:sz="6" w:space="0" w:color="auto"/>
            </w:tcBorders>
            <w:shd w:val="clear" w:color="auto" w:fill="auto"/>
            <w:noWrap/>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 xml:space="preserve"> </w:t>
            </w:r>
            <w:r w:rsidR="00620C93">
              <w:rPr>
                <w:rFonts w:eastAsia="Times New Roman"/>
                <w:color w:val="000000"/>
                <w:sz w:val="20"/>
                <w:szCs w:val="20"/>
              </w:rPr>
              <w:t xml:space="preserve"> </w:t>
            </w:r>
            <w:r>
              <w:rPr>
                <w:rFonts w:eastAsia="Times New Roman"/>
                <w:color w:val="000000"/>
                <w:sz w:val="20"/>
                <w:szCs w:val="20"/>
              </w:rPr>
              <w:t>6.53</w:t>
            </w:r>
            <w:r w:rsidRPr="002532BD">
              <w:rPr>
                <w:rFonts w:eastAsia="Times New Roman"/>
                <w:color w:val="000000"/>
                <w:sz w:val="20"/>
                <w:szCs w:val="20"/>
              </w:rPr>
              <w:t xml:space="preserve"> </w:t>
            </w:r>
            <w:r>
              <w:rPr>
                <w:rFonts w:eastAsia="Times New Roman"/>
                <w:color w:val="000000"/>
                <w:sz w:val="20"/>
                <w:szCs w:val="20"/>
              </w:rPr>
              <w:t>(6.64</w:t>
            </w:r>
            <w:r w:rsidRPr="002532BD">
              <w:rPr>
                <w:rFonts w:eastAsia="Times New Roman"/>
                <w:color w:val="000000"/>
                <w:sz w:val="20"/>
                <w:szCs w:val="20"/>
              </w:rPr>
              <w:t>)</w:t>
            </w:r>
          </w:p>
        </w:tc>
        <w:tc>
          <w:tcPr>
            <w:tcW w:w="1438" w:type="dxa"/>
            <w:shd w:val="clear" w:color="auto" w:fill="auto"/>
            <w:noWrap/>
            <w:vAlign w:val="center"/>
          </w:tcPr>
          <w:p w:rsidR="0095796B" w:rsidRPr="002532BD" w:rsidRDefault="0061038C" w:rsidP="00BD6523">
            <w:pPr>
              <w:rPr>
                <w:rFonts w:eastAsia="Times New Roman"/>
                <w:color w:val="000000"/>
                <w:sz w:val="20"/>
                <w:szCs w:val="20"/>
              </w:rPr>
            </w:pPr>
            <w:r>
              <w:rPr>
                <w:rFonts w:eastAsia="Times New Roman"/>
                <w:color w:val="000000"/>
                <w:sz w:val="20"/>
                <w:szCs w:val="20"/>
              </w:rPr>
              <w:t xml:space="preserve"> </w:t>
            </w:r>
            <w:r w:rsidR="00B94EFC">
              <w:rPr>
                <w:rFonts w:eastAsia="Times New Roman"/>
                <w:color w:val="000000"/>
                <w:sz w:val="20"/>
                <w:szCs w:val="20"/>
              </w:rPr>
              <w:t xml:space="preserve">306.4 </w:t>
            </w:r>
            <w:r w:rsidR="0095796B">
              <w:rPr>
                <w:rFonts w:eastAsia="Times New Roman"/>
                <w:color w:val="000000"/>
                <w:sz w:val="20"/>
                <w:szCs w:val="20"/>
              </w:rPr>
              <w:t>(295.6</w:t>
            </w:r>
            <w:r w:rsidR="0095796B" w:rsidRPr="002532BD">
              <w:rPr>
                <w:rFonts w:eastAsia="Times New Roman"/>
                <w:color w:val="000000"/>
                <w:sz w:val="20"/>
                <w:szCs w:val="20"/>
              </w:rPr>
              <w:t>)</w:t>
            </w:r>
          </w:p>
        </w:tc>
        <w:tc>
          <w:tcPr>
            <w:tcW w:w="1418" w:type="dxa"/>
            <w:tcBorders>
              <w:right w:val="double" w:sz="6" w:space="0" w:color="auto"/>
            </w:tcBorders>
            <w:shd w:val="clear" w:color="auto" w:fill="auto"/>
            <w:noWrap/>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265.8 (316.4)</w:t>
            </w:r>
          </w:p>
        </w:tc>
        <w:tc>
          <w:tcPr>
            <w:tcW w:w="949" w:type="dxa"/>
            <w:tcBorders>
              <w:left w:val="double" w:sz="6" w:space="0" w:color="auto"/>
            </w:tcBorders>
            <w:shd w:val="clear" w:color="auto" w:fill="auto"/>
            <w:noWrap/>
            <w:vAlign w:val="center"/>
          </w:tcPr>
          <w:p w:rsidR="0095796B" w:rsidRPr="002532BD" w:rsidRDefault="007724A4" w:rsidP="007724A4">
            <w:pPr>
              <w:rPr>
                <w:rFonts w:eastAsia="Times New Roman"/>
                <w:color w:val="000000"/>
                <w:sz w:val="20"/>
                <w:szCs w:val="20"/>
              </w:rPr>
            </w:pPr>
            <w:r>
              <w:rPr>
                <w:rFonts w:eastAsia="Times New Roman"/>
                <w:color w:val="000000"/>
                <w:sz w:val="20"/>
                <w:szCs w:val="20"/>
              </w:rPr>
              <w:t xml:space="preserve">    </w:t>
            </w:r>
            <w:r w:rsidR="0095796B">
              <w:rPr>
                <w:rFonts w:eastAsia="Times New Roman"/>
                <w:color w:val="000000"/>
                <w:sz w:val="20"/>
                <w:szCs w:val="20"/>
              </w:rPr>
              <w:t>10.68</w:t>
            </w:r>
          </w:p>
        </w:tc>
        <w:tc>
          <w:tcPr>
            <w:tcW w:w="963" w:type="dxa"/>
            <w:shd w:val="clear" w:color="auto" w:fill="auto"/>
            <w:noWrap/>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2.85</w:t>
            </w:r>
          </w:p>
        </w:tc>
        <w:tc>
          <w:tcPr>
            <w:tcW w:w="989" w:type="dxa"/>
            <w:shd w:val="clear" w:color="auto" w:fill="auto"/>
            <w:noWrap/>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0.62</w:t>
            </w:r>
          </w:p>
        </w:tc>
        <w:tc>
          <w:tcPr>
            <w:tcW w:w="1231" w:type="dxa"/>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49.04</w:t>
            </w:r>
          </w:p>
        </w:tc>
        <w:tc>
          <w:tcPr>
            <w:tcW w:w="1019" w:type="dxa"/>
            <w:vAlign w:val="center"/>
          </w:tcPr>
          <w:p w:rsidR="0095796B" w:rsidRPr="002532BD" w:rsidRDefault="0095796B" w:rsidP="002D7544">
            <w:pPr>
              <w:tabs>
                <w:tab w:val="decimal" w:pos="142"/>
              </w:tabs>
              <w:jc w:val="center"/>
              <w:rPr>
                <w:rFonts w:eastAsia="Times New Roman"/>
                <w:color w:val="000000"/>
                <w:sz w:val="20"/>
                <w:szCs w:val="20"/>
              </w:rPr>
            </w:pPr>
            <w:r>
              <w:rPr>
                <w:rFonts w:eastAsia="Times New Roman"/>
                <w:color w:val="000000"/>
                <w:sz w:val="20"/>
                <w:szCs w:val="20"/>
              </w:rPr>
              <w:t>0.92</w:t>
            </w:r>
          </w:p>
        </w:tc>
        <w:tc>
          <w:tcPr>
            <w:tcW w:w="990" w:type="dxa"/>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35.90</w:t>
            </w:r>
          </w:p>
        </w:tc>
      </w:tr>
      <w:tr w:rsidR="0095796B" w:rsidRPr="002532BD" w:rsidTr="00BA38DA">
        <w:trPr>
          <w:cantSplit/>
          <w:trHeight w:val="360"/>
          <w:jc w:val="center"/>
        </w:trPr>
        <w:tc>
          <w:tcPr>
            <w:tcW w:w="765" w:type="dxa"/>
            <w:vMerge/>
            <w:tcBorders>
              <w:right w:val="double" w:sz="6" w:space="0" w:color="auto"/>
            </w:tcBorders>
          </w:tcPr>
          <w:p w:rsidR="0095796B" w:rsidRDefault="0095796B" w:rsidP="00BD6523">
            <w:pPr>
              <w:jc w:val="left"/>
              <w:rPr>
                <w:rFonts w:eastAsia="Times New Roman"/>
                <w:color w:val="000000"/>
                <w:sz w:val="20"/>
                <w:szCs w:val="20"/>
              </w:rPr>
            </w:pPr>
          </w:p>
        </w:tc>
        <w:tc>
          <w:tcPr>
            <w:tcW w:w="2058" w:type="dxa"/>
            <w:tcBorders>
              <w:right w:val="double" w:sz="6" w:space="0" w:color="auto"/>
            </w:tcBorders>
            <w:shd w:val="clear" w:color="auto" w:fill="auto"/>
            <w:noWrap/>
            <w:vAlign w:val="center"/>
          </w:tcPr>
          <w:p w:rsidR="0095796B" w:rsidRPr="00413E43" w:rsidRDefault="0095796B" w:rsidP="00BD6523">
            <w:pPr>
              <w:jc w:val="left"/>
              <w:rPr>
                <w:rFonts w:eastAsia="Times New Roman"/>
                <w:color w:val="000000"/>
                <w:sz w:val="20"/>
                <w:szCs w:val="20"/>
              </w:rPr>
            </w:pPr>
            <w:r>
              <w:rPr>
                <w:rFonts w:eastAsia="Times New Roman"/>
                <w:color w:val="000000"/>
                <w:sz w:val="20"/>
                <w:szCs w:val="20"/>
              </w:rPr>
              <w:t>Waikato</w:t>
            </w:r>
          </w:p>
        </w:tc>
        <w:tc>
          <w:tcPr>
            <w:tcW w:w="1260" w:type="dxa"/>
            <w:tcBorders>
              <w:left w:val="double" w:sz="6" w:space="0" w:color="auto"/>
            </w:tcBorders>
            <w:shd w:val="clear" w:color="auto" w:fill="auto"/>
            <w:vAlign w:val="center"/>
          </w:tcPr>
          <w:p w:rsidR="0095796B" w:rsidRPr="002532BD" w:rsidRDefault="00620C93" w:rsidP="00BD6523">
            <w:pPr>
              <w:jc w:val="center"/>
              <w:rPr>
                <w:rFonts w:eastAsia="Times New Roman"/>
                <w:color w:val="000000"/>
                <w:sz w:val="20"/>
                <w:szCs w:val="20"/>
              </w:rPr>
            </w:pPr>
            <w:r>
              <w:rPr>
                <w:rFonts w:eastAsia="Times New Roman"/>
                <w:color w:val="000000"/>
                <w:sz w:val="20"/>
                <w:szCs w:val="20"/>
              </w:rPr>
              <w:t xml:space="preserve"> </w:t>
            </w:r>
            <w:r w:rsidR="009B46C2">
              <w:rPr>
                <w:rFonts w:eastAsia="Times New Roman"/>
                <w:color w:val="000000"/>
                <w:sz w:val="20"/>
                <w:szCs w:val="20"/>
              </w:rPr>
              <w:t xml:space="preserve"> </w:t>
            </w:r>
            <w:r w:rsidR="0095796B">
              <w:rPr>
                <w:rFonts w:eastAsia="Times New Roman"/>
                <w:color w:val="000000"/>
                <w:sz w:val="20"/>
                <w:szCs w:val="20"/>
              </w:rPr>
              <w:t>5.98 (5.97)</w:t>
            </w:r>
          </w:p>
        </w:tc>
        <w:tc>
          <w:tcPr>
            <w:tcW w:w="1438"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273.9 (257.8)</w:t>
            </w:r>
          </w:p>
        </w:tc>
        <w:tc>
          <w:tcPr>
            <w:tcW w:w="1418" w:type="dxa"/>
            <w:tcBorders>
              <w:righ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241.0 (281.3)</w:t>
            </w:r>
          </w:p>
        </w:tc>
        <w:tc>
          <w:tcPr>
            <w:tcW w:w="949" w:type="dxa"/>
            <w:tcBorders>
              <w:lef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1.14</w:t>
            </w:r>
          </w:p>
        </w:tc>
        <w:tc>
          <w:tcPr>
            <w:tcW w:w="963"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3.57</w:t>
            </w:r>
          </w:p>
        </w:tc>
        <w:tc>
          <w:tcPr>
            <w:tcW w:w="989"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0.88</w:t>
            </w:r>
          </w:p>
        </w:tc>
        <w:tc>
          <w:tcPr>
            <w:tcW w:w="1231" w:type="dxa"/>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53.10</w:t>
            </w:r>
          </w:p>
        </w:tc>
        <w:tc>
          <w:tcPr>
            <w:tcW w:w="1019" w:type="dxa"/>
            <w:vAlign w:val="center"/>
          </w:tcPr>
          <w:p w:rsidR="0095796B" w:rsidRDefault="0095796B" w:rsidP="002D7544">
            <w:pPr>
              <w:tabs>
                <w:tab w:val="decimal" w:pos="142"/>
              </w:tabs>
              <w:jc w:val="center"/>
              <w:rPr>
                <w:rFonts w:eastAsia="Times New Roman"/>
                <w:color w:val="000000"/>
                <w:sz w:val="20"/>
                <w:szCs w:val="20"/>
              </w:rPr>
            </w:pPr>
            <w:r>
              <w:rPr>
                <w:rFonts w:eastAsia="Times New Roman"/>
                <w:color w:val="000000"/>
                <w:sz w:val="20"/>
                <w:szCs w:val="20"/>
              </w:rPr>
              <w:t>0.70</w:t>
            </w:r>
          </w:p>
        </w:tc>
        <w:tc>
          <w:tcPr>
            <w:tcW w:w="990" w:type="dxa"/>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40.61</w:t>
            </w:r>
          </w:p>
        </w:tc>
      </w:tr>
      <w:tr w:rsidR="0095796B" w:rsidRPr="002532BD" w:rsidTr="00BA38DA">
        <w:trPr>
          <w:cantSplit/>
          <w:trHeight w:val="360"/>
          <w:jc w:val="center"/>
        </w:trPr>
        <w:tc>
          <w:tcPr>
            <w:tcW w:w="765" w:type="dxa"/>
            <w:vMerge/>
            <w:tcBorders>
              <w:right w:val="double" w:sz="6" w:space="0" w:color="auto"/>
            </w:tcBorders>
          </w:tcPr>
          <w:p w:rsidR="0095796B" w:rsidRDefault="0095796B" w:rsidP="00BD6523">
            <w:pPr>
              <w:jc w:val="left"/>
              <w:rPr>
                <w:rFonts w:eastAsia="Times New Roman"/>
                <w:color w:val="000000"/>
                <w:sz w:val="20"/>
                <w:szCs w:val="20"/>
              </w:rPr>
            </w:pPr>
          </w:p>
        </w:tc>
        <w:tc>
          <w:tcPr>
            <w:tcW w:w="2058" w:type="dxa"/>
            <w:tcBorders>
              <w:right w:val="double" w:sz="6" w:space="0" w:color="auto"/>
            </w:tcBorders>
            <w:shd w:val="clear" w:color="auto" w:fill="auto"/>
            <w:noWrap/>
            <w:vAlign w:val="center"/>
          </w:tcPr>
          <w:p w:rsidR="0095796B" w:rsidRPr="00413E43" w:rsidRDefault="0095796B" w:rsidP="00BD6523">
            <w:pPr>
              <w:jc w:val="left"/>
              <w:rPr>
                <w:rFonts w:eastAsia="Times New Roman"/>
                <w:color w:val="000000"/>
                <w:sz w:val="20"/>
                <w:szCs w:val="20"/>
              </w:rPr>
            </w:pPr>
            <w:r>
              <w:rPr>
                <w:rFonts w:eastAsia="Times New Roman"/>
                <w:color w:val="000000"/>
                <w:sz w:val="20"/>
                <w:szCs w:val="20"/>
              </w:rPr>
              <w:t>Bay of Plenty</w:t>
            </w:r>
          </w:p>
        </w:tc>
        <w:tc>
          <w:tcPr>
            <w:tcW w:w="1260" w:type="dxa"/>
            <w:tcBorders>
              <w:left w:val="double" w:sz="6" w:space="0" w:color="auto"/>
            </w:tcBorders>
            <w:shd w:val="clear" w:color="auto" w:fill="auto"/>
            <w:vAlign w:val="center"/>
          </w:tcPr>
          <w:p w:rsidR="0095796B" w:rsidRPr="002532BD" w:rsidRDefault="00620C93" w:rsidP="00BD6523">
            <w:pPr>
              <w:jc w:val="center"/>
              <w:rPr>
                <w:rFonts w:eastAsia="Times New Roman"/>
                <w:color w:val="000000"/>
                <w:sz w:val="20"/>
                <w:szCs w:val="20"/>
              </w:rPr>
            </w:pPr>
            <w:r>
              <w:rPr>
                <w:rFonts w:eastAsia="Times New Roman"/>
                <w:color w:val="000000"/>
                <w:sz w:val="20"/>
                <w:szCs w:val="20"/>
              </w:rPr>
              <w:t xml:space="preserve"> </w:t>
            </w:r>
            <w:r w:rsidR="009B46C2">
              <w:rPr>
                <w:rFonts w:eastAsia="Times New Roman"/>
                <w:color w:val="000000"/>
                <w:sz w:val="20"/>
                <w:szCs w:val="20"/>
              </w:rPr>
              <w:t xml:space="preserve"> </w:t>
            </w:r>
            <w:r w:rsidR="0095796B">
              <w:rPr>
                <w:rFonts w:eastAsia="Times New Roman"/>
                <w:color w:val="000000"/>
                <w:sz w:val="20"/>
                <w:szCs w:val="20"/>
              </w:rPr>
              <w:t>6.74 (5.60)</w:t>
            </w:r>
          </w:p>
        </w:tc>
        <w:tc>
          <w:tcPr>
            <w:tcW w:w="1438"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313.3 (237.2)</w:t>
            </w:r>
          </w:p>
        </w:tc>
        <w:tc>
          <w:tcPr>
            <w:tcW w:w="1418" w:type="dxa"/>
            <w:tcBorders>
              <w:righ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276.9 (272.4)</w:t>
            </w:r>
          </w:p>
        </w:tc>
        <w:tc>
          <w:tcPr>
            <w:tcW w:w="949" w:type="dxa"/>
            <w:tcBorders>
              <w:lef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1.32</w:t>
            </w:r>
          </w:p>
        </w:tc>
        <w:tc>
          <w:tcPr>
            <w:tcW w:w="963"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2.39</w:t>
            </w:r>
          </w:p>
        </w:tc>
        <w:tc>
          <w:tcPr>
            <w:tcW w:w="989"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0.27</w:t>
            </w:r>
          </w:p>
        </w:tc>
        <w:tc>
          <w:tcPr>
            <w:tcW w:w="1231" w:type="dxa"/>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23.17</w:t>
            </w:r>
          </w:p>
        </w:tc>
        <w:tc>
          <w:tcPr>
            <w:tcW w:w="1019" w:type="dxa"/>
            <w:vAlign w:val="center"/>
          </w:tcPr>
          <w:p w:rsidR="0095796B" w:rsidRDefault="0095796B" w:rsidP="002D7544">
            <w:pPr>
              <w:tabs>
                <w:tab w:val="decimal" w:pos="142"/>
              </w:tabs>
              <w:jc w:val="center"/>
              <w:rPr>
                <w:rFonts w:eastAsia="Times New Roman"/>
                <w:color w:val="000000"/>
                <w:sz w:val="20"/>
                <w:szCs w:val="20"/>
              </w:rPr>
            </w:pPr>
            <w:r>
              <w:rPr>
                <w:rFonts w:eastAsia="Times New Roman"/>
                <w:color w:val="000000"/>
                <w:sz w:val="20"/>
                <w:szCs w:val="20"/>
              </w:rPr>
              <w:t>0.28</w:t>
            </w:r>
          </w:p>
        </w:tc>
        <w:tc>
          <w:tcPr>
            <w:tcW w:w="990" w:type="dxa"/>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72.57</w:t>
            </w:r>
          </w:p>
        </w:tc>
      </w:tr>
      <w:tr w:rsidR="0095796B" w:rsidRPr="002532BD" w:rsidTr="00BA38DA">
        <w:trPr>
          <w:cantSplit/>
          <w:trHeight w:val="360"/>
          <w:jc w:val="center"/>
        </w:trPr>
        <w:tc>
          <w:tcPr>
            <w:tcW w:w="765" w:type="dxa"/>
            <w:vMerge/>
            <w:tcBorders>
              <w:right w:val="double" w:sz="6" w:space="0" w:color="auto"/>
            </w:tcBorders>
          </w:tcPr>
          <w:p w:rsidR="0095796B" w:rsidRDefault="0095796B" w:rsidP="00BD6523">
            <w:pPr>
              <w:jc w:val="left"/>
              <w:rPr>
                <w:rFonts w:eastAsia="Times New Roman"/>
                <w:color w:val="000000"/>
                <w:sz w:val="20"/>
                <w:szCs w:val="20"/>
              </w:rPr>
            </w:pPr>
          </w:p>
        </w:tc>
        <w:tc>
          <w:tcPr>
            <w:tcW w:w="2058" w:type="dxa"/>
            <w:tcBorders>
              <w:right w:val="double" w:sz="6" w:space="0" w:color="auto"/>
            </w:tcBorders>
            <w:shd w:val="clear" w:color="auto" w:fill="auto"/>
            <w:noWrap/>
            <w:vAlign w:val="center"/>
          </w:tcPr>
          <w:p w:rsidR="0095796B" w:rsidRPr="00413E43" w:rsidRDefault="0095796B" w:rsidP="00BD6523">
            <w:pPr>
              <w:jc w:val="left"/>
              <w:rPr>
                <w:rFonts w:eastAsia="Times New Roman"/>
                <w:color w:val="000000"/>
                <w:sz w:val="20"/>
                <w:szCs w:val="20"/>
              </w:rPr>
            </w:pPr>
            <w:r>
              <w:rPr>
                <w:rFonts w:eastAsia="Times New Roman"/>
                <w:color w:val="000000"/>
                <w:sz w:val="20"/>
                <w:szCs w:val="20"/>
              </w:rPr>
              <w:t>Gisborne</w:t>
            </w:r>
          </w:p>
        </w:tc>
        <w:tc>
          <w:tcPr>
            <w:tcW w:w="1260" w:type="dxa"/>
            <w:tcBorders>
              <w:left w:val="double" w:sz="6" w:space="0" w:color="auto"/>
            </w:tcBorders>
            <w:shd w:val="clear" w:color="auto" w:fill="auto"/>
            <w:vAlign w:val="center"/>
          </w:tcPr>
          <w:p w:rsidR="0095796B" w:rsidRPr="002532BD" w:rsidRDefault="00620C93" w:rsidP="00BD6523">
            <w:pPr>
              <w:jc w:val="center"/>
              <w:rPr>
                <w:rFonts w:eastAsia="Times New Roman"/>
                <w:color w:val="000000"/>
                <w:sz w:val="20"/>
                <w:szCs w:val="20"/>
              </w:rPr>
            </w:pPr>
            <w:r>
              <w:rPr>
                <w:rFonts w:eastAsia="Times New Roman"/>
                <w:color w:val="000000"/>
                <w:sz w:val="20"/>
                <w:szCs w:val="20"/>
              </w:rPr>
              <w:t xml:space="preserve"> </w:t>
            </w:r>
            <w:r w:rsidR="009B46C2">
              <w:rPr>
                <w:rFonts w:eastAsia="Times New Roman"/>
                <w:color w:val="000000"/>
                <w:sz w:val="20"/>
                <w:szCs w:val="20"/>
              </w:rPr>
              <w:t xml:space="preserve"> </w:t>
            </w:r>
            <w:r w:rsidR="0095796B">
              <w:rPr>
                <w:rFonts w:eastAsia="Times New Roman"/>
                <w:color w:val="000000"/>
                <w:sz w:val="20"/>
                <w:szCs w:val="20"/>
              </w:rPr>
              <w:t>7.82 (4.95)</w:t>
            </w:r>
          </w:p>
        </w:tc>
        <w:tc>
          <w:tcPr>
            <w:tcW w:w="1438"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366.2 (205.5)</w:t>
            </w:r>
          </w:p>
        </w:tc>
        <w:tc>
          <w:tcPr>
            <w:tcW w:w="1418" w:type="dxa"/>
            <w:tcBorders>
              <w:righ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322.1 (260.1)</w:t>
            </w:r>
          </w:p>
        </w:tc>
        <w:tc>
          <w:tcPr>
            <w:tcW w:w="949" w:type="dxa"/>
            <w:tcBorders>
              <w:lef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0.35</w:t>
            </w:r>
          </w:p>
        </w:tc>
        <w:tc>
          <w:tcPr>
            <w:tcW w:w="963"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0.36</w:t>
            </w:r>
          </w:p>
        </w:tc>
        <w:tc>
          <w:tcPr>
            <w:tcW w:w="989"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0.41</w:t>
            </w:r>
          </w:p>
        </w:tc>
        <w:tc>
          <w:tcPr>
            <w:tcW w:w="1231" w:type="dxa"/>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46.44</w:t>
            </w:r>
          </w:p>
        </w:tc>
        <w:tc>
          <w:tcPr>
            <w:tcW w:w="1019" w:type="dxa"/>
            <w:vAlign w:val="center"/>
          </w:tcPr>
          <w:p w:rsidR="0095796B" w:rsidRDefault="002D7544" w:rsidP="002D7544">
            <w:pPr>
              <w:tabs>
                <w:tab w:val="decimal" w:pos="142"/>
              </w:tabs>
              <w:rPr>
                <w:rFonts w:eastAsia="Times New Roman"/>
                <w:color w:val="000000"/>
                <w:sz w:val="20"/>
                <w:szCs w:val="20"/>
              </w:rPr>
            </w:pPr>
            <w:r>
              <w:rPr>
                <w:rFonts w:eastAsia="Times New Roman"/>
                <w:color w:val="000000"/>
                <w:sz w:val="20"/>
                <w:szCs w:val="20"/>
              </w:rPr>
              <w:t xml:space="preserve">      </w:t>
            </w:r>
            <w:r w:rsidR="0061038C">
              <w:rPr>
                <w:rFonts w:eastAsia="Times New Roman"/>
                <w:color w:val="000000"/>
                <w:sz w:val="20"/>
                <w:szCs w:val="20"/>
              </w:rPr>
              <w:t xml:space="preserve"> </w:t>
            </w:r>
            <w:r w:rsidR="0095796B">
              <w:rPr>
                <w:rFonts w:eastAsia="Times New Roman"/>
                <w:color w:val="000000"/>
                <w:sz w:val="20"/>
                <w:szCs w:val="20"/>
              </w:rPr>
              <w:t>1.55</w:t>
            </w:r>
          </w:p>
        </w:tc>
        <w:tc>
          <w:tcPr>
            <w:tcW w:w="990" w:type="dxa"/>
            <w:vAlign w:val="center"/>
          </w:tcPr>
          <w:p w:rsidR="0095796B" w:rsidRDefault="0095796B" w:rsidP="002D7544">
            <w:pPr>
              <w:tabs>
                <w:tab w:val="decimal" w:pos="224"/>
              </w:tabs>
              <w:jc w:val="center"/>
              <w:rPr>
                <w:rFonts w:eastAsia="Times New Roman"/>
                <w:color w:val="000000"/>
                <w:sz w:val="20"/>
                <w:szCs w:val="20"/>
              </w:rPr>
            </w:pPr>
            <w:r>
              <w:rPr>
                <w:rFonts w:eastAsia="Times New Roman"/>
                <w:color w:val="000000"/>
                <w:sz w:val="20"/>
                <w:szCs w:val="20"/>
              </w:rPr>
              <w:t>50.89</w:t>
            </w:r>
          </w:p>
        </w:tc>
      </w:tr>
      <w:tr w:rsidR="0095796B" w:rsidRPr="002532BD" w:rsidTr="00BA38DA">
        <w:trPr>
          <w:cantSplit/>
          <w:trHeight w:val="360"/>
          <w:jc w:val="center"/>
        </w:trPr>
        <w:tc>
          <w:tcPr>
            <w:tcW w:w="765" w:type="dxa"/>
            <w:vMerge/>
            <w:tcBorders>
              <w:right w:val="double" w:sz="6" w:space="0" w:color="auto"/>
            </w:tcBorders>
          </w:tcPr>
          <w:p w:rsidR="0095796B" w:rsidRDefault="0095796B" w:rsidP="00BD6523">
            <w:pPr>
              <w:jc w:val="left"/>
              <w:rPr>
                <w:rFonts w:eastAsia="Times New Roman"/>
                <w:color w:val="000000"/>
                <w:sz w:val="20"/>
                <w:szCs w:val="20"/>
              </w:rPr>
            </w:pPr>
          </w:p>
        </w:tc>
        <w:tc>
          <w:tcPr>
            <w:tcW w:w="2058" w:type="dxa"/>
            <w:tcBorders>
              <w:right w:val="double" w:sz="6" w:space="0" w:color="auto"/>
            </w:tcBorders>
            <w:shd w:val="clear" w:color="auto" w:fill="auto"/>
            <w:noWrap/>
            <w:vAlign w:val="center"/>
          </w:tcPr>
          <w:p w:rsidR="0095796B" w:rsidRPr="00413E43" w:rsidRDefault="0095796B" w:rsidP="00BD6523">
            <w:pPr>
              <w:jc w:val="left"/>
              <w:rPr>
                <w:rFonts w:eastAsia="Times New Roman"/>
                <w:color w:val="000000"/>
                <w:sz w:val="20"/>
                <w:szCs w:val="20"/>
              </w:rPr>
            </w:pPr>
            <w:r>
              <w:rPr>
                <w:rFonts w:eastAsia="Times New Roman"/>
                <w:color w:val="000000"/>
                <w:sz w:val="20"/>
                <w:szCs w:val="20"/>
              </w:rPr>
              <w:t>Taranaki</w:t>
            </w:r>
          </w:p>
        </w:tc>
        <w:tc>
          <w:tcPr>
            <w:tcW w:w="1260" w:type="dxa"/>
            <w:tcBorders>
              <w:left w:val="double" w:sz="6" w:space="0" w:color="auto"/>
            </w:tcBorders>
            <w:shd w:val="clear" w:color="auto" w:fill="auto"/>
            <w:vAlign w:val="center"/>
          </w:tcPr>
          <w:p w:rsidR="0095796B" w:rsidRPr="002532BD" w:rsidRDefault="00620C93" w:rsidP="00BD6523">
            <w:pPr>
              <w:jc w:val="center"/>
              <w:rPr>
                <w:rFonts w:eastAsia="Times New Roman"/>
                <w:color w:val="000000"/>
                <w:sz w:val="20"/>
                <w:szCs w:val="20"/>
              </w:rPr>
            </w:pPr>
            <w:r>
              <w:rPr>
                <w:rFonts w:eastAsia="Times New Roman"/>
                <w:color w:val="000000"/>
                <w:sz w:val="20"/>
                <w:szCs w:val="20"/>
              </w:rPr>
              <w:t xml:space="preserve"> </w:t>
            </w:r>
            <w:r w:rsidR="009B46C2">
              <w:rPr>
                <w:rFonts w:eastAsia="Times New Roman"/>
                <w:color w:val="000000"/>
                <w:sz w:val="20"/>
                <w:szCs w:val="20"/>
              </w:rPr>
              <w:t xml:space="preserve"> </w:t>
            </w:r>
            <w:r w:rsidR="0095796B">
              <w:rPr>
                <w:rFonts w:eastAsia="Times New Roman"/>
                <w:color w:val="000000"/>
                <w:sz w:val="20"/>
                <w:szCs w:val="20"/>
              </w:rPr>
              <w:t>6.41 (4.32)</w:t>
            </w:r>
          </w:p>
        </w:tc>
        <w:tc>
          <w:tcPr>
            <w:tcW w:w="1438"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294.5 (169.9)</w:t>
            </w:r>
          </w:p>
        </w:tc>
        <w:tc>
          <w:tcPr>
            <w:tcW w:w="1418" w:type="dxa"/>
            <w:tcBorders>
              <w:righ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261.9 (219.1)</w:t>
            </w:r>
          </w:p>
        </w:tc>
        <w:tc>
          <w:tcPr>
            <w:tcW w:w="949" w:type="dxa"/>
            <w:tcBorders>
              <w:lef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0.98</w:t>
            </w:r>
          </w:p>
        </w:tc>
        <w:tc>
          <w:tcPr>
            <w:tcW w:w="963"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0.39</w:t>
            </w:r>
          </w:p>
        </w:tc>
        <w:tc>
          <w:tcPr>
            <w:tcW w:w="989"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0.08</w:t>
            </w:r>
          </w:p>
        </w:tc>
        <w:tc>
          <w:tcPr>
            <w:tcW w:w="1231" w:type="dxa"/>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53.81</w:t>
            </w:r>
          </w:p>
        </w:tc>
        <w:tc>
          <w:tcPr>
            <w:tcW w:w="1019" w:type="dxa"/>
            <w:vAlign w:val="center"/>
          </w:tcPr>
          <w:p w:rsidR="0095796B" w:rsidRDefault="0095796B" w:rsidP="002D7544">
            <w:pPr>
              <w:tabs>
                <w:tab w:val="decimal" w:pos="142"/>
              </w:tabs>
              <w:jc w:val="center"/>
              <w:rPr>
                <w:rFonts w:eastAsia="Times New Roman"/>
                <w:color w:val="000000"/>
                <w:sz w:val="20"/>
                <w:szCs w:val="20"/>
              </w:rPr>
            </w:pPr>
            <w:r>
              <w:rPr>
                <w:rFonts w:eastAsia="Times New Roman"/>
                <w:color w:val="000000"/>
                <w:sz w:val="20"/>
                <w:szCs w:val="20"/>
              </w:rPr>
              <w:t>0.43</w:t>
            </w:r>
          </w:p>
        </w:tc>
        <w:tc>
          <w:tcPr>
            <w:tcW w:w="990" w:type="dxa"/>
            <w:vAlign w:val="center"/>
          </w:tcPr>
          <w:p w:rsidR="0095796B" w:rsidRDefault="0095796B" w:rsidP="002D7544">
            <w:pPr>
              <w:tabs>
                <w:tab w:val="decimal" w:pos="224"/>
              </w:tabs>
              <w:jc w:val="center"/>
              <w:rPr>
                <w:rFonts w:eastAsia="Times New Roman"/>
                <w:color w:val="000000"/>
                <w:sz w:val="20"/>
                <w:szCs w:val="20"/>
              </w:rPr>
            </w:pPr>
            <w:r>
              <w:rPr>
                <w:rFonts w:eastAsia="Times New Roman"/>
                <w:color w:val="000000"/>
                <w:sz w:val="20"/>
                <w:szCs w:val="20"/>
              </w:rPr>
              <w:t>44.31</w:t>
            </w:r>
          </w:p>
        </w:tc>
      </w:tr>
      <w:tr w:rsidR="0095796B" w:rsidRPr="002532BD" w:rsidTr="00BA38DA">
        <w:trPr>
          <w:cantSplit/>
          <w:trHeight w:val="360"/>
          <w:jc w:val="center"/>
        </w:trPr>
        <w:tc>
          <w:tcPr>
            <w:tcW w:w="765" w:type="dxa"/>
            <w:vMerge/>
            <w:tcBorders>
              <w:right w:val="double" w:sz="6" w:space="0" w:color="auto"/>
            </w:tcBorders>
          </w:tcPr>
          <w:p w:rsidR="0095796B" w:rsidRDefault="0095796B" w:rsidP="00BD6523">
            <w:pPr>
              <w:jc w:val="left"/>
              <w:rPr>
                <w:rFonts w:eastAsia="Times New Roman"/>
                <w:color w:val="000000"/>
                <w:sz w:val="20"/>
                <w:szCs w:val="20"/>
              </w:rPr>
            </w:pPr>
          </w:p>
        </w:tc>
        <w:tc>
          <w:tcPr>
            <w:tcW w:w="2058" w:type="dxa"/>
            <w:tcBorders>
              <w:right w:val="double" w:sz="6" w:space="0" w:color="auto"/>
            </w:tcBorders>
            <w:shd w:val="clear" w:color="auto" w:fill="auto"/>
            <w:noWrap/>
            <w:vAlign w:val="center"/>
          </w:tcPr>
          <w:p w:rsidR="0095796B" w:rsidRPr="00413E43" w:rsidRDefault="0095796B" w:rsidP="00BD6523">
            <w:pPr>
              <w:jc w:val="left"/>
              <w:rPr>
                <w:rFonts w:eastAsia="Times New Roman"/>
                <w:color w:val="000000"/>
                <w:sz w:val="20"/>
                <w:szCs w:val="20"/>
              </w:rPr>
            </w:pPr>
            <w:proofErr w:type="spellStart"/>
            <w:r>
              <w:rPr>
                <w:rFonts w:eastAsia="Times New Roman"/>
                <w:color w:val="000000"/>
                <w:sz w:val="20"/>
                <w:szCs w:val="20"/>
              </w:rPr>
              <w:t>Manawatu</w:t>
            </w:r>
            <w:proofErr w:type="spellEnd"/>
            <w:r>
              <w:rPr>
                <w:rFonts w:eastAsia="Times New Roman"/>
                <w:color w:val="000000"/>
                <w:sz w:val="20"/>
                <w:szCs w:val="20"/>
              </w:rPr>
              <w:t>-Wanganui</w:t>
            </w:r>
          </w:p>
        </w:tc>
        <w:tc>
          <w:tcPr>
            <w:tcW w:w="1260" w:type="dxa"/>
            <w:tcBorders>
              <w:left w:val="double" w:sz="6" w:space="0" w:color="auto"/>
            </w:tcBorders>
            <w:shd w:val="clear" w:color="auto" w:fill="auto"/>
            <w:vAlign w:val="center"/>
          </w:tcPr>
          <w:p w:rsidR="0095796B" w:rsidRPr="002532BD" w:rsidRDefault="00620C93" w:rsidP="00BD6523">
            <w:pPr>
              <w:jc w:val="center"/>
              <w:rPr>
                <w:rFonts w:eastAsia="Times New Roman"/>
                <w:color w:val="000000"/>
                <w:sz w:val="20"/>
                <w:szCs w:val="20"/>
              </w:rPr>
            </w:pPr>
            <w:r>
              <w:rPr>
                <w:rFonts w:eastAsia="Times New Roman"/>
                <w:color w:val="000000"/>
                <w:sz w:val="20"/>
                <w:szCs w:val="20"/>
              </w:rPr>
              <w:t xml:space="preserve"> </w:t>
            </w:r>
            <w:r w:rsidR="009B46C2">
              <w:rPr>
                <w:rFonts w:eastAsia="Times New Roman"/>
                <w:color w:val="000000"/>
                <w:sz w:val="20"/>
                <w:szCs w:val="20"/>
              </w:rPr>
              <w:t xml:space="preserve"> </w:t>
            </w:r>
            <w:r w:rsidR="0095796B">
              <w:rPr>
                <w:rFonts w:eastAsia="Times New Roman"/>
                <w:color w:val="000000"/>
                <w:sz w:val="20"/>
                <w:szCs w:val="20"/>
              </w:rPr>
              <w:t>6.07 (3.72)</w:t>
            </w:r>
          </w:p>
        </w:tc>
        <w:tc>
          <w:tcPr>
            <w:tcW w:w="1438"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279.7 (152.5)</w:t>
            </w:r>
          </w:p>
        </w:tc>
        <w:tc>
          <w:tcPr>
            <w:tcW w:w="1418" w:type="dxa"/>
            <w:tcBorders>
              <w:righ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249.2 (198.3)</w:t>
            </w:r>
          </w:p>
        </w:tc>
        <w:tc>
          <w:tcPr>
            <w:tcW w:w="949" w:type="dxa"/>
            <w:tcBorders>
              <w:lef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0.67</w:t>
            </w:r>
          </w:p>
        </w:tc>
        <w:tc>
          <w:tcPr>
            <w:tcW w:w="963"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0.48</w:t>
            </w:r>
          </w:p>
        </w:tc>
        <w:tc>
          <w:tcPr>
            <w:tcW w:w="989"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0.32</w:t>
            </w:r>
          </w:p>
        </w:tc>
        <w:tc>
          <w:tcPr>
            <w:tcW w:w="1231" w:type="dxa"/>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60.22</w:t>
            </w:r>
          </w:p>
        </w:tc>
        <w:tc>
          <w:tcPr>
            <w:tcW w:w="1019" w:type="dxa"/>
            <w:vAlign w:val="center"/>
          </w:tcPr>
          <w:p w:rsidR="0095796B" w:rsidRDefault="0095796B" w:rsidP="002D7544">
            <w:pPr>
              <w:tabs>
                <w:tab w:val="decimal" w:pos="142"/>
              </w:tabs>
              <w:jc w:val="center"/>
              <w:rPr>
                <w:rFonts w:eastAsia="Times New Roman"/>
                <w:color w:val="000000"/>
                <w:sz w:val="20"/>
                <w:szCs w:val="20"/>
              </w:rPr>
            </w:pPr>
            <w:r>
              <w:rPr>
                <w:rFonts w:eastAsia="Times New Roman"/>
                <w:color w:val="000000"/>
                <w:sz w:val="20"/>
                <w:szCs w:val="20"/>
              </w:rPr>
              <w:t>0.82</w:t>
            </w:r>
          </w:p>
        </w:tc>
        <w:tc>
          <w:tcPr>
            <w:tcW w:w="990" w:type="dxa"/>
            <w:vAlign w:val="center"/>
          </w:tcPr>
          <w:p w:rsidR="0095796B" w:rsidRDefault="0095796B" w:rsidP="002D7544">
            <w:pPr>
              <w:tabs>
                <w:tab w:val="decimal" w:pos="224"/>
              </w:tabs>
              <w:jc w:val="center"/>
              <w:rPr>
                <w:rFonts w:eastAsia="Times New Roman"/>
                <w:color w:val="000000"/>
                <w:sz w:val="20"/>
                <w:szCs w:val="20"/>
              </w:rPr>
            </w:pPr>
            <w:r>
              <w:rPr>
                <w:rFonts w:eastAsia="Times New Roman"/>
                <w:color w:val="000000"/>
                <w:sz w:val="20"/>
                <w:szCs w:val="20"/>
              </w:rPr>
              <w:t>37.50</w:t>
            </w:r>
          </w:p>
        </w:tc>
      </w:tr>
      <w:tr w:rsidR="0095796B" w:rsidRPr="002532BD" w:rsidTr="00BA38DA">
        <w:trPr>
          <w:cantSplit/>
          <w:trHeight w:val="360"/>
          <w:jc w:val="center"/>
        </w:trPr>
        <w:tc>
          <w:tcPr>
            <w:tcW w:w="765" w:type="dxa"/>
            <w:vMerge/>
            <w:tcBorders>
              <w:right w:val="double" w:sz="6" w:space="0" w:color="auto"/>
            </w:tcBorders>
          </w:tcPr>
          <w:p w:rsidR="0095796B" w:rsidRDefault="0095796B" w:rsidP="00BD6523">
            <w:pPr>
              <w:jc w:val="left"/>
              <w:rPr>
                <w:rFonts w:eastAsia="Times New Roman"/>
                <w:color w:val="000000"/>
                <w:sz w:val="20"/>
                <w:szCs w:val="20"/>
              </w:rPr>
            </w:pPr>
          </w:p>
        </w:tc>
        <w:tc>
          <w:tcPr>
            <w:tcW w:w="2058" w:type="dxa"/>
            <w:tcBorders>
              <w:right w:val="double" w:sz="6" w:space="0" w:color="auto"/>
            </w:tcBorders>
            <w:shd w:val="clear" w:color="auto" w:fill="auto"/>
            <w:noWrap/>
            <w:vAlign w:val="center"/>
          </w:tcPr>
          <w:p w:rsidR="0095796B" w:rsidRDefault="0095796B" w:rsidP="00BD6523">
            <w:pPr>
              <w:jc w:val="left"/>
              <w:rPr>
                <w:rFonts w:eastAsia="Times New Roman"/>
                <w:color w:val="000000"/>
                <w:sz w:val="20"/>
                <w:szCs w:val="20"/>
              </w:rPr>
            </w:pPr>
            <w:r>
              <w:rPr>
                <w:rFonts w:eastAsia="Times New Roman"/>
                <w:color w:val="000000"/>
                <w:sz w:val="20"/>
                <w:szCs w:val="20"/>
              </w:rPr>
              <w:t>Hawke´s Bay</w:t>
            </w:r>
          </w:p>
        </w:tc>
        <w:tc>
          <w:tcPr>
            <w:tcW w:w="1260" w:type="dxa"/>
            <w:tcBorders>
              <w:left w:val="double" w:sz="6" w:space="0" w:color="auto"/>
            </w:tcBorders>
            <w:shd w:val="clear" w:color="auto" w:fill="auto"/>
            <w:vAlign w:val="center"/>
          </w:tcPr>
          <w:p w:rsidR="0095796B" w:rsidRDefault="00620C93" w:rsidP="00BD6523">
            <w:pPr>
              <w:jc w:val="center"/>
              <w:rPr>
                <w:rFonts w:eastAsia="Times New Roman"/>
                <w:color w:val="000000"/>
                <w:sz w:val="20"/>
                <w:szCs w:val="20"/>
              </w:rPr>
            </w:pPr>
            <w:r>
              <w:rPr>
                <w:rFonts w:eastAsia="Times New Roman"/>
                <w:color w:val="000000"/>
                <w:sz w:val="20"/>
                <w:szCs w:val="20"/>
              </w:rPr>
              <w:t xml:space="preserve"> </w:t>
            </w:r>
            <w:r w:rsidR="009B46C2">
              <w:rPr>
                <w:rFonts w:eastAsia="Times New Roman"/>
                <w:color w:val="000000"/>
                <w:sz w:val="20"/>
                <w:szCs w:val="20"/>
              </w:rPr>
              <w:t xml:space="preserve"> </w:t>
            </w:r>
            <w:r w:rsidR="0095796B">
              <w:rPr>
                <w:rFonts w:eastAsia="Times New Roman"/>
                <w:color w:val="000000"/>
                <w:sz w:val="20"/>
                <w:szCs w:val="20"/>
              </w:rPr>
              <w:t>6.30 (4.40)</w:t>
            </w:r>
          </w:p>
        </w:tc>
        <w:tc>
          <w:tcPr>
            <w:tcW w:w="1438" w:type="dxa"/>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290.5 (175.1)</w:t>
            </w:r>
          </w:p>
        </w:tc>
        <w:tc>
          <w:tcPr>
            <w:tcW w:w="1418" w:type="dxa"/>
            <w:tcBorders>
              <w:right w:val="double" w:sz="6" w:space="0" w:color="auto"/>
            </w:tcBorders>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258.7 (222.5)</w:t>
            </w:r>
          </w:p>
        </w:tc>
        <w:tc>
          <w:tcPr>
            <w:tcW w:w="949" w:type="dxa"/>
            <w:tcBorders>
              <w:left w:val="double" w:sz="6" w:space="0" w:color="auto"/>
            </w:tcBorders>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0.59</w:t>
            </w:r>
          </w:p>
        </w:tc>
        <w:tc>
          <w:tcPr>
            <w:tcW w:w="963" w:type="dxa"/>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0.92</w:t>
            </w:r>
          </w:p>
        </w:tc>
        <w:tc>
          <w:tcPr>
            <w:tcW w:w="989" w:type="dxa"/>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0.22</w:t>
            </w:r>
          </w:p>
        </w:tc>
        <w:tc>
          <w:tcPr>
            <w:tcW w:w="1231" w:type="dxa"/>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53.93</w:t>
            </w:r>
          </w:p>
        </w:tc>
        <w:tc>
          <w:tcPr>
            <w:tcW w:w="1019" w:type="dxa"/>
            <w:vAlign w:val="center"/>
          </w:tcPr>
          <w:p w:rsidR="0095796B" w:rsidRDefault="0095796B" w:rsidP="002D7544">
            <w:pPr>
              <w:tabs>
                <w:tab w:val="decimal" w:pos="142"/>
              </w:tabs>
              <w:jc w:val="center"/>
              <w:rPr>
                <w:rFonts w:eastAsia="Times New Roman"/>
                <w:color w:val="000000"/>
                <w:sz w:val="20"/>
                <w:szCs w:val="20"/>
              </w:rPr>
            </w:pPr>
            <w:r>
              <w:rPr>
                <w:rFonts w:eastAsia="Times New Roman"/>
                <w:color w:val="000000"/>
                <w:sz w:val="20"/>
                <w:szCs w:val="20"/>
              </w:rPr>
              <w:t>0.64</w:t>
            </w:r>
          </w:p>
        </w:tc>
        <w:tc>
          <w:tcPr>
            <w:tcW w:w="990" w:type="dxa"/>
            <w:vAlign w:val="center"/>
          </w:tcPr>
          <w:p w:rsidR="0095796B" w:rsidRDefault="0095796B" w:rsidP="002D7544">
            <w:pPr>
              <w:tabs>
                <w:tab w:val="decimal" w:pos="224"/>
              </w:tabs>
              <w:jc w:val="center"/>
              <w:rPr>
                <w:rFonts w:eastAsia="Times New Roman"/>
                <w:color w:val="000000"/>
                <w:sz w:val="20"/>
                <w:szCs w:val="20"/>
              </w:rPr>
            </w:pPr>
            <w:r>
              <w:rPr>
                <w:rFonts w:eastAsia="Times New Roman"/>
                <w:color w:val="000000"/>
                <w:sz w:val="20"/>
                <w:szCs w:val="20"/>
              </w:rPr>
              <w:t>43.70</w:t>
            </w:r>
          </w:p>
        </w:tc>
      </w:tr>
      <w:tr w:rsidR="0095796B" w:rsidRPr="002532BD" w:rsidTr="00BA38DA">
        <w:trPr>
          <w:cantSplit/>
          <w:trHeight w:val="360"/>
          <w:jc w:val="center"/>
        </w:trPr>
        <w:tc>
          <w:tcPr>
            <w:tcW w:w="765" w:type="dxa"/>
            <w:vMerge/>
            <w:tcBorders>
              <w:right w:val="double" w:sz="6" w:space="0" w:color="auto"/>
            </w:tcBorders>
          </w:tcPr>
          <w:p w:rsidR="0095796B" w:rsidRDefault="0095796B" w:rsidP="00BD6523">
            <w:pPr>
              <w:jc w:val="left"/>
              <w:rPr>
                <w:rFonts w:eastAsia="Times New Roman"/>
                <w:color w:val="000000"/>
                <w:sz w:val="20"/>
                <w:szCs w:val="20"/>
              </w:rPr>
            </w:pPr>
          </w:p>
        </w:tc>
        <w:tc>
          <w:tcPr>
            <w:tcW w:w="2058" w:type="dxa"/>
            <w:tcBorders>
              <w:right w:val="double" w:sz="6" w:space="0" w:color="auto"/>
            </w:tcBorders>
            <w:shd w:val="clear" w:color="auto" w:fill="auto"/>
            <w:noWrap/>
            <w:vAlign w:val="center"/>
          </w:tcPr>
          <w:p w:rsidR="0095796B" w:rsidRPr="00413E43" w:rsidRDefault="0095796B" w:rsidP="00BD6523">
            <w:pPr>
              <w:jc w:val="left"/>
              <w:rPr>
                <w:rFonts w:eastAsia="Times New Roman"/>
                <w:color w:val="000000"/>
                <w:sz w:val="20"/>
                <w:szCs w:val="20"/>
              </w:rPr>
            </w:pPr>
            <w:r>
              <w:rPr>
                <w:rFonts w:eastAsia="Times New Roman"/>
                <w:color w:val="000000"/>
                <w:sz w:val="20"/>
                <w:szCs w:val="20"/>
              </w:rPr>
              <w:t>Wellington</w:t>
            </w:r>
          </w:p>
        </w:tc>
        <w:tc>
          <w:tcPr>
            <w:tcW w:w="1260" w:type="dxa"/>
            <w:tcBorders>
              <w:left w:val="double" w:sz="6" w:space="0" w:color="auto"/>
            </w:tcBorders>
            <w:shd w:val="clear" w:color="auto" w:fill="auto"/>
            <w:vAlign w:val="center"/>
          </w:tcPr>
          <w:p w:rsidR="0095796B" w:rsidRPr="002532BD" w:rsidRDefault="00620C93" w:rsidP="00BD6523">
            <w:pPr>
              <w:jc w:val="center"/>
              <w:rPr>
                <w:rFonts w:eastAsia="Times New Roman"/>
                <w:color w:val="000000"/>
                <w:sz w:val="20"/>
                <w:szCs w:val="20"/>
              </w:rPr>
            </w:pPr>
            <w:r>
              <w:rPr>
                <w:rFonts w:eastAsia="Times New Roman"/>
                <w:color w:val="000000"/>
                <w:sz w:val="20"/>
                <w:szCs w:val="20"/>
              </w:rPr>
              <w:t xml:space="preserve"> </w:t>
            </w:r>
            <w:r w:rsidR="009B46C2">
              <w:rPr>
                <w:rFonts w:eastAsia="Times New Roman"/>
                <w:color w:val="000000"/>
                <w:sz w:val="20"/>
                <w:szCs w:val="20"/>
              </w:rPr>
              <w:t xml:space="preserve"> </w:t>
            </w:r>
            <w:r w:rsidR="0095796B">
              <w:rPr>
                <w:rFonts w:eastAsia="Times New Roman"/>
                <w:color w:val="000000"/>
                <w:sz w:val="20"/>
                <w:szCs w:val="20"/>
              </w:rPr>
              <w:t>6.46 (3.19)</w:t>
            </w:r>
          </w:p>
        </w:tc>
        <w:tc>
          <w:tcPr>
            <w:tcW w:w="1438"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301.5 (151.4)</w:t>
            </w:r>
          </w:p>
        </w:tc>
        <w:tc>
          <w:tcPr>
            <w:tcW w:w="1418" w:type="dxa"/>
            <w:tcBorders>
              <w:righ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266.7 (195.5)</w:t>
            </w:r>
          </w:p>
        </w:tc>
        <w:tc>
          <w:tcPr>
            <w:tcW w:w="949" w:type="dxa"/>
            <w:tcBorders>
              <w:lef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2.53</w:t>
            </w:r>
          </w:p>
        </w:tc>
        <w:tc>
          <w:tcPr>
            <w:tcW w:w="963"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1.34</w:t>
            </w:r>
          </w:p>
        </w:tc>
        <w:tc>
          <w:tcPr>
            <w:tcW w:w="989"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0.23</w:t>
            </w:r>
          </w:p>
        </w:tc>
        <w:tc>
          <w:tcPr>
            <w:tcW w:w="1231" w:type="dxa"/>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47.82</w:t>
            </w:r>
          </w:p>
        </w:tc>
        <w:tc>
          <w:tcPr>
            <w:tcW w:w="1019" w:type="dxa"/>
            <w:vAlign w:val="center"/>
          </w:tcPr>
          <w:p w:rsidR="0095796B" w:rsidRDefault="0095796B" w:rsidP="002D7544">
            <w:pPr>
              <w:tabs>
                <w:tab w:val="decimal" w:pos="142"/>
              </w:tabs>
              <w:jc w:val="center"/>
              <w:rPr>
                <w:rFonts w:eastAsia="Times New Roman"/>
                <w:color w:val="000000"/>
                <w:sz w:val="20"/>
                <w:szCs w:val="20"/>
              </w:rPr>
            </w:pPr>
            <w:r>
              <w:rPr>
                <w:rFonts w:eastAsia="Times New Roman"/>
                <w:color w:val="000000"/>
                <w:sz w:val="20"/>
                <w:szCs w:val="20"/>
              </w:rPr>
              <w:t>0.72</w:t>
            </w:r>
          </w:p>
        </w:tc>
        <w:tc>
          <w:tcPr>
            <w:tcW w:w="990" w:type="dxa"/>
            <w:vAlign w:val="center"/>
          </w:tcPr>
          <w:p w:rsidR="0095796B" w:rsidRDefault="0095796B" w:rsidP="002D7544">
            <w:pPr>
              <w:tabs>
                <w:tab w:val="decimal" w:pos="224"/>
              </w:tabs>
              <w:jc w:val="center"/>
              <w:rPr>
                <w:rFonts w:eastAsia="Times New Roman"/>
                <w:color w:val="000000"/>
                <w:sz w:val="20"/>
                <w:szCs w:val="20"/>
              </w:rPr>
            </w:pPr>
            <w:r>
              <w:rPr>
                <w:rFonts w:eastAsia="Times New Roman"/>
                <w:color w:val="000000"/>
                <w:sz w:val="20"/>
                <w:szCs w:val="20"/>
              </w:rPr>
              <w:t>47.36</w:t>
            </w:r>
          </w:p>
        </w:tc>
      </w:tr>
      <w:tr w:rsidR="0095796B" w:rsidRPr="002532BD" w:rsidTr="00BA38DA">
        <w:trPr>
          <w:cantSplit/>
          <w:trHeight w:val="360"/>
          <w:jc w:val="center"/>
        </w:trPr>
        <w:tc>
          <w:tcPr>
            <w:tcW w:w="765" w:type="dxa"/>
            <w:vMerge w:val="restart"/>
            <w:tcBorders>
              <w:right w:val="double" w:sz="6" w:space="0" w:color="auto"/>
            </w:tcBorders>
            <w:textDirection w:val="btLr"/>
            <w:vAlign w:val="center"/>
          </w:tcPr>
          <w:p w:rsidR="0095796B" w:rsidRDefault="00781F89" w:rsidP="00781F89">
            <w:pPr>
              <w:ind w:left="113" w:right="113"/>
              <w:jc w:val="center"/>
              <w:rPr>
                <w:rFonts w:eastAsia="Times New Roman"/>
                <w:color w:val="000000"/>
                <w:sz w:val="20"/>
                <w:szCs w:val="20"/>
              </w:rPr>
            </w:pPr>
            <w:r>
              <w:rPr>
                <w:rFonts w:eastAsia="Times New Roman"/>
                <w:color w:val="000000"/>
                <w:sz w:val="20"/>
                <w:szCs w:val="20"/>
              </w:rPr>
              <w:t>SOUTH ISLAND</w:t>
            </w:r>
          </w:p>
        </w:tc>
        <w:tc>
          <w:tcPr>
            <w:tcW w:w="2058" w:type="dxa"/>
            <w:tcBorders>
              <w:right w:val="double" w:sz="6" w:space="0" w:color="auto"/>
            </w:tcBorders>
            <w:shd w:val="clear" w:color="auto" w:fill="auto"/>
            <w:noWrap/>
            <w:vAlign w:val="center"/>
          </w:tcPr>
          <w:p w:rsidR="0095796B" w:rsidRDefault="0095796B" w:rsidP="00BD6523">
            <w:pPr>
              <w:jc w:val="left"/>
              <w:rPr>
                <w:rFonts w:eastAsia="Times New Roman"/>
                <w:color w:val="000000"/>
                <w:sz w:val="20"/>
                <w:szCs w:val="20"/>
              </w:rPr>
            </w:pPr>
            <w:r>
              <w:rPr>
                <w:rFonts w:eastAsia="Times New Roman"/>
                <w:color w:val="000000"/>
                <w:sz w:val="20"/>
                <w:szCs w:val="20"/>
              </w:rPr>
              <w:t>Tasman</w:t>
            </w:r>
          </w:p>
        </w:tc>
        <w:tc>
          <w:tcPr>
            <w:tcW w:w="1260" w:type="dxa"/>
            <w:tcBorders>
              <w:left w:val="double" w:sz="6" w:space="0" w:color="auto"/>
            </w:tcBorders>
            <w:shd w:val="clear" w:color="auto" w:fill="auto"/>
            <w:vAlign w:val="center"/>
          </w:tcPr>
          <w:p w:rsidR="0095796B" w:rsidRDefault="00620C93" w:rsidP="00BD6523">
            <w:pPr>
              <w:jc w:val="center"/>
              <w:rPr>
                <w:rFonts w:eastAsia="Times New Roman"/>
                <w:color w:val="000000"/>
                <w:sz w:val="20"/>
                <w:szCs w:val="20"/>
              </w:rPr>
            </w:pPr>
            <w:r>
              <w:rPr>
                <w:rFonts w:eastAsia="Times New Roman"/>
                <w:color w:val="000000"/>
                <w:sz w:val="20"/>
                <w:szCs w:val="20"/>
              </w:rPr>
              <w:t xml:space="preserve"> </w:t>
            </w:r>
            <w:r w:rsidR="009B46C2">
              <w:rPr>
                <w:rFonts w:eastAsia="Times New Roman"/>
                <w:color w:val="000000"/>
                <w:sz w:val="20"/>
                <w:szCs w:val="20"/>
              </w:rPr>
              <w:t xml:space="preserve"> </w:t>
            </w:r>
            <w:r w:rsidR="0095796B">
              <w:rPr>
                <w:rFonts w:eastAsia="Times New Roman"/>
                <w:color w:val="000000"/>
                <w:sz w:val="20"/>
                <w:szCs w:val="20"/>
              </w:rPr>
              <w:t>9.70 (3.74)</w:t>
            </w:r>
          </w:p>
        </w:tc>
        <w:tc>
          <w:tcPr>
            <w:tcW w:w="1438" w:type="dxa"/>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392.2 (162.5)</w:t>
            </w:r>
          </w:p>
        </w:tc>
        <w:tc>
          <w:tcPr>
            <w:tcW w:w="1418" w:type="dxa"/>
            <w:tcBorders>
              <w:right w:val="double" w:sz="6" w:space="0" w:color="auto"/>
            </w:tcBorders>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386.1 (266.7)</w:t>
            </w:r>
          </w:p>
        </w:tc>
        <w:tc>
          <w:tcPr>
            <w:tcW w:w="949" w:type="dxa"/>
            <w:tcBorders>
              <w:left w:val="double" w:sz="6" w:space="0" w:color="auto"/>
            </w:tcBorders>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0.34</w:t>
            </w:r>
          </w:p>
        </w:tc>
        <w:tc>
          <w:tcPr>
            <w:tcW w:w="963" w:type="dxa"/>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1.34</w:t>
            </w:r>
          </w:p>
        </w:tc>
        <w:tc>
          <w:tcPr>
            <w:tcW w:w="989" w:type="dxa"/>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1.29</w:t>
            </w:r>
          </w:p>
        </w:tc>
        <w:tc>
          <w:tcPr>
            <w:tcW w:w="1231" w:type="dxa"/>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19.58</w:t>
            </w:r>
          </w:p>
        </w:tc>
        <w:tc>
          <w:tcPr>
            <w:tcW w:w="1019" w:type="dxa"/>
            <w:vAlign w:val="center"/>
          </w:tcPr>
          <w:p w:rsidR="0095796B" w:rsidRDefault="0095796B" w:rsidP="002D7544">
            <w:pPr>
              <w:tabs>
                <w:tab w:val="decimal" w:pos="142"/>
              </w:tabs>
              <w:jc w:val="center"/>
              <w:rPr>
                <w:rFonts w:eastAsia="Times New Roman"/>
                <w:color w:val="000000"/>
                <w:sz w:val="20"/>
                <w:szCs w:val="20"/>
              </w:rPr>
            </w:pPr>
            <w:r>
              <w:rPr>
                <w:rFonts w:eastAsia="Times New Roman"/>
                <w:color w:val="000000"/>
                <w:sz w:val="20"/>
                <w:szCs w:val="20"/>
              </w:rPr>
              <w:t>3.37</w:t>
            </w:r>
          </w:p>
        </w:tc>
        <w:tc>
          <w:tcPr>
            <w:tcW w:w="990" w:type="dxa"/>
            <w:vAlign w:val="center"/>
          </w:tcPr>
          <w:p w:rsidR="0095796B" w:rsidRDefault="0095796B" w:rsidP="002D7544">
            <w:pPr>
              <w:tabs>
                <w:tab w:val="decimal" w:pos="224"/>
              </w:tabs>
              <w:jc w:val="center"/>
              <w:rPr>
                <w:rFonts w:eastAsia="Times New Roman"/>
                <w:color w:val="000000"/>
                <w:sz w:val="20"/>
                <w:szCs w:val="20"/>
              </w:rPr>
            </w:pPr>
            <w:r>
              <w:rPr>
                <w:rFonts w:eastAsia="Times New Roman"/>
                <w:color w:val="000000"/>
                <w:sz w:val="20"/>
                <w:szCs w:val="20"/>
              </w:rPr>
              <w:t>74.08</w:t>
            </w:r>
          </w:p>
        </w:tc>
      </w:tr>
      <w:tr w:rsidR="0095796B" w:rsidRPr="002532BD" w:rsidTr="00BA38DA">
        <w:trPr>
          <w:cantSplit/>
          <w:trHeight w:val="360"/>
          <w:jc w:val="center"/>
        </w:trPr>
        <w:tc>
          <w:tcPr>
            <w:tcW w:w="765" w:type="dxa"/>
            <w:vMerge/>
            <w:tcBorders>
              <w:right w:val="double" w:sz="6" w:space="0" w:color="auto"/>
            </w:tcBorders>
          </w:tcPr>
          <w:p w:rsidR="0095796B" w:rsidRDefault="0095796B" w:rsidP="00BD6523">
            <w:pPr>
              <w:jc w:val="left"/>
              <w:rPr>
                <w:rFonts w:eastAsia="Times New Roman"/>
                <w:color w:val="000000"/>
                <w:sz w:val="20"/>
                <w:szCs w:val="20"/>
              </w:rPr>
            </w:pPr>
          </w:p>
        </w:tc>
        <w:tc>
          <w:tcPr>
            <w:tcW w:w="2058" w:type="dxa"/>
            <w:tcBorders>
              <w:right w:val="double" w:sz="6" w:space="0" w:color="auto"/>
            </w:tcBorders>
            <w:shd w:val="clear" w:color="auto" w:fill="auto"/>
            <w:noWrap/>
            <w:vAlign w:val="center"/>
          </w:tcPr>
          <w:p w:rsidR="0095796B" w:rsidRDefault="0095796B" w:rsidP="00BD6523">
            <w:pPr>
              <w:jc w:val="left"/>
              <w:rPr>
                <w:rFonts w:eastAsia="Times New Roman"/>
                <w:color w:val="000000"/>
                <w:sz w:val="20"/>
                <w:szCs w:val="20"/>
              </w:rPr>
            </w:pPr>
            <w:r>
              <w:rPr>
                <w:rFonts w:eastAsia="Times New Roman"/>
                <w:color w:val="000000"/>
                <w:sz w:val="20"/>
                <w:szCs w:val="20"/>
              </w:rPr>
              <w:t>Nelson</w:t>
            </w:r>
          </w:p>
        </w:tc>
        <w:tc>
          <w:tcPr>
            <w:tcW w:w="1260" w:type="dxa"/>
            <w:tcBorders>
              <w:left w:val="double" w:sz="6" w:space="0" w:color="auto"/>
            </w:tcBorders>
            <w:shd w:val="clear" w:color="auto" w:fill="auto"/>
            <w:vAlign w:val="center"/>
          </w:tcPr>
          <w:p w:rsidR="0095796B" w:rsidRDefault="00620C93" w:rsidP="00BD6523">
            <w:pPr>
              <w:jc w:val="center"/>
              <w:rPr>
                <w:rFonts w:eastAsia="Times New Roman"/>
                <w:color w:val="000000"/>
                <w:sz w:val="20"/>
                <w:szCs w:val="20"/>
              </w:rPr>
            </w:pPr>
            <w:r>
              <w:rPr>
                <w:rFonts w:eastAsia="Times New Roman"/>
                <w:color w:val="000000"/>
                <w:sz w:val="20"/>
                <w:szCs w:val="20"/>
              </w:rPr>
              <w:t xml:space="preserve"> </w:t>
            </w:r>
            <w:r w:rsidR="009B46C2">
              <w:rPr>
                <w:rFonts w:eastAsia="Times New Roman"/>
                <w:color w:val="000000"/>
                <w:sz w:val="20"/>
                <w:szCs w:val="20"/>
              </w:rPr>
              <w:t xml:space="preserve"> </w:t>
            </w:r>
            <w:r w:rsidR="0095796B">
              <w:rPr>
                <w:rFonts w:eastAsia="Times New Roman"/>
                <w:color w:val="000000"/>
                <w:sz w:val="20"/>
                <w:szCs w:val="20"/>
              </w:rPr>
              <w:t>9.58 (3.61)</w:t>
            </w:r>
          </w:p>
        </w:tc>
        <w:tc>
          <w:tcPr>
            <w:tcW w:w="1438" w:type="dxa"/>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388.0 (161.0)</w:t>
            </w:r>
          </w:p>
        </w:tc>
        <w:tc>
          <w:tcPr>
            <w:tcW w:w="1418" w:type="dxa"/>
            <w:tcBorders>
              <w:right w:val="double" w:sz="6" w:space="0" w:color="auto"/>
            </w:tcBorders>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381.6 (261.8)</w:t>
            </w:r>
          </w:p>
        </w:tc>
        <w:tc>
          <w:tcPr>
            <w:tcW w:w="949" w:type="dxa"/>
            <w:tcBorders>
              <w:left w:val="double" w:sz="6" w:space="0" w:color="auto"/>
            </w:tcBorders>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6.48</w:t>
            </w:r>
          </w:p>
        </w:tc>
        <w:tc>
          <w:tcPr>
            <w:tcW w:w="963" w:type="dxa"/>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3.12</w:t>
            </w:r>
          </w:p>
        </w:tc>
        <w:tc>
          <w:tcPr>
            <w:tcW w:w="989" w:type="dxa"/>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0.25</w:t>
            </w:r>
          </w:p>
        </w:tc>
        <w:tc>
          <w:tcPr>
            <w:tcW w:w="1231" w:type="dxa"/>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13.72</w:t>
            </w:r>
          </w:p>
        </w:tc>
        <w:tc>
          <w:tcPr>
            <w:tcW w:w="1019" w:type="dxa"/>
            <w:vAlign w:val="center"/>
          </w:tcPr>
          <w:p w:rsidR="0095796B" w:rsidRDefault="0095796B" w:rsidP="002D7544">
            <w:pPr>
              <w:tabs>
                <w:tab w:val="decimal" w:pos="142"/>
              </w:tabs>
              <w:jc w:val="center"/>
              <w:rPr>
                <w:rFonts w:eastAsia="Times New Roman"/>
                <w:color w:val="000000"/>
                <w:sz w:val="20"/>
                <w:szCs w:val="20"/>
              </w:rPr>
            </w:pPr>
            <w:r>
              <w:rPr>
                <w:rFonts w:eastAsia="Times New Roman"/>
                <w:color w:val="000000"/>
                <w:sz w:val="20"/>
                <w:szCs w:val="20"/>
              </w:rPr>
              <w:t>0.93</w:t>
            </w:r>
          </w:p>
        </w:tc>
        <w:tc>
          <w:tcPr>
            <w:tcW w:w="990" w:type="dxa"/>
            <w:vAlign w:val="center"/>
          </w:tcPr>
          <w:p w:rsidR="0095796B" w:rsidRDefault="0095796B" w:rsidP="002D7544">
            <w:pPr>
              <w:tabs>
                <w:tab w:val="decimal" w:pos="224"/>
              </w:tabs>
              <w:jc w:val="center"/>
              <w:rPr>
                <w:rFonts w:eastAsia="Times New Roman"/>
                <w:color w:val="000000"/>
                <w:sz w:val="20"/>
                <w:szCs w:val="20"/>
              </w:rPr>
            </w:pPr>
            <w:r>
              <w:rPr>
                <w:rFonts w:eastAsia="Times New Roman"/>
                <w:color w:val="000000"/>
                <w:sz w:val="20"/>
                <w:szCs w:val="20"/>
              </w:rPr>
              <w:t>75.49</w:t>
            </w:r>
          </w:p>
        </w:tc>
      </w:tr>
      <w:tr w:rsidR="0095796B" w:rsidRPr="002532BD" w:rsidTr="00BA38DA">
        <w:trPr>
          <w:cantSplit/>
          <w:trHeight w:val="360"/>
          <w:jc w:val="center"/>
        </w:trPr>
        <w:tc>
          <w:tcPr>
            <w:tcW w:w="765" w:type="dxa"/>
            <w:vMerge/>
            <w:tcBorders>
              <w:right w:val="double" w:sz="6" w:space="0" w:color="auto"/>
            </w:tcBorders>
          </w:tcPr>
          <w:p w:rsidR="0095796B" w:rsidRDefault="0095796B" w:rsidP="00BD6523">
            <w:pPr>
              <w:jc w:val="left"/>
              <w:rPr>
                <w:rFonts w:eastAsia="Times New Roman"/>
                <w:color w:val="000000"/>
                <w:sz w:val="20"/>
                <w:szCs w:val="20"/>
              </w:rPr>
            </w:pPr>
          </w:p>
        </w:tc>
        <w:tc>
          <w:tcPr>
            <w:tcW w:w="2058" w:type="dxa"/>
            <w:tcBorders>
              <w:right w:val="double" w:sz="6" w:space="0" w:color="auto"/>
            </w:tcBorders>
            <w:shd w:val="clear" w:color="auto" w:fill="auto"/>
            <w:noWrap/>
            <w:vAlign w:val="center"/>
          </w:tcPr>
          <w:p w:rsidR="0095796B" w:rsidRDefault="0095796B" w:rsidP="00BD6523">
            <w:pPr>
              <w:jc w:val="left"/>
              <w:rPr>
                <w:rFonts w:eastAsia="Times New Roman"/>
                <w:color w:val="000000"/>
                <w:sz w:val="20"/>
                <w:szCs w:val="20"/>
              </w:rPr>
            </w:pPr>
            <w:r>
              <w:rPr>
                <w:rFonts w:eastAsia="Times New Roman"/>
                <w:color w:val="000000"/>
                <w:sz w:val="20"/>
                <w:szCs w:val="20"/>
              </w:rPr>
              <w:t>Marlborough</w:t>
            </w:r>
          </w:p>
        </w:tc>
        <w:tc>
          <w:tcPr>
            <w:tcW w:w="1260" w:type="dxa"/>
            <w:tcBorders>
              <w:left w:val="double" w:sz="6" w:space="0" w:color="auto"/>
            </w:tcBorders>
            <w:shd w:val="clear" w:color="auto" w:fill="auto"/>
            <w:vAlign w:val="center"/>
          </w:tcPr>
          <w:p w:rsidR="0095796B" w:rsidRDefault="00620C93" w:rsidP="00BD6523">
            <w:pPr>
              <w:jc w:val="center"/>
              <w:rPr>
                <w:rFonts w:eastAsia="Times New Roman"/>
                <w:color w:val="000000"/>
                <w:sz w:val="20"/>
                <w:szCs w:val="20"/>
              </w:rPr>
            </w:pPr>
            <w:r>
              <w:rPr>
                <w:rFonts w:eastAsia="Times New Roman"/>
                <w:color w:val="000000"/>
                <w:sz w:val="20"/>
                <w:szCs w:val="20"/>
              </w:rPr>
              <w:t xml:space="preserve"> </w:t>
            </w:r>
            <w:r w:rsidR="009B46C2">
              <w:rPr>
                <w:rFonts w:eastAsia="Times New Roman"/>
                <w:color w:val="000000"/>
                <w:sz w:val="20"/>
                <w:szCs w:val="20"/>
              </w:rPr>
              <w:t xml:space="preserve"> </w:t>
            </w:r>
            <w:r w:rsidR="0095796B">
              <w:rPr>
                <w:rFonts w:eastAsia="Times New Roman"/>
                <w:color w:val="000000"/>
                <w:sz w:val="20"/>
                <w:szCs w:val="20"/>
              </w:rPr>
              <w:t>8.34</w:t>
            </w:r>
            <w:r>
              <w:rPr>
                <w:rFonts w:eastAsia="Times New Roman"/>
                <w:color w:val="000000"/>
                <w:sz w:val="20"/>
                <w:szCs w:val="20"/>
              </w:rPr>
              <w:t xml:space="preserve"> </w:t>
            </w:r>
            <w:r w:rsidR="0095796B">
              <w:rPr>
                <w:rFonts w:eastAsia="Times New Roman"/>
                <w:color w:val="000000"/>
                <w:sz w:val="20"/>
                <w:szCs w:val="20"/>
              </w:rPr>
              <w:t xml:space="preserve"> (3.43)</w:t>
            </w:r>
          </w:p>
        </w:tc>
        <w:tc>
          <w:tcPr>
            <w:tcW w:w="1438" w:type="dxa"/>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337.4 (156.3)</w:t>
            </w:r>
          </w:p>
        </w:tc>
        <w:tc>
          <w:tcPr>
            <w:tcW w:w="1418" w:type="dxa"/>
            <w:tcBorders>
              <w:right w:val="double" w:sz="6" w:space="0" w:color="auto"/>
            </w:tcBorders>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332.1 (237.3)</w:t>
            </w:r>
          </w:p>
        </w:tc>
        <w:tc>
          <w:tcPr>
            <w:tcW w:w="949" w:type="dxa"/>
            <w:tcBorders>
              <w:left w:val="double" w:sz="6" w:space="0" w:color="auto"/>
            </w:tcBorders>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0.28</w:t>
            </w:r>
          </w:p>
        </w:tc>
        <w:tc>
          <w:tcPr>
            <w:tcW w:w="963" w:type="dxa"/>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0.56</w:t>
            </w:r>
          </w:p>
        </w:tc>
        <w:tc>
          <w:tcPr>
            <w:tcW w:w="989" w:type="dxa"/>
            <w:shd w:val="clear" w:color="auto" w:fill="auto"/>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0.20</w:t>
            </w:r>
          </w:p>
        </w:tc>
        <w:tc>
          <w:tcPr>
            <w:tcW w:w="1231" w:type="dxa"/>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43.34</w:t>
            </w:r>
          </w:p>
        </w:tc>
        <w:tc>
          <w:tcPr>
            <w:tcW w:w="1019" w:type="dxa"/>
            <w:vAlign w:val="center"/>
          </w:tcPr>
          <w:p w:rsidR="0095796B" w:rsidRDefault="0095796B" w:rsidP="002D7544">
            <w:pPr>
              <w:tabs>
                <w:tab w:val="decimal" w:pos="142"/>
              </w:tabs>
              <w:jc w:val="center"/>
              <w:rPr>
                <w:rFonts w:eastAsia="Times New Roman"/>
                <w:color w:val="000000"/>
                <w:sz w:val="20"/>
                <w:szCs w:val="20"/>
              </w:rPr>
            </w:pPr>
            <w:r>
              <w:rPr>
                <w:rFonts w:eastAsia="Times New Roman"/>
                <w:color w:val="000000"/>
                <w:sz w:val="20"/>
                <w:szCs w:val="20"/>
              </w:rPr>
              <w:t>9.97</w:t>
            </w:r>
          </w:p>
        </w:tc>
        <w:tc>
          <w:tcPr>
            <w:tcW w:w="990" w:type="dxa"/>
            <w:vAlign w:val="center"/>
          </w:tcPr>
          <w:p w:rsidR="0095796B" w:rsidRDefault="0095796B" w:rsidP="002D7544">
            <w:pPr>
              <w:tabs>
                <w:tab w:val="decimal" w:pos="224"/>
              </w:tabs>
              <w:jc w:val="center"/>
              <w:rPr>
                <w:rFonts w:eastAsia="Times New Roman"/>
                <w:color w:val="000000"/>
                <w:sz w:val="20"/>
                <w:szCs w:val="20"/>
              </w:rPr>
            </w:pPr>
            <w:r>
              <w:rPr>
                <w:rFonts w:eastAsia="Times New Roman"/>
                <w:color w:val="000000"/>
                <w:sz w:val="20"/>
                <w:szCs w:val="20"/>
              </w:rPr>
              <w:t>45.65</w:t>
            </w:r>
          </w:p>
        </w:tc>
      </w:tr>
      <w:tr w:rsidR="0095796B" w:rsidRPr="002532BD" w:rsidTr="00BA38DA">
        <w:trPr>
          <w:cantSplit/>
          <w:trHeight w:val="360"/>
          <w:jc w:val="center"/>
        </w:trPr>
        <w:tc>
          <w:tcPr>
            <w:tcW w:w="765" w:type="dxa"/>
            <w:vMerge/>
            <w:tcBorders>
              <w:right w:val="double" w:sz="6" w:space="0" w:color="auto"/>
            </w:tcBorders>
          </w:tcPr>
          <w:p w:rsidR="0095796B" w:rsidRDefault="0095796B" w:rsidP="00BD6523">
            <w:pPr>
              <w:jc w:val="left"/>
              <w:rPr>
                <w:rFonts w:eastAsia="Times New Roman"/>
                <w:color w:val="000000"/>
                <w:sz w:val="20"/>
                <w:szCs w:val="20"/>
              </w:rPr>
            </w:pPr>
          </w:p>
        </w:tc>
        <w:tc>
          <w:tcPr>
            <w:tcW w:w="2058" w:type="dxa"/>
            <w:tcBorders>
              <w:right w:val="double" w:sz="6" w:space="0" w:color="auto"/>
            </w:tcBorders>
            <w:shd w:val="clear" w:color="auto" w:fill="auto"/>
            <w:noWrap/>
            <w:vAlign w:val="center"/>
          </w:tcPr>
          <w:p w:rsidR="0095796B" w:rsidRPr="00413E43" w:rsidRDefault="0095796B" w:rsidP="00BD6523">
            <w:pPr>
              <w:jc w:val="left"/>
              <w:rPr>
                <w:rFonts w:eastAsia="Times New Roman"/>
                <w:color w:val="000000"/>
                <w:sz w:val="20"/>
                <w:szCs w:val="20"/>
              </w:rPr>
            </w:pPr>
            <w:r>
              <w:rPr>
                <w:rFonts w:eastAsia="Times New Roman"/>
                <w:color w:val="000000"/>
                <w:sz w:val="20"/>
                <w:szCs w:val="20"/>
              </w:rPr>
              <w:t>West Coast</w:t>
            </w:r>
          </w:p>
        </w:tc>
        <w:tc>
          <w:tcPr>
            <w:tcW w:w="1260" w:type="dxa"/>
            <w:tcBorders>
              <w:lef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10.86 (4.83)</w:t>
            </w:r>
          </w:p>
        </w:tc>
        <w:tc>
          <w:tcPr>
            <w:tcW w:w="1438"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474.7 (210.6)</w:t>
            </w:r>
          </w:p>
        </w:tc>
        <w:tc>
          <w:tcPr>
            <w:tcW w:w="1418" w:type="dxa"/>
            <w:tcBorders>
              <w:righ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447.2 (322.4)</w:t>
            </w:r>
          </w:p>
        </w:tc>
        <w:tc>
          <w:tcPr>
            <w:tcW w:w="949" w:type="dxa"/>
            <w:tcBorders>
              <w:lef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0.14</w:t>
            </w:r>
          </w:p>
        </w:tc>
        <w:tc>
          <w:tcPr>
            <w:tcW w:w="963"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1.43</w:t>
            </w:r>
          </w:p>
        </w:tc>
        <w:tc>
          <w:tcPr>
            <w:tcW w:w="989"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1.35</w:t>
            </w:r>
          </w:p>
        </w:tc>
        <w:tc>
          <w:tcPr>
            <w:tcW w:w="1231" w:type="dxa"/>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15.79</w:t>
            </w:r>
          </w:p>
        </w:tc>
        <w:tc>
          <w:tcPr>
            <w:tcW w:w="1019" w:type="dxa"/>
            <w:vAlign w:val="center"/>
          </w:tcPr>
          <w:p w:rsidR="0095796B" w:rsidRDefault="0095796B" w:rsidP="002D7544">
            <w:pPr>
              <w:tabs>
                <w:tab w:val="decimal" w:pos="142"/>
              </w:tabs>
              <w:jc w:val="center"/>
              <w:rPr>
                <w:rFonts w:eastAsia="Times New Roman"/>
                <w:color w:val="000000"/>
                <w:sz w:val="20"/>
                <w:szCs w:val="20"/>
              </w:rPr>
            </w:pPr>
            <w:r>
              <w:rPr>
                <w:rFonts w:eastAsia="Times New Roman"/>
                <w:color w:val="000000"/>
                <w:sz w:val="20"/>
                <w:szCs w:val="20"/>
              </w:rPr>
              <w:t>9.41</w:t>
            </w:r>
          </w:p>
        </w:tc>
        <w:tc>
          <w:tcPr>
            <w:tcW w:w="990" w:type="dxa"/>
            <w:vAlign w:val="center"/>
          </w:tcPr>
          <w:p w:rsidR="0095796B" w:rsidRDefault="0095796B" w:rsidP="002D7544">
            <w:pPr>
              <w:tabs>
                <w:tab w:val="decimal" w:pos="224"/>
              </w:tabs>
              <w:jc w:val="center"/>
              <w:rPr>
                <w:rFonts w:eastAsia="Times New Roman"/>
                <w:color w:val="000000"/>
                <w:sz w:val="20"/>
                <w:szCs w:val="20"/>
              </w:rPr>
            </w:pPr>
            <w:r>
              <w:rPr>
                <w:rFonts w:eastAsia="Times New Roman"/>
                <w:color w:val="000000"/>
                <w:sz w:val="20"/>
                <w:szCs w:val="20"/>
              </w:rPr>
              <w:t>71.88</w:t>
            </w:r>
          </w:p>
        </w:tc>
      </w:tr>
      <w:tr w:rsidR="0095796B" w:rsidRPr="002532BD" w:rsidTr="00BA38DA">
        <w:trPr>
          <w:cantSplit/>
          <w:trHeight w:val="360"/>
          <w:jc w:val="center"/>
        </w:trPr>
        <w:tc>
          <w:tcPr>
            <w:tcW w:w="765" w:type="dxa"/>
            <w:vMerge/>
            <w:tcBorders>
              <w:right w:val="double" w:sz="6" w:space="0" w:color="auto"/>
            </w:tcBorders>
          </w:tcPr>
          <w:p w:rsidR="0095796B" w:rsidRDefault="0095796B" w:rsidP="00BD6523">
            <w:pPr>
              <w:jc w:val="left"/>
              <w:rPr>
                <w:rFonts w:eastAsia="Times New Roman"/>
                <w:color w:val="000000"/>
                <w:sz w:val="20"/>
                <w:szCs w:val="20"/>
              </w:rPr>
            </w:pPr>
          </w:p>
        </w:tc>
        <w:tc>
          <w:tcPr>
            <w:tcW w:w="2058" w:type="dxa"/>
            <w:tcBorders>
              <w:right w:val="double" w:sz="6" w:space="0" w:color="auto"/>
            </w:tcBorders>
            <w:shd w:val="clear" w:color="auto" w:fill="auto"/>
            <w:noWrap/>
            <w:vAlign w:val="center"/>
          </w:tcPr>
          <w:p w:rsidR="0095796B" w:rsidRPr="00413E43" w:rsidRDefault="0095796B" w:rsidP="00BD6523">
            <w:pPr>
              <w:jc w:val="left"/>
              <w:rPr>
                <w:rFonts w:eastAsia="Times New Roman"/>
                <w:color w:val="000000"/>
                <w:sz w:val="20"/>
                <w:szCs w:val="20"/>
              </w:rPr>
            </w:pPr>
            <w:r>
              <w:rPr>
                <w:rFonts w:eastAsia="Times New Roman"/>
                <w:color w:val="000000"/>
                <w:sz w:val="20"/>
                <w:szCs w:val="20"/>
              </w:rPr>
              <w:t>Canterbury</w:t>
            </w:r>
          </w:p>
        </w:tc>
        <w:tc>
          <w:tcPr>
            <w:tcW w:w="1260" w:type="dxa"/>
            <w:tcBorders>
              <w:lef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10.48 (5.52)</w:t>
            </w:r>
          </w:p>
        </w:tc>
        <w:tc>
          <w:tcPr>
            <w:tcW w:w="1438"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443.6 (241.6)</w:t>
            </w:r>
          </w:p>
        </w:tc>
        <w:tc>
          <w:tcPr>
            <w:tcW w:w="1418" w:type="dxa"/>
            <w:tcBorders>
              <w:righ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425.3 (338.6)</w:t>
            </w:r>
          </w:p>
        </w:tc>
        <w:tc>
          <w:tcPr>
            <w:tcW w:w="949" w:type="dxa"/>
            <w:tcBorders>
              <w:left w:val="double" w:sz="6" w:space="0" w:color="auto"/>
            </w:tcBorders>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0.71</w:t>
            </w:r>
          </w:p>
        </w:tc>
        <w:tc>
          <w:tcPr>
            <w:tcW w:w="963"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2.09</w:t>
            </w:r>
          </w:p>
        </w:tc>
        <w:tc>
          <w:tcPr>
            <w:tcW w:w="989" w:type="dxa"/>
            <w:shd w:val="clear" w:color="auto" w:fill="auto"/>
            <w:vAlign w:val="center"/>
          </w:tcPr>
          <w:p w:rsidR="0095796B" w:rsidRPr="002532BD" w:rsidRDefault="0095796B" w:rsidP="00BD6523">
            <w:pPr>
              <w:jc w:val="center"/>
              <w:rPr>
                <w:rFonts w:eastAsia="Times New Roman"/>
                <w:color w:val="000000"/>
                <w:sz w:val="20"/>
                <w:szCs w:val="20"/>
              </w:rPr>
            </w:pPr>
            <w:r>
              <w:rPr>
                <w:rFonts w:eastAsia="Times New Roman"/>
                <w:color w:val="000000"/>
                <w:sz w:val="20"/>
                <w:szCs w:val="20"/>
              </w:rPr>
              <w:t>0.36</w:t>
            </w:r>
          </w:p>
        </w:tc>
        <w:tc>
          <w:tcPr>
            <w:tcW w:w="1231" w:type="dxa"/>
            <w:vAlign w:val="center"/>
          </w:tcPr>
          <w:p w:rsidR="0095796B" w:rsidRDefault="0095796B" w:rsidP="00BD6523">
            <w:pPr>
              <w:jc w:val="center"/>
              <w:rPr>
                <w:rFonts w:eastAsia="Times New Roman"/>
                <w:color w:val="000000"/>
                <w:sz w:val="20"/>
                <w:szCs w:val="20"/>
              </w:rPr>
            </w:pPr>
            <w:r>
              <w:rPr>
                <w:rFonts w:eastAsia="Times New Roman"/>
                <w:color w:val="000000"/>
                <w:sz w:val="20"/>
                <w:szCs w:val="20"/>
              </w:rPr>
              <w:t>65.67</w:t>
            </w:r>
          </w:p>
        </w:tc>
        <w:tc>
          <w:tcPr>
            <w:tcW w:w="1019" w:type="dxa"/>
            <w:vAlign w:val="center"/>
          </w:tcPr>
          <w:p w:rsidR="0095796B" w:rsidRDefault="002D7544" w:rsidP="002D7544">
            <w:pPr>
              <w:tabs>
                <w:tab w:val="decimal" w:pos="142"/>
              </w:tabs>
              <w:rPr>
                <w:rFonts w:eastAsia="Times New Roman"/>
                <w:color w:val="000000"/>
                <w:sz w:val="20"/>
                <w:szCs w:val="20"/>
              </w:rPr>
            </w:pPr>
            <w:r>
              <w:rPr>
                <w:rFonts w:eastAsia="Times New Roman"/>
                <w:color w:val="000000"/>
                <w:sz w:val="20"/>
                <w:szCs w:val="20"/>
              </w:rPr>
              <w:t xml:space="preserve">    </w:t>
            </w:r>
            <w:r w:rsidR="0061038C">
              <w:rPr>
                <w:rFonts w:eastAsia="Times New Roman"/>
                <w:color w:val="000000"/>
                <w:sz w:val="20"/>
                <w:szCs w:val="20"/>
              </w:rPr>
              <w:t xml:space="preserve"> </w:t>
            </w:r>
            <w:r w:rsidR="0095796B">
              <w:rPr>
                <w:rFonts w:eastAsia="Times New Roman"/>
                <w:color w:val="000000"/>
                <w:sz w:val="20"/>
                <w:szCs w:val="20"/>
              </w:rPr>
              <w:t>12.12</w:t>
            </w:r>
          </w:p>
        </w:tc>
        <w:tc>
          <w:tcPr>
            <w:tcW w:w="990" w:type="dxa"/>
            <w:vAlign w:val="center"/>
          </w:tcPr>
          <w:p w:rsidR="0095796B" w:rsidRDefault="0095796B" w:rsidP="002D7544">
            <w:pPr>
              <w:tabs>
                <w:tab w:val="decimal" w:pos="224"/>
              </w:tabs>
              <w:jc w:val="center"/>
              <w:rPr>
                <w:rFonts w:eastAsia="Times New Roman"/>
                <w:color w:val="000000"/>
                <w:sz w:val="20"/>
                <w:szCs w:val="20"/>
              </w:rPr>
            </w:pPr>
            <w:r>
              <w:rPr>
                <w:rFonts w:eastAsia="Times New Roman"/>
                <w:color w:val="000000"/>
                <w:sz w:val="20"/>
                <w:szCs w:val="20"/>
              </w:rPr>
              <w:t>19.05</w:t>
            </w:r>
          </w:p>
        </w:tc>
      </w:tr>
      <w:tr w:rsidR="0061038C" w:rsidRPr="002532BD" w:rsidTr="00BA38DA">
        <w:trPr>
          <w:cantSplit/>
          <w:trHeight w:val="360"/>
          <w:jc w:val="center"/>
        </w:trPr>
        <w:tc>
          <w:tcPr>
            <w:tcW w:w="765" w:type="dxa"/>
            <w:vMerge/>
            <w:tcBorders>
              <w:right w:val="double" w:sz="6" w:space="0" w:color="auto"/>
            </w:tcBorders>
          </w:tcPr>
          <w:p w:rsidR="0061038C" w:rsidRDefault="0061038C" w:rsidP="00BD6523">
            <w:pPr>
              <w:jc w:val="left"/>
              <w:rPr>
                <w:rFonts w:eastAsia="Times New Roman"/>
                <w:color w:val="000000"/>
                <w:sz w:val="20"/>
                <w:szCs w:val="20"/>
              </w:rPr>
            </w:pPr>
          </w:p>
        </w:tc>
        <w:tc>
          <w:tcPr>
            <w:tcW w:w="2058" w:type="dxa"/>
            <w:tcBorders>
              <w:right w:val="double" w:sz="6" w:space="0" w:color="auto"/>
            </w:tcBorders>
            <w:shd w:val="clear" w:color="auto" w:fill="auto"/>
            <w:noWrap/>
            <w:vAlign w:val="center"/>
          </w:tcPr>
          <w:p w:rsidR="0061038C" w:rsidRDefault="0061038C" w:rsidP="00BD6523">
            <w:pPr>
              <w:jc w:val="left"/>
              <w:rPr>
                <w:rFonts w:eastAsia="Times New Roman"/>
                <w:color w:val="000000"/>
                <w:sz w:val="20"/>
                <w:szCs w:val="20"/>
              </w:rPr>
            </w:pPr>
            <w:r>
              <w:rPr>
                <w:rFonts w:eastAsia="Times New Roman"/>
                <w:color w:val="000000"/>
                <w:sz w:val="20"/>
                <w:szCs w:val="20"/>
              </w:rPr>
              <w:t>Otago</w:t>
            </w:r>
          </w:p>
        </w:tc>
        <w:tc>
          <w:tcPr>
            <w:tcW w:w="1260" w:type="dxa"/>
            <w:tcBorders>
              <w:left w:val="double" w:sz="6" w:space="0" w:color="auto"/>
            </w:tcBorders>
            <w:shd w:val="clear" w:color="auto" w:fill="auto"/>
            <w:vAlign w:val="center"/>
          </w:tcPr>
          <w:p w:rsidR="0061038C" w:rsidRDefault="0061038C" w:rsidP="00BD6523">
            <w:pPr>
              <w:jc w:val="center"/>
              <w:rPr>
                <w:rFonts w:eastAsia="Times New Roman"/>
                <w:color w:val="000000"/>
                <w:sz w:val="20"/>
                <w:szCs w:val="20"/>
              </w:rPr>
            </w:pPr>
            <w:r>
              <w:rPr>
                <w:rFonts w:eastAsia="Times New Roman"/>
                <w:color w:val="000000"/>
                <w:sz w:val="20"/>
                <w:szCs w:val="20"/>
              </w:rPr>
              <w:t>14.07 (6.56)</w:t>
            </w:r>
          </w:p>
        </w:tc>
        <w:tc>
          <w:tcPr>
            <w:tcW w:w="1438" w:type="dxa"/>
            <w:shd w:val="clear" w:color="auto" w:fill="auto"/>
            <w:vAlign w:val="center"/>
          </w:tcPr>
          <w:p w:rsidR="0061038C" w:rsidRDefault="0061038C" w:rsidP="00BD6523">
            <w:pPr>
              <w:jc w:val="center"/>
              <w:rPr>
                <w:rFonts w:eastAsia="Times New Roman"/>
                <w:color w:val="000000"/>
                <w:sz w:val="20"/>
                <w:szCs w:val="20"/>
              </w:rPr>
            </w:pPr>
            <w:r>
              <w:rPr>
                <w:rFonts w:eastAsia="Times New Roman"/>
                <w:color w:val="000000"/>
                <w:sz w:val="20"/>
                <w:szCs w:val="20"/>
              </w:rPr>
              <w:t>629.5 (291.1)</w:t>
            </w:r>
          </w:p>
        </w:tc>
        <w:tc>
          <w:tcPr>
            <w:tcW w:w="1418" w:type="dxa"/>
            <w:tcBorders>
              <w:right w:val="double" w:sz="6" w:space="0" w:color="auto"/>
            </w:tcBorders>
            <w:shd w:val="clear" w:color="auto" w:fill="auto"/>
            <w:vAlign w:val="center"/>
          </w:tcPr>
          <w:p w:rsidR="0061038C" w:rsidRDefault="0061038C" w:rsidP="00BD6523">
            <w:pPr>
              <w:jc w:val="center"/>
              <w:rPr>
                <w:rFonts w:eastAsia="Times New Roman"/>
                <w:color w:val="000000"/>
                <w:sz w:val="20"/>
                <w:szCs w:val="20"/>
              </w:rPr>
            </w:pPr>
            <w:r>
              <w:rPr>
                <w:rFonts w:eastAsia="Times New Roman"/>
                <w:color w:val="000000"/>
                <w:sz w:val="20"/>
                <w:szCs w:val="20"/>
              </w:rPr>
              <w:t>580.0 (425.9)</w:t>
            </w:r>
          </w:p>
        </w:tc>
        <w:tc>
          <w:tcPr>
            <w:tcW w:w="949" w:type="dxa"/>
            <w:tcBorders>
              <w:left w:val="double" w:sz="6" w:space="0" w:color="auto"/>
            </w:tcBorders>
            <w:shd w:val="clear" w:color="auto" w:fill="auto"/>
            <w:vAlign w:val="center"/>
          </w:tcPr>
          <w:p w:rsidR="0061038C" w:rsidRDefault="0061038C" w:rsidP="00BD6523">
            <w:pPr>
              <w:jc w:val="center"/>
              <w:rPr>
                <w:rFonts w:eastAsia="Times New Roman"/>
                <w:color w:val="000000"/>
                <w:sz w:val="20"/>
                <w:szCs w:val="20"/>
              </w:rPr>
            </w:pPr>
            <w:r>
              <w:rPr>
                <w:rFonts w:eastAsia="Times New Roman"/>
                <w:color w:val="000000"/>
                <w:sz w:val="20"/>
                <w:szCs w:val="20"/>
              </w:rPr>
              <w:t>0.45</w:t>
            </w:r>
          </w:p>
        </w:tc>
        <w:tc>
          <w:tcPr>
            <w:tcW w:w="963" w:type="dxa"/>
            <w:shd w:val="clear" w:color="auto" w:fill="auto"/>
            <w:vAlign w:val="center"/>
          </w:tcPr>
          <w:p w:rsidR="0061038C" w:rsidRDefault="0061038C" w:rsidP="00BD6523">
            <w:pPr>
              <w:jc w:val="center"/>
              <w:rPr>
                <w:rFonts w:eastAsia="Times New Roman"/>
                <w:color w:val="000000"/>
                <w:sz w:val="20"/>
                <w:szCs w:val="20"/>
              </w:rPr>
            </w:pPr>
            <w:r>
              <w:rPr>
                <w:rFonts w:eastAsia="Times New Roman"/>
                <w:color w:val="000000"/>
                <w:sz w:val="20"/>
                <w:szCs w:val="20"/>
              </w:rPr>
              <w:t>2.76</w:t>
            </w:r>
          </w:p>
        </w:tc>
        <w:tc>
          <w:tcPr>
            <w:tcW w:w="989" w:type="dxa"/>
            <w:shd w:val="clear" w:color="auto" w:fill="auto"/>
            <w:vAlign w:val="center"/>
          </w:tcPr>
          <w:p w:rsidR="0061038C" w:rsidRDefault="0061038C" w:rsidP="00BD6523">
            <w:pPr>
              <w:jc w:val="center"/>
              <w:rPr>
                <w:rFonts w:eastAsia="Times New Roman"/>
                <w:color w:val="000000"/>
                <w:sz w:val="20"/>
                <w:szCs w:val="20"/>
              </w:rPr>
            </w:pPr>
            <w:r>
              <w:rPr>
                <w:rFonts w:eastAsia="Times New Roman"/>
                <w:color w:val="000000"/>
                <w:sz w:val="20"/>
                <w:szCs w:val="20"/>
              </w:rPr>
              <w:t>1.50</w:t>
            </w:r>
          </w:p>
        </w:tc>
        <w:tc>
          <w:tcPr>
            <w:tcW w:w="1231" w:type="dxa"/>
            <w:vAlign w:val="center"/>
          </w:tcPr>
          <w:p w:rsidR="0061038C" w:rsidRDefault="0061038C" w:rsidP="00BD6523">
            <w:pPr>
              <w:jc w:val="center"/>
              <w:rPr>
                <w:rFonts w:eastAsia="Times New Roman"/>
                <w:color w:val="000000"/>
                <w:sz w:val="20"/>
                <w:szCs w:val="20"/>
              </w:rPr>
            </w:pPr>
            <w:r>
              <w:rPr>
                <w:rFonts w:eastAsia="Times New Roman"/>
                <w:color w:val="000000"/>
                <w:sz w:val="20"/>
                <w:szCs w:val="20"/>
              </w:rPr>
              <w:t>73.49</w:t>
            </w:r>
          </w:p>
        </w:tc>
        <w:tc>
          <w:tcPr>
            <w:tcW w:w="1019" w:type="dxa"/>
            <w:vAlign w:val="center"/>
          </w:tcPr>
          <w:p w:rsidR="0061038C" w:rsidRDefault="0061038C" w:rsidP="002D7544">
            <w:pPr>
              <w:tabs>
                <w:tab w:val="decimal" w:pos="142"/>
              </w:tabs>
              <w:jc w:val="center"/>
              <w:rPr>
                <w:rFonts w:eastAsia="Times New Roman"/>
                <w:color w:val="000000"/>
                <w:sz w:val="20"/>
                <w:szCs w:val="20"/>
              </w:rPr>
            </w:pPr>
            <w:r>
              <w:rPr>
                <w:rFonts w:eastAsia="Times New Roman"/>
                <w:color w:val="000000"/>
                <w:sz w:val="20"/>
                <w:szCs w:val="20"/>
              </w:rPr>
              <w:t>4.73</w:t>
            </w:r>
          </w:p>
        </w:tc>
        <w:tc>
          <w:tcPr>
            <w:tcW w:w="990" w:type="dxa"/>
            <w:vAlign w:val="center"/>
          </w:tcPr>
          <w:p w:rsidR="0061038C" w:rsidRDefault="0061038C" w:rsidP="002D7544">
            <w:pPr>
              <w:tabs>
                <w:tab w:val="decimal" w:pos="224"/>
              </w:tabs>
              <w:jc w:val="center"/>
              <w:rPr>
                <w:rFonts w:eastAsia="Times New Roman"/>
                <w:color w:val="000000"/>
                <w:sz w:val="20"/>
                <w:szCs w:val="20"/>
              </w:rPr>
            </w:pPr>
            <w:r>
              <w:rPr>
                <w:rFonts w:eastAsia="Times New Roman"/>
                <w:color w:val="000000"/>
                <w:sz w:val="20"/>
                <w:szCs w:val="20"/>
              </w:rPr>
              <w:t>17.07</w:t>
            </w:r>
          </w:p>
        </w:tc>
      </w:tr>
      <w:tr w:rsidR="0061038C" w:rsidRPr="002532BD" w:rsidTr="00BA38DA">
        <w:trPr>
          <w:cantSplit/>
          <w:trHeight w:val="360"/>
          <w:jc w:val="center"/>
        </w:trPr>
        <w:tc>
          <w:tcPr>
            <w:tcW w:w="765" w:type="dxa"/>
            <w:vMerge/>
            <w:tcBorders>
              <w:right w:val="double" w:sz="6" w:space="0" w:color="auto"/>
            </w:tcBorders>
          </w:tcPr>
          <w:p w:rsidR="0061038C" w:rsidRDefault="0061038C" w:rsidP="00BD6523">
            <w:pPr>
              <w:jc w:val="left"/>
              <w:rPr>
                <w:rFonts w:eastAsia="Times New Roman"/>
                <w:color w:val="000000"/>
                <w:sz w:val="20"/>
                <w:szCs w:val="20"/>
              </w:rPr>
            </w:pPr>
          </w:p>
        </w:tc>
        <w:tc>
          <w:tcPr>
            <w:tcW w:w="2058" w:type="dxa"/>
            <w:tcBorders>
              <w:right w:val="double" w:sz="6" w:space="0" w:color="auto"/>
            </w:tcBorders>
            <w:shd w:val="clear" w:color="auto" w:fill="auto"/>
            <w:noWrap/>
            <w:vAlign w:val="center"/>
          </w:tcPr>
          <w:p w:rsidR="0061038C" w:rsidRDefault="0061038C" w:rsidP="00BD6523">
            <w:pPr>
              <w:jc w:val="left"/>
              <w:rPr>
                <w:rFonts w:eastAsia="Times New Roman"/>
                <w:color w:val="000000"/>
                <w:sz w:val="20"/>
                <w:szCs w:val="20"/>
              </w:rPr>
            </w:pPr>
            <w:r>
              <w:rPr>
                <w:rFonts w:eastAsia="Times New Roman"/>
                <w:color w:val="000000"/>
                <w:sz w:val="20"/>
                <w:szCs w:val="20"/>
              </w:rPr>
              <w:t>Southland</w:t>
            </w:r>
          </w:p>
        </w:tc>
        <w:tc>
          <w:tcPr>
            <w:tcW w:w="1260" w:type="dxa"/>
            <w:tcBorders>
              <w:left w:val="double" w:sz="6" w:space="0" w:color="auto"/>
            </w:tcBorders>
            <w:shd w:val="clear" w:color="auto" w:fill="auto"/>
            <w:vAlign w:val="center"/>
          </w:tcPr>
          <w:p w:rsidR="0061038C" w:rsidRDefault="0061038C" w:rsidP="00BD6523">
            <w:pPr>
              <w:jc w:val="center"/>
              <w:rPr>
                <w:rFonts w:eastAsia="Times New Roman"/>
                <w:color w:val="000000"/>
                <w:sz w:val="20"/>
                <w:szCs w:val="20"/>
              </w:rPr>
            </w:pPr>
            <w:r>
              <w:rPr>
                <w:rFonts w:eastAsia="Times New Roman"/>
                <w:color w:val="000000"/>
                <w:sz w:val="20"/>
                <w:szCs w:val="20"/>
              </w:rPr>
              <w:t>16.40 (6.86)</w:t>
            </w:r>
          </w:p>
        </w:tc>
        <w:tc>
          <w:tcPr>
            <w:tcW w:w="1438" w:type="dxa"/>
            <w:shd w:val="clear" w:color="auto" w:fill="auto"/>
            <w:vAlign w:val="center"/>
          </w:tcPr>
          <w:p w:rsidR="0061038C" w:rsidRDefault="0061038C" w:rsidP="00BD6523">
            <w:pPr>
              <w:jc w:val="center"/>
              <w:rPr>
                <w:rFonts w:eastAsia="Times New Roman"/>
                <w:color w:val="000000"/>
                <w:sz w:val="20"/>
                <w:szCs w:val="20"/>
              </w:rPr>
            </w:pPr>
            <w:r>
              <w:rPr>
                <w:rFonts w:eastAsia="Times New Roman"/>
                <w:color w:val="000000"/>
                <w:sz w:val="20"/>
                <w:szCs w:val="20"/>
              </w:rPr>
              <w:t>749.7 (307.3)</w:t>
            </w:r>
          </w:p>
        </w:tc>
        <w:tc>
          <w:tcPr>
            <w:tcW w:w="1418" w:type="dxa"/>
            <w:tcBorders>
              <w:right w:val="double" w:sz="6" w:space="0" w:color="auto"/>
            </w:tcBorders>
            <w:shd w:val="clear" w:color="auto" w:fill="auto"/>
            <w:vAlign w:val="center"/>
          </w:tcPr>
          <w:p w:rsidR="0061038C" w:rsidRDefault="0061038C" w:rsidP="00BD6523">
            <w:pPr>
              <w:jc w:val="center"/>
              <w:rPr>
                <w:rFonts w:eastAsia="Times New Roman"/>
                <w:color w:val="000000"/>
                <w:sz w:val="20"/>
                <w:szCs w:val="20"/>
              </w:rPr>
            </w:pPr>
            <w:r>
              <w:rPr>
                <w:rFonts w:eastAsia="Times New Roman"/>
                <w:color w:val="000000"/>
                <w:sz w:val="20"/>
                <w:szCs w:val="20"/>
              </w:rPr>
              <w:t>680.9 (471.0)</w:t>
            </w:r>
          </w:p>
        </w:tc>
        <w:tc>
          <w:tcPr>
            <w:tcW w:w="949" w:type="dxa"/>
            <w:tcBorders>
              <w:left w:val="double" w:sz="6" w:space="0" w:color="auto"/>
            </w:tcBorders>
            <w:shd w:val="clear" w:color="auto" w:fill="auto"/>
            <w:vAlign w:val="center"/>
          </w:tcPr>
          <w:p w:rsidR="0061038C" w:rsidRDefault="0061038C" w:rsidP="00BD6523">
            <w:pPr>
              <w:jc w:val="center"/>
              <w:rPr>
                <w:rFonts w:eastAsia="Times New Roman"/>
                <w:color w:val="000000"/>
                <w:sz w:val="20"/>
                <w:szCs w:val="20"/>
              </w:rPr>
            </w:pPr>
            <w:r>
              <w:rPr>
                <w:rFonts w:eastAsia="Times New Roman"/>
                <w:color w:val="000000"/>
                <w:sz w:val="20"/>
                <w:szCs w:val="20"/>
              </w:rPr>
              <w:t>0.24</w:t>
            </w:r>
          </w:p>
        </w:tc>
        <w:tc>
          <w:tcPr>
            <w:tcW w:w="963" w:type="dxa"/>
            <w:shd w:val="clear" w:color="auto" w:fill="auto"/>
            <w:vAlign w:val="center"/>
          </w:tcPr>
          <w:p w:rsidR="0061038C" w:rsidRDefault="0061038C" w:rsidP="00BD6523">
            <w:pPr>
              <w:jc w:val="center"/>
              <w:rPr>
                <w:rFonts w:eastAsia="Times New Roman"/>
                <w:color w:val="000000"/>
                <w:sz w:val="20"/>
                <w:szCs w:val="20"/>
              </w:rPr>
            </w:pPr>
            <w:r>
              <w:rPr>
                <w:rFonts w:eastAsia="Times New Roman"/>
                <w:color w:val="000000"/>
                <w:sz w:val="20"/>
                <w:szCs w:val="20"/>
              </w:rPr>
              <w:t>2.99</w:t>
            </w:r>
          </w:p>
        </w:tc>
        <w:tc>
          <w:tcPr>
            <w:tcW w:w="989" w:type="dxa"/>
            <w:shd w:val="clear" w:color="auto" w:fill="auto"/>
            <w:vAlign w:val="center"/>
          </w:tcPr>
          <w:p w:rsidR="0061038C" w:rsidRDefault="0061038C" w:rsidP="00BD6523">
            <w:pPr>
              <w:jc w:val="center"/>
              <w:rPr>
                <w:rFonts w:eastAsia="Times New Roman"/>
                <w:color w:val="000000"/>
                <w:sz w:val="20"/>
                <w:szCs w:val="20"/>
              </w:rPr>
            </w:pPr>
            <w:r>
              <w:rPr>
                <w:rFonts w:eastAsia="Times New Roman"/>
                <w:color w:val="000000"/>
                <w:sz w:val="20"/>
                <w:szCs w:val="20"/>
              </w:rPr>
              <w:t>0.98</w:t>
            </w:r>
          </w:p>
        </w:tc>
        <w:tc>
          <w:tcPr>
            <w:tcW w:w="1231" w:type="dxa"/>
            <w:vAlign w:val="center"/>
          </w:tcPr>
          <w:p w:rsidR="0061038C" w:rsidRDefault="0061038C" w:rsidP="00BD6523">
            <w:pPr>
              <w:jc w:val="center"/>
              <w:rPr>
                <w:rFonts w:eastAsia="Times New Roman"/>
                <w:color w:val="000000"/>
                <w:sz w:val="20"/>
                <w:szCs w:val="20"/>
              </w:rPr>
            </w:pPr>
            <w:r>
              <w:rPr>
                <w:rFonts w:eastAsia="Times New Roman"/>
                <w:color w:val="000000"/>
                <w:sz w:val="20"/>
                <w:szCs w:val="20"/>
              </w:rPr>
              <w:t>43.97</w:t>
            </w:r>
          </w:p>
        </w:tc>
        <w:tc>
          <w:tcPr>
            <w:tcW w:w="1019" w:type="dxa"/>
            <w:vAlign w:val="center"/>
          </w:tcPr>
          <w:p w:rsidR="0061038C" w:rsidRDefault="0061038C" w:rsidP="002D7544">
            <w:pPr>
              <w:tabs>
                <w:tab w:val="decimal" w:pos="142"/>
              </w:tabs>
              <w:jc w:val="center"/>
              <w:rPr>
                <w:rFonts w:eastAsia="Times New Roman"/>
                <w:color w:val="000000"/>
                <w:sz w:val="20"/>
                <w:szCs w:val="20"/>
              </w:rPr>
            </w:pPr>
            <w:r>
              <w:rPr>
                <w:rFonts w:eastAsia="Times New Roman"/>
                <w:color w:val="000000"/>
                <w:sz w:val="20"/>
                <w:szCs w:val="20"/>
              </w:rPr>
              <w:t>4.50</w:t>
            </w:r>
          </w:p>
        </w:tc>
        <w:tc>
          <w:tcPr>
            <w:tcW w:w="990" w:type="dxa"/>
            <w:vAlign w:val="center"/>
          </w:tcPr>
          <w:p w:rsidR="0061038C" w:rsidRDefault="0061038C" w:rsidP="002D7544">
            <w:pPr>
              <w:tabs>
                <w:tab w:val="decimal" w:pos="224"/>
              </w:tabs>
              <w:jc w:val="center"/>
              <w:rPr>
                <w:rFonts w:eastAsia="Times New Roman"/>
                <w:color w:val="000000"/>
                <w:sz w:val="20"/>
                <w:szCs w:val="20"/>
              </w:rPr>
            </w:pPr>
            <w:r>
              <w:rPr>
                <w:rFonts w:eastAsia="Times New Roman"/>
                <w:color w:val="000000"/>
                <w:sz w:val="20"/>
                <w:szCs w:val="20"/>
              </w:rPr>
              <w:t>47.32</w:t>
            </w:r>
          </w:p>
        </w:tc>
      </w:tr>
    </w:tbl>
    <w:p w:rsidR="0095796B" w:rsidRDefault="0095796B" w:rsidP="000711F1">
      <w:pPr>
        <w:autoSpaceDE w:val="0"/>
        <w:autoSpaceDN w:val="0"/>
        <w:adjustRightInd w:val="0"/>
        <w:spacing w:after="120" w:line="276" w:lineRule="auto"/>
        <w:rPr>
          <w:rFonts w:ascii="TimesNewRomanPSMT" w:hAnsi="TimesNewRomanPSMT" w:cs="TimesNewRomanPSMT"/>
          <w:b/>
          <w:szCs w:val="24"/>
        </w:rPr>
      </w:pPr>
    </w:p>
    <w:p w:rsidR="00636F38" w:rsidRDefault="00636F38" w:rsidP="00636F38">
      <w:pPr>
        <w:autoSpaceDE w:val="0"/>
        <w:autoSpaceDN w:val="0"/>
        <w:adjustRightInd w:val="0"/>
        <w:spacing w:after="120" w:line="276" w:lineRule="auto"/>
        <w:jc w:val="center"/>
        <w:rPr>
          <w:rFonts w:ascii="TimesNewRomanPSMT" w:hAnsi="TimesNewRomanPSMT" w:cs="TimesNewRomanPSMT"/>
          <w:b/>
          <w:szCs w:val="24"/>
        </w:rPr>
      </w:pPr>
    </w:p>
    <w:p w:rsidR="00073FF4" w:rsidRDefault="00073FF4" w:rsidP="000711F1">
      <w:pPr>
        <w:autoSpaceDE w:val="0"/>
        <w:autoSpaceDN w:val="0"/>
        <w:adjustRightInd w:val="0"/>
        <w:spacing w:after="120" w:line="276" w:lineRule="auto"/>
        <w:rPr>
          <w:rFonts w:ascii="TimesNewRomanPSMT" w:hAnsi="TimesNewRomanPSMT" w:cs="TimesNewRomanPSMT"/>
          <w:b/>
          <w:szCs w:val="24"/>
        </w:rPr>
        <w:sectPr w:rsidR="00073FF4" w:rsidSect="002532BD">
          <w:pgSz w:w="15840" w:h="12240" w:orient="landscape"/>
          <w:pgMar w:top="1440" w:right="1440" w:bottom="1440" w:left="1440" w:header="720" w:footer="720" w:gutter="0"/>
          <w:cols w:space="720"/>
          <w:docGrid w:linePitch="360"/>
        </w:sectPr>
      </w:pPr>
    </w:p>
    <w:p w:rsidR="000711F1" w:rsidRDefault="000711F1" w:rsidP="00636F38">
      <w:pPr>
        <w:autoSpaceDE w:val="0"/>
        <w:autoSpaceDN w:val="0"/>
        <w:adjustRightInd w:val="0"/>
        <w:spacing w:after="120" w:line="276" w:lineRule="auto"/>
        <w:jc w:val="center"/>
        <w:rPr>
          <w:rFonts w:ascii="TimesNewRomanPSMT" w:hAnsi="TimesNewRomanPSMT" w:cs="TimesNewRomanPSMT"/>
          <w:b/>
          <w:sz w:val="22"/>
          <w:szCs w:val="24"/>
        </w:rPr>
      </w:pPr>
    </w:p>
    <w:p w:rsidR="00636F38" w:rsidRPr="00073FF4" w:rsidRDefault="00884D45" w:rsidP="00636F38">
      <w:pPr>
        <w:autoSpaceDE w:val="0"/>
        <w:autoSpaceDN w:val="0"/>
        <w:adjustRightInd w:val="0"/>
        <w:spacing w:after="120" w:line="276" w:lineRule="auto"/>
        <w:jc w:val="center"/>
        <w:rPr>
          <w:rFonts w:ascii="TimesNewRomanPSMT" w:hAnsi="TimesNewRomanPSMT" w:cs="TimesNewRomanPSMT"/>
          <w:b/>
          <w:sz w:val="22"/>
          <w:szCs w:val="24"/>
        </w:rPr>
      </w:pPr>
      <w:proofErr w:type="gramStart"/>
      <w:r>
        <w:rPr>
          <w:rFonts w:ascii="TimesNewRomanPSMT" w:hAnsi="TimesNewRomanPSMT" w:cs="TimesNewRomanPSMT"/>
          <w:b/>
          <w:sz w:val="22"/>
          <w:szCs w:val="24"/>
        </w:rPr>
        <w:t>Table 5.</w:t>
      </w:r>
      <w:proofErr w:type="gramEnd"/>
      <w:r w:rsidR="00636F38" w:rsidRPr="00073FF4">
        <w:rPr>
          <w:rFonts w:ascii="TimesNewRomanPSMT" w:hAnsi="TimesNewRomanPSMT" w:cs="TimesNewRomanPSMT"/>
          <w:b/>
          <w:sz w:val="22"/>
          <w:szCs w:val="24"/>
        </w:rPr>
        <w:t xml:space="preserve"> Recreational Travel Destination Choice and Number of Trips</w:t>
      </w:r>
    </w:p>
    <w:tbl>
      <w:tblPr>
        <w:tblW w:w="12255" w:type="dxa"/>
        <w:jc w:val="center"/>
        <w:tblLayout w:type="fixed"/>
        <w:tblLook w:val="04A0" w:firstRow="1" w:lastRow="0" w:firstColumn="1" w:lastColumn="0" w:noHBand="0" w:noVBand="1"/>
      </w:tblPr>
      <w:tblGrid>
        <w:gridCol w:w="717"/>
        <w:gridCol w:w="2070"/>
        <w:gridCol w:w="1350"/>
        <w:gridCol w:w="1566"/>
        <w:gridCol w:w="1651"/>
        <w:gridCol w:w="1225"/>
        <w:gridCol w:w="1225"/>
        <w:gridCol w:w="1225"/>
        <w:gridCol w:w="1226"/>
      </w:tblGrid>
      <w:tr w:rsidR="00F35702" w:rsidRPr="00413E43" w:rsidTr="0097711B">
        <w:trPr>
          <w:trHeight w:val="543"/>
          <w:jc w:val="center"/>
        </w:trPr>
        <w:tc>
          <w:tcPr>
            <w:tcW w:w="717" w:type="dxa"/>
            <w:vMerge w:val="restart"/>
            <w:tcBorders>
              <w:top w:val="double" w:sz="6" w:space="0" w:color="auto"/>
              <w:left w:val="double" w:sz="6" w:space="0" w:color="auto"/>
              <w:right w:val="double" w:sz="6" w:space="0" w:color="auto"/>
            </w:tcBorders>
            <w:shd w:val="clear" w:color="000000" w:fill="FFFFFF"/>
            <w:tcMar>
              <w:left w:w="58" w:type="dxa"/>
              <w:right w:w="58" w:type="dxa"/>
            </w:tcMar>
            <w:vAlign w:val="center"/>
          </w:tcPr>
          <w:p w:rsidR="00F35702" w:rsidRDefault="00F35702" w:rsidP="00BD6523">
            <w:pPr>
              <w:jc w:val="center"/>
              <w:rPr>
                <w:rFonts w:eastAsia="Times New Roman"/>
                <w:color w:val="000000"/>
                <w:sz w:val="20"/>
                <w:szCs w:val="20"/>
              </w:rPr>
            </w:pPr>
            <w:r>
              <w:rPr>
                <w:rFonts w:eastAsia="Times New Roman"/>
                <w:color w:val="000000"/>
                <w:sz w:val="20"/>
                <w:szCs w:val="20"/>
              </w:rPr>
              <w:t>Island</w:t>
            </w:r>
          </w:p>
        </w:tc>
        <w:tc>
          <w:tcPr>
            <w:tcW w:w="2070" w:type="dxa"/>
            <w:vMerge w:val="restart"/>
            <w:tcBorders>
              <w:top w:val="double" w:sz="6" w:space="0" w:color="auto"/>
              <w:left w:val="double" w:sz="6" w:space="0" w:color="auto"/>
              <w:bottom w:val="nil"/>
              <w:right w:val="double" w:sz="6" w:space="0" w:color="auto"/>
            </w:tcBorders>
            <w:shd w:val="clear" w:color="000000" w:fill="FFFFFF"/>
            <w:noWrap/>
            <w:tcMar>
              <w:left w:w="58" w:type="dxa"/>
              <w:right w:w="58" w:type="dxa"/>
            </w:tcMar>
            <w:vAlign w:val="center"/>
          </w:tcPr>
          <w:p w:rsidR="00F35702" w:rsidRPr="00413E43" w:rsidRDefault="00F35702" w:rsidP="00BD6523">
            <w:pPr>
              <w:jc w:val="left"/>
              <w:rPr>
                <w:rFonts w:eastAsia="Times New Roman"/>
                <w:color w:val="000000"/>
                <w:sz w:val="20"/>
                <w:szCs w:val="20"/>
              </w:rPr>
            </w:pPr>
            <w:r>
              <w:rPr>
                <w:rFonts w:eastAsia="Times New Roman"/>
                <w:color w:val="000000"/>
                <w:sz w:val="20"/>
                <w:szCs w:val="20"/>
              </w:rPr>
              <w:t>Destination Region</w:t>
            </w:r>
          </w:p>
        </w:tc>
        <w:tc>
          <w:tcPr>
            <w:tcW w:w="1350" w:type="dxa"/>
            <w:vMerge w:val="restart"/>
            <w:tcBorders>
              <w:top w:val="double" w:sz="6" w:space="0" w:color="auto"/>
              <w:left w:val="double" w:sz="6" w:space="0" w:color="auto"/>
              <w:right w:val="double" w:sz="6" w:space="0" w:color="auto"/>
            </w:tcBorders>
            <w:shd w:val="clear" w:color="000000" w:fill="FFFFFF"/>
            <w:tcMar>
              <w:left w:w="58" w:type="dxa"/>
              <w:right w:w="58" w:type="dxa"/>
            </w:tcMar>
            <w:vAlign w:val="center"/>
          </w:tcPr>
          <w:p w:rsidR="00F35702" w:rsidRPr="00413E43" w:rsidRDefault="00F35702" w:rsidP="00833021">
            <w:pPr>
              <w:jc w:val="center"/>
              <w:rPr>
                <w:rFonts w:eastAsia="Times New Roman"/>
                <w:color w:val="000000"/>
                <w:sz w:val="20"/>
                <w:szCs w:val="20"/>
              </w:rPr>
            </w:pPr>
            <w:r>
              <w:rPr>
                <w:rFonts w:eastAsia="Times New Roman"/>
                <w:color w:val="000000"/>
                <w:sz w:val="20"/>
                <w:szCs w:val="20"/>
              </w:rPr>
              <w:t>Area (</w:t>
            </w:r>
            <w:r w:rsidR="00833021">
              <w:rPr>
                <w:rFonts w:eastAsia="Times New Roman"/>
                <w:color w:val="000000"/>
                <w:sz w:val="20"/>
                <w:szCs w:val="20"/>
              </w:rPr>
              <w:t>miles</w:t>
            </w:r>
            <w:r w:rsidR="00833021" w:rsidRPr="00494416">
              <w:rPr>
                <w:rFonts w:eastAsia="Times New Roman"/>
                <w:color w:val="000000"/>
                <w:sz w:val="20"/>
                <w:szCs w:val="20"/>
                <w:vertAlign w:val="superscript"/>
              </w:rPr>
              <w:t>2</w:t>
            </w:r>
            <w:r>
              <w:rPr>
                <w:rFonts w:eastAsia="Times New Roman"/>
                <w:color w:val="000000"/>
                <w:sz w:val="20"/>
                <w:szCs w:val="20"/>
              </w:rPr>
              <w:t>)</w:t>
            </w:r>
          </w:p>
        </w:tc>
        <w:tc>
          <w:tcPr>
            <w:tcW w:w="1566" w:type="dxa"/>
            <w:vMerge w:val="restart"/>
            <w:tcBorders>
              <w:top w:val="double" w:sz="6" w:space="0" w:color="auto"/>
              <w:left w:val="double" w:sz="6" w:space="0" w:color="auto"/>
              <w:bottom w:val="nil"/>
              <w:right w:val="double" w:sz="6" w:space="0" w:color="auto"/>
            </w:tcBorders>
            <w:shd w:val="clear" w:color="000000" w:fill="FFFFFF"/>
            <w:tcMar>
              <w:left w:w="58" w:type="dxa"/>
              <w:right w:w="58" w:type="dxa"/>
            </w:tcMar>
            <w:vAlign w:val="center"/>
          </w:tcPr>
          <w:p w:rsidR="00F35702" w:rsidRPr="00413E43" w:rsidRDefault="00F35702" w:rsidP="00BD6523">
            <w:pPr>
              <w:jc w:val="center"/>
              <w:rPr>
                <w:rFonts w:eastAsia="Times New Roman"/>
                <w:color w:val="000000"/>
                <w:sz w:val="20"/>
                <w:szCs w:val="20"/>
              </w:rPr>
            </w:pPr>
            <w:r w:rsidRPr="00413E43">
              <w:rPr>
                <w:rFonts w:eastAsia="Times New Roman"/>
                <w:color w:val="000000"/>
                <w:sz w:val="20"/>
                <w:szCs w:val="20"/>
              </w:rPr>
              <w:t xml:space="preserve">Total number (%) of individuals visiting each </w:t>
            </w:r>
            <w:r>
              <w:rPr>
                <w:rFonts w:eastAsia="Times New Roman"/>
                <w:color w:val="000000"/>
                <w:sz w:val="20"/>
                <w:szCs w:val="20"/>
              </w:rPr>
              <w:t>region*</w:t>
            </w:r>
          </w:p>
        </w:tc>
        <w:tc>
          <w:tcPr>
            <w:tcW w:w="1651" w:type="dxa"/>
            <w:vMerge w:val="restart"/>
            <w:tcBorders>
              <w:top w:val="double" w:sz="6" w:space="0" w:color="auto"/>
              <w:left w:val="double" w:sz="6" w:space="0" w:color="auto"/>
              <w:right w:val="double" w:sz="6" w:space="0" w:color="auto"/>
            </w:tcBorders>
            <w:shd w:val="clear" w:color="000000" w:fill="FFFFFF"/>
            <w:tcMar>
              <w:left w:w="58" w:type="dxa"/>
              <w:right w:w="58" w:type="dxa"/>
            </w:tcMar>
            <w:vAlign w:val="center"/>
          </w:tcPr>
          <w:p w:rsidR="00F35702" w:rsidRDefault="00F35702" w:rsidP="00073FF4">
            <w:pPr>
              <w:jc w:val="center"/>
              <w:rPr>
                <w:rFonts w:eastAsia="Times New Roman"/>
                <w:color w:val="000000"/>
                <w:sz w:val="20"/>
                <w:szCs w:val="20"/>
              </w:rPr>
            </w:pPr>
            <w:r>
              <w:rPr>
                <w:rFonts w:eastAsia="Times New Roman"/>
                <w:color w:val="000000"/>
                <w:sz w:val="20"/>
                <w:szCs w:val="20"/>
              </w:rPr>
              <w:t xml:space="preserve">Number of visiting individuals per unit area (per </w:t>
            </w:r>
            <w:r w:rsidR="00833021">
              <w:rPr>
                <w:rFonts w:eastAsia="Times New Roman"/>
                <w:color w:val="000000"/>
                <w:sz w:val="20"/>
                <w:szCs w:val="20"/>
              </w:rPr>
              <w:t>miles</w:t>
            </w:r>
            <w:r w:rsidRPr="00494416">
              <w:rPr>
                <w:rFonts w:eastAsia="Times New Roman"/>
                <w:color w:val="000000"/>
                <w:sz w:val="20"/>
                <w:szCs w:val="20"/>
                <w:vertAlign w:val="superscript"/>
              </w:rPr>
              <w:t>2</w:t>
            </w:r>
            <w:r>
              <w:rPr>
                <w:rFonts w:eastAsia="Times New Roman"/>
                <w:color w:val="000000"/>
                <w:sz w:val="20"/>
                <w:szCs w:val="20"/>
              </w:rPr>
              <w:t>)</w:t>
            </w:r>
          </w:p>
        </w:tc>
        <w:tc>
          <w:tcPr>
            <w:tcW w:w="4901" w:type="dxa"/>
            <w:gridSpan w:val="4"/>
            <w:tcBorders>
              <w:top w:val="double" w:sz="6" w:space="0" w:color="auto"/>
              <w:left w:val="nil"/>
              <w:bottom w:val="single" w:sz="4" w:space="0" w:color="auto"/>
              <w:right w:val="double" w:sz="6" w:space="0" w:color="000000"/>
            </w:tcBorders>
            <w:shd w:val="clear" w:color="000000" w:fill="FFFFFF"/>
            <w:tcMar>
              <w:left w:w="58" w:type="dxa"/>
              <w:right w:w="58" w:type="dxa"/>
            </w:tcMar>
            <w:vAlign w:val="center"/>
          </w:tcPr>
          <w:p w:rsidR="00F35702" w:rsidRPr="00413E43" w:rsidRDefault="00F35702" w:rsidP="00BD6523">
            <w:pPr>
              <w:jc w:val="center"/>
              <w:rPr>
                <w:rFonts w:eastAsia="Times New Roman"/>
                <w:color w:val="000000"/>
                <w:sz w:val="20"/>
                <w:szCs w:val="20"/>
              </w:rPr>
            </w:pPr>
            <w:r>
              <w:rPr>
                <w:rFonts w:eastAsia="Times New Roman"/>
                <w:color w:val="000000"/>
                <w:sz w:val="20"/>
                <w:szCs w:val="20"/>
              </w:rPr>
              <w:t xml:space="preserve">Number of trips </w:t>
            </w:r>
            <w:r w:rsidRPr="00413E43">
              <w:rPr>
                <w:rFonts w:eastAsia="Times New Roman"/>
                <w:color w:val="000000"/>
                <w:sz w:val="20"/>
                <w:szCs w:val="20"/>
              </w:rPr>
              <w:t>among those who visit each destination</w:t>
            </w:r>
          </w:p>
        </w:tc>
      </w:tr>
      <w:tr w:rsidR="00F35702" w:rsidRPr="00413E43" w:rsidTr="0097711B">
        <w:trPr>
          <w:trHeight w:val="432"/>
          <w:jc w:val="center"/>
        </w:trPr>
        <w:tc>
          <w:tcPr>
            <w:tcW w:w="717" w:type="dxa"/>
            <w:vMerge/>
            <w:tcBorders>
              <w:left w:val="double" w:sz="6" w:space="0" w:color="auto"/>
              <w:bottom w:val="nil"/>
              <w:right w:val="double" w:sz="6" w:space="0" w:color="auto"/>
            </w:tcBorders>
            <w:tcMar>
              <w:left w:w="58" w:type="dxa"/>
              <w:right w:w="58" w:type="dxa"/>
            </w:tcMar>
          </w:tcPr>
          <w:p w:rsidR="00F35702" w:rsidRPr="00413E43" w:rsidRDefault="00F35702" w:rsidP="00BD6523">
            <w:pPr>
              <w:jc w:val="center"/>
              <w:rPr>
                <w:rFonts w:eastAsia="Times New Roman"/>
                <w:color w:val="000000"/>
                <w:sz w:val="20"/>
                <w:szCs w:val="20"/>
              </w:rPr>
            </w:pPr>
          </w:p>
        </w:tc>
        <w:tc>
          <w:tcPr>
            <w:tcW w:w="2070" w:type="dxa"/>
            <w:vMerge/>
            <w:tcBorders>
              <w:top w:val="double" w:sz="6" w:space="0" w:color="auto"/>
              <w:left w:val="double" w:sz="6" w:space="0" w:color="auto"/>
              <w:bottom w:val="nil"/>
              <w:right w:val="double" w:sz="6" w:space="0" w:color="auto"/>
            </w:tcBorders>
            <w:tcMar>
              <w:left w:w="58" w:type="dxa"/>
              <w:right w:w="58" w:type="dxa"/>
            </w:tcMar>
            <w:vAlign w:val="center"/>
          </w:tcPr>
          <w:p w:rsidR="00F35702" w:rsidRPr="00413E43" w:rsidRDefault="00F35702" w:rsidP="00BD6523">
            <w:pPr>
              <w:jc w:val="center"/>
              <w:rPr>
                <w:rFonts w:eastAsia="Times New Roman"/>
                <w:color w:val="000000"/>
                <w:sz w:val="20"/>
                <w:szCs w:val="20"/>
              </w:rPr>
            </w:pPr>
          </w:p>
        </w:tc>
        <w:tc>
          <w:tcPr>
            <w:tcW w:w="1350" w:type="dxa"/>
            <w:vMerge/>
            <w:tcBorders>
              <w:left w:val="double" w:sz="6" w:space="0" w:color="auto"/>
              <w:bottom w:val="nil"/>
              <w:right w:val="double" w:sz="6" w:space="0" w:color="auto"/>
            </w:tcBorders>
            <w:tcMar>
              <w:left w:w="58" w:type="dxa"/>
              <w:right w:w="58" w:type="dxa"/>
            </w:tcMar>
          </w:tcPr>
          <w:p w:rsidR="00F35702" w:rsidRPr="00413E43" w:rsidRDefault="00F35702" w:rsidP="00BD6523">
            <w:pPr>
              <w:jc w:val="left"/>
              <w:rPr>
                <w:rFonts w:eastAsia="Times New Roman"/>
                <w:color w:val="000000"/>
                <w:sz w:val="20"/>
                <w:szCs w:val="20"/>
              </w:rPr>
            </w:pPr>
          </w:p>
        </w:tc>
        <w:tc>
          <w:tcPr>
            <w:tcW w:w="1566" w:type="dxa"/>
            <w:vMerge/>
            <w:tcBorders>
              <w:top w:val="double" w:sz="6" w:space="0" w:color="auto"/>
              <w:left w:val="double" w:sz="6" w:space="0" w:color="auto"/>
              <w:bottom w:val="nil"/>
              <w:right w:val="double" w:sz="6" w:space="0" w:color="auto"/>
            </w:tcBorders>
            <w:tcMar>
              <w:left w:w="58" w:type="dxa"/>
              <w:right w:w="58" w:type="dxa"/>
            </w:tcMar>
            <w:vAlign w:val="center"/>
          </w:tcPr>
          <w:p w:rsidR="00F35702" w:rsidRPr="00413E43" w:rsidRDefault="00F35702" w:rsidP="00BD6523">
            <w:pPr>
              <w:jc w:val="left"/>
              <w:rPr>
                <w:rFonts w:eastAsia="Times New Roman"/>
                <w:color w:val="000000"/>
                <w:sz w:val="20"/>
                <w:szCs w:val="20"/>
              </w:rPr>
            </w:pPr>
          </w:p>
        </w:tc>
        <w:tc>
          <w:tcPr>
            <w:tcW w:w="1651" w:type="dxa"/>
            <w:vMerge/>
            <w:tcBorders>
              <w:left w:val="double" w:sz="6" w:space="0" w:color="auto"/>
              <w:bottom w:val="nil"/>
              <w:right w:val="double" w:sz="6" w:space="0" w:color="auto"/>
            </w:tcBorders>
            <w:tcMar>
              <w:left w:w="58" w:type="dxa"/>
              <w:right w:w="58" w:type="dxa"/>
            </w:tcMar>
          </w:tcPr>
          <w:p w:rsidR="00F35702" w:rsidRPr="00413E43" w:rsidRDefault="00F35702" w:rsidP="00BD6523">
            <w:pPr>
              <w:jc w:val="left"/>
              <w:rPr>
                <w:rFonts w:eastAsia="Times New Roman"/>
                <w:color w:val="000000"/>
                <w:sz w:val="20"/>
                <w:szCs w:val="20"/>
              </w:rPr>
            </w:pPr>
          </w:p>
        </w:tc>
        <w:tc>
          <w:tcPr>
            <w:tcW w:w="1225" w:type="dxa"/>
            <w:tcBorders>
              <w:top w:val="single" w:sz="4" w:space="0" w:color="auto"/>
              <w:left w:val="nil"/>
              <w:bottom w:val="double" w:sz="6" w:space="0" w:color="auto"/>
              <w:right w:val="single" w:sz="4" w:space="0" w:color="auto"/>
            </w:tcBorders>
            <w:shd w:val="clear" w:color="000000" w:fill="FFFFFF"/>
            <w:noWrap/>
            <w:tcMar>
              <w:left w:w="58" w:type="dxa"/>
              <w:right w:w="58" w:type="dxa"/>
            </w:tcMar>
            <w:vAlign w:val="center"/>
          </w:tcPr>
          <w:p w:rsidR="00F35702" w:rsidRPr="00413E43" w:rsidRDefault="00F35702" w:rsidP="00BD6523">
            <w:pPr>
              <w:jc w:val="center"/>
              <w:rPr>
                <w:rFonts w:eastAsia="Times New Roman"/>
                <w:color w:val="000000"/>
                <w:sz w:val="20"/>
                <w:szCs w:val="20"/>
              </w:rPr>
            </w:pPr>
            <w:r w:rsidRPr="00413E43">
              <w:rPr>
                <w:rFonts w:eastAsia="Times New Roman"/>
                <w:color w:val="000000"/>
                <w:sz w:val="20"/>
                <w:szCs w:val="20"/>
              </w:rPr>
              <w:t>Mean</w:t>
            </w:r>
          </w:p>
        </w:tc>
        <w:tc>
          <w:tcPr>
            <w:tcW w:w="1225" w:type="dxa"/>
            <w:tcBorders>
              <w:top w:val="single" w:sz="4" w:space="0" w:color="auto"/>
              <w:left w:val="single" w:sz="4" w:space="0" w:color="auto"/>
              <w:bottom w:val="double" w:sz="6" w:space="0" w:color="auto"/>
              <w:right w:val="single" w:sz="4" w:space="0" w:color="auto"/>
            </w:tcBorders>
            <w:shd w:val="clear" w:color="000000" w:fill="FFFFFF"/>
            <w:noWrap/>
            <w:tcMar>
              <w:left w:w="58" w:type="dxa"/>
              <w:right w:w="58" w:type="dxa"/>
            </w:tcMar>
            <w:vAlign w:val="center"/>
          </w:tcPr>
          <w:p w:rsidR="00F35702" w:rsidRPr="00413E43" w:rsidRDefault="00F35702" w:rsidP="00BD6523">
            <w:pPr>
              <w:ind w:left="174"/>
              <w:jc w:val="center"/>
              <w:rPr>
                <w:rFonts w:eastAsia="Times New Roman"/>
                <w:color w:val="000000"/>
                <w:sz w:val="20"/>
                <w:szCs w:val="20"/>
              </w:rPr>
            </w:pPr>
            <w:r w:rsidRPr="00413E43">
              <w:rPr>
                <w:rFonts w:eastAsia="Times New Roman"/>
                <w:color w:val="000000"/>
                <w:sz w:val="20"/>
                <w:szCs w:val="20"/>
              </w:rPr>
              <w:t>Min.</w:t>
            </w:r>
          </w:p>
        </w:tc>
        <w:tc>
          <w:tcPr>
            <w:tcW w:w="1225" w:type="dxa"/>
            <w:tcBorders>
              <w:top w:val="single" w:sz="4" w:space="0" w:color="auto"/>
              <w:left w:val="single" w:sz="4" w:space="0" w:color="auto"/>
              <w:bottom w:val="double" w:sz="6" w:space="0" w:color="auto"/>
              <w:right w:val="single" w:sz="4" w:space="0" w:color="auto"/>
            </w:tcBorders>
            <w:shd w:val="clear" w:color="000000" w:fill="FFFFFF"/>
            <w:noWrap/>
            <w:tcMar>
              <w:left w:w="58" w:type="dxa"/>
              <w:right w:w="58" w:type="dxa"/>
            </w:tcMar>
            <w:vAlign w:val="center"/>
          </w:tcPr>
          <w:p w:rsidR="00F35702" w:rsidRPr="00413E43" w:rsidRDefault="00F35702" w:rsidP="00BD6523">
            <w:pPr>
              <w:jc w:val="center"/>
              <w:rPr>
                <w:rFonts w:eastAsia="Times New Roman"/>
                <w:color w:val="000000"/>
                <w:sz w:val="20"/>
                <w:szCs w:val="20"/>
              </w:rPr>
            </w:pPr>
            <w:r w:rsidRPr="00413E43">
              <w:rPr>
                <w:rFonts w:eastAsia="Times New Roman"/>
                <w:color w:val="000000"/>
                <w:sz w:val="20"/>
                <w:szCs w:val="20"/>
              </w:rPr>
              <w:t>Max.</w:t>
            </w:r>
          </w:p>
        </w:tc>
        <w:tc>
          <w:tcPr>
            <w:tcW w:w="1226" w:type="dxa"/>
            <w:tcBorders>
              <w:top w:val="single" w:sz="4" w:space="0" w:color="auto"/>
              <w:left w:val="single" w:sz="4" w:space="0" w:color="auto"/>
              <w:bottom w:val="nil"/>
              <w:right w:val="double" w:sz="6" w:space="0" w:color="auto"/>
            </w:tcBorders>
            <w:shd w:val="clear" w:color="000000" w:fill="FFFFFF"/>
            <w:noWrap/>
            <w:tcMar>
              <w:left w:w="58" w:type="dxa"/>
              <w:right w:w="58" w:type="dxa"/>
            </w:tcMar>
            <w:vAlign w:val="center"/>
          </w:tcPr>
          <w:p w:rsidR="00F35702" w:rsidRPr="00413E43" w:rsidRDefault="00F35702" w:rsidP="00BD6523">
            <w:pPr>
              <w:jc w:val="center"/>
              <w:rPr>
                <w:rFonts w:eastAsia="Times New Roman"/>
                <w:color w:val="000000"/>
                <w:sz w:val="20"/>
                <w:szCs w:val="20"/>
              </w:rPr>
            </w:pPr>
            <w:r w:rsidRPr="00413E43">
              <w:rPr>
                <w:rFonts w:eastAsia="Times New Roman"/>
                <w:color w:val="000000"/>
                <w:sz w:val="20"/>
                <w:szCs w:val="20"/>
              </w:rPr>
              <w:t>Std. Dev.</w:t>
            </w:r>
          </w:p>
        </w:tc>
      </w:tr>
      <w:tr w:rsidR="002F2CA8" w:rsidRPr="00413E43" w:rsidTr="00C76494">
        <w:trPr>
          <w:cantSplit/>
          <w:trHeight w:val="360"/>
          <w:jc w:val="center"/>
        </w:trPr>
        <w:tc>
          <w:tcPr>
            <w:tcW w:w="717" w:type="dxa"/>
            <w:vMerge w:val="restart"/>
            <w:tcBorders>
              <w:top w:val="double" w:sz="6" w:space="0" w:color="auto"/>
              <w:left w:val="double" w:sz="6" w:space="0" w:color="auto"/>
              <w:right w:val="double" w:sz="6" w:space="0" w:color="auto"/>
            </w:tcBorders>
            <w:shd w:val="clear" w:color="000000" w:fill="FFFFFF"/>
            <w:textDirection w:val="btLr"/>
            <w:vAlign w:val="center"/>
          </w:tcPr>
          <w:p w:rsidR="002F2CA8" w:rsidRDefault="002F2CA8" w:rsidP="00BD6523">
            <w:pPr>
              <w:ind w:left="113" w:right="113"/>
              <w:jc w:val="center"/>
              <w:rPr>
                <w:rFonts w:eastAsia="Times New Roman"/>
                <w:color w:val="000000"/>
                <w:sz w:val="20"/>
                <w:szCs w:val="20"/>
              </w:rPr>
            </w:pPr>
            <w:r>
              <w:rPr>
                <w:rFonts w:eastAsia="Times New Roman"/>
                <w:color w:val="000000"/>
                <w:sz w:val="20"/>
                <w:szCs w:val="20"/>
              </w:rPr>
              <w:t>NORTH ISLAND</w:t>
            </w:r>
          </w:p>
        </w:tc>
        <w:tc>
          <w:tcPr>
            <w:tcW w:w="2070" w:type="dxa"/>
            <w:tcBorders>
              <w:top w:val="double" w:sz="6" w:space="0" w:color="auto"/>
              <w:left w:val="double" w:sz="6" w:space="0" w:color="auto"/>
              <w:bottom w:val="nil"/>
              <w:right w:val="double" w:sz="6" w:space="0" w:color="auto"/>
            </w:tcBorders>
            <w:shd w:val="clear" w:color="000000" w:fill="FFFFFF"/>
            <w:vAlign w:val="center"/>
          </w:tcPr>
          <w:p w:rsidR="002F2CA8" w:rsidRPr="00413E43" w:rsidRDefault="002F2CA8" w:rsidP="00E30396">
            <w:pPr>
              <w:jc w:val="left"/>
              <w:rPr>
                <w:rFonts w:eastAsia="Times New Roman"/>
                <w:color w:val="000000"/>
                <w:sz w:val="20"/>
                <w:szCs w:val="20"/>
              </w:rPr>
            </w:pPr>
            <w:r>
              <w:rPr>
                <w:rFonts w:eastAsia="Times New Roman"/>
                <w:color w:val="000000"/>
                <w:sz w:val="20"/>
                <w:szCs w:val="20"/>
              </w:rPr>
              <w:t>Northland</w:t>
            </w:r>
          </w:p>
        </w:tc>
        <w:tc>
          <w:tcPr>
            <w:tcW w:w="1350" w:type="dxa"/>
            <w:tcBorders>
              <w:top w:val="double" w:sz="6" w:space="0" w:color="auto"/>
              <w:left w:val="nil"/>
              <w:bottom w:val="nil"/>
              <w:right w:val="double" w:sz="6" w:space="0" w:color="auto"/>
            </w:tcBorders>
            <w:shd w:val="clear" w:color="000000" w:fill="FFFFFF"/>
            <w:vAlign w:val="center"/>
          </w:tcPr>
          <w:p w:rsidR="002F2CA8" w:rsidRPr="00833021" w:rsidRDefault="00171BA6" w:rsidP="00C76494">
            <w:pPr>
              <w:jc w:val="center"/>
              <w:rPr>
                <w:rFonts w:eastAsia="Times New Roman"/>
                <w:color w:val="000000"/>
                <w:sz w:val="20"/>
                <w:szCs w:val="20"/>
              </w:rPr>
            </w:pPr>
            <w:r>
              <w:rPr>
                <w:sz w:val="20"/>
                <w:szCs w:val="20"/>
              </w:rPr>
              <w:t xml:space="preserve">  </w:t>
            </w:r>
            <w:r w:rsidR="002F2CA8" w:rsidRPr="00833021">
              <w:rPr>
                <w:sz w:val="20"/>
                <w:szCs w:val="20"/>
              </w:rPr>
              <w:t>5,383</w:t>
            </w:r>
          </w:p>
        </w:tc>
        <w:tc>
          <w:tcPr>
            <w:tcW w:w="1566" w:type="dxa"/>
            <w:tcBorders>
              <w:top w:val="double" w:sz="6" w:space="0" w:color="auto"/>
              <w:left w:val="double" w:sz="6" w:space="0" w:color="auto"/>
              <w:bottom w:val="nil"/>
              <w:right w:val="double" w:sz="6" w:space="0" w:color="auto"/>
            </w:tcBorders>
            <w:shd w:val="clear" w:color="000000" w:fill="FFFFFF"/>
            <w:noWrap/>
            <w:vAlign w:val="center"/>
          </w:tcPr>
          <w:p w:rsidR="002F2CA8" w:rsidRPr="00413E43" w:rsidRDefault="002F2CA8" w:rsidP="00C76494">
            <w:pPr>
              <w:jc w:val="center"/>
              <w:rPr>
                <w:rFonts w:eastAsia="Times New Roman"/>
                <w:color w:val="000000"/>
                <w:sz w:val="20"/>
                <w:szCs w:val="20"/>
              </w:rPr>
            </w:pPr>
            <w:r>
              <w:rPr>
                <w:rFonts w:eastAsia="Times New Roman"/>
                <w:color w:val="000000"/>
                <w:sz w:val="20"/>
                <w:szCs w:val="20"/>
              </w:rPr>
              <w:t xml:space="preserve">290 </w:t>
            </w:r>
            <w:proofErr w:type="gramStart"/>
            <w:r>
              <w:rPr>
                <w:rFonts w:eastAsia="Times New Roman"/>
                <w:color w:val="000000"/>
                <w:sz w:val="20"/>
                <w:szCs w:val="20"/>
              </w:rPr>
              <w:t>(  8.3</w:t>
            </w:r>
            <w:proofErr w:type="gramEnd"/>
            <w:r w:rsidRPr="00413E43">
              <w:rPr>
                <w:rFonts w:eastAsia="Times New Roman"/>
                <w:color w:val="000000"/>
                <w:sz w:val="20"/>
                <w:szCs w:val="20"/>
              </w:rPr>
              <w:t>%)</w:t>
            </w:r>
          </w:p>
        </w:tc>
        <w:tc>
          <w:tcPr>
            <w:tcW w:w="1651" w:type="dxa"/>
            <w:tcBorders>
              <w:top w:val="double" w:sz="6" w:space="0" w:color="auto"/>
              <w:left w:val="double" w:sz="6" w:space="0" w:color="auto"/>
              <w:bottom w:val="nil"/>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0.0539</w:t>
            </w:r>
          </w:p>
        </w:tc>
        <w:tc>
          <w:tcPr>
            <w:tcW w:w="1225" w:type="dxa"/>
            <w:tcBorders>
              <w:top w:val="double" w:sz="6" w:space="0" w:color="auto"/>
              <w:left w:val="nil"/>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1.16</w:t>
            </w:r>
          </w:p>
        </w:tc>
        <w:tc>
          <w:tcPr>
            <w:tcW w:w="1225" w:type="dxa"/>
            <w:tcBorders>
              <w:top w:val="double" w:sz="6" w:space="0" w:color="auto"/>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sidRPr="00413E43">
              <w:rPr>
                <w:rFonts w:eastAsia="Times New Roman"/>
                <w:color w:val="000000"/>
                <w:sz w:val="20"/>
                <w:szCs w:val="20"/>
              </w:rPr>
              <w:t>1</w:t>
            </w:r>
          </w:p>
        </w:tc>
        <w:tc>
          <w:tcPr>
            <w:tcW w:w="1225" w:type="dxa"/>
            <w:tcBorders>
              <w:top w:val="double" w:sz="6" w:space="0" w:color="auto"/>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4</w:t>
            </w:r>
          </w:p>
        </w:tc>
        <w:tc>
          <w:tcPr>
            <w:tcW w:w="1226" w:type="dxa"/>
            <w:tcBorders>
              <w:top w:val="double" w:sz="6" w:space="0" w:color="auto"/>
              <w:left w:val="single" w:sz="4" w:space="0" w:color="auto"/>
              <w:bottom w:val="nil"/>
              <w:right w:val="double" w:sz="6"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0.44</w:t>
            </w:r>
          </w:p>
        </w:tc>
      </w:tr>
      <w:tr w:rsidR="002F2CA8" w:rsidRPr="00413E43" w:rsidTr="00C76494">
        <w:trPr>
          <w:cantSplit/>
          <w:trHeight w:val="360"/>
          <w:jc w:val="center"/>
        </w:trPr>
        <w:tc>
          <w:tcPr>
            <w:tcW w:w="717" w:type="dxa"/>
            <w:vMerge/>
            <w:tcBorders>
              <w:left w:val="double" w:sz="6" w:space="0" w:color="auto"/>
              <w:right w:val="double" w:sz="6" w:space="0" w:color="auto"/>
            </w:tcBorders>
            <w:shd w:val="clear" w:color="000000" w:fill="FFFFFF"/>
          </w:tcPr>
          <w:p w:rsidR="002F2CA8" w:rsidRDefault="002F2CA8" w:rsidP="00BD6523">
            <w:pPr>
              <w:jc w:val="left"/>
              <w:rPr>
                <w:rFonts w:eastAsia="Times New Roman"/>
                <w:color w:val="000000"/>
                <w:sz w:val="20"/>
                <w:szCs w:val="20"/>
              </w:rPr>
            </w:pPr>
          </w:p>
        </w:tc>
        <w:tc>
          <w:tcPr>
            <w:tcW w:w="2070" w:type="dxa"/>
            <w:tcBorders>
              <w:top w:val="nil"/>
              <w:left w:val="double" w:sz="6" w:space="0" w:color="auto"/>
              <w:bottom w:val="nil"/>
              <w:right w:val="double" w:sz="6" w:space="0" w:color="auto"/>
            </w:tcBorders>
            <w:shd w:val="clear" w:color="000000" w:fill="FFFFFF"/>
            <w:vAlign w:val="center"/>
          </w:tcPr>
          <w:p w:rsidR="002F2CA8" w:rsidRPr="00413E43" w:rsidRDefault="002F2CA8" w:rsidP="00E30396">
            <w:pPr>
              <w:jc w:val="left"/>
              <w:rPr>
                <w:rFonts w:eastAsia="Times New Roman"/>
                <w:color w:val="000000"/>
                <w:sz w:val="20"/>
                <w:szCs w:val="20"/>
              </w:rPr>
            </w:pPr>
            <w:r>
              <w:rPr>
                <w:rFonts w:eastAsia="Times New Roman"/>
                <w:color w:val="000000"/>
                <w:sz w:val="20"/>
                <w:szCs w:val="20"/>
              </w:rPr>
              <w:t>Auckland</w:t>
            </w:r>
          </w:p>
        </w:tc>
        <w:tc>
          <w:tcPr>
            <w:tcW w:w="1350" w:type="dxa"/>
            <w:tcBorders>
              <w:top w:val="nil"/>
              <w:left w:val="nil"/>
              <w:bottom w:val="nil"/>
              <w:right w:val="double" w:sz="6" w:space="0" w:color="auto"/>
            </w:tcBorders>
            <w:shd w:val="clear" w:color="000000" w:fill="FFFFFF"/>
            <w:vAlign w:val="center"/>
          </w:tcPr>
          <w:p w:rsidR="002F2CA8" w:rsidRPr="00833021" w:rsidRDefault="00171BA6" w:rsidP="00C76494">
            <w:pPr>
              <w:jc w:val="center"/>
              <w:rPr>
                <w:rFonts w:eastAsia="Times New Roman"/>
                <w:color w:val="000000"/>
                <w:sz w:val="20"/>
                <w:szCs w:val="20"/>
              </w:rPr>
            </w:pPr>
            <w:r>
              <w:rPr>
                <w:sz w:val="20"/>
                <w:szCs w:val="20"/>
              </w:rPr>
              <w:t xml:space="preserve">  </w:t>
            </w:r>
            <w:r w:rsidR="002F2CA8" w:rsidRPr="00833021">
              <w:rPr>
                <w:sz w:val="20"/>
                <w:szCs w:val="20"/>
              </w:rPr>
              <w:t>2,162</w:t>
            </w:r>
          </w:p>
        </w:tc>
        <w:tc>
          <w:tcPr>
            <w:tcW w:w="1566" w:type="dxa"/>
            <w:tcBorders>
              <w:top w:val="nil"/>
              <w:left w:val="double" w:sz="6" w:space="0" w:color="auto"/>
              <w:bottom w:val="nil"/>
              <w:right w:val="double" w:sz="6" w:space="0" w:color="auto"/>
            </w:tcBorders>
            <w:shd w:val="clear" w:color="000000" w:fill="FFFFFF"/>
            <w:noWrap/>
            <w:vAlign w:val="center"/>
          </w:tcPr>
          <w:p w:rsidR="002F2CA8" w:rsidRPr="00413E43" w:rsidRDefault="002F2CA8" w:rsidP="00C76494">
            <w:pPr>
              <w:jc w:val="center"/>
              <w:rPr>
                <w:rFonts w:eastAsia="Times New Roman"/>
                <w:color w:val="000000"/>
                <w:sz w:val="20"/>
                <w:szCs w:val="20"/>
              </w:rPr>
            </w:pPr>
            <w:r>
              <w:rPr>
                <w:rFonts w:eastAsia="Times New Roman"/>
                <w:color w:val="000000"/>
                <w:sz w:val="20"/>
                <w:szCs w:val="20"/>
              </w:rPr>
              <w:t>575 (16.4%)</w:t>
            </w:r>
          </w:p>
        </w:tc>
        <w:tc>
          <w:tcPr>
            <w:tcW w:w="1651" w:type="dxa"/>
            <w:tcBorders>
              <w:top w:val="nil"/>
              <w:left w:val="double" w:sz="6" w:space="0" w:color="auto"/>
              <w:bottom w:val="nil"/>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0.2660</w:t>
            </w:r>
          </w:p>
        </w:tc>
        <w:tc>
          <w:tcPr>
            <w:tcW w:w="1225" w:type="dxa"/>
            <w:tcBorders>
              <w:top w:val="nil"/>
              <w:left w:val="nil"/>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1.17</w:t>
            </w:r>
          </w:p>
        </w:tc>
        <w:tc>
          <w:tcPr>
            <w:tcW w:w="1225" w:type="dxa"/>
            <w:tcBorders>
              <w:top w:val="nil"/>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w:t>
            </w:r>
          </w:p>
        </w:tc>
        <w:tc>
          <w:tcPr>
            <w:tcW w:w="1225" w:type="dxa"/>
            <w:tcBorders>
              <w:top w:val="nil"/>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6</w:t>
            </w:r>
          </w:p>
        </w:tc>
        <w:tc>
          <w:tcPr>
            <w:tcW w:w="1226" w:type="dxa"/>
            <w:tcBorders>
              <w:top w:val="nil"/>
              <w:left w:val="single" w:sz="4" w:space="0" w:color="auto"/>
              <w:bottom w:val="nil"/>
              <w:right w:val="double" w:sz="6"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0.49</w:t>
            </w:r>
          </w:p>
        </w:tc>
      </w:tr>
      <w:tr w:rsidR="002F2CA8" w:rsidRPr="00413E43" w:rsidTr="00C76494">
        <w:trPr>
          <w:cantSplit/>
          <w:trHeight w:val="360"/>
          <w:jc w:val="center"/>
        </w:trPr>
        <w:tc>
          <w:tcPr>
            <w:tcW w:w="717" w:type="dxa"/>
            <w:vMerge/>
            <w:tcBorders>
              <w:left w:val="double" w:sz="6" w:space="0" w:color="auto"/>
              <w:right w:val="double" w:sz="6" w:space="0" w:color="auto"/>
            </w:tcBorders>
            <w:shd w:val="clear" w:color="000000" w:fill="FFFFFF"/>
          </w:tcPr>
          <w:p w:rsidR="002F2CA8" w:rsidRDefault="002F2CA8" w:rsidP="00BD6523">
            <w:pPr>
              <w:jc w:val="left"/>
              <w:rPr>
                <w:rFonts w:eastAsia="Times New Roman"/>
                <w:color w:val="000000"/>
                <w:sz w:val="20"/>
                <w:szCs w:val="20"/>
              </w:rPr>
            </w:pPr>
          </w:p>
        </w:tc>
        <w:tc>
          <w:tcPr>
            <w:tcW w:w="2070" w:type="dxa"/>
            <w:tcBorders>
              <w:top w:val="nil"/>
              <w:left w:val="double" w:sz="6" w:space="0" w:color="auto"/>
              <w:bottom w:val="nil"/>
              <w:right w:val="double" w:sz="6" w:space="0" w:color="auto"/>
            </w:tcBorders>
            <w:shd w:val="clear" w:color="000000" w:fill="FFFFFF"/>
            <w:vAlign w:val="center"/>
          </w:tcPr>
          <w:p w:rsidR="002F2CA8" w:rsidRPr="00413E43" w:rsidRDefault="002F2CA8" w:rsidP="00E30396">
            <w:pPr>
              <w:jc w:val="left"/>
              <w:rPr>
                <w:rFonts w:eastAsia="Times New Roman"/>
                <w:color w:val="000000"/>
                <w:sz w:val="20"/>
                <w:szCs w:val="20"/>
              </w:rPr>
            </w:pPr>
            <w:r>
              <w:rPr>
                <w:rFonts w:eastAsia="Times New Roman"/>
                <w:color w:val="000000"/>
                <w:sz w:val="20"/>
                <w:szCs w:val="20"/>
              </w:rPr>
              <w:t>Waikato</w:t>
            </w:r>
          </w:p>
        </w:tc>
        <w:tc>
          <w:tcPr>
            <w:tcW w:w="1350" w:type="dxa"/>
            <w:tcBorders>
              <w:top w:val="nil"/>
              <w:left w:val="nil"/>
              <w:bottom w:val="nil"/>
              <w:right w:val="double" w:sz="6" w:space="0" w:color="auto"/>
            </w:tcBorders>
            <w:shd w:val="clear" w:color="000000" w:fill="FFFFFF"/>
            <w:vAlign w:val="center"/>
          </w:tcPr>
          <w:p w:rsidR="002F2CA8" w:rsidRPr="00833021" w:rsidRDefault="00171BA6" w:rsidP="00C76494">
            <w:pPr>
              <w:jc w:val="center"/>
              <w:rPr>
                <w:rFonts w:eastAsia="Times New Roman"/>
                <w:color w:val="000000"/>
                <w:sz w:val="20"/>
                <w:szCs w:val="20"/>
              </w:rPr>
            </w:pPr>
            <w:r>
              <w:rPr>
                <w:sz w:val="20"/>
                <w:szCs w:val="20"/>
              </w:rPr>
              <w:t xml:space="preserve">  </w:t>
            </w:r>
            <w:r w:rsidR="002F2CA8" w:rsidRPr="00833021">
              <w:rPr>
                <w:sz w:val="20"/>
                <w:szCs w:val="20"/>
              </w:rPr>
              <w:t>9,883</w:t>
            </w:r>
          </w:p>
        </w:tc>
        <w:tc>
          <w:tcPr>
            <w:tcW w:w="1566" w:type="dxa"/>
            <w:tcBorders>
              <w:top w:val="nil"/>
              <w:left w:val="double" w:sz="6" w:space="0" w:color="auto"/>
              <w:bottom w:val="nil"/>
              <w:right w:val="double" w:sz="6" w:space="0" w:color="auto"/>
            </w:tcBorders>
            <w:shd w:val="clear" w:color="000000" w:fill="FFFFFF"/>
            <w:noWrap/>
            <w:vAlign w:val="center"/>
          </w:tcPr>
          <w:p w:rsidR="002F2CA8" w:rsidRPr="00413E43" w:rsidRDefault="002F2CA8" w:rsidP="00C76494">
            <w:pPr>
              <w:jc w:val="center"/>
              <w:rPr>
                <w:rFonts w:eastAsia="Times New Roman"/>
                <w:color w:val="000000"/>
                <w:sz w:val="20"/>
                <w:szCs w:val="20"/>
              </w:rPr>
            </w:pPr>
            <w:r>
              <w:rPr>
                <w:rFonts w:eastAsia="Times New Roman"/>
                <w:color w:val="000000"/>
                <w:sz w:val="20"/>
                <w:szCs w:val="20"/>
              </w:rPr>
              <w:t>788 (22.5%)</w:t>
            </w:r>
          </w:p>
        </w:tc>
        <w:tc>
          <w:tcPr>
            <w:tcW w:w="1651" w:type="dxa"/>
            <w:tcBorders>
              <w:top w:val="nil"/>
              <w:left w:val="double" w:sz="6" w:space="0" w:color="auto"/>
              <w:bottom w:val="nil"/>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0.0798</w:t>
            </w:r>
          </w:p>
        </w:tc>
        <w:tc>
          <w:tcPr>
            <w:tcW w:w="1225" w:type="dxa"/>
            <w:tcBorders>
              <w:top w:val="nil"/>
              <w:left w:val="nil"/>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1.19</w:t>
            </w:r>
          </w:p>
        </w:tc>
        <w:tc>
          <w:tcPr>
            <w:tcW w:w="1225" w:type="dxa"/>
            <w:tcBorders>
              <w:top w:val="nil"/>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w:t>
            </w:r>
          </w:p>
        </w:tc>
        <w:tc>
          <w:tcPr>
            <w:tcW w:w="1225" w:type="dxa"/>
            <w:tcBorders>
              <w:top w:val="nil"/>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7</w:t>
            </w:r>
          </w:p>
        </w:tc>
        <w:tc>
          <w:tcPr>
            <w:tcW w:w="1226" w:type="dxa"/>
            <w:tcBorders>
              <w:top w:val="nil"/>
              <w:left w:val="single" w:sz="4" w:space="0" w:color="auto"/>
              <w:bottom w:val="nil"/>
              <w:right w:val="double" w:sz="6"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0.53</w:t>
            </w:r>
          </w:p>
        </w:tc>
      </w:tr>
      <w:tr w:rsidR="002F2CA8" w:rsidRPr="00413E43" w:rsidTr="00C76494">
        <w:trPr>
          <w:cantSplit/>
          <w:trHeight w:val="360"/>
          <w:jc w:val="center"/>
        </w:trPr>
        <w:tc>
          <w:tcPr>
            <w:tcW w:w="717" w:type="dxa"/>
            <w:vMerge/>
            <w:tcBorders>
              <w:left w:val="double" w:sz="6" w:space="0" w:color="auto"/>
              <w:right w:val="double" w:sz="6" w:space="0" w:color="auto"/>
            </w:tcBorders>
            <w:shd w:val="clear" w:color="000000" w:fill="FFFFFF"/>
          </w:tcPr>
          <w:p w:rsidR="002F2CA8" w:rsidRDefault="002F2CA8" w:rsidP="00BD6523">
            <w:pPr>
              <w:jc w:val="left"/>
              <w:rPr>
                <w:rFonts w:eastAsia="Times New Roman"/>
                <w:color w:val="000000"/>
                <w:sz w:val="20"/>
                <w:szCs w:val="20"/>
              </w:rPr>
            </w:pPr>
          </w:p>
        </w:tc>
        <w:tc>
          <w:tcPr>
            <w:tcW w:w="2070" w:type="dxa"/>
            <w:tcBorders>
              <w:top w:val="nil"/>
              <w:left w:val="double" w:sz="6" w:space="0" w:color="auto"/>
              <w:bottom w:val="nil"/>
              <w:right w:val="double" w:sz="6" w:space="0" w:color="auto"/>
            </w:tcBorders>
            <w:shd w:val="clear" w:color="000000" w:fill="FFFFFF"/>
            <w:vAlign w:val="center"/>
          </w:tcPr>
          <w:p w:rsidR="002F2CA8" w:rsidRPr="00413E43" w:rsidRDefault="002F2CA8" w:rsidP="00E30396">
            <w:pPr>
              <w:jc w:val="left"/>
              <w:rPr>
                <w:rFonts w:eastAsia="Times New Roman"/>
                <w:color w:val="000000"/>
                <w:sz w:val="20"/>
                <w:szCs w:val="20"/>
              </w:rPr>
            </w:pPr>
            <w:r>
              <w:rPr>
                <w:rFonts w:eastAsia="Times New Roman"/>
                <w:color w:val="000000"/>
                <w:sz w:val="20"/>
                <w:szCs w:val="20"/>
              </w:rPr>
              <w:t>Bay of Plenty</w:t>
            </w:r>
          </w:p>
        </w:tc>
        <w:tc>
          <w:tcPr>
            <w:tcW w:w="1350" w:type="dxa"/>
            <w:tcBorders>
              <w:top w:val="nil"/>
              <w:left w:val="nil"/>
              <w:bottom w:val="nil"/>
              <w:right w:val="double" w:sz="6" w:space="0" w:color="auto"/>
            </w:tcBorders>
            <w:shd w:val="clear" w:color="000000" w:fill="FFFFFF"/>
            <w:vAlign w:val="center"/>
          </w:tcPr>
          <w:p w:rsidR="002F2CA8" w:rsidRPr="00833021" w:rsidRDefault="00171BA6" w:rsidP="00C76494">
            <w:pPr>
              <w:jc w:val="center"/>
              <w:rPr>
                <w:rFonts w:eastAsia="Times New Roman"/>
                <w:color w:val="000000"/>
                <w:sz w:val="20"/>
                <w:szCs w:val="20"/>
              </w:rPr>
            </w:pPr>
            <w:r>
              <w:rPr>
                <w:sz w:val="20"/>
                <w:szCs w:val="20"/>
              </w:rPr>
              <w:t xml:space="preserve">  </w:t>
            </w:r>
            <w:r w:rsidR="002F2CA8" w:rsidRPr="00833021">
              <w:rPr>
                <w:sz w:val="20"/>
                <w:szCs w:val="20"/>
              </w:rPr>
              <w:t>4,806</w:t>
            </w:r>
          </w:p>
        </w:tc>
        <w:tc>
          <w:tcPr>
            <w:tcW w:w="1566" w:type="dxa"/>
            <w:tcBorders>
              <w:top w:val="nil"/>
              <w:left w:val="double" w:sz="6" w:space="0" w:color="auto"/>
              <w:bottom w:val="nil"/>
              <w:right w:val="double" w:sz="6" w:space="0" w:color="auto"/>
            </w:tcBorders>
            <w:shd w:val="clear" w:color="000000" w:fill="FFFFFF"/>
            <w:noWrap/>
            <w:vAlign w:val="center"/>
          </w:tcPr>
          <w:p w:rsidR="002F2CA8" w:rsidRPr="00413E43" w:rsidRDefault="002F2CA8" w:rsidP="00C76494">
            <w:pPr>
              <w:jc w:val="center"/>
              <w:rPr>
                <w:rFonts w:eastAsia="Times New Roman"/>
                <w:color w:val="000000"/>
                <w:sz w:val="20"/>
                <w:szCs w:val="20"/>
              </w:rPr>
            </w:pPr>
            <w:r>
              <w:rPr>
                <w:rFonts w:eastAsia="Times New Roman"/>
                <w:color w:val="000000"/>
                <w:sz w:val="20"/>
                <w:szCs w:val="20"/>
              </w:rPr>
              <w:t>454 (12.9%)</w:t>
            </w:r>
          </w:p>
        </w:tc>
        <w:tc>
          <w:tcPr>
            <w:tcW w:w="1651" w:type="dxa"/>
            <w:tcBorders>
              <w:top w:val="nil"/>
              <w:left w:val="double" w:sz="6" w:space="0" w:color="auto"/>
              <w:bottom w:val="nil"/>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0.0945</w:t>
            </w:r>
          </w:p>
        </w:tc>
        <w:tc>
          <w:tcPr>
            <w:tcW w:w="1225" w:type="dxa"/>
            <w:tcBorders>
              <w:top w:val="nil"/>
              <w:left w:val="nil"/>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1.20</w:t>
            </w:r>
          </w:p>
        </w:tc>
        <w:tc>
          <w:tcPr>
            <w:tcW w:w="1225" w:type="dxa"/>
            <w:tcBorders>
              <w:top w:val="nil"/>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w:t>
            </w:r>
          </w:p>
        </w:tc>
        <w:tc>
          <w:tcPr>
            <w:tcW w:w="1225" w:type="dxa"/>
            <w:tcBorders>
              <w:top w:val="nil"/>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8</w:t>
            </w:r>
          </w:p>
        </w:tc>
        <w:tc>
          <w:tcPr>
            <w:tcW w:w="1226" w:type="dxa"/>
            <w:tcBorders>
              <w:top w:val="nil"/>
              <w:left w:val="single" w:sz="4" w:space="0" w:color="auto"/>
              <w:bottom w:val="nil"/>
              <w:right w:val="double" w:sz="6"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0.61</w:t>
            </w:r>
          </w:p>
        </w:tc>
      </w:tr>
      <w:tr w:rsidR="002F2CA8" w:rsidRPr="00413E43" w:rsidTr="00C76494">
        <w:trPr>
          <w:cantSplit/>
          <w:trHeight w:val="360"/>
          <w:jc w:val="center"/>
        </w:trPr>
        <w:tc>
          <w:tcPr>
            <w:tcW w:w="717" w:type="dxa"/>
            <w:vMerge/>
            <w:tcBorders>
              <w:left w:val="double" w:sz="6" w:space="0" w:color="auto"/>
              <w:right w:val="double" w:sz="6" w:space="0" w:color="auto"/>
            </w:tcBorders>
            <w:shd w:val="clear" w:color="000000" w:fill="FFFFFF"/>
          </w:tcPr>
          <w:p w:rsidR="002F2CA8" w:rsidRDefault="002F2CA8" w:rsidP="00BD6523">
            <w:pPr>
              <w:jc w:val="left"/>
              <w:rPr>
                <w:rFonts w:eastAsia="Times New Roman"/>
                <w:color w:val="000000"/>
                <w:sz w:val="20"/>
                <w:szCs w:val="20"/>
              </w:rPr>
            </w:pPr>
          </w:p>
        </w:tc>
        <w:tc>
          <w:tcPr>
            <w:tcW w:w="2070" w:type="dxa"/>
            <w:tcBorders>
              <w:top w:val="nil"/>
              <w:left w:val="double" w:sz="6" w:space="0" w:color="auto"/>
              <w:bottom w:val="nil"/>
              <w:right w:val="double" w:sz="6" w:space="0" w:color="auto"/>
            </w:tcBorders>
            <w:shd w:val="clear" w:color="000000" w:fill="FFFFFF"/>
            <w:vAlign w:val="center"/>
          </w:tcPr>
          <w:p w:rsidR="002F2CA8" w:rsidRPr="00413E43" w:rsidRDefault="002F2CA8" w:rsidP="00E30396">
            <w:pPr>
              <w:jc w:val="left"/>
              <w:rPr>
                <w:rFonts w:eastAsia="Times New Roman"/>
                <w:color w:val="000000"/>
                <w:sz w:val="20"/>
                <w:szCs w:val="20"/>
              </w:rPr>
            </w:pPr>
            <w:r>
              <w:rPr>
                <w:rFonts w:eastAsia="Times New Roman"/>
                <w:color w:val="000000"/>
                <w:sz w:val="20"/>
                <w:szCs w:val="20"/>
              </w:rPr>
              <w:t>Gisborne</w:t>
            </w:r>
          </w:p>
        </w:tc>
        <w:tc>
          <w:tcPr>
            <w:tcW w:w="1350" w:type="dxa"/>
            <w:tcBorders>
              <w:top w:val="nil"/>
              <w:left w:val="nil"/>
              <w:bottom w:val="nil"/>
              <w:right w:val="double" w:sz="6" w:space="0" w:color="auto"/>
            </w:tcBorders>
            <w:shd w:val="clear" w:color="000000" w:fill="FFFFFF"/>
            <w:vAlign w:val="center"/>
          </w:tcPr>
          <w:p w:rsidR="002F2CA8" w:rsidRPr="00833021" w:rsidRDefault="00171BA6" w:rsidP="00C76494">
            <w:pPr>
              <w:jc w:val="center"/>
              <w:rPr>
                <w:rFonts w:eastAsia="Times New Roman"/>
                <w:color w:val="000000"/>
                <w:sz w:val="20"/>
                <w:szCs w:val="20"/>
              </w:rPr>
            </w:pPr>
            <w:r>
              <w:rPr>
                <w:sz w:val="20"/>
                <w:szCs w:val="20"/>
              </w:rPr>
              <w:t xml:space="preserve">  </w:t>
            </w:r>
            <w:r w:rsidR="002F2CA8" w:rsidRPr="00833021">
              <w:rPr>
                <w:sz w:val="20"/>
                <w:szCs w:val="20"/>
              </w:rPr>
              <w:t>3,224</w:t>
            </w:r>
          </w:p>
        </w:tc>
        <w:tc>
          <w:tcPr>
            <w:tcW w:w="1566" w:type="dxa"/>
            <w:tcBorders>
              <w:top w:val="nil"/>
              <w:left w:val="double" w:sz="6" w:space="0" w:color="auto"/>
              <w:bottom w:val="nil"/>
              <w:right w:val="double" w:sz="6" w:space="0" w:color="auto"/>
            </w:tcBorders>
            <w:shd w:val="clear" w:color="000000" w:fill="FFFFFF"/>
            <w:noWrap/>
            <w:vAlign w:val="center"/>
          </w:tcPr>
          <w:p w:rsidR="002F2CA8" w:rsidRPr="00413E43" w:rsidRDefault="00171BA6" w:rsidP="00C76494">
            <w:pPr>
              <w:jc w:val="center"/>
              <w:rPr>
                <w:rFonts w:eastAsia="Times New Roman"/>
                <w:color w:val="000000"/>
                <w:sz w:val="20"/>
                <w:szCs w:val="20"/>
              </w:rPr>
            </w:pPr>
            <w:r>
              <w:rPr>
                <w:rFonts w:eastAsia="Times New Roman"/>
                <w:color w:val="000000"/>
                <w:sz w:val="20"/>
                <w:szCs w:val="20"/>
              </w:rPr>
              <w:t xml:space="preserve">  </w:t>
            </w:r>
            <w:r w:rsidR="002F2CA8">
              <w:rPr>
                <w:rFonts w:eastAsia="Times New Roman"/>
                <w:color w:val="000000"/>
                <w:sz w:val="20"/>
                <w:szCs w:val="20"/>
              </w:rPr>
              <w:t xml:space="preserve">42 </w:t>
            </w:r>
            <w:proofErr w:type="gramStart"/>
            <w:r w:rsidR="002F2CA8">
              <w:rPr>
                <w:rFonts w:eastAsia="Times New Roman"/>
                <w:color w:val="000000"/>
                <w:sz w:val="20"/>
                <w:szCs w:val="20"/>
              </w:rPr>
              <w:t>(  1.2</w:t>
            </w:r>
            <w:proofErr w:type="gramEnd"/>
            <w:r w:rsidR="002F2CA8">
              <w:rPr>
                <w:rFonts w:eastAsia="Times New Roman"/>
                <w:color w:val="000000"/>
                <w:sz w:val="20"/>
                <w:szCs w:val="20"/>
              </w:rPr>
              <w:t>%)</w:t>
            </w:r>
          </w:p>
        </w:tc>
        <w:tc>
          <w:tcPr>
            <w:tcW w:w="1651" w:type="dxa"/>
            <w:tcBorders>
              <w:top w:val="nil"/>
              <w:left w:val="double" w:sz="6" w:space="0" w:color="auto"/>
              <w:bottom w:val="nil"/>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0.0129</w:t>
            </w:r>
          </w:p>
        </w:tc>
        <w:tc>
          <w:tcPr>
            <w:tcW w:w="1225" w:type="dxa"/>
            <w:tcBorders>
              <w:top w:val="nil"/>
              <w:left w:val="nil"/>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1.17</w:t>
            </w:r>
          </w:p>
        </w:tc>
        <w:tc>
          <w:tcPr>
            <w:tcW w:w="1225" w:type="dxa"/>
            <w:tcBorders>
              <w:top w:val="nil"/>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w:t>
            </w:r>
          </w:p>
        </w:tc>
        <w:tc>
          <w:tcPr>
            <w:tcW w:w="1225" w:type="dxa"/>
            <w:tcBorders>
              <w:top w:val="nil"/>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4</w:t>
            </w:r>
          </w:p>
        </w:tc>
        <w:tc>
          <w:tcPr>
            <w:tcW w:w="1226" w:type="dxa"/>
            <w:tcBorders>
              <w:top w:val="nil"/>
              <w:left w:val="single" w:sz="4" w:space="0" w:color="auto"/>
              <w:bottom w:val="nil"/>
              <w:right w:val="double" w:sz="6"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0.53</w:t>
            </w:r>
          </w:p>
        </w:tc>
      </w:tr>
      <w:tr w:rsidR="002F2CA8" w:rsidRPr="00413E43" w:rsidTr="00C76494">
        <w:trPr>
          <w:cantSplit/>
          <w:trHeight w:val="360"/>
          <w:jc w:val="center"/>
        </w:trPr>
        <w:tc>
          <w:tcPr>
            <w:tcW w:w="717" w:type="dxa"/>
            <w:vMerge/>
            <w:tcBorders>
              <w:left w:val="double" w:sz="6" w:space="0" w:color="auto"/>
              <w:right w:val="double" w:sz="6" w:space="0" w:color="auto"/>
            </w:tcBorders>
            <w:shd w:val="clear" w:color="000000" w:fill="FFFFFF"/>
          </w:tcPr>
          <w:p w:rsidR="002F2CA8" w:rsidRDefault="002F2CA8" w:rsidP="00BD6523">
            <w:pPr>
              <w:jc w:val="left"/>
              <w:rPr>
                <w:rFonts w:eastAsia="Times New Roman"/>
                <w:color w:val="000000"/>
                <w:sz w:val="20"/>
                <w:szCs w:val="20"/>
              </w:rPr>
            </w:pPr>
          </w:p>
        </w:tc>
        <w:tc>
          <w:tcPr>
            <w:tcW w:w="2070" w:type="dxa"/>
            <w:tcBorders>
              <w:top w:val="nil"/>
              <w:left w:val="double" w:sz="6" w:space="0" w:color="auto"/>
              <w:bottom w:val="nil"/>
              <w:right w:val="double" w:sz="6" w:space="0" w:color="auto"/>
            </w:tcBorders>
            <w:shd w:val="clear" w:color="000000" w:fill="FFFFFF"/>
            <w:vAlign w:val="center"/>
          </w:tcPr>
          <w:p w:rsidR="002F2CA8" w:rsidRPr="00413E43" w:rsidRDefault="002F2CA8" w:rsidP="00E30396">
            <w:pPr>
              <w:jc w:val="left"/>
              <w:rPr>
                <w:rFonts w:eastAsia="Times New Roman"/>
                <w:color w:val="000000"/>
                <w:sz w:val="20"/>
                <w:szCs w:val="20"/>
              </w:rPr>
            </w:pPr>
            <w:r>
              <w:rPr>
                <w:rFonts w:eastAsia="Times New Roman"/>
                <w:color w:val="000000"/>
                <w:sz w:val="20"/>
                <w:szCs w:val="20"/>
              </w:rPr>
              <w:t>Taranaki</w:t>
            </w:r>
          </w:p>
        </w:tc>
        <w:tc>
          <w:tcPr>
            <w:tcW w:w="1350" w:type="dxa"/>
            <w:tcBorders>
              <w:top w:val="nil"/>
              <w:left w:val="nil"/>
              <w:bottom w:val="nil"/>
              <w:right w:val="double" w:sz="6" w:space="0" w:color="auto"/>
            </w:tcBorders>
            <w:shd w:val="clear" w:color="000000" w:fill="FFFFFF"/>
            <w:vAlign w:val="center"/>
          </w:tcPr>
          <w:p w:rsidR="002F2CA8" w:rsidRPr="00833021" w:rsidRDefault="00171BA6" w:rsidP="00C76494">
            <w:pPr>
              <w:jc w:val="center"/>
              <w:rPr>
                <w:rFonts w:eastAsia="Times New Roman"/>
                <w:color w:val="000000"/>
                <w:sz w:val="20"/>
                <w:szCs w:val="20"/>
              </w:rPr>
            </w:pPr>
            <w:r>
              <w:rPr>
                <w:sz w:val="20"/>
                <w:szCs w:val="20"/>
              </w:rPr>
              <w:t xml:space="preserve">  </w:t>
            </w:r>
            <w:r w:rsidR="002F2CA8" w:rsidRPr="00833021">
              <w:rPr>
                <w:sz w:val="20"/>
                <w:szCs w:val="20"/>
              </w:rPr>
              <w:t>2,808</w:t>
            </w:r>
          </w:p>
        </w:tc>
        <w:tc>
          <w:tcPr>
            <w:tcW w:w="1566" w:type="dxa"/>
            <w:tcBorders>
              <w:top w:val="nil"/>
              <w:left w:val="double" w:sz="6" w:space="0" w:color="auto"/>
              <w:bottom w:val="nil"/>
              <w:right w:val="double" w:sz="6" w:space="0" w:color="auto"/>
            </w:tcBorders>
            <w:shd w:val="clear" w:color="000000" w:fill="FFFFFF"/>
            <w:noWrap/>
            <w:vAlign w:val="center"/>
          </w:tcPr>
          <w:p w:rsidR="002F2CA8" w:rsidRDefault="002F2CA8" w:rsidP="00C76494">
            <w:pPr>
              <w:jc w:val="center"/>
              <w:rPr>
                <w:rFonts w:eastAsia="Times New Roman"/>
                <w:color w:val="000000"/>
                <w:sz w:val="20"/>
                <w:szCs w:val="20"/>
              </w:rPr>
            </w:pPr>
            <w:r>
              <w:rPr>
                <w:rFonts w:eastAsia="Times New Roman"/>
                <w:color w:val="000000"/>
                <w:sz w:val="20"/>
                <w:szCs w:val="20"/>
              </w:rPr>
              <w:t xml:space="preserve">104 </w:t>
            </w:r>
            <w:proofErr w:type="gramStart"/>
            <w:r>
              <w:rPr>
                <w:rFonts w:eastAsia="Times New Roman"/>
                <w:color w:val="000000"/>
                <w:sz w:val="20"/>
                <w:szCs w:val="20"/>
              </w:rPr>
              <w:t>(  3.0</w:t>
            </w:r>
            <w:proofErr w:type="gramEnd"/>
            <w:r>
              <w:rPr>
                <w:rFonts w:eastAsia="Times New Roman"/>
                <w:color w:val="000000"/>
                <w:sz w:val="20"/>
                <w:szCs w:val="20"/>
              </w:rPr>
              <w:t>%)</w:t>
            </w:r>
          </w:p>
        </w:tc>
        <w:tc>
          <w:tcPr>
            <w:tcW w:w="1651" w:type="dxa"/>
            <w:tcBorders>
              <w:top w:val="nil"/>
              <w:left w:val="double" w:sz="6" w:space="0" w:color="auto"/>
              <w:bottom w:val="nil"/>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0.0370</w:t>
            </w:r>
          </w:p>
        </w:tc>
        <w:tc>
          <w:tcPr>
            <w:tcW w:w="1225" w:type="dxa"/>
            <w:tcBorders>
              <w:top w:val="nil"/>
              <w:left w:val="nil"/>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1.12</w:t>
            </w:r>
          </w:p>
        </w:tc>
        <w:tc>
          <w:tcPr>
            <w:tcW w:w="1225" w:type="dxa"/>
            <w:tcBorders>
              <w:top w:val="nil"/>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w:t>
            </w:r>
          </w:p>
        </w:tc>
        <w:tc>
          <w:tcPr>
            <w:tcW w:w="1225" w:type="dxa"/>
            <w:tcBorders>
              <w:top w:val="nil"/>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3</w:t>
            </w:r>
          </w:p>
        </w:tc>
        <w:tc>
          <w:tcPr>
            <w:tcW w:w="1226" w:type="dxa"/>
            <w:tcBorders>
              <w:top w:val="nil"/>
              <w:left w:val="single" w:sz="4" w:space="0" w:color="auto"/>
              <w:bottom w:val="nil"/>
              <w:right w:val="double" w:sz="6"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0.35</w:t>
            </w:r>
          </w:p>
        </w:tc>
      </w:tr>
      <w:tr w:rsidR="002F2CA8" w:rsidRPr="00413E43" w:rsidTr="00C76494">
        <w:trPr>
          <w:cantSplit/>
          <w:trHeight w:val="360"/>
          <w:jc w:val="center"/>
        </w:trPr>
        <w:tc>
          <w:tcPr>
            <w:tcW w:w="717" w:type="dxa"/>
            <w:vMerge/>
            <w:tcBorders>
              <w:left w:val="double" w:sz="6" w:space="0" w:color="auto"/>
              <w:right w:val="double" w:sz="6" w:space="0" w:color="auto"/>
            </w:tcBorders>
            <w:shd w:val="clear" w:color="000000" w:fill="FFFFFF"/>
          </w:tcPr>
          <w:p w:rsidR="002F2CA8" w:rsidRDefault="002F2CA8" w:rsidP="00BD6523">
            <w:pPr>
              <w:jc w:val="left"/>
              <w:rPr>
                <w:rFonts w:eastAsia="Times New Roman"/>
                <w:color w:val="000000"/>
                <w:sz w:val="20"/>
                <w:szCs w:val="20"/>
              </w:rPr>
            </w:pPr>
          </w:p>
        </w:tc>
        <w:tc>
          <w:tcPr>
            <w:tcW w:w="2070" w:type="dxa"/>
            <w:tcBorders>
              <w:top w:val="nil"/>
              <w:left w:val="double" w:sz="6" w:space="0" w:color="auto"/>
              <w:right w:val="double" w:sz="6" w:space="0" w:color="auto"/>
            </w:tcBorders>
            <w:shd w:val="clear" w:color="000000" w:fill="FFFFFF"/>
            <w:vAlign w:val="center"/>
          </w:tcPr>
          <w:p w:rsidR="002F2CA8" w:rsidRPr="00413E43" w:rsidRDefault="002F2CA8" w:rsidP="00E30396">
            <w:pPr>
              <w:jc w:val="left"/>
              <w:rPr>
                <w:rFonts w:eastAsia="Times New Roman"/>
                <w:color w:val="000000"/>
                <w:sz w:val="20"/>
                <w:szCs w:val="20"/>
              </w:rPr>
            </w:pPr>
            <w:proofErr w:type="spellStart"/>
            <w:r>
              <w:rPr>
                <w:rFonts w:eastAsia="Times New Roman"/>
                <w:color w:val="000000"/>
                <w:sz w:val="20"/>
                <w:szCs w:val="20"/>
              </w:rPr>
              <w:t>Manawatu</w:t>
            </w:r>
            <w:proofErr w:type="spellEnd"/>
            <w:r>
              <w:rPr>
                <w:rFonts w:eastAsia="Times New Roman"/>
                <w:color w:val="000000"/>
                <w:sz w:val="20"/>
                <w:szCs w:val="20"/>
              </w:rPr>
              <w:t>-Wanganui</w:t>
            </w:r>
          </w:p>
        </w:tc>
        <w:tc>
          <w:tcPr>
            <w:tcW w:w="1350" w:type="dxa"/>
            <w:tcBorders>
              <w:top w:val="nil"/>
              <w:left w:val="nil"/>
              <w:right w:val="double" w:sz="6" w:space="0" w:color="auto"/>
            </w:tcBorders>
            <w:shd w:val="clear" w:color="000000" w:fill="FFFFFF"/>
            <w:vAlign w:val="center"/>
          </w:tcPr>
          <w:p w:rsidR="002F2CA8" w:rsidRPr="00833021" w:rsidRDefault="00171BA6" w:rsidP="00C76494">
            <w:pPr>
              <w:jc w:val="center"/>
              <w:rPr>
                <w:rFonts w:eastAsia="Times New Roman"/>
                <w:color w:val="000000"/>
                <w:sz w:val="20"/>
                <w:szCs w:val="20"/>
              </w:rPr>
            </w:pPr>
            <w:r>
              <w:rPr>
                <w:sz w:val="20"/>
                <w:szCs w:val="20"/>
              </w:rPr>
              <w:t xml:space="preserve">  </w:t>
            </w:r>
            <w:r w:rsidR="002F2CA8" w:rsidRPr="00833021">
              <w:rPr>
                <w:sz w:val="20"/>
                <w:szCs w:val="20"/>
              </w:rPr>
              <w:t>8,577</w:t>
            </w:r>
          </w:p>
        </w:tc>
        <w:tc>
          <w:tcPr>
            <w:tcW w:w="1566" w:type="dxa"/>
            <w:tcBorders>
              <w:top w:val="nil"/>
              <w:left w:val="double" w:sz="6" w:space="0" w:color="auto"/>
              <w:right w:val="double" w:sz="6" w:space="0" w:color="auto"/>
            </w:tcBorders>
            <w:shd w:val="clear" w:color="000000" w:fill="FFFFFF"/>
            <w:noWrap/>
            <w:vAlign w:val="center"/>
          </w:tcPr>
          <w:p w:rsidR="002F2CA8" w:rsidRDefault="002F2CA8" w:rsidP="00C76494">
            <w:pPr>
              <w:jc w:val="center"/>
              <w:rPr>
                <w:rFonts w:eastAsia="Times New Roman"/>
                <w:color w:val="000000"/>
                <w:sz w:val="20"/>
                <w:szCs w:val="20"/>
              </w:rPr>
            </w:pPr>
            <w:r>
              <w:rPr>
                <w:rFonts w:eastAsia="Times New Roman"/>
                <w:color w:val="000000"/>
                <w:sz w:val="20"/>
                <w:szCs w:val="20"/>
              </w:rPr>
              <w:t xml:space="preserve">288 </w:t>
            </w:r>
            <w:proofErr w:type="gramStart"/>
            <w:r>
              <w:rPr>
                <w:rFonts w:eastAsia="Times New Roman"/>
                <w:color w:val="000000"/>
                <w:sz w:val="20"/>
                <w:szCs w:val="20"/>
              </w:rPr>
              <w:t>(  8.2</w:t>
            </w:r>
            <w:proofErr w:type="gramEnd"/>
            <w:r>
              <w:rPr>
                <w:rFonts w:eastAsia="Times New Roman"/>
                <w:color w:val="000000"/>
                <w:sz w:val="20"/>
                <w:szCs w:val="20"/>
              </w:rPr>
              <w:t>%)</w:t>
            </w:r>
          </w:p>
        </w:tc>
        <w:tc>
          <w:tcPr>
            <w:tcW w:w="1651" w:type="dxa"/>
            <w:tcBorders>
              <w:top w:val="nil"/>
              <w:left w:val="double" w:sz="6" w:space="0" w:color="auto"/>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0.0337</w:t>
            </w:r>
          </w:p>
        </w:tc>
        <w:tc>
          <w:tcPr>
            <w:tcW w:w="1225" w:type="dxa"/>
            <w:tcBorders>
              <w:top w:val="nil"/>
              <w:left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1.13</w:t>
            </w:r>
          </w:p>
        </w:tc>
        <w:tc>
          <w:tcPr>
            <w:tcW w:w="1225" w:type="dxa"/>
            <w:tcBorders>
              <w:top w:val="nil"/>
              <w:left w:val="single" w:sz="4" w:space="0" w:color="auto"/>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w:t>
            </w:r>
          </w:p>
        </w:tc>
        <w:tc>
          <w:tcPr>
            <w:tcW w:w="1225" w:type="dxa"/>
            <w:tcBorders>
              <w:top w:val="nil"/>
              <w:left w:val="single" w:sz="4" w:space="0" w:color="auto"/>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4</w:t>
            </w:r>
          </w:p>
        </w:tc>
        <w:tc>
          <w:tcPr>
            <w:tcW w:w="1226" w:type="dxa"/>
            <w:tcBorders>
              <w:top w:val="nil"/>
              <w:left w:val="single" w:sz="4" w:space="0" w:color="auto"/>
              <w:right w:val="double" w:sz="6"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0.38</w:t>
            </w:r>
          </w:p>
        </w:tc>
      </w:tr>
      <w:tr w:rsidR="002F2CA8" w:rsidRPr="00413E43" w:rsidTr="00C76494">
        <w:trPr>
          <w:cantSplit/>
          <w:trHeight w:val="360"/>
          <w:jc w:val="center"/>
        </w:trPr>
        <w:tc>
          <w:tcPr>
            <w:tcW w:w="717" w:type="dxa"/>
            <w:vMerge/>
            <w:tcBorders>
              <w:left w:val="double" w:sz="6" w:space="0" w:color="auto"/>
              <w:bottom w:val="single" w:sz="4" w:space="0" w:color="auto"/>
              <w:right w:val="double" w:sz="6" w:space="0" w:color="auto"/>
            </w:tcBorders>
            <w:shd w:val="clear" w:color="000000" w:fill="FFFFFF"/>
          </w:tcPr>
          <w:p w:rsidR="002F2CA8" w:rsidRDefault="002F2CA8" w:rsidP="00BD6523">
            <w:pPr>
              <w:jc w:val="left"/>
              <w:rPr>
                <w:rFonts w:eastAsia="Times New Roman"/>
                <w:color w:val="000000"/>
                <w:sz w:val="20"/>
                <w:szCs w:val="20"/>
              </w:rPr>
            </w:pPr>
          </w:p>
        </w:tc>
        <w:tc>
          <w:tcPr>
            <w:tcW w:w="2070" w:type="dxa"/>
            <w:tcBorders>
              <w:top w:val="nil"/>
              <w:left w:val="double" w:sz="6" w:space="0" w:color="auto"/>
              <w:right w:val="double" w:sz="6" w:space="0" w:color="auto"/>
            </w:tcBorders>
            <w:shd w:val="clear" w:color="000000" w:fill="FFFFFF"/>
            <w:vAlign w:val="center"/>
          </w:tcPr>
          <w:p w:rsidR="002F2CA8" w:rsidRDefault="002F2CA8" w:rsidP="00E30396">
            <w:pPr>
              <w:jc w:val="left"/>
              <w:rPr>
                <w:rFonts w:eastAsia="Times New Roman"/>
                <w:color w:val="000000"/>
                <w:sz w:val="20"/>
                <w:szCs w:val="20"/>
              </w:rPr>
            </w:pPr>
            <w:r>
              <w:rPr>
                <w:rFonts w:eastAsia="Times New Roman"/>
                <w:color w:val="000000"/>
                <w:sz w:val="20"/>
                <w:szCs w:val="20"/>
              </w:rPr>
              <w:t>Hawke´s Bay</w:t>
            </w:r>
          </w:p>
        </w:tc>
        <w:tc>
          <w:tcPr>
            <w:tcW w:w="1350" w:type="dxa"/>
            <w:tcBorders>
              <w:top w:val="nil"/>
              <w:left w:val="nil"/>
              <w:right w:val="double" w:sz="6" w:space="0" w:color="auto"/>
            </w:tcBorders>
            <w:shd w:val="clear" w:color="000000" w:fill="FFFFFF"/>
            <w:vAlign w:val="center"/>
          </w:tcPr>
          <w:p w:rsidR="002F2CA8" w:rsidRPr="00833021" w:rsidRDefault="00171BA6" w:rsidP="00C76494">
            <w:pPr>
              <w:jc w:val="center"/>
              <w:rPr>
                <w:rFonts w:eastAsia="Times New Roman"/>
                <w:color w:val="000000"/>
                <w:sz w:val="20"/>
                <w:szCs w:val="20"/>
              </w:rPr>
            </w:pPr>
            <w:r>
              <w:rPr>
                <w:sz w:val="20"/>
                <w:szCs w:val="20"/>
              </w:rPr>
              <w:t xml:space="preserve">  </w:t>
            </w:r>
            <w:r w:rsidR="002F2CA8" w:rsidRPr="00833021">
              <w:rPr>
                <w:sz w:val="20"/>
                <w:szCs w:val="20"/>
              </w:rPr>
              <w:t>5,469</w:t>
            </w:r>
          </w:p>
        </w:tc>
        <w:tc>
          <w:tcPr>
            <w:tcW w:w="1566" w:type="dxa"/>
            <w:tcBorders>
              <w:top w:val="nil"/>
              <w:left w:val="double" w:sz="6" w:space="0" w:color="auto"/>
              <w:right w:val="double" w:sz="6" w:space="0" w:color="auto"/>
            </w:tcBorders>
            <w:shd w:val="clear" w:color="000000" w:fill="FFFFFF"/>
            <w:noWrap/>
            <w:vAlign w:val="center"/>
          </w:tcPr>
          <w:p w:rsidR="002F2CA8" w:rsidRDefault="002F2CA8" w:rsidP="00C76494">
            <w:pPr>
              <w:jc w:val="center"/>
              <w:rPr>
                <w:rFonts w:eastAsia="Times New Roman"/>
                <w:color w:val="000000"/>
                <w:sz w:val="20"/>
                <w:szCs w:val="20"/>
              </w:rPr>
            </w:pPr>
            <w:r>
              <w:rPr>
                <w:rFonts w:eastAsia="Times New Roman"/>
                <w:color w:val="000000"/>
                <w:sz w:val="20"/>
                <w:szCs w:val="20"/>
              </w:rPr>
              <w:t xml:space="preserve">185 </w:t>
            </w:r>
            <w:proofErr w:type="gramStart"/>
            <w:r>
              <w:rPr>
                <w:rFonts w:eastAsia="Times New Roman"/>
                <w:color w:val="000000"/>
                <w:sz w:val="20"/>
                <w:szCs w:val="20"/>
              </w:rPr>
              <w:t>(  5.3</w:t>
            </w:r>
            <w:proofErr w:type="gramEnd"/>
            <w:r>
              <w:rPr>
                <w:rFonts w:eastAsia="Times New Roman"/>
                <w:color w:val="000000"/>
                <w:sz w:val="20"/>
                <w:szCs w:val="20"/>
              </w:rPr>
              <w:t>%)</w:t>
            </w:r>
          </w:p>
        </w:tc>
        <w:tc>
          <w:tcPr>
            <w:tcW w:w="1651" w:type="dxa"/>
            <w:tcBorders>
              <w:top w:val="nil"/>
              <w:left w:val="double" w:sz="6" w:space="0" w:color="auto"/>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0.0339</w:t>
            </w:r>
          </w:p>
        </w:tc>
        <w:tc>
          <w:tcPr>
            <w:tcW w:w="1225" w:type="dxa"/>
            <w:tcBorders>
              <w:top w:val="nil"/>
              <w:left w:val="nil"/>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1.09</w:t>
            </w:r>
          </w:p>
        </w:tc>
        <w:tc>
          <w:tcPr>
            <w:tcW w:w="1225" w:type="dxa"/>
            <w:tcBorders>
              <w:top w:val="nil"/>
              <w:left w:val="single" w:sz="4" w:space="0" w:color="auto"/>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1</w:t>
            </w:r>
          </w:p>
        </w:tc>
        <w:tc>
          <w:tcPr>
            <w:tcW w:w="1225" w:type="dxa"/>
            <w:tcBorders>
              <w:top w:val="nil"/>
              <w:left w:val="single" w:sz="4" w:space="0" w:color="auto"/>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3</w:t>
            </w:r>
          </w:p>
        </w:tc>
        <w:tc>
          <w:tcPr>
            <w:tcW w:w="1226" w:type="dxa"/>
            <w:tcBorders>
              <w:top w:val="nil"/>
              <w:left w:val="single" w:sz="4" w:space="0" w:color="auto"/>
              <w:right w:val="double" w:sz="6"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0.31</w:t>
            </w:r>
          </w:p>
        </w:tc>
      </w:tr>
      <w:tr w:rsidR="002F2CA8" w:rsidRPr="00413E43" w:rsidTr="00C76494">
        <w:trPr>
          <w:cantSplit/>
          <w:trHeight w:val="360"/>
          <w:jc w:val="center"/>
        </w:trPr>
        <w:tc>
          <w:tcPr>
            <w:tcW w:w="717" w:type="dxa"/>
            <w:vMerge/>
            <w:tcBorders>
              <w:left w:val="double" w:sz="6" w:space="0" w:color="auto"/>
              <w:bottom w:val="single" w:sz="4" w:space="0" w:color="auto"/>
              <w:right w:val="double" w:sz="6" w:space="0" w:color="auto"/>
            </w:tcBorders>
            <w:shd w:val="clear" w:color="000000" w:fill="FFFFFF"/>
          </w:tcPr>
          <w:p w:rsidR="002F2CA8" w:rsidRDefault="002F2CA8" w:rsidP="00BD6523">
            <w:pPr>
              <w:jc w:val="left"/>
              <w:rPr>
                <w:rFonts w:eastAsia="Times New Roman"/>
                <w:color w:val="000000"/>
                <w:sz w:val="20"/>
                <w:szCs w:val="20"/>
              </w:rPr>
            </w:pPr>
          </w:p>
        </w:tc>
        <w:tc>
          <w:tcPr>
            <w:tcW w:w="2070" w:type="dxa"/>
            <w:tcBorders>
              <w:left w:val="double" w:sz="6" w:space="0" w:color="auto"/>
              <w:bottom w:val="single" w:sz="4" w:space="0" w:color="auto"/>
              <w:right w:val="double" w:sz="6" w:space="0" w:color="auto"/>
            </w:tcBorders>
            <w:shd w:val="clear" w:color="000000" w:fill="FFFFFF"/>
            <w:vAlign w:val="center"/>
          </w:tcPr>
          <w:p w:rsidR="002F2CA8" w:rsidRPr="00413E43" w:rsidRDefault="002F2CA8" w:rsidP="00E30396">
            <w:pPr>
              <w:jc w:val="left"/>
              <w:rPr>
                <w:rFonts w:eastAsia="Times New Roman"/>
                <w:color w:val="000000"/>
                <w:sz w:val="20"/>
                <w:szCs w:val="20"/>
              </w:rPr>
            </w:pPr>
            <w:r>
              <w:rPr>
                <w:rFonts w:eastAsia="Times New Roman"/>
                <w:color w:val="000000"/>
                <w:sz w:val="20"/>
                <w:szCs w:val="20"/>
              </w:rPr>
              <w:t>Wellington</w:t>
            </w:r>
          </w:p>
        </w:tc>
        <w:tc>
          <w:tcPr>
            <w:tcW w:w="1350" w:type="dxa"/>
            <w:tcBorders>
              <w:left w:val="nil"/>
              <w:bottom w:val="single" w:sz="4" w:space="0" w:color="auto"/>
              <w:right w:val="double" w:sz="6" w:space="0" w:color="auto"/>
            </w:tcBorders>
            <w:shd w:val="clear" w:color="000000" w:fill="FFFFFF"/>
            <w:vAlign w:val="center"/>
          </w:tcPr>
          <w:p w:rsidR="002F2CA8" w:rsidRPr="00833021" w:rsidRDefault="00171BA6" w:rsidP="00C76494">
            <w:pPr>
              <w:jc w:val="center"/>
              <w:rPr>
                <w:rFonts w:eastAsia="Times New Roman"/>
                <w:color w:val="000000"/>
                <w:sz w:val="20"/>
                <w:szCs w:val="20"/>
              </w:rPr>
            </w:pPr>
            <w:r>
              <w:rPr>
                <w:sz w:val="20"/>
                <w:szCs w:val="20"/>
              </w:rPr>
              <w:t xml:space="preserve">  </w:t>
            </w:r>
            <w:r w:rsidR="002F2CA8" w:rsidRPr="00833021">
              <w:rPr>
                <w:sz w:val="20"/>
                <w:szCs w:val="20"/>
              </w:rPr>
              <w:t>3,137</w:t>
            </w:r>
          </w:p>
        </w:tc>
        <w:tc>
          <w:tcPr>
            <w:tcW w:w="1566" w:type="dxa"/>
            <w:tcBorders>
              <w:left w:val="double" w:sz="6" w:space="0" w:color="auto"/>
              <w:bottom w:val="single" w:sz="4" w:space="0" w:color="auto"/>
              <w:right w:val="double" w:sz="6" w:space="0" w:color="auto"/>
            </w:tcBorders>
            <w:shd w:val="clear" w:color="000000" w:fill="FFFFFF"/>
            <w:noWrap/>
            <w:vAlign w:val="center"/>
          </w:tcPr>
          <w:p w:rsidR="002F2CA8" w:rsidRDefault="002F2CA8" w:rsidP="00C76494">
            <w:pPr>
              <w:jc w:val="center"/>
              <w:rPr>
                <w:rFonts w:eastAsia="Times New Roman"/>
                <w:color w:val="000000"/>
                <w:sz w:val="20"/>
                <w:szCs w:val="20"/>
              </w:rPr>
            </w:pPr>
            <w:r>
              <w:rPr>
                <w:rFonts w:eastAsia="Times New Roman"/>
                <w:color w:val="000000"/>
                <w:sz w:val="20"/>
                <w:szCs w:val="20"/>
              </w:rPr>
              <w:t xml:space="preserve">328 </w:t>
            </w:r>
            <w:proofErr w:type="gramStart"/>
            <w:r>
              <w:rPr>
                <w:rFonts w:eastAsia="Times New Roman"/>
                <w:color w:val="000000"/>
                <w:sz w:val="20"/>
                <w:szCs w:val="20"/>
              </w:rPr>
              <w:t>(  9.4</w:t>
            </w:r>
            <w:proofErr w:type="gramEnd"/>
            <w:r>
              <w:rPr>
                <w:rFonts w:eastAsia="Times New Roman"/>
                <w:color w:val="000000"/>
                <w:sz w:val="20"/>
                <w:szCs w:val="20"/>
              </w:rPr>
              <w:t>%)</w:t>
            </w:r>
          </w:p>
        </w:tc>
        <w:tc>
          <w:tcPr>
            <w:tcW w:w="1651" w:type="dxa"/>
            <w:tcBorders>
              <w:left w:val="double" w:sz="6" w:space="0" w:color="auto"/>
              <w:bottom w:val="single" w:sz="4" w:space="0" w:color="auto"/>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0.1046</w:t>
            </w:r>
          </w:p>
        </w:tc>
        <w:tc>
          <w:tcPr>
            <w:tcW w:w="1225" w:type="dxa"/>
            <w:tcBorders>
              <w:left w:val="nil"/>
              <w:bottom w:val="single" w:sz="4" w:space="0" w:color="auto"/>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1.18</w:t>
            </w:r>
          </w:p>
        </w:tc>
        <w:tc>
          <w:tcPr>
            <w:tcW w:w="1225" w:type="dxa"/>
            <w:tcBorders>
              <w:left w:val="single" w:sz="4" w:space="0" w:color="auto"/>
              <w:bottom w:val="single" w:sz="4" w:space="0" w:color="auto"/>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w:t>
            </w:r>
          </w:p>
        </w:tc>
        <w:tc>
          <w:tcPr>
            <w:tcW w:w="1225" w:type="dxa"/>
            <w:tcBorders>
              <w:left w:val="single" w:sz="4" w:space="0" w:color="auto"/>
              <w:bottom w:val="single" w:sz="4" w:space="0" w:color="auto"/>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4</w:t>
            </w:r>
          </w:p>
        </w:tc>
        <w:tc>
          <w:tcPr>
            <w:tcW w:w="1226" w:type="dxa"/>
            <w:tcBorders>
              <w:left w:val="single" w:sz="4" w:space="0" w:color="auto"/>
              <w:bottom w:val="single" w:sz="4" w:space="0" w:color="auto"/>
              <w:right w:val="double" w:sz="6"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0.47</w:t>
            </w:r>
          </w:p>
        </w:tc>
      </w:tr>
      <w:tr w:rsidR="002F2CA8" w:rsidRPr="00413E43" w:rsidTr="00C76494">
        <w:trPr>
          <w:cantSplit/>
          <w:trHeight w:val="360"/>
          <w:jc w:val="center"/>
        </w:trPr>
        <w:tc>
          <w:tcPr>
            <w:tcW w:w="717" w:type="dxa"/>
            <w:vMerge w:val="restart"/>
            <w:tcBorders>
              <w:top w:val="single" w:sz="4" w:space="0" w:color="auto"/>
              <w:left w:val="double" w:sz="6" w:space="0" w:color="auto"/>
              <w:right w:val="double" w:sz="6" w:space="0" w:color="auto"/>
            </w:tcBorders>
            <w:shd w:val="clear" w:color="000000" w:fill="FFFFFF"/>
            <w:textDirection w:val="btLr"/>
            <w:vAlign w:val="center"/>
          </w:tcPr>
          <w:p w:rsidR="002F2CA8" w:rsidRDefault="002F2CA8" w:rsidP="00BD6523">
            <w:pPr>
              <w:ind w:left="113" w:right="113"/>
              <w:jc w:val="center"/>
              <w:rPr>
                <w:rFonts w:eastAsia="Times New Roman"/>
                <w:color w:val="000000"/>
                <w:sz w:val="20"/>
                <w:szCs w:val="20"/>
              </w:rPr>
            </w:pPr>
            <w:r>
              <w:rPr>
                <w:rFonts w:eastAsia="Times New Roman"/>
                <w:color w:val="000000"/>
                <w:sz w:val="20"/>
                <w:szCs w:val="20"/>
              </w:rPr>
              <w:t>SOUTH ISLAND</w:t>
            </w:r>
          </w:p>
        </w:tc>
        <w:tc>
          <w:tcPr>
            <w:tcW w:w="2070" w:type="dxa"/>
            <w:tcBorders>
              <w:top w:val="single" w:sz="4" w:space="0" w:color="auto"/>
              <w:left w:val="double" w:sz="6" w:space="0" w:color="auto"/>
              <w:right w:val="double" w:sz="6" w:space="0" w:color="auto"/>
            </w:tcBorders>
            <w:shd w:val="clear" w:color="000000" w:fill="FFFFFF"/>
            <w:vAlign w:val="center"/>
          </w:tcPr>
          <w:p w:rsidR="002F2CA8" w:rsidRDefault="002F2CA8" w:rsidP="00E30396">
            <w:pPr>
              <w:jc w:val="left"/>
              <w:rPr>
                <w:rFonts w:eastAsia="Times New Roman"/>
                <w:color w:val="000000"/>
                <w:sz w:val="20"/>
                <w:szCs w:val="20"/>
              </w:rPr>
            </w:pPr>
            <w:r>
              <w:rPr>
                <w:rFonts w:eastAsia="Times New Roman"/>
                <w:color w:val="000000"/>
                <w:sz w:val="20"/>
                <w:szCs w:val="20"/>
              </w:rPr>
              <w:t>Tasman</w:t>
            </w:r>
          </w:p>
        </w:tc>
        <w:tc>
          <w:tcPr>
            <w:tcW w:w="1350" w:type="dxa"/>
            <w:tcBorders>
              <w:top w:val="single" w:sz="4" w:space="0" w:color="auto"/>
              <w:left w:val="nil"/>
              <w:right w:val="double" w:sz="6" w:space="0" w:color="auto"/>
            </w:tcBorders>
            <w:shd w:val="clear" w:color="000000" w:fill="FFFFFF"/>
            <w:vAlign w:val="center"/>
          </w:tcPr>
          <w:p w:rsidR="002F2CA8" w:rsidRPr="00833021" w:rsidRDefault="00171BA6" w:rsidP="00C76494">
            <w:pPr>
              <w:jc w:val="center"/>
              <w:rPr>
                <w:rFonts w:eastAsia="Times New Roman"/>
                <w:color w:val="000000"/>
                <w:sz w:val="20"/>
                <w:szCs w:val="20"/>
              </w:rPr>
            </w:pPr>
            <w:r>
              <w:rPr>
                <w:sz w:val="20"/>
                <w:szCs w:val="20"/>
              </w:rPr>
              <w:t xml:space="preserve">  </w:t>
            </w:r>
            <w:r w:rsidR="002F2CA8" w:rsidRPr="00833021">
              <w:rPr>
                <w:sz w:val="20"/>
                <w:szCs w:val="20"/>
              </w:rPr>
              <w:t>3,778</w:t>
            </w:r>
          </w:p>
        </w:tc>
        <w:tc>
          <w:tcPr>
            <w:tcW w:w="1566" w:type="dxa"/>
            <w:tcBorders>
              <w:top w:val="single" w:sz="4" w:space="0" w:color="auto"/>
              <w:left w:val="double" w:sz="6" w:space="0" w:color="auto"/>
              <w:right w:val="double" w:sz="6" w:space="0" w:color="auto"/>
            </w:tcBorders>
            <w:shd w:val="clear" w:color="000000" w:fill="FFFFFF"/>
            <w:noWrap/>
            <w:vAlign w:val="center"/>
          </w:tcPr>
          <w:p w:rsidR="002F2CA8" w:rsidRDefault="00171BA6" w:rsidP="00C76494">
            <w:pPr>
              <w:jc w:val="center"/>
              <w:rPr>
                <w:rFonts w:eastAsia="Times New Roman"/>
                <w:color w:val="000000"/>
                <w:sz w:val="20"/>
                <w:szCs w:val="20"/>
              </w:rPr>
            </w:pPr>
            <w:r>
              <w:rPr>
                <w:rFonts w:eastAsia="Times New Roman"/>
                <w:color w:val="000000"/>
                <w:sz w:val="20"/>
                <w:szCs w:val="20"/>
              </w:rPr>
              <w:t xml:space="preserve">  </w:t>
            </w:r>
            <w:r w:rsidR="002F2CA8">
              <w:rPr>
                <w:rFonts w:eastAsia="Times New Roman"/>
                <w:color w:val="000000"/>
                <w:sz w:val="20"/>
                <w:szCs w:val="20"/>
              </w:rPr>
              <w:t xml:space="preserve">70 </w:t>
            </w:r>
            <w:proofErr w:type="gramStart"/>
            <w:r w:rsidR="002F2CA8">
              <w:rPr>
                <w:rFonts w:eastAsia="Times New Roman"/>
                <w:color w:val="000000"/>
                <w:sz w:val="20"/>
                <w:szCs w:val="20"/>
              </w:rPr>
              <w:t>(  2.0</w:t>
            </w:r>
            <w:proofErr w:type="gramEnd"/>
            <w:r w:rsidR="002F2CA8">
              <w:rPr>
                <w:rFonts w:eastAsia="Times New Roman"/>
                <w:color w:val="000000"/>
                <w:sz w:val="20"/>
                <w:szCs w:val="20"/>
              </w:rPr>
              <w:t>%)</w:t>
            </w:r>
          </w:p>
        </w:tc>
        <w:tc>
          <w:tcPr>
            <w:tcW w:w="1651" w:type="dxa"/>
            <w:tcBorders>
              <w:top w:val="single" w:sz="4" w:space="0" w:color="auto"/>
              <w:left w:val="double" w:sz="6" w:space="0" w:color="auto"/>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0.0186</w:t>
            </w:r>
          </w:p>
        </w:tc>
        <w:tc>
          <w:tcPr>
            <w:tcW w:w="1225" w:type="dxa"/>
            <w:tcBorders>
              <w:top w:val="single" w:sz="4" w:space="0" w:color="auto"/>
              <w:left w:val="nil"/>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1.16</w:t>
            </w:r>
          </w:p>
        </w:tc>
        <w:tc>
          <w:tcPr>
            <w:tcW w:w="1225" w:type="dxa"/>
            <w:tcBorders>
              <w:top w:val="single" w:sz="4" w:space="0" w:color="auto"/>
              <w:left w:val="single" w:sz="4" w:space="0" w:color="auto"/>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1</w:t>
            </w:r>
          </w:p>
        </w:tc>
        <w:tc>
          <w:tcPr>
            <w:tcW w:w="1225" w:type="dxa"/>
            <w:tcBorders>
              <w:top w:val="single" w:sz="4" w:space="0" w:color="auto"/>
              <w:left w:val="single" w:sz="4" w:space="0" w:color="auto"/>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3</w:t>
            </w:r>
          </w:p>
        </w:tc>
        <w:tc>
          <w:tcPr>
            <w:tcW w:w="1226" w:type="dxa"/>
            <w:tcBorders>
              <w:top w:val="single" w:sz="4" w:space="0" w:color="auto"/>
              <w:left w:val="single" w:sz="4" w:space="0" w:color="auto"/>
              <w:right w:val="double" w:sz="6"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0.50</w:t>
            </w:r>
          </w:p>
        </w:tc>
      </w:tr>
      <w:tr w:rsidR="002F2CA8" w:rsidRPr="00413E43" w:rsidTr="00C76494">
        <w:trPr>
          <w:cantSplit/>
          <w:trHeight w:val="360"/>
          <w:jc w:val="center"/>
        </w:trPr>
        <w:tc>
          <w:tcPr>
            <w:tcW w:w="717" w:type="dxa"/>
            <w:vMerge/>
            <w:tcBorders>
              <w:left w:val="double" w:sz="6" w:space="0" w:color="auto"/>
              <w:right w:val="double" w:sz="6" w:space="0" w:color="auto"/>
            </w:tcBorders>
            <w:shd w:val="clear" w:color="000000" w:fill="FFFFFF"/>
            <w:textDirection w:val="btLr"/>
            <w:vAlign w:val="center"/>
          </w:tcPr>
          <w:p w:rsidR="002F2CA8" w:rsidRDefault="002F2CA8" w:rsidP="00BD6523">
            <w:pPr>
              <w:ind w:left="113" w:right="113"/>
              <w:jc w:val="center"/>
              <w:rPr>
                <w:rFonts w:eastAsia="Times New Roman"/>
                <w:color w:val="000000"/>
                <w:sz w:val="20"/>
                <w:szCs w:val="20"/>
              </w:rPr>
            </w:pPr>
          </w:p>
        </w:tc>
        <w:tc>
          <w:tcPr>
            <w:tcW w:w="2070" w:type="dxa"/>
            <w:tcBorders>
              <w:left w:val="double" w:sz="6" w:space="0" w:color="auto"/>
              <w:right w:val="double" w:sz="6" w:space="0" w:color="auto"/>
            </w:tcBorders>
            <w:shd w:val="clear" w:color="000000" w:fill="FFFFFF"/>
            <w:vAlign w:val="center"/>
          </w:tcPr>
          <w:p w:rsidR="002F2CA8" w:rsidRDefault="002F2CA8" w:rsidP="00E30396">
            <w:pPr>
              <w:jc w:val="left"/>
              <w:rPr>
                <w:rFonts w:eastAsia="Times New Roman"/>
                <w:color w:val="000000"/>
                <w:sz w:val="20"/>
                <w:szCs w:val="20"/>
              </w:rPr>
            </w:pPr>
            <w:r>
              <w:rPr>
                <w:rFonts w:eastAsia="Times New Roman"/>
                <w:color w:val="000000"/>
                <w:sz w:val="20"/>
                <w:szCs w:val="20"/>
              </w:rPr>
              <w:t>Nelson</w:t>
            </w:r>
          </w:p>
        </w:tc>
        <w:tc>
          <w:tcPr>
            <w:tcW w:w="1350" w:type="dxa"/>
            <w:tcBorders>
              <w:left w:val="nil"/>
              <w:right w:val="double" w:sz="6" w:space="0" w:color="auto"/>
            </w:tcBorders>
            <w:shd w:val="clear" w:color="000000" w:fill="FFFFFF"/>
            <w:vAlign w:val="center"/>
          </w:tcPr>
          <w:p w:rsidR="002F2CA8" w:rsidRPr="00833021" w:rsidRDefault="00171BA6" w:rsidP="00C76494">
            <w:pPr>
              <w:jc w:val="center"/>
              <w:rPr>
                <w:rFonts w:eastAsia="Times New Roman"/>
                <w:color w:val="000000"/>
                <w:sz w:val="20"/>
                <w:szCs w:val="20"/>
              </w:rPr>
            </w:pPr>
            <w:r>
              <w:rPr>
                <w:sz w:val="20"/>
                <w:szCs w:val="20"/>
              </w:rPr>
              <w:t xml:space="preserve">    </w:t>
            </w:r>
            <w:r w:rsidR="002F2CA8" w:rsidRPr="00833021">
              <w:rPr>
                <w:sz w:val="20"/>
                <w:szCs w:val="20"/>
              </w:rPr>
              <w:t>172</w:t>
            </w:r>
          </w:p>
        </w:tc>
        <w:tc>
          <w:tcPr>
            <w:tcW w:w="1566" w:type="dxa"/>
            <w:tcBorders>
              <w:left w:val="double" w:sz="6" w:space="0" w:color="auto"/>
              <w:right w:val="double" w:sz="6" w:space="0" w:color="auto"/>
            </w:tcBorders>
            <w:shd w:val="clear" w:color="000000" w:fill="FFFFFF"/>
            <w:noWrap/>
            <w:vAlign w:val="center"/>
          </w:tcPr>
          <w:p w:rsidR="002F2CA8" w:rsidRDefault="00171BA6" w:rsidP="00C76494">
            <w:pPr>
              <w:jc w:val="center"/>
              <w:rPr>
                <w:rFonts w:eastAsia="Times New Roman"/>
                <w:color w:val="000000"/>
                <w:sz w:val="20"/>
                <w:szCs w:val="20"/>
              </w:rPr>
            </w:pPr>
            <w:r>
              <w:rPr>
                <w:rFonts w:eastAsia="Times New Roman"/>
                <w:color w:val="000000"/>
                <w:sz w:val="20"/>
                <w:szCs w:val="20"/>
              </w:rPr>
              <w:t xml:space="preserve">  </w:t>
            </w:r>
            <w:r w:rsidR="002F2CA8">
              <w:rPr>
                <w:rFonts w:eastAsia="Times New Roman"/>
                <w:color w:val="000000"/>
                <w:sz w:val="20"/>
                <w:szCs w:val="20"/>
              </w:rPr>
              <w:t xml:space="preserve">31 </w:t>
            </w:r>
            <w:proofErr w:type="gramStart"/>
            <w:r w:rsidR="002F2CA8">
              <w:rPr>
                <w:rFonts w:eastAsia="Times New Roman"/>
                <w:color w:val="000000"/>
                <w:sz w:val="20"/>
                <w:szCs w:val="20"/>
              </w:rPr>
              <w:t>(  0.9</w:t>
            </w:r>
            <w:proofErr w:type="gramEnd"/>
            <w:r w:rsidR="002F2CA8">
              <w:rPr>
                <w:rFonts w:eastAsia="Times New Roman"/>
                <w:color w:val="000000"/>
                <w:sz w:val="20"/>
                <w:szCs w:val="20"/>
              </w:rPr>
              <w:t>%)</w:t>
            </w:r>
          </w:p>
        </w:tc>
        <w:tc>
          <w:tcPr>
            <w:tcW w:w="1651" w:type="dxa"/>
            <w:tcBorders>
              <w:left w:val="double" w:sz="6" w:space="0" w:color="auto"/>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0.1805</w:t>
            </w:r>
          </w:p>
        </w:tc>
        <w:tc>
          <w:tcPr>
            <w:tcW w:w="1225" w:type="dxa"/>
            <w:tcBorders>
              <w:left w:val="nil"/>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1.06</w:t>
            </w:r>
          </w:p>
        </w:tc>
        <w:tc>
          <w:tcPr>
            <w:tcW w:w="1225" w:type="dxa"/>
            <w:tcBorders>
              <w:left w:val="single" w:sz="4" w:space="0" w:color="auto"/>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1</w:t>
            </w:r>
          </w:p>
        </w:tc>
        <w:tc>
          <w:tcPr>
            <w:tcW w:w="1225" w:type="dxa"/>
            <w:tcBorders>
              <w:left w:val="single" w:sz="4" w:space="0" w:color="auto"/>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2</w:t>
            </w:r>
          </w:p>
        </w:tc>
        <w:tc>
          <w:tcPr>
            <w:tcW w:w="1226" w:type="dxa"/>
            <w:tcBorders>
              <w:left w:val="single" w:sz="4" w:space="0" w:color="auto"/>
              <w:right w:val="double" w:sz="6"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0.25</w:t>
            </w:r>
          </w:p>
        </w:tc>
      </w:tr>
      <w:tr w:rsidR="002F2CA8" w:rsidRPr="00413E43" w:rsidTr="00C76494">
        <w:trPr>
          <w:cantSplit/>
          <w:trHeight w:val="360"/>
          <w:jc w:val="center"/>
        </w:trPr>
        <w:tc>
          <w:tcPr>
            <w:tcW w:w="717" w:type="dxa"/>
            <w:vMerge/>
            <w:tcBorders>
              <w:left w:val="double" w:sz="6" w:space="0" w:color="auto"/>
              <w:right w:val="double" w:sz="6" w:space="0" w:color="auto"/>
            </w:tcBorders>
            <w:shd w:val="clear" w:color="000000" w:fill="FFFFFF"/>
            <w:textDirection w:val="btLr"/>
            <w:vAlign w:val="center"/>
          </w:tcPr>
          <w:p w:rsidR="002F2CA8" w:rsidRDefault="002F2CA8" w:rsidP="00BD6523">
            <w:pPr>
              <w:ind w:left="113" w:right="113"/>
              <w:jc w:val="center"/>
              <w:rPr>
                <w:rFonts w:eastAsia="Times New Roman"/>
                <w:color w:val="000000"/>
                <w:sz w:val="20"/>
                <w:szCs w:val="20"/>
              </w:rPr>
            </w:pPr>
          </w:p>
        </w:tc>
        <w:tc>
          <w:tcPr>
            <w:tcW w:w="2070" w:type="dxa"/>
            <w:tcBorders>
              <w:left w:val="double" w:sz="6" w:space="0" w:color="auto"/>
              <w:right w:val="double" w:sz="6" w:space="0" w:color="auto"/>
            </w:tcBorders>
            <w:shd w:val="clear" w:color="000000" w:fill="FFFFFF"/>
            <w:vAlign w:val="center"/>
          </w:tcPr>
          <w:p w:rsidR="002F2CA8" w:rsidRDefault="002F2CA8" w:rsidP="00E30396">
            <w:pPr>
              <w:jc w:val="left"/>
              <w:rPr>
                <w:rFonts w:eastAsia="Times New Roman"/>
                <w:color w:val="000000"/>
                <w:sz w:val="20"/>
                <w:szCs w:val="20"/>
              </w:rPr>
            </w:pPr>
            <w:r>
              <w:rPr>
                <w:rFonts w:eastAsia="Times New Roman"/>
                <w:color w:val="000000"/>
                <w:sz w:val="20"/>
                <w:szCs w:val="20"/>
              </w:rPr>
              <w:t>Marlborough</w:t>
            </w:r>
          </w:p>
        </w:tc>
        <w:tc>
          <w:tcPr>
            <w:tcW w:w="1350" w:type="dxa"/>
            <w:tcBorders>
              <w:left w:val="nil"/>
              <w:right w:val="double" w:sz="6" w:space="0" w:color="auto"/>
            </w:tcBorders>
            <w:shd w:val="clear" w:color="000000" w:fill="FFFFFF"/>
            <w:vAlign w:val="center"/>
          </w:tcPr>
          <w:p w:rsidR="002F2CA8" w:rsidRPr="00833021" w:rsidRDefault="00171BA6" w:rsidP="00C76494">
            <w:pPr>
              <w:jc w:val="center"/>
              <w:rPr>
                <w:rFonts w:eastAsia="Times New Roman"/>
                <w:color w:val="000000"/>
                <w:sz w:val="20"/>
                <w:szCs w:val="20"/>
              </w:rPr>
            </w:pPr>
            <w:r>
              <w:rPr>
                <w:sz w:val="20"/>
                <w:szCs w:val="20"/>
              </w:rPr>
              <w:t xml:space="preserve">  </w:t>
            </w:r>
            <w:r w:rsidR="002F2CA8" w:rsidRPr="00833021">
              <w:rPr>
                <w:sz w:val="20"/>
                <w:szCs w:val="20"/>
              </w:rPr>
              <w:t>4,820</w:t>
            </w:r>
          </w:p>
        </w:tc>
        <w:tc>
          <w:tcPr>
            <w:tcW w:w="1566" w:type="dxa"/>
            <w:tcBorders>
              <w:left w:val="double" w:sz="6" w:space="0" w:color="auto"/>
              <w:right w:val="double" w:sz="6" w:space="0" w:color="auto"/>
            </w:tcBorders>
            <w:shd w:val="clear" w:color="000000" w:fill="FFFFFF"/>
            <w:noWrap/>
            <w:vAlign w:val="center"/>
          </w:tcPr>
          <w:p w:rsidR="002F2CA8" w:rsidRDefault="00171BA6" w:rsidP="00C76494">
            <w:pPr>
              <w:jc w:val="center"/>
              <w:rPr>
                <w:rFonts w:eastAsia="Times New Roman"/>
                <w:color w:val="000000"/>
                <w:sz w:val="20"/>
                <w:szCs w:val="20"/>
              </w:rPr>
            </w:pPr>
            <w:r>
              <w:rPr>
                <w:rFonts w:eastAsia="Times New Roman"/>
                <w:color w:val="000000"/>
                <w:sz w:val="20"/>
                <w:szCs w:val="20"/>
              </w:rPr>
              <w:t xml:space="preserve">  </w:t>
            </w:r>
            <w:r w:rsidR="002F2CA8">
              <w:rPr>
                <w:rFonts w:eastAsia="Times New Roman"/>
                <w:color w:val="000000"/>
                <w:sz w:val="20"/>
                <w:szCs w:val="20"/>
              </w:rPr>
              <w:t xml:space="preserve">74 </w:t>
            </w:r>
            <w:proofErr w:type="gramStart"/>
            <w:r w:rsidR="002F2CA8">
              <w:rPr>
                <w:rFonts w:eastAsia="Times New Roman"/>
                <w:color w:val="000000"/>
                <w:sz w:val="20"/>
                <w:szCs w:val="20"/>
              </w:rPr>
              <w:t>(  2.1</w:t>
            </w:r>
            <w:proofErr w:type="gramEnd"/>
            <w:r w:rsidR="002F2CA8">
              <w:rPr>
                <w:rFonts w:eastAsia="Times New Roman"/>
                <w:color w:val="000000"/>
                <w:sz w:val="20"/>
                <w:szCs w:val="20"/>
              </w:rPr>
              <w:t>%)</w:t>
            </w:r>
          </w:p>
        </w:tc>
        <w:tc>
          <w:tcPr>
            <w:tcW w:w="1651" w:type="dxa"/>
            <w:tcBorders>
              <w:left w:val="double" w:sz="6" w:space="0" w:color="auto"/>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0.0153</w:t>
            </w:r>
          </w:p>
        </w:tc>
        <w:tc>
          <w:tcPr>
            <w:tcW w:w="1225" w:type="dxa"/>
            <w:tcBorders>
              <w:left w:val="nil"/>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1.07</w:t>
            </w:r>
          </w:p>
        </w:tc>
        <w:tc>
          <w:tcPr>
            <w:tcW w:w="1225" w:type="dxa"/>
            <w:tcBorders>
              <w:left w:val="single" w:sz="4" w:space="0" w:color="auto"/>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1</w:t>
            </w:r>
          </w:p>
        </w:tc>
        <w:tc>
          <w:tcPr>
            <w:tcW w:w="1225" w:type="dxa"/>
            <w:tcBorders>
              <w:left w:val="single" w:sz="4" w:space="0" w:color="auto"/>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2</w:t>
            </w:r>
          </w:p>
        </w:tc>
        <w:tc>
          <w:tcPr>
            <w:tcW w:w="1226" w:type="dxa"/>
            <w:tcBorders>
              <w:left w:val="single" w:sz="4" w:space="0" w:color="auto"/>
              <w:right w:val="double" w:sz="6"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0.25</w:t>
            </w:r>
          </w:p>
        </w:tc>
      </w:tr>
      <w:tr w:rsidR="002F2CA8" w:rsidRPr="00413E43" w:rsidTr="00C76494">
        <w:trPr>
          <w:cantSplit/>
          <w:trHeight w:val="360"/>
          <w:jc w:val="center"/>
        </w:trPr>
        <w:tc>
          <w:tcPr>
            <w:tcW w:w="717" w:type="dxa"/>
            <w:vMerge/>
            <w:tcBorders>
              <w:left w:val="double" w:sz="6" w:space="0" w:color="auto"/>
              <w:right w:val="double" w:sz="6" w:space="0" w:color="auto"/>
            </w:tcBorders>
            <w:shd w:val="clear" w:color="000000" w:fill="FFFFFF"/>
            <w:textDirection w:val="btLr"/>
            <w:vAlign w:val="center"/>
          </w:tcPr>
          <w:p w:rsidR="002F2CA8" w:rsidRDefault="002F2CA8" w:rsidP="00BD6523">
            <w:pPr>
              <w:ind w:left="113" w:right="113"/>
              <w:jc w:val="center"/>
              <w:rPr>
                <w:rFonts w:eastAsia="Times New Roman"/>
                <w:color w:val="000000"/>
                <w:sz w:val="20"/>
                <w:szCs w:val="20"/>
              </w:rPr>
            </w:pPr>
          </w:p>
        </w:tc>
        <w:tc>
          <w:tcPr>
            <w:tcW w:w="2070" w:type="dxa"/>
            <w:tcBorders>
              <w:left w:val="double" w:sz="6" w:space="0" w:color="auto"/>
              <w:bottom w:val="nil"/>
              <w:right w:val="double" w:sz="6" w:space="0" w:color="auto"/>
            </w:tcBorders>
            <w:shd w:val="clear" w:color="000000" w:fill="FFFFFF"/>
            <w:vAlign w:val="center"/>
          </w:tcPr>
          <w:p w:rsidR="002F2CA8" w:rsidRPr="00413E43" w:rsidRDefault="002F2CA8" w:rsidP="00E30396">
            <w:pPr>
              <w:jc w:val="left"/>
              <w:rPr>
                <w:rFonts w:eastAsia="Times New Roman"/>
                <w:color w:val="000000"/>
                <w:sz w:val="20"/>
                <w:szCs w:val="20"/>
              </w:rPr>
            </w:pPr>
            <w:r>
              <w:rPr>
                <w:rFonts w:eastAsia="Times New Roman"/>
                <w:color w:val="000000"/>
                <w:sz w:val="20"/>
                <w:szCs w:val="20"/>
              </w:rPr>
              <w:t>West Coast</w:t>
            </w:r>
          </w:p>
        </w:tc>
        <w:tc>
          <w:tcPr>
            <w:tcW w:w="1350" w:type="dxa"/>
            <w:tcBorders>
              <w:left w:val="nil"/>
              <w:bottom w:val="nil"/>
              <w:right w:val="double" w:sz="6" w:space="0" w:color="auto"/>
            </w:tcBorders>
            <w:shd w:val="clear" w:color="000000" w:fill="FFFFFF"/>
            <w:vAlign w:val="center"/>
          </w:tcPr>
          <w:p w:rsidR="002F2CA8" w:rsidRPr="00833021" w:rsidRDefault="00171BA6" w:rsidP="00C76494">
            <w:pPr>
              <w:jc w:val="center"/>
              <w:rPr>
                <w:rFonts w:eastAsia="Times New Roman"/>
                <w:color w:val="000000"/>
                <w:sz w:val="20"/>
                <w:szCs w:val="20"/>
              </w:rPr>
            </w:pPr>
            <w:r>
              <w:rPr>
                <w:sz w:val="20"/>
                <w:szCs w:val="20"/>
              </w:rPr>
              <w:t xml:space="preserve">  </w:t>
            </w:r>
            <w:r w:rsidR="002F2CA8" w:rsidRPr="00833021">
              <w:rPr>
                <w:sz w:val="20"/>
                <w:szCs w:val="20"/>
              </w:rPr>
              <w:t>9,010</w:t>
            </w:r>
          </w:p>
        </w:tc>
        <w:tc>
          <w:tcPr>
            <w:tcW w:w="1566" w:type="dxa"/>
            <w:tcBorders>
              <w:left w:val="double" w:sz="6" w:space="0" w:color="auto"/>
              <w:bottom w:val="nil"/>
              <w:right w:val="double" w:sz="6" w:space="0" w:color="auto"/>
            </w:tcBorders>
            <w:shd w:val="clear" w:color="000000" w:fill="FFFFFF"/>
            <w:noWrap/>
            <w:vAlign w:val="center"/>
          </w:tcPr>
          <w:p w:rsidR="002F2CA8" w:rsidRDefault="00171BA6" w:rsidP="00C76494">
            <w:pPr>
              <w:jc w:val="center"/>
              <w:rPr>
                <w:rFonts w:eastAsia="Times New Roman"/>
                <w:color w:val="000000"/>
                <w:sz w:val="20"/>
                <w:szCs w:val="20"/>
              </w:rPr>
            </w:pPr>
            <w:r>
              <w:rPr>
                <w:rFonts w:eastAsia="Times New Roman"/>
                <w:color w:val="000000"/>
                <w:sz w:val="20"/>
                <w:szCs w:val="20"/>
              </w:rPr>
              <w:t xml:space="preserve">  </w:t>
            </w:r>
            <w:r w:rsidR="002F2CA8">
              <w:rPr>
                <w:rFonts w:eastAsia="Times New Roman"/>
                <w:color w:val="000000"/>
                <w:sz w:val="20"/>
                <w:szCs w:val="20"/>
              </w:rPr>
              <w:t xml:space="preserve">77 </w:t>
            </w:r>
            <w:proofErr w:type="gramStart"/>
            <w:r w:rsidR="002F2CA8">
              <w:rPr>
                <w:rFonts w:eastAsia="Times New Roman"/>
                <w:color w:val="000000"/>
                <w:sz w:val="20"/>
                <w:szCs w:val="20"/>
              </w:rPr>
              <w:t>(  2.2</w:t>
            </w:r>
            <w:proofErr w:type="gramEnd"/>
            <w:r w:rsidR="002F2CA8">
              <w:rPr>
                <w:rFonts w:eastAsia="Times New Roman"/>
                <w:color w:val="000000"/>
                <w:sz w:val="20"/>
                <w:szCs w:val="20"/>
              </w:rPr>
              <w:t>%)</w:t>
            </w:r>
          </w:p>
        </w:tc>
        <w:tc>
          <w:tcPr>
            <w:tcW w:w="1651" w:type="dxa"/>
            <w:tcBorders>
              <w:left w:val="double" w:sz="6" w:space="0" w:color="auto"/>
              <w:bottom w:val="nil"/>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0.0085</w:t>
            </w:r>
          </w:p>
        </w:tc>
        <w:tc>
          <w:tcPr>
            <w:tcW w:w="1225" w:type="dxa"/>
            <w:tcBorders>
              <w:left w:val="nil"/>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1.13</w:t>
            </w:r>
          </w:p>
        </w:tc>
        <w:tc>
          <w:tcPr>
            <w:tcW w:w="1225" w:type="dxa"/>
            <w:tcBorders>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w:t>
            </w:r>
          </w:p>
        </w:tc>
        <w:tc>
          <w:tcPr>
            <w:tcW w:w="1225" w:type="dxa"/>
            <w:tcBorders>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4</w:t>
            </w:r>
          </w:p>
        </w:tc>
        <w:tc>
          <w:tcPr>
            <w:tcW w:w="1226" w:type="dxa"/>
            <w:tcBorders>
              <w:left w:val="single" w:sz="4" w:space="0" w:color="auto"/>
              <w:bottom w:val="nil"/>
              <w:right w:val="double" w:sz="6"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0.47</w:t>
            </w:r>
          </w:p>
        </w:tc>
      </w:tr>
      <w:tr w:rsidR="002F2CA8" w:rsidRPr="00413E43" w:rsidTr="00C76494">
        <w:trPr>
          <w:cantSplit/>
          <w:trHeight w:val="360"/>
          <w:jc w:val="center"/>
        </w:trPr>
        <w:tc>
          <w:tcPr>
            <w:tcW w:w="717" w:type="dxa"/>
            <w:vMerge/>
            <w:tcBorders>
              <w:left w:val="double" w:sz="6" w:space="0" w:color="auto"/>
              <w:right w:val="double" w:sz="6" w:space="0" w:color="auto"/>
            </w:tcBorders>
            <w:shd w:val="clear" w:color="000000" w:fill="FFFFFF"/>
          </w:tcPr>
          <w:p w:rsidR="002F2CA8" w:rsidRDefault="002F2CA8" w:rsidP="00BD6523">
            <w:pPr>
              <w:jc w:val="left"/>
              <w:rPr>
                <w:rFonts w:eastAsia="Times New Roman"/>
                <w:color w:val="000000"/>
                <w:sz w:val="20"/>
                <w:szCs w:val="20"/>
              </w:rPr>
            </w:pPr>
          </w:p>
        </w:tc>
        <w:tc>
          <w:tcPr>
            <w:tcW w:w="2070" w:type="dxa"/>
            <w:tcBorders>
              <w:top w:val="nil"/>
              <w:left w:val="double" w:sz="6" w:space="0" w:color="auto"/>
              <w:bottom w:val="nil"/>
              <w:right w:val="double" w:sz="6" w:space="0" w:color="auto"/>
            </w:tcBorders>
            <w:shd w:val="clear" w:color="000000" w:fill="FFFFFF"/>
            <w:vAlign w:val="center"/>
          </w:tcPr>
          <w:p w:rsidR="002F2CA8" w:rsidRPr="00413E43" w:rsidRDefault="002F2CA8" w:rsidP="00E30396">
            <w:pPr>
              <w:jc w:val="left"/>
              <w:rPr>
                <w:rFonts w:eastAsia="Times New Roman"/>
                <w:color w:val="000000"/>
                <w:sz w:val="20"/>
                <w:szCs w:val="20"/>
              </w:rPr>
            </w:pPr>
            <w:r>
              <w:rPr>
                <w:rFonts w:eastAsia="Times New Roman"/>
                <w:color w:val="000000"/>
                <w:sz w:val="20"/>
                <w:szCs w:val="20"/>
              </w:rPr>
              <w:t>Canterbury</w:t>
            </w:r>
          </w:p>
        </w:tc>
        <w:tc>
          <w:tcPr>
            <w:tcW w:w="1350" w:type="dxa"/>
            <w:tcBorders>
              <w:top w:val="nil"/>
              <w:left w:val="nil"/>
              <w:bottom w:val="nil"/>
              <w:right w:val="double" w:sz="6" w:space="0" w:color="auto"/>
            </w:tcBorders>
            <w:shd w:val="clear" w:color="000000" w:fill="FFFFFF"/>
            <w:vAlign w:val="center"/>
          </w:tcPr>
          <w:p w:rsidR="002F2CA8" w:rsidRPr="00833021" w:rsidRDefault="002F2CA8" w:rsidP="00C76494">
            <w:pPr>
              <w:jc w:val="center"/>
              <w:rPr>
                <w:rFonts w:eastAsia="Times New Roman"/>
                <w:color w:val="000000"/>
                <w:sz w:val="20"/>
                <w:szCs w:val="20"/>
              </w:rPr>
            </w:pPr>
            <w:r w:rsidRPr="00833021">
              <w:rPr>
                <w:sz w:val="20"/>
                <w:szCs w:val="20"/>
              </w:rPr>
              <w:t>17,508</w:t>
            </w:r>
          </w:p>
        </w:tc>
        <w:tc>
          <w:tcPr>
            <w:tcW w:w="1566" w:type="dxa"/>
            <w:tcBorders>
              <w:top w:val="nil"/>
              <w:left w:val="double" w:sz="6" w:space="0" w:color="auto"/>
              <w:bottom w:val="nil"/>
              <w:right w:val="double" w:sz="6" w:space="0" w:color="auto"/>
            </w:tcBorders>
            <w:shd w:val="clear" w:color="000000" w:fill="FFFFFF"/>
            <w:noWrap/>
            <w:vAlign w:val="center"/>
          </w:tcPr>
          <w:p w:rsidR="002F2CA8" w:rsidRDefault="002F2CA8" w:rsidP="00C76494">
            <w:pPr>
              <w:jc w:val="center"/>
              <w:rPr>
                <w:rFonts w:eastAsia="Times New Roman"/>
                <w:color w:val="000000"/>
                <w:sz w:val="20"/>
                <w:szCs w:val="20"/>
              </w:rPr>
            </w:pPr>
            <w:r>
              <w:rPr>
                <w:rFonts w:eastAsia="Times New Roman"/>
                <w:color w:val="000000"/>
                <w:sz w:val="20"/>
                <w:szCs w:val="20"/>
              </w:rPr>
              <w:t>465 (13.3%)</w:t>
            </w:r>
          </w:p>
        </w:tc>
        <w:tc>
          <w:tcPr>
            <w:tcW w:w="1651" w:type="dxa"/>
            <w:tcBorders>
              <w:top w:val="nil"/>
              <w:left w:val="double" w:sz="6" w:space="0" w:color="auto"/>
              <w:bottom w:val="nil"/>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0.0267</w:t>
            </w:r>
          </w:p>
        </w:tc>
        <w:tc>
          <w:tcPr>
            <w:tcW w:w="1225" w:type="dxa"/>
            <w:tcBorders>
              <w:top w:val="nil"/>
              <w:left w:val="nil"/>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1.21</w:t>
            </w:r>
          </w:p>
        </w:tc>
        <w:tc>
          <w:tcPr>
            <w:tcW w:w="1225" w:type="dxa"/>
            <w:tcBorders>
              <w:top w:val="nil"/>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1</w:t>
            </w:r>
          </w:p>
        </w:tc>
        <w:tc>
          <w:tcPr>
            <w:tcW w:w="1225" w:type="dxa"/>
            <w:tcBorders>
              <w:top w:val="nil"/>
              <w:left w:val="single" w:sz="4" w:space="0" w:color="auto"/>
              <w:bottom w:val="nil"/>
              <w:right w:val="single" w:sz="4"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6</w:t>
            </w:r>
          </w:p>
        </w:tc>
        <w:tc>
          <w:tcPr>
            <w:tcW w:w="1226" w:type="dxa"/>
            <w:tcBorders>
              <w:top w:val="nil"/>
              <w:left w:val="single" w:sz="4" w:space="0" w:color="auto"/>
              <w:bottom w:val="nil"/>
              <w:right w:val="double" w:sz="6" w:space="0" w:color="auto"/>
            </w:tcBorders>
            <w:shd w:val="clear" w:color="000000" w:fill="FFFFFF"/>
            <w:noWrap/>
            <w:vAlign w:val="center"/>
          </w:tcPr>
          <w:p w:rsidR="002F2CA8" w:rsidRPr="00413E43" w:rsidRDefault="002F2CA8" w:rsidP="00E30396">
            <w:pPr>
              <w:jc w:val="center"/>
              <w:rPr>
                <w:rFonts w:eastAsia="Times New Roman"/>
                <w:color w:val="000000"/>
                <w:sz w:val="20"/>
                <w:szCs w:val="20"/>
              </w:rPr>
            </w:pPr>
            <w:r>
              <w:rPr>
                <w:rFonts w:eastAsia="Times New Roman"/>
                <w:color w:val="000000"/>
                <w:sz w:val="20"/>
                <w:szCs w:val="20"/>
              </w:rPr>
              <w:t>0.52</w:t>
            </w:r>
          </w:p>
        </w:tc>
      </w:tr>
      <w:tr w:rsidR="002F2CA8" w:rsidRPr="00413E43" w:rsidTr="00C76494">
        <w:trPr>
          <w:cantSplit/>
          <w:trHeight w:val="360"/>
          <w:jc w:val="center"/>
        </w:trPr>
        <w:tc>
          <w:tcPr>
            <w:tcW w:w="717" w:type="dxa"/>
            <w:vMerge/>
            <w:tcBorders>
              <w:left w:val="double" w:sz="6" w:space="0" w:color="auto"/>
              <w:bottom w:val="double" w:sz="6" w:space="0" w:color="auto"/>
              <w:right w:val="double" w:sz="6" w:space="0" w:color="auto"/>
            </w:tcBorders>
            <w:shd w:val="clear" w:color="000000" w:fill="FFFFFF"/>
          </w:tcPr>
          <w:p w:rsidR="002F2CA8" w:rsidRDefault="002F2CA8" w:rsidP="00BD6523">
            <w:pPr>
              <w:jc w:val="left"/>
              <w:rPr>
                <w:rFonts w:eastAsia="Times New Roman"/>
                <w:color w:val="000000"/>
                <w:sz w:val="20"/>
                <w:szCs w:val="20"/>
              </w:rPr>
            </w:pPr>
          </w:p>
        </w:tc>
        <w:tc>
          <w:tcPr>
            <w:tcW w:w="2070" w:type="dxa"/>
            <w:tcBorders>
              <w:top w:val="nil"/>
              <w:left w:val="double" w:sz="6" w:space="0" w:color="auto"/>
              <w:right w:val="double" w:sz="6" w:space="0" w:color="auto"/>
            </w:tcBorders>
            <w:shd w:val="clear" w:color="000000" w:fill="FFFFFF"/>
            <w:vAlign w:val="center"/>
          </w:tcPr>
          <w:p w:rsidR="002F2CA8" w:rsidRDefault="002F2CA8" w:rsidP="00E30396">
            <w:pPr>
              <w:jc w:val="left"/>
              <w:rPr>
                <w:rFonts w:eastAsia="Times New Roman"/>
                <w:color w:val="000000"/>
                <w:sz w:val="20"/>
                <w:szCs w:val="20"/>
              </w:rPr>
            </w:pPr>
            <w:r>
              <w:rPr>
                <w:rFonts w:eastAsia="Times New Roman"/>
                <w:color w:val="000000"/>
                <w:sz w:val="20"/>
                <w:szCs w:val="20"/>
              </w:rPr>
              <w:t>Otago</w:t>
            </w:r>
          </w:p>
        </w:tc>
        <w:tc>
          <w:tcPr>
            <w:tcW w:w="1350" w:type="dxa"/>
            <w:tcBorders>
              <w:top w:val="nil"/>
              <w:left w:val="nil"/>
              <w:right w:val="double" w:sz="6" w:space="0" w:color="auto"/>
            </w:tcBorders>
            <w:shd w:val="clear" w:color="000000" w:fill="FFFFFF"/>
            <w:vAlign w:val="center"/>
          </w:tcPr>
          <w:p w:rsidR="002F2CA8" w:rsidRPr="00833021" w:rsidRDefault="002F2CA8" w:rsidP="00C76494">
            <w:pPr>
              <w:jc w:val="center"/>
              <w:rPr>
                <w:rFonts w:eastAsia="Times New Roman"/>
                <w:color w:val="000000"/>
                <w:sz w:val="20"/>
                <w:szCs w:val="20"/>
              </w:rPr>
            </w:pPr>
            <w:r w:rsidRPr="00833021">
              <w:rPr>
                <w:sz w:val="20"/>
                <w:szCs w:val="20"/>
              </w:rPr>
              <w:t>12,351</w:t>
            </w:r>
          </w:p>
        </w:tc>
        <w:tc>
          <w:tcPr>
            <w:tcW w:w="1566" w:type="dxa"/>
            <w:tcBorders>
              <w:top w:val="nil"/>
              <w:left w:val="double" w:sz="6" w:space="0" w:color="auto"/>
              <w:right w:val="double" w:sz="6" w:space="0" w:color="auto"/>
            </w:tcBorders>
            <w:shd w:val="clear" w:color="000000" w:fill="FFFFFF"/>
            <w:noWrap/>
            <w:vAlign w:val="center"/>
          </w:tcPr>
          <w:p w:rsidR="002F2CA8" w:rsidRDefault="002F2CA8" w:rsidP="00C76494">
            <w:pPr>
              <w:jc w:val="center"/>
              <w:rPr>
                <w:rFonts w:eastAsia="Times New Roman"/>
                <w:color w:val="000000"/>
                <w:sz w:val="20"/>
                <w:szCs w:val="20"/>
              </w:rPr>
            </w:pPr>
            <w:r>
              <w:rPr>
                <w:rFonts w:eastAsia="Times New Roman"/>
                <w:color w:val="000000"/>
                <w:sz w:val="20"/>
                <w:szCs w:val="20"/>
              </w:rPr>
              <w:t xml:space="preserve">260 </w:t>
            </w:r>
            <w:proofErr w:type="gramStart"/>
            <w:r>
              <w:rPr>
                <w:rFonts w:eastAsia="Times New Roman"/>
                <w:color w:val="000000"/>
                <w:sz w:val="20"/>
                <w:szCs w:val="20"/>
              </w:rPr>
              <w:t>(  7.4</w:t>
            </w:r>
            <w:proofErr w:type="gramEnd"/>
            <w:r>
              <w:rPr>
                <w:rFonts w:eastAsia="Times New Roman"/>
                <w:color w:val="000000"/>
                <w:sz w:val="20"/>
                <w:szCs w:val="20"/>
              </w:rPr>
              <w:t>%)</w:t>
            </w:r>
          </w:p>
        </w:tc>
        <w:tc>
          <w:tcPr>
            <w:tcW w:w="1651" w:type="dxa"/>
            <w:tcBorders>
              <w:top w:val="nil"/>
              <w:left w:val="double" w:sz="6" w:space="0" w:color="auto"/>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0.0210</w:t>
            </w:r>
          </w:p>
        </w:tc>
        <w:tc>
          <w:tcPr>
            <w:tcW w:w="1225" w:type="dxa"/>
            <w:tcBorders>
              <w:top w:val="nil"/>
              <w:left w:val="nil"/>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1.22</w:t>
            </w:r>
          </w:p>
        </w:tc>
        <w:tc>
          <w:tcPr>
            <w:tcW w:w="1225" w:type="dxa"/>
            <w:tcBorders>
              <w:top w:val="nil"/>
              <w:left w:val="single" w:sz="4" w:space="0" w:color="auto"/>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1</w:t>
            </w:r>
          </w:p>
        </w:tc>
        <w:tc>
          <w:tcPr>
            <w:tcW w:w="1225" w:type="dxa"/>
            <w:tcBorders>
              <w:top w:val="nil"/>
              <w:left w:val="single" w:sz="4" w:space="0" w:color="auto"/>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6</w:t>
            </w:r>
          </w:p>
        </w:tc>
        <w:tc>
          <w:tcPr>
            <w:tcW w:w="1226" w:type="dxa"/>
            <w:tcBorders>
              <w:top w:val="nil"/>
              <w:left w:val="single" w:sz="4" w:space="0" w:color="auto"/>
              <w:right w:val="double" w:sz="6"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0.56</w:t>
            </w:r>
          </w:p>
        </w:tc>
      </w:tr>
      <w:tr w:rsidR="002F2CA8" w:rsidRPr="00413E43" w:rsidTr="00C76494">
        <w:trPr>
          <w:cantSplit/>
          <w:trHeight w:val="360"/>
          <w:jc w:val="center"/>
        </w:trPr>
        <w:tc>
          <w:tcPr>
            <w:tcW w:w="717" w:type="dxa"/>
            <w:vMerge/>
            <w:tcBorders>
              <w:left w:val="double" w:sz="6" w:space="0" w:color="auto"/>
              <w:bottom w:val="double" w:sz="6" w:space="0" w:color="auto"/>
              <w:right w:val="double" w:sz="6" w:space="0" w:color="auto"/>
            </w:tcBorders>
            <w:shd w:val="clear" w:color="000000" w:fill="FFFFFF"/>
          </w:tcPr>
          <w:p w:rsidR="002F2CA8" w:rsidRDefault="002F2CA8" w:rsidP="00BD6523">
            <w:pPr>
              <w:jc w:val="left"/>
              <w:rPr>
                <w:rFonts w:eastAsia="Times New Roman"/>
                <w:color w:val="000000"/>
                <w:sz w:val="20"/>
                <w:szCs w:val="20"/>
              </w:rPr>
            </w:pPr>
          </w:p>
        </w:tc>
        <w:tc>
          <w:tcPr>
            <w:tcW w:w="2070" w:type="dxa"/>
            <w:tcBorders>
              <w:top w:val="nil"/>
              <w:left w:val="double" w:sz="6" w:space="0" w:color="auto"/>
              <w:bottom w:val="double" w:sz="6" w:space="0" w:color="auto"/>
              <w:right w:val="double" w:sz="6" w:space="0" w:color="auto"/>
            </w:tcBorders>
            <w:shd w:val="clear" w:color="000000" w:fill="FFFFFF"/>
            <w:vAlign w:val="center"/>
          </w:tcPr>
          <w:p w:rsidR="002F2CA8" w:rsidRDefault="002F2CA8" w:rsidP="00E30396">
            <w:pPr>
              <w:jc w:val="left"/>
              <w:rPr>
                <w:rFonts w:eastAsia="Times New Roman"/>
                <w:color w:val="000000"/>
                <w:sz w:val="20"/>
                <w:szCs w:val="20"/>
              </w:rPr>
            </w:pPr>
            <w:r>
              <w:rPr>
                <w:rFonts w:eastAsia="Times New Roman"/>
                <w:color w:val="000000"/>
                <w:sz w:val="20"/>
                <w:szCs w:val="20"/>
              </w:rPr>
              <w:t>Southland</w:t>
            </w:r>
          </w:p>
        </w:tc>
        <w:tc>
          <w:tcPr>
            <w:tcW w:w="1350" w:type="dxa"/>
            <w:tcBorders>
              <w:top w:val="nil"/>
              <w:left w:val="nil"/>
              <w:bottom w:val="double" w:sz="6" w:space="0" w:color="auto"/>
              <w:right w:val="double" w:sz="6" w:space="0" w:color="auto"/>
            </w:tcBorders>
            <w:shd w:val="clear" w:color="000000" w:fill="FFFFFF"/>
            <w:vAlign w:val="center"/>
          </w:tcPr>
          <w:p w:rsidR="002F2CA8" w:rsidRPr="00833021" w:rsidRDefault="002F2CA8" w:rsidP="00C76494">
            <w:pPr>
              <w:jc w:val="center"/>
              <w:rPr>
                <w:rFonts w:eastAsia="Times New Roman"/>
                <w:color w:val="000000"/>
                <w:sz w:val="20"/>
                <w:szCs w:val="20"/>
              </w:rPr>
            </w:pPr>
            <w:r w:rsidRPr="00833021">
              <w:rPr>
                <w:sz w:val="20"/>
                <w:szCs w:val="20"/>
              </w:rPr>
              <w:t>13,261</w:t>
            </w:r>
          </w:p>
        </w:tc>
        <w:tc>
          <w:tcPr>
            <w:tcW w:w="1566" w:type="dxa"/>
            <w:tcBorders>
              <w:top w:val="nil"/>
              <w:left w:val="double" w:sz="6" w:space="0" w:color="auto"/>
              <w:bottom w:val="double" w:sz="6" w:space="0" w:color="auto"/>
              <w:right w:val="double" w:sz="6" w:space="0" w:color="auto"/>
            </w:tcBorders>
            <w:shd w:val="clear" w:color="000000" w:fill="FFFFFF"/>
            <w:noWrap/>
            <w:vAlign w:val="center"/>
          </w:tcPr>
          <w:p w:rsidR="002F2CA8" w:rsidRDefault="00171BA6" w:rsidP="00C76494">
            <w:pPr>
              <w:jc w:val="center"/>
              <w:rPr>
                <w:rFonts w:eastAsia="Times New Roman"/>
                <w:color w:val="000000"/>
                <w:sz w:val="20"/>
                <w:szCs w:val="20"/>
              </w:rPr>
            </w:pPr>
            <w:r>
              <w:rPr>
                <w:rFonts w:eastAsia="Times New Roman"/>
                <w:color w:val="000000"/>
                <w:sz w:val="20"/>
                <w:szCs w:val="20"/>
              </w:rPr>
              <w:t xml:space="preserve">  </w:t>
            </w:r>
            <w:r w:rsidR="002F2CA8">
              <w:rPr>
                <w:rFonts w:eastAsia="Times New Roman"/>
                <w:color w:val="000000"/>
                <w:sz w:val="20"/>
                <w:szCs w:val="20"/>
              </w:rPr>
              <w:t xml:space="preserve">80 </w:t>
            </w:r>
            <w:proofErr w:type="gramStart"/>
            <w:r w:rsidR="002F2CA8">
              <w:rPr>
                <w:rFonts w:eastAsia="Times New Roman"/>
                <w:color w:val="000000"/>
                <w:sz w:val="20"/>
                <w:szCs w:val="20"/>
              </w:rPr>
              <w:t>(  2.3</w:t>
            </w:r>
            <w:proofErr w:type="gramEnd"/>
            <w:r w:rsidR="002F2CA8">
              <w:rPr>
                <w:rFonts w:eastAsia="Times New Roman"/>
                <w:color w:val="000000"/>
                <w:sz w:val="20"/>
                <w:szCs w:val="20"/>
              </w:rPr>
              <w:t>%)</w:t>
            </w:r>
          </w:p>
        </w:tc>
        <w:tc>
          <w:tcPr>
            <w:tcW w:w="1651" w:type="dxa"/>
            <w:tcBorders>
              <w:top w:val="nil"/>
              <w:left w:val="double" w:sz="6" w:space="0" w:color="auto"/>
              <w:bottom w:val="double" w:sz="6" w:space="0" w:color="auto"/>
              <w:right w:val="double" w:sz="6" w:space="0" w:color="auto"/>
            </w:tcBorders>
            <w:shd w:val="clear" w:color="000000" w:fill="FFFFFF"/>
            <w:vAlign w:val="center"/>
          </w:tcPr>
          <w:p w:rsidR="002F2CA8" w:rsidRPr="002F2CA8" w:rsidRDefault="002F2CA8" w:rsidP="00C76494">
            <w:pPr>
              <w:jc w:val="center"/>
              <w:rPr>
                <w:rFonts w:eastAsia="Times New Roman"/>
                <w:color w:val="000000"/>
                <w:sz w:val="20"/>
                <w:szCs w:val="20"/>
              </w:rPr>
            </w:pPr>
            <w:r w:rsidRPr="002F2CA8">
              <w:rPr>
                <w:sz w:val="20"/>
                <w:szCs w:val="20"/>
              </w:rPr>
              <w:t>0.0060</w:t>
            </w:r>
          </w:p>
        </w:tc>
        <w:tc>
          <w:tcPr>
            <w:tcW w:w="1225" w:type="dxa"/>
            <w:tcBorders>
              <w:top w:val="nil"/>
              <w:left w:val="nil"/>
              <w:bottom w:val="double" w:sz="6" w:space="0" w:color="auto"/>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1.06</w:t>
            </w:r>
          </w:p>
        </w:tc>
        <w:tc>
          <w:tcPr>
            <w:tcW w:w="1225" w:type="dxa"/>
            <w:tcBorders>
              <w:top w:val="nil"/>
              <w:left w:val="single" w:sz="4" w:space="0" w:color="auto"/>
              <w:bottom w:val="double" w:sz="6" w:space="0" w:color="auto"/>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1</w:t>
            </w:r>
          </w:p>
        </w:tc>
        <w:tc>
          <w:tcPr>
            <w:tcW w:w="1225" w:type="dxa"/>
            <w:tcBorders>
              <w:top w:val="nil"/>
              <w:left w:val="single" w:sz="4" w:space="0" w:color="auto"/>
              <w:bottom w:val="double" w:sz="6" w:space="0" w:color="auto"/>
              <w:right w:val="single" w:sz="4"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2</w:t>
            </w:r>
          </w:p>
        </w:tc>
        <w:tc>
          <w:tcPr>
            <w:tcW w:w="1226" w:type="dxa"/>
            <w:tcBorders>
              <w:top w:val="nil"/>
              <w:left w:val="single" w:sz="4" w:space="0" w:color="auto"/>
              <w:bottom w:val="double" w:sz="6" w:space="0" w:color="auto"/>
              <w:right w:val="double" w:sz="6" w:space="0" w:color="auto"/>
            </w:tcBorders>
            <w:shd w:val="clear" w:color="000000" w:fill="FFFFFF"/>
            <w:noWrap/>
            <w:vAlign w:val="center"/>
          </w:tcPr>
          <w:p w:rsidR="002F2CA8" w:rsidRDefault="002F2CA8" w:rsidP="00E30396">
            <w:pPr>
              <w:jc w:val="center"/>
              <w:rPr>
                <w:rFonts w:eastAsia="Times New Roman"/>
                <w:color w:val="000000"/>
                <w:sz w:val="20"/>
                <w:szCs w:val="20"/>
              </w:rPr>
            </w:pPr>
            <w:r>
              <w:rPr>
                <w:rFonts w:eastAsia="Times New Roman"/>
                <w:color w:val="000000"/>
                <w:sz w:val="20"/>
                <w:szCs w:val="20"/>
              </w:rPr>
              <w:t>0.24</w:t>
            </w:r>
          </w:p>
        </w:tc>
      </w:tr>
    </w:tbl>
    <w:p w:rsidR="00636F38" w:rsidRPr="003A58BC" w:rsidRDefault="00636F38" w:rsidP="00781F89">
      <w:pPr>
        <w:autoSpaceDE w:val="0"/>
        <w:autoSpaceDN w:val="0"/>
        <w:adjustRightInd w:val="0"/>
        <w:spacing w:after="120" w:line="276" w:lineRule="auto"/>
        <w:jc w:val="center"/>
        <w:rPr>
          <w:rFonts w:ascii="TimesNewRomanPSMT" w:hAnsi="TimesNewRomanPSMT" w:cs="TimesNewRomanPSMT"/>
          <w:sz w:val="19"/>
          <w:szCs w:val="19"/>
        </w:rPr>
      </w:pPr>
      <w:r w:rsidRPr="003A58BC">
        <w:rPr>
          <w:rFonts w:ascii="TimesNewRomanPSMT" w:hAnsi="TimesNewRomanPSMT" w:cs="TimesNewRomanPSMT"/>
          <w:sz w:val="19"/>
          <w:szCs w:val="19"/>
        </w:rPr>
        <w:t xml:space="preserve">* Total percentage across all rows in this column </w:t>
      </w:r>
      <w:proofErr w:type="gramStart"/>
      <w:r w:rsidRPr="003A58BC">
        <w:rPr>
          <w:rFonts w:ascii="TimesNewRomanPSMT" w:hAnsi="TimesNewRomanPSMT" w:cs="TimesNewRomanPSMT"/>
          <w:sz w:val="19"/>
          <w:szCs w:val="19"/>
        </w:rPr>
        <w:t>add</w:t>
      </w:r>
      <w:proofErr w:type="gramEnd"/>
      <w:r w:rsidRPr="003A58BC">
        <w:rPr>
          <w:rFonts w:ascii="TimesNewRomanPSMT" w:hAnsi="TimesNewRomanPSMT" w:cs="TimesNewRomanPSMT"/>
          <w:sz w:val="19"/>
          <w:szCs w:val="19"/>
        </w:rPr>
        <w:t xml:space="preserve"> up to more than 100% because some travelers visit mor</w:t>
      </w:r>
      <w:r w:rsidR="00781F89" w:rsidRPr="003A58BC">
        <w:rPr>
          <w:rFonts w:ascii="TimesNewRomanPSMT" w:hAnsi="TimesNewRomanPSMT" w:cs="TimesNewRomanPSMT"/>
          <w:sz w:val="19"/>
          <w:szCs w:val="19"/>
        </w:rPr>
        <w:t xml:space="preserve">e than one destination region. </w:t>
      </w:r>
    </w:p>
    <w:p w:rsidR="002C700D" w:rsidRDefault="002C700D" w:rsidP="00781F89">
      <w:pPr>
        <w:autoSpaceDE w:val="0"/>
        <w:autoSpaceDN w:val="0"/>
        <w:adjustRightInd w:val="0"/>
        <w:spacing w:after="120" w:line="276" w:lineRule="auto"/>
        <w:jc w:val="center"/>
        <w:rPr>
          <w:rFonts w:ascii="TimesNewRomanPSMT" w:hAnsi="TimesNewRomanPSMT" w:cs="TimesNewRomanPSMT"/>
          <w:sz w:val="20"/>
          <w:szCs w:val="20"/>
        </w:rPr>
      </w:pPr>
    </w:p>
    <w:p w:rsidR="002C700D" w:rsidRPr="00781F89" w:rsidRDefault="002C700D" w:rsidP="00781F89">
      <w:pPr>
        <w:autoSpaceDE w:val="0"/>
        <w:autoSpaceDN w:val="0"/>
        <w:adjustRightInd w:val="0"/>
        <w:spacing w:after="120" w:line="276" w:lineRule="auto"/>
        <w:jc w:val="center"/>
        <w:rPr>
          <w:rFonts w:ascii="TimesNewRomanPSMT" w:hAnsi="TimesNewRomanPSMT" w:cs="TimesNewRomanPSMT"/>
          <w:sz w:val="20"/>
          <w:szCs w:val="20"/>
        </w:rPr>
        <w:sectPr w:rsidR="002C700D" w:rsidRPr="00781F89" w:rsidSect="002532BD">
          <w:pgSz w:w="15840" w:h="12240" w:orient="landscape"/>
          <w:pgMar w:top="1440" w:right="1440" w:bottom="1440" w:left="1440" w:header="720" w:footer="720" w:gutter="0"/>
          <w:cols w:space="720"/>
          <w:docGrid w:linePitch="360"/>
        </w:sectPr>
      </w:pPr>
    </w:p>
    <w:p w:rsidR="00636F38" w:rsidRDefault="00636F38" w:rsidP="00636F38">
      <w:pPr>
        <w:jc w:val="left"/>
        <w:rPr>
          <w:b/>
        </w:rPr>
      </w:pPr>
    </w:p>
    <w:p w:rsidR="00E2259B" w:rsidRPr="00081D93" w:rsidRDefault="00E2259B" w:rsidP="00E2259B">
      <w:pPr>
        <w:spacing w:after="120" w:line="276" w:lineRule="auto"/>
        <w:jc w:val="center"/>
        <w:rPr>
          <w:b/>
          <w:szCs w:val="24"/>
        </w:rPr>
      </w:pPr>
      <w:proofErr w:type="gramStart"/>
      <w:r w:rsidRPr="00073FF4">
        <w:rPr>
          <w:b/>
          <w:sz w:val="22"/>
          <w:szCs w:val="24"/>
        </w:rPr>
        <w:t xml:space="preserve">Table </w:t>
      </w:r>
      <w:r w:rsidR="00C755B6" w:rsidRPr="00073FF4">
        <w:rPr>
          <w:b/>
          <w:sz w:val="22"/>
          <w:szCs w:val="24"/>
        </w:rPr>
        <w:t>6</w:t>
      </w:r>
      <w:r w:rsidR="00884D45">
        <w:rPr>
          <w:b/>
          <w:sz w:val="22"/>
          <w:szCs w:val="24"/>
        </w:rPr>
        <w:t>.</w:t>
      </w:r>
      <w:proofErr w:type="gramEnd"/>
      <w:r w:rsidRPr="00073FF4">
        <w:rPr>
          <w:b/>
          <w:sz w:val="22"/>
          <w:szCs w:val="24"/>
        </w:rPr>
        <w:t xml:space="preserve"> Three Segments </w:t>
      </w:r>
      <w:r w:rsidR="00C816EC" w:rsidRPr="00073FF4">
        <w:rPr>
          <w:b/>
          <w:sz w:val="22"/>
          <w:szCs w:val="24"/>
        </w:rPr>
        <w:t>FDMN-</w:t>
      </w:r>
      <w:r w:rsidRPr="00073FF4">
        <w:rPr>
          <w:b/>
          <w:sz w:val="22"/>
          <w:szCs w:val="24"/>
        </w:rPr>
        <w:t>MDCP Model Estimation Results</w:t>
      </w:r>
    </w:p>
    <w:tbl>
      <w:tblPr>
        <w:tblW w:w="9729" w:type="dxa"/>
        <w:jc w:val="center"/>
        <w:tblLook w:val="04A0" w:firstRow="1" w:lastRow="0" w:firstColumn="1" w:lastColumn="0" w:noHBand="0" w:noVBand="1"/>
      </w:tblPr>
      <w:tblGrid>
        <w:gridCol w:w="4038"/>
        <w:gridCol w:w="994"/>
        <w:gridCol w:w="947"/>
        <w:gridCol w:w="972"/>
        <w:gridCol w:w="1024"/>
        <w:gridCol w:w="916"/>
        <w:gridCol w:w="838"/>
      </w:tblGrid>
      <w:tr w:rsidR="00E2259B" w:rsidRPr="00073FF4" w:rsidTr="00026D18">
        <w:trPr>
          <w:trHeight w:val="300"/>
          <w:jc w:val="center"/>
        </w:trPr>
        <w:tc>
          <w:tcPr>
            <w:tcW w:w="4038" w:type="dxa"/>
            <w:vMerge w:val="restart"/>
            <w:tcBorders>
              <w:top w:val="double" w:sz="6" w:space="0" w:color="auto"/>
              <w:left w:val="double" w:sz="6" w:space="0" w:color="auto"/>
              <w:bottom w:val="single" w:sz="4" w:space="0" w:color="000000"/>
              <w:right w:val="double" w:sz="6" w:space="0" w:color="auto"/>
            </w:tcBorders>
            <w:shd w:val="clear" w:color="000000" w:fill="FFFFFF"/>
            <w:noWrap/>
            <w:vAlign w:val="center"/>
          </w:tcPr>
          <w:p w:rsidR="00E2259B" w:rsidRPr="00073FF4" w:rsidRDefault="00E2259B" w:rsidP="00BD6523">
            <w:pPr>
              <w:jc w:val="left"/>
              <w:rPr>
                <w:rFonts w:eastAsia="Times New Roman"/>
                <w:color w:val="000000"/>
                <w:sz w:val="20"/>
                <w:szCs w:val="20"/>
              </w:rPr>
            </w:pPr>
            <w:r w:rsidRPr="00073FF4">
              <w:rPr>
                <w:rFonts w:eastAsia="Times New Roman"/>
                <w:color w:val="000000"/>
                <w:sz w:val="20"/>
                <w:szCs w:val="20"/>
              </w:rPr>
              <w:t>Variable</w:t>
            </w:r>
          </w:p>
        </w:tc>
        <w:tc>
          <w:tcPr>
            <w:tcW w:w="1941" w:type="dxa"/>
            <w:gridSpan w:val="2"/>
            <w:tcBorders>
              <w:top w:val="double" w:sz="6" w:space="0" w:color="auto"/>
              <w:left w:val="nil"/>
              <w:bottom w:val="single" w:sz="4" w:space="0" w:color="auto"/>
              <w:right w:val="double" w:sz="6" w:space="0" w:color="000000"/>
            </w:tcBorders>
            <w:shd w:val="clear" w:color="000000" w:fill="FFFFFF"/>
            <w:vAlign w:val="center"/>
          </w:tcPr>
          <w:p w:rsidR="00E2259B" w:rsidRPr="00073FF4" w:rsidRDefault="00E2259B" w:rsidP="00073FF4">
            <w:pPr>
              <w:jc w:val="center"/>
              <w:rPr>
                <w:rFonts w:eastAsia="Times New Roman"/>
                <w:color w:val="000000"/>
                <w:sz w:val="20"/>
                <w:szCs w:val="20"/>
              </w:rPr>
            </w:pPr>
            <w:r w:rsidRPr="00073FF4">
              <w:rPr>
                <w:rFonts w:eastAsia="Times New Roman"/>
                <w:color w:val="000000"/>
                <w:sz w:val="20"/>
                <w:szCs w:val="20"/>
              </w:rPr>
              <w:t>First Segment</w:t>
            </w:r>
          </w:p>
        </w:tc>
        <w:tc>
          <w:tcPr>
            <w:tcW w:w="1996" w:type="dxa"/>
            <w:gridSpan w:val="2"/>
            <w:tcBorders>
              <w:top w:val="double" w:sz="6" w:space="0" w:color="auto"/>
              <w:left w:val="nil"/>
              <w:bottom w:val="single" w:sz="4" w:space="0" w:color="auto"/>
              <w:right w:val="double" w:sz="6" w:space="0" w:color="000000"/>
            </w:tcBorders>
            <w:shd w:val="clear" w:color="000000" w:fill="FFFFFF"/>
            <w:vAlign w:val="center"/>
          </w:tcPr>
          <w:p w:rsidR="00E2259B" w:rsidRPr="00073FF4" w:rsidRDefault="00E2259B" w:rsidP="00073FF4">
            <w:pPr>
              <w:jc w:val="center"/>
              <w:rPr>
                <w:rFonts w:eastAsia="Times New Roman"/>
                <w:color w:val="000000"/>
                <w:sz w:val="20"/>
                <w:szCs w:val="20"/>
              </w:rPr>
            </w:pPr>
            <w:r w:rsidRPr="00073FF4">
              <w:rPr>
                <w:rFonts w:eastAsia="Times New Roman"/>
                <w:color w:val="000000"/>
                <w:sz w:val="20"/>
                <w:szCs w:val="20"/>
              </w:rPr>
              <w:t>Second Segment</w:t>
            </w:r>
          </w:p>
        </w:tc>
        <w:tc>
          <w:tcPr>
            <w:tcW w:w="1754" w:type="dxa"/>
            <w:gridSpan w:val="2"/>
            <w:tcBorders>
              <w:top w:val="double" w:sz="6" w:space="0" w:color="auto"/>
              <w:left w:val="nil"/>
              <w:bottom w:val="single" w:sz="4" w:space="0" w:color="auto"/>
              <w:right w:val="double" w:sz="6" w:space="0" w:color="000000"/>
            </w:tcBorders>
            <w:shd w:val="clear" w:color="000000" w:fill="FFFFFF"/>
            <w:vAlign w:val="center"/>
          </w:tcPr>
          <w:p w:rsidR="00E2259B" w:rsidRPr="00073FF4" w:rsidRDefault="00E2259B" w:rsidP="00073FF4">
            <w:pPr>
              <w:jc w:val="center"/>
              <w:rPr>
                <w:rFonts w:eastAsia="Times New Roman"/>
                <w:color w:val="000000"/>
                <w:sz w:val="20"/>
                <w:szCs w:val="20"/>
              </w:rPr>
            </w:pPr>
            <w:r w:rsidRPr="00073FF4">
              <w:rPr>
                <w:rFonts w:eastAsia="Times New Roman"/>
                <w:color w:val="000000"/>
                <w:sz w:val="20"/>
                <w:szCs w:val="20"/>
              </w:rPr>
              <w:t>Third Segment</w:t>
            </w:r>
          </w:p>
        </w:tc>
      </w:tr>
      <w:tr w:rsidR="00E2259B" w:rsidRPr="00073FF4" w:rsidTr="00026D18">
        <w:trPr>
          <w:trHeight w:val="315"/>
          <w:jc w:val="center"/>
        </w:trPr>
        <w:tc>
          <w:tcPr>
            <w:tcW w:w="4038" w:type="dxa"/>
            <w:vMerge/>
            <w:tcBorders>
              <w:top w:val="double" w:sz="6" w:space="0" w:color="auto"/>
              <w:left w:val="double" w:sz="6" w:space="0" w:color="auto"/>
              <w:bottom w:val="single" w:sz="4" w:space="0" w:color="000000"/>
              <w:right w:val="double" w:sz="6" w:space="0" w:color="auto"/>
            </w:tcBorders>
            <w:vAlign w:val="center"/>
          </w:tcPr>
          <w:p w:rsidR="00E2259B" w:rsidRPr="00073FF4" w:rsidRDefault="00E2259B" w:rsidP="00BD6523">
            <w:pPr>
              <w:jc w:val="left"/>
              <w:rPr>
                <w:rFonts w:eastAsia="Times New Roman"/>
                <w:color w:val="000000"/>
                <w:sz w:val="20"/>
                <w:szCs w:val="20"/>
              </w:rPr>
            </w:pPr>
          </w:p>
        </w:tc>
        <w:tc>
          <w:tcPr>
            <w:tcW w:w="994" w:type="dxa"/>
            <w:tcBorders>
              <w:top w:val="single" w:sz="4" w:space="0" w:color="auto"/>
              <w:left w:val="nil"/>
              <w:bottom w:val="double" w:sz="6" w:space="0" w:color="auto"/>
              <w:right w:val="single" w:sz="4" w:space="0" w:color="auto"/>
            </w:tcBorders>
            <w:shd w:val="clear" w:color="000000" w:fill="FFFFFF"/>
            <w:vAlign w:val="center"/>
          </w:tcPr>
          <w:p w:rsidR="00E2259B" w:rsidRPr="00073FF4" w:rsidRDefault="00E2259B" w:rsidP="00073FF4">
            <w:pPr>
              <w:jc w:val="center"/>
              <w:rPr>
                <w:rFonts w:eastAsia="Times New Roman"/>
                <w:color w:val="000000"/>
                <w:sz w:val="20"/>
                <w:szCs w:val="20"/>
              </w:rPr>
            </w:pPr>
            <w:r w:rsidRPr="00073FF4">
              <w:rPr>
                <w:rFonts w:eastAsia="Times New Roman"/>
                <w:color w:val="000000"/>
                <w:sz w:val="20"/>
                <w:szCs w:val="20"/>
              </w:rPr>
              <w:t>Estimate</w:t>
            </w:r>
          </w:p>
        </w:tc>
        <w:tc>
          <w:tcPr>
            <w:tcW w:w="947" w:type="dxa"/>
            <w:tcBorders>
              <w:top w:val="single" w:sz="4" w:space="0" w:color="auto"/>
              <w:left w:val="nil"/>
              <w:bottom w:val="double" w:sz="6" w:space="0" w:color="auto"/>
              <w:right w:val="double" w:sz="6" w:space="0" w:color="auto"/>
            </w:tcBorders>
            <w:shd w:val="clear" w:color="000000" w:fill="FFFFFF"/>
            <w:noWrap/>
            <w:vAlign w:val="center"/>
          </w:tcPr>
          <w:p w:rsidR="00E2259B" w:rsidRPr="00073FF4" w:rsidRDefault="00E2259B" w:rsidP="005A3865">
            <w:pPr>
              <w:jc w:val="center"/>
              <w:rPr>
                <w:rFonts w:eastAsia="Times New Roman"/>
                <w:color w:val="000000"/>
                <w:sz w:val="20"/>
                <w:szCs w:val="20"/>
              </w:rPr>
            </w:pPr>
            <w:r w:rsidRPr="00073FF4">
              <w:rPr>
                <w:rFonts w:eastAsia="Times New Roman"/>
                <w:color w:val="000000"/>
                <w:sz w:val="20"/>
                <w:szCs w:val="20"/>
              </w:rPr>
              <w:t>t-stat</w:t>
            </w:r>
            <w:r w:rsidR="005A3865" w:rsidRPr="005A3865">
              <w:rPr>
                <w:vertAlign w:val="superscript"/>
              </w:rPr>
              <w:t>+</w:t>
            </w:r>
          </w:p>
        </w:tc>
        <w:tc>
          <w:tcPr>
            <w:tcW w:w="972" w:type="dxa"/>
            <w:tcBorders>
              <w:top w:val="single" w:sz="4" w:space="0" w:color="auto"/>
              <w:left w:val="nil"/>
              <w:bottom w:val="double" w:sz="6" w:space="0" w:color="auto"/>
              <w:right w:val="single" w:sz="4" w:space="0" w:color="auto"/>
            </w:tcBorders>
            <w:shd w:val="clear" w:color="000000" w:fill="FFFFFF"/>
            <w:vAlign w:val="center"/>
          </w:tcPr>
          <w:p w:rsidR="00E2259B" w:rsidRPr="00073FF4" w:rsidRDefault="00E2259B" w:rsidP="00073FF4">
            <w:pPr>
              <w:jc w:val="center"/>
              <w:rPr>
                <w:rFonts w:eastAsia="Times New Roman"/>
                <w:color w:val="000000"/>
                <w:sz w:val="20"/>
                <w:szCs w:val="20"/>
              </w:rPr>
            </w:pPr>
            <w:r w:rsidRPr="00073FF4">
              <w:rPr>
                <w:rFonts w:eastAsia="Times New Roman"/>
                <w:color w:val="000000"/>
                <w:sz w:val="20"/>
                <w:szCs w:val="20"/>
              </w:rPr>
              <w:t>Estimate</w:t>
            </w:r>
          </w:p>
        </w:tc>
        <w:tc>
          <w:tcPr>
            <w:tcW w:w="1024" w:type="dxa"/>
            <w:tcBorders>
              <w:top w:val="single" w:sz="4" w:space="0" w:color="auto"/>
              <w:left w:val="nil"/>
              <w:bottom w:val="double" w:sz="6" w:space="0" w:color="auto"/>
              <w:right w:val="double" w:sz="6" w:space="0" w:color="auto"/>
            </w:tcBorders>
            <w:shd w:val="clear" w:color="000000" w:fill="FFFFFF"/>
            <w:noWrap/>
            <w:vAlign w:val="center"/>
          </w:tcPr>
          <w:p w:rsidR="00E2259B" w:rsidRPr="00073FF4" w:rsidRDefault="00E2259B" w:rsidP="00073FF4">
            <w:pPr>
              <w:jc w:val="center"/>
              <w:rPr>
                <w:rFonts w:eastAsia="Times New Roman"/>
                <w:color w:val="000000"/>
                <w:sz w:val="20"/>
                <w:szCs w:val="20"/>
              </w:rPr>
            </w:pPr>
            <w:r w:rsidRPr="00073FF4">
              <w:rPr>
                <w:rFonts w:eastAsia="Times New Roman"/>
                <w:color w:val="000000"/>
                <w:sz w:val="20"/>
                <w:szCs w:val="20"/>
              </w:rPr>
              <w:t>t-stat</w:t>
            </w:r>
          </w:p>
        </w:tc>
        <w:tc>
          <w:tcPr>
            <w:tcW w:w="916" w:type="dxa"/>
            <w:tcBorders>
              <w:top w:val="single" w:sz="4" w:space="0" w:color="auto"/>
              <w:left w:val="nil"/>
              <w:bottom w:val="double" w:sz="6" w:space="0" w:color="auto"/>
              <w:right w:val="single" w:sz="4" w:space="0" w:color="auto"/>
            </w:tcBorders>
            <w:shd w:val="clear" w:color="000000" w:fill="FFFFFF"/>
            <w:vAlign w:val="center"/>
          </w:tcPr>
          <w:p w:rsidR="00E2259B" w:rsidRPr="00073FF4" w:rsidRDefault="00E2259B" w:rsidP="00073FF4">
            <w:pPr>
              <w:jc w:val="center"/>
              <w:rPr>
                <w:rFonts w:eastAsia="Times New Roman"/>
                <w:color w:val="000000"/>
                <w:sz w:val="20"/>
                <w:szCs w:val="20"/>
              </w:rPr>
            </w:pPr>
            <w:r w:rsidRPr="00073FF4">
              <w:rPr>
                <w:rFonts w:eastAsia="Times New Roman"/>
                <w:color w:val="000000"/>
                <w:sz w:val="20"/>
                <w:szCs w:val="20"/>
              </w:rPr>
              <w:t>Estimate</w:t>
            </w:r>
          </w:p>
        </w:tc>
        <w:tc>
          <w:tcPr>
            <w:tcW w:w="838" w:type="dxa"/>
            <w:tcBorders>
              <w:top w:val="single" w:sz="4" w:space="0" w:color="auto"/>
              <w:left w:val="single" w:sz="4" w:space="0" w:color="auto"/>
              <w:bottom w:val="double" w:sz="6" w:space="0" w:color="auto"/>
              <w:right w:val="double" w:sz="6" w:space="0" w:color="auto"/>
            </w:tcBorders>
            <w:shd w:val="clear" w:color="000000" w:fill="FFFFFF"/>
            <w:vAlign w:val="center"/>
          </w:tcPr>
          <w:p w:rsidR="00E2259B" w:rsidRPr="00073FF4" w:rsidRDefault="00E2259B" w:rsidP="00073FF4">
            <w:pPr>
              <w:jc w:val="center"/>
              <w:rPr>
                <w:rFonts w:eastAsia="Times New Roman"/>
                <w:color w:val="000000"/>
                <w:sz w:val="20"/>
                <w:szCs w:val="20"/>
              </w:rPr>
            </w:pPr>
            <w:r w:rsidRPr="00073FF4">
              <w:rPr>
                <w:rFonts w:eastAsia="Times New Roman"/>
                <w:color w:val="000000"/>
                <w:sz w:val="20"/>
                <w:szCs w:val="20"/>
              </w:rPr>
              <w:t>t-stat</w:t>
            </w:r>
          </w:p>
        </w:tc>
      </w:tr>
      <w:tr w:rsidR="00E2259B" w:rsidRPr="00073FF4" w:rsidTr="00026D18">
        <w:trPr>
          <w:trHeight w:val="300"/>
          <w:jc w:val="center"/>
        </w:trPr>
        <w:tc>
          <w:tcPr>
            <w:tcW w:w="4038" w:type="dxa"/>
            <w:tcBorders>
              <w:top w:val="nil"/>
              <w:left w:val="double" w:sz="6" w:space="0" w:color="auto"/>
              <w:bottom w:val="nil"/>
              <w:right w:val="double" w:sz="6" w:space="0" w:color="auto"/>
            </w:tcBorders>
            <w:shd w:val="clear" w:color="000000" w:fill="FFFFFF"/>
            <w:noWrap/>
            <w:vAlign w:val="center"/>
          </w:tcPr>
          <w:p w:rsidR="00E2259B" w:rsidRPr="00073FF4" w:rsidRDefault="00E2259B" w:rsidP="00BD6523">
            <w:pPr>
              <w:jc w:val="left"/>
              <w:rPr>
                <w:rFonts w:eastAsia="Times New Roman"/>
                <w:i/>
                <w:color w:val="000000"/>
                <w:sz w:val="20"/>
                <w:szCs w:val="20"/>
              </w:rPr>
            </w:pPr>
            <w:r w:rsidRPr="00073FF4">
              <w:rPr>
                <w:rFonts w:eastAsia="Times New Roman"/>
                <w:i/>
                <w:color w:val="000000"/>
                <w:sz w:val="20"/>
                <w:szCs w:val="20"/>
              </w:rPr>
              <w:t>Segment Probabilities</w:t>
            </w:r>
          </w:p>
        </w:tc>
        <w:tc>
          <w:tcPr>
            <w:tcW w:w="994" w:type="dxa"/>
            <w:tcBorders>
              <w:top w:val="double" w:sz="6" w:space="0" w:color="auto"/>
              <w:left w:val="nil"/>
              <w:bottom w:val="nil"/>
              <w:right w:val="single" w:sz="4" w:space="0" w:color="auto"/>
            </w:tcBorders>
            <w:shd w:val="clear" w:color="000000" w:fill="FFFFFF"/>
            <w:noWrap/>
            <w:vAlign w:val="center"/>
          </w:tcPr>
          <w:p w:rsidR="00E2259B" w:rsidRPr="00073FF4" w:rsidRDefault="00E2259B" w:rsidP="00B22941">
            <w:pPr>
              <w:tabs>
                <w:tab w:val="decimal" w:pos="191"/>
              </w:tabs>
              <w:jc w:val="center"/>
              <w:rPr>
                <w:rFonts w:eastAsia="Times New Roman"/>
                <w:color w:val="000000"/>
                <w:sz w:val="20"/>
                <w:szCs w:val="20"/>
              </w:rPr>
            </w:pPr>
          </w:p>
        </w:tc>
        <w:tc>
          <w:tcPr>
            <w:tcW w:w="947" w:type="dxa"/>
            <w:tcBorders>
              <w:top w:val="double" w:sz="6" w:space="0" w:color="auto"/>
              <w:left w:val="nil"/>
              <w:bottom w:val="nil"/>
              <w:right w:val="double" w:sz="6" w:space="0" w:color="auto"/>
            </w:tcBorders>
            <w:shd w:val="clear" w:color="000000" w:fill="FFFFFF"/>
            <w:noWrap/>
            <w:vAlign w:val="center"/>
          </w:tcPr>
          <w:p w:rsidR="00E2259B" w:rsidRPr="00073FF4" w:rsidRDefault="00E2259B" w:rsidP="00B22941">
            <w:pPr>
              <w:tabs>
                <w:tab w:val="decimal" w:pos="217"/>
              </w:tabs>
              <w:jc w:val="center"/>
              <w:rPr>
                <w:rFonts w:eastAsia="Times New Roman"/>
                <w:color w:val="000000"/>
                <w:sz w:val="20"/>
                <w:szCs w:val="20"/>
              </w:rPr>
            </w:pPr>
          </w:p>
        </w:tc>
        <w:tc>
          <w:tcPr>
            <w:tcW w:w="972" w:type="dxa"/>
            <w:tcBorders>
              <w:top w:val="double" w:sz="6" w:space="0" w:color="auto"/>
              <w:left w:val="nil"/>
              <w:bottom w:val="nil"/>
              <w:right w:val="single" w:sz="4" w:space="0" w:color="auto"/>
            </w:tcBorders>
            <w:shd w:val="clear" w:color="000000" w:fill="FFFFFF"/>
            <w:noWrap/>
            <w:vAlign w:val="center"/>
          </w:tcPr>
          <w:p w:rsidR="00E2259B" w:rsidRPr="00073FF4" w:rsidRDefault="00E2259B" w:rsidP="00B22941">
            <w:pPr>
              <w:tabs>
                <w:tab w:val="decimal" w:pos="160"/>
              </w:tabs>
              <w:jc w:val="center"/>
              <w:rPr>
                <w:rFonts w:eastAsia="Times New Roman"/>
                <w:color w:val="000000"/>
                <w:sz w:val="20"/>
                <w:szCs w:val="20"/>
              </w:rPr>
            </w:pPr>
          </w:p>
        </w:tc>
        <w:tc>
          <w:tcPr>
            <w:tcW w:w="1024" w:type="dxa"/>
            <w:tcBorders>
              <w:top w:val="double" w:sz="6" w:space="0" w:color="auto"/>
              <w:left w:val="nil"/>
              <w:bottom w:val="nil"/>
              <w:right w:val="double" w:sz="6" w:space="0" w:color="auto"/>
            </w:tcBorders>
            <w:shd w:val="clear" w:color="000000" w:fill="FFFFFF"/>
            <w:noWrap/>
            <w:vAlign w:val="center"/>
          </w:tcPr>
          <w:p w:rsidR="00E2259B" w:rsidRPr="00073FF4" w:rsidRDefault="00E2259B" w:rsidP="00B22941">
            <w:pPr>
              <w:tabs>
                <w:tab w:val="decimal" w:pos="160"/>
              </w:tabs>
              <w:jc w:val="center"/>
              <w:rPr>
                <w:rFonts w:eastAsia="Times New Roman"/>
                <w:color w:val="000000"/>
                <w:sz w:val="20"/>
                <w:szCs w:val="20"/>
              </w:rPr>
            </w:pPr>
          </w:p>
        </w:tc>
        <w:tc>
          <w:tcPr>
            <w:tcW w:w="916" w:type="dxa"/>
            <w:tcBorders>
              <w:top w:val="double" w:sz="6" w:space="0" w:color="auto"/>
              <w:left w:val="nil"/>
              <w:right w:val="single" w:sz="4" w:space="0" w:color="auto"/>
            </w:tcBorders>
            <w:shd w:val="clear" w:color="000000" w:fill="FFFFFF"/>
            <w:vAlign w:val="center"/>
          </w:tcPr>
          <w:p w:rsidR="00E2259B" w:rsidRPr="00073FF4" w:rsidRDefault="00E2259B" w:rsidP="00B22941">
            <w:pPr>
              <w:tabs>
                <w:tab w:val="decimal" w:pos="151"/>
              </w:tabs>
              <w:jc w:val="center"/>
              <w:rPr>
                <w:rFonts w:eastAsia="Times New Roman"/>
                <w:color w:val="000000"/>
                <w:sz w:val="20"/>
                <w:szCs w:val="20"/>
              </w:rPr>
            </w:pPr>
          </w:p>
        </w:tc>
        <w:tc>
          <w:tcPr>
            <w:tcW w:w="838" w:type="dxa"/>
            <w:tcBorders>
              <w:top w:val="double" w:sz="6" w:space="0" w:color="auto"/>
              <w:left w:val="single" w:sz="4" w:space="0" w:color="auto"/>
              <w:right w:val="double" w:sz="6" w:space="0" w:color="auto"/>
            </w:tcBorders>
            <w:shd w:val="clear" w:color="000000" w:fill="FFFFFF"/>
            <w:vAlign w:val="center"/>
          </w:tcPr>
          <w:p w:rsidR="00E2259B" w:rsidRPr="00073FF4" w:rsidRDefault="00E2259B" w:rsidP="00B22941">
            <w:pPr>
              <w:tabs>
                <w:tab w:val="decimal" w:pos="143"/>
              </w:tabs>
              <w:jc w:val="center"/>
              <w:rPr>
                <w:rFonts w:eastAsia="Times New Roman"/>
                <w:color w:val="000000"/>
                <w:sz w:val="20"/>
                <w:szCs w:val="20"/>
              </w:rPr>
            </w:pPr>
          </w:p>
        </w:tc>
      </w:tr>
      <w:tr w:rsidR="00E2259B" w:rsidRPr="00073FF4" w:rsidTr="00026D18">
        <w:trPr>
          <w:trHeight w:val="300"/>
          <w:jc w:val="center"/>
        </w:trPr>
        <w:tc>
          <w:tcPr>
            <w:tcW w:w="4038" w:type="dxa"/>
            <w:tcBorders>
              <w:top w:val="nil"/>
              <w:left w:val="double" w:sz="6" w:space="0" w:color="auto"/>
              <w:bottom w:val="nil"/>
              <w:right w:val="double" w:sz="6" w:space="0" w:color="auto"/>
            </w:tcBorders>
            <w:shd w:val="clear" w:color="000000" w:fill="FFFFFF"/>
            <w:noWrap/>
            <w:vAlign w:val="center"/>
          </w:tcPr>
          <w:p w:rsidR="00E2259B" w:rsidRPr="00073FF4" w:rsidRDefault="00E2259B" w:rsidP="00BD6523">
            <w:pPr>
              <w:jc w:val="left"/>
              <w:rPr>
                <w:rFonts w:eastAsia="Times New Roman"/>
                <w:i/>
                <w:color w:val="000000"/>
                <w:sz w:val="20"/>
                <w:szCs w:val="20"/>
              </w:rPr>
            </w:pPr>
            <w:r w:rsidRPr="00073FF4">
              <w:rPr>
                <w:rFonts w:eastAsia="Times New Roman"/>
                <w:color w:val="000000"/>
                <w:sz w:val="20"/>
                <w:szCs w:val="20"/>
              </w:rPr>
              <w:t xml:space="preserve">    Alternative specific constant</w:t>
            </w:r>
          </w:p>
        </w:tc>
        <w:tc>
          <w:tcPr>
            <w:tcW w:w="994" w:type="dxa"/>
            <w:tcBorders>
              <w:top w:val="nil"/>
              <w:left w:val="nil"/>
              <w:bottom w:val="nil"/>
              <w:right w:val="single" w:sz="4" w:space="0" w:color="auto"/>
            </w:tcBorders>
            <w:shd w:val="clear" w:color="000000" w:fill="FFFFFF"/>
            <w:noWrap/>
            <w:vAlign w:val="center"/>
          </w:tcPr>
          <w:p w:rsidR="00E2259B" w:rsidRPr="00073FF4" w:rsidRDefault="00E2259B" w:rsidP="00B22941">
            <w:pPr>
              <w:tabs>
                <w:tab w:val="decimal" w:pos="191"/>
              </w:tabs>
              <w:jc w:val="center"/>
              <w:rPr>
                <w:rFonts w:eastAsia="Times New Roman"/>
                <w:color w:val="000000"/>
                <w:sz w:val="20"/>
                <w:szCs w:val="20"/>
              </w:rPr>
            </w:pPr>
            <w:r w:rsidRPr="00073FF4">
              <w:rPr>
                <w:rFonts w:eastAsia="Times New Roman"/>
                <w:color w:val="000000"/>
                <w:sz w:val="20"/>
                <w:szCs w:val="20"/>
              </w:rPr>
              <w:t>-</w:t>
            </w:r>
          </w:p>
        </w:tc>
        <w:tc>
          <w:tcPr>
            <w:tcW w:w="947" w:type="dxa"/>
            <w:tcBorders>
              <w:top w:val="nil"/>
              <w:left w:val="nil"/>
              <w:bottom w:val="nil"/>
              <w:right w:val="double" w:sz="6" w:space="0" w:color="auto"/>
            </w:tcBorders>
            <w:shd w:val="clear" w:color="000000" w:fill="FFFFFF"/>
            <w:noWrap/>
            <w:vAlign w:val="center"/>
          </w:tcPr>
          <w:p w:rsidR="00E2259B" w:rsidRPr="00073FF4" w:rsidRDefault="00E2259B" w:rsidP="00B22941">
            <w:pPr>
              <w:tabs>
                <w:tab w:val="decimal" w:pos="217"/>
              </w:tabs>
              <w:jc w:val="center"/>
              <w:rPr>
                <w:rFonts w:eastAsia="Times New Roman"/>
                <w:color w:val="000000"/>
                <w:sz w:val="20"/>
                <w:szCs w:val="20"/>
              </w:rPr>
            </w:pPr>
            <w:r w:rsidRPr="00073FF4">
              <w:rPr>
                <w:rFonts w:eastAsia="Times New Roman"/>
                <w:color w:val="000000"/>
                <w:sz w:val="20"/>
                <w:szCs w:val="20"/>
              </w:rPr>
              <w:t>-</w:t>
            </w:r>
          </w:p>
        </w:tc>
        <w:tc>
          <w:tcPr>
            <w:tcW w:w="972" w:type="dxa"/>
            <w:tcBorders>
              <w:left w:val="nil"/>
              <w:bottom w:val="nil"/>
              <w:right w:val="single" w:sz="4" w:space="0" w:color="auto"/>
            </w:tcBorders>
            <w:shd w:val="clear" w:color="000000" w:fill="FFFFFF"/>
            <w:noWrap/>
            <w:vAlign w:val="center"/>
          </w:tcPr>
          <w:p w:rsidR="00E2259B" w:rsidRPr="00073FF4" w:rsidRDefault="00E2259B" w:rsidP="00B22941">
            <w:pPr>
              <w:tabs>
                <w:tab w:val="decimal" w:pos="160"/>
              </w:tabs>
              <w:jc w:val="center"/>
              <w:rPr>
                <w:rFonts w:eastAsia="Times New Roman"/>
                <w:color w:val="000000"/>
                <w:sz w:val="20"/>
                <w:szCs w:val="20"/>
              </w:rPr>
            </w:pPr>
            <w:r w:rsidRPr="00073FF4">
              <w:rPr>
                <w:rFonts w:eastAsia="Times New Roman"/>
                <w:color w:val="000000"/>
                <w:sz w:val="20"/>
                <w:szCs w:val="20"/>
              </w:rPr>
              <w:t>1.020</w:t>
            </w:r>
          </w:p>
        </w:tc>
        <w:tc>
          <w:tcPr>
            <w:tcW w:w="1024" w:type="dxa"/>
            <w:tcBorders>
              <w:left w:val="nil"/>
              <w:bottom w:val="nil"/>
              <w:right w:val="double" w:sz="6" w:space="0" w:color="auto"/>
            </w:tcBorders>
            <w:shd w:val="clear" w:color="000000" w:fill="FFFFFF"/>
            <w:noWrap/>
            <w:vAlign w:val="center"/>
          </w:tcPr>
          <w:p w:rsidR="00E2259B" w:rsidRPr="00073FF4" w:rsidRDefault="009F0FAA" w:rsidP="00B22941">
            <w:pPr>
              <w:tabs>
                <w:tab w:val="decimal" w:pos="160"/>
              </w:tabs>
              <w:jc w:val="center"/>
              <w:rPr>
                <w:rFonts w:eastAsia="Times New Roman"/>
                <w:color w:val="000000"/>
                <w:sz w:val="20"/>
                <w:szCs w:val="20"/>
              </w:rPr>
            </w:pPr>
            <w:r w:rsidRPr="00073FF4">
              <w:rPr>
                <w:rFonts w:eastAsia="Times New Roman"/>
                <w:color w:val="000000"/>
                <w:sz w:val="20"/>
                <w:szCs w:val="20"/>
              </w:rPr>
              <w:t>3.50</w:t>
            </w:r>
          </w:p>
        </w:tc>
        <w:tc>
          <w:tcPr>
            <w:tcW w:w="916" w:type="dxa"/>
            <w:tcBorders>
              <w:left w:val="nil"/>
              <w:right w:val="single" w:sz="4" w:space="0" w:color="auto"/>
            </w:tcBorders>
            <w:shd w:val="clear" w:color="000000" w:fill="FFFFFF"/>
            <w:vAlign w:val="center"/>
          </w:tcPr>
          <w:p w:rsidR="00E2259B" w:rsidRPr="00073FF4" w:rsidRDefault="00E2259B" w:rsidP="00B22941">
            <w:pPr>
              <w:tabs>
                <w:tab w:val="decimal" w:pos="151"/>
              </w:tabs>
              <w:jc w:val="center"/>
              <w:rPr>
                <w:rFonts w:eastAsia="Times New Roman"/>
                <w:color w:val="000000"/>
                <w:sz w:val="20"/>
                <w:szCs w:val="20"/>
              </w:rPr>
            </w:pPr>
            <w:r w:rsidRPr="00073FF4">
              <w:rPr>
                <w:rFonts w:eastAsia="Times New Roman"/>
                <w:color w:val="000000"/>
                <w:sz w:val="20"/>
                <w:szCs w:val="20"/>
              </w:rPr>
              <w:t>0.314</w:t>
            </w:r>
          </w:p>
        </w:tc>
        <w:tc>
          <w:tcPr>
            <w:tcW w:w="838" w:type="dxa"/>
            <w:tcBorders>
              <w:left w:val="single" w:sz="4" w:space="0" w:color="auto"/>
              <w:right w:val="double" w:sz="6" w:space="0" w:color="auto"/>
            </w:tcBorders>
            <w:shd w:val="clear" w:color="000000" w:fill="FFFFFF"/>
            <w:vAlign w:val="center"/>
          </w:tcPr>
          <w:p w:rsidR="00E2259B" w:rsidRPr="00073FF4" w:rsidRDefault="00E2259B" w:rsidP="00B22941">
            <w:pPr>
              <w:tabs>
                <w:tab w:val="decimal" w:pos="143"/>
              </w:tabs>
              <w:jc w:val="center"/>
              <w:rPr>
                <w:rFonts w:eastAsia="Times New Roman"/>
                <w:color w:val="000000"/>
                <w:sz w:val="20"/>
                <w:szCs w:val="20"/>
              </w:rPr>
            </w:pPr>
            <w:r w:rsidRPr="00073FF4">
              <w:rPr>
                <w:rFonts w:eastAsia="Times New Roman"/>
                <w:color w:val="000000"/>
                <w:sz w:val="20"/>
                <w:szCs w:val="20"/>
              </w:rPr>
              <w:t>2.33</w:t>
            </w:r>
          </w:p>
        </w:tc>
      </w:tr>
      <w:tr w:rsidR="00E2259B" w:rsidRPr="00073FF4" w:rsidTr="00026D18">
        <w:trPr>
          <w:trHeight w:val="300"/>
          <w:jc w:val="center"/>
        </w:trPr>
        <w:tc>
          <w:tcPr>
            <w:tcW w:w="4038" w:type="dxa"/>
            <w:tcBorders>
              <w:top w:val="nil"/>
              <w:left w:val="double" w:sz="6" w:space="0" w:color="auto"/>
              <w:bottom w:val="nil"/>
              <w:right w:val="double" w:sz="6" w:space="0" w:color="auto"/>
            </w:tcBorders>
            <w:shd w:val="clear" w:color="000000" w:fill="FFFFFF"/>
            <w:noWrap/>
            <w:vAlign w:val="center"/>
          </w:tcPr>
          <w:p w:rsidR="00E2259B" w:rsidRPr="00073FF4" w:rsidRDefault="00E2259B" w:rsidP="00BD6523">
            <w:pPr>
              <w:jc w:val="left"/>
              <w:rPr>
                <w:rFonts w:eastAsia="Times New Roman"/>
                <w:i/>
                <w:color w:val="000000"/>
                <w:sz w:val="20"/>
                <w:szCs w:val="20"/>
              </w:rPr>
            </w:pPr>
            <w:r w:rsidRPr="00073FF4">
              <w:rPr>
                <w:rFonts w:eastAsia="Times New Roman"/>
                <w:color w:val="000000"/>
                <w:sz w:val="20"/>
                <w:szCs w:val="20"/>
              </w:rPr>
              <w:t xml:space="preserve">    Age: 48 years or older</w:t>
            </w:r>
          </w:p>
        </w:tc>
        <w:tc>
          <w:tcPr>
            <w:tcW w:w="994" w:type="dxa"/>
            <w:tcBorders>
              <w:top w:val="nil"/>
              <w:left w:val="nil"/>
              <w:bottom w:val="nil"/>
              <w:right w:val="single" w:sz="4" w:space="0" w:color="auto"/>
            </w:tcBorders>
            <w:shd w:val="clear" w:color="000000" w:fill="FFFFFF"/>
            <w:noWrap/>
            <w:vAlign w:val="center"/>
          </w:tcPr>
          <w:p w:rsidR="00E2259B" w:rsidRPr="00073FF4" w:rsidRDefault="00E2259B" w:rsidP="00B22941">
            <w:pPr>
              <w:tabs>
                <w:tab w:val="decimal" w:pos="191"/>
              </w:tabs>
              <w:jc w:val="center"/>
              <w:rPr>
                <w:rFonts w:eastAsia="Times New Roman"/>
                <w:color w:val="000000"/>
                <w:sz w:val="20"/>
                <w:szCs w:val="20"/>
              </w:rPr>
            </w:pPr>
            <w:r w:rsidRPr="00073FF4">
              <w:rPr>
                <w:rFonts w:eastAsia="Times New Roman"/>
                <w:color w:val="000000"/>
                <w:sz w:val="20"/>
                <w:szCs w:val="20"/>
              </w:rPr>
              <w:t>-</w:t>
            </w:r>
          </w:p>
        </w:tc>
        <w:tc>
          <w:tcPr>
            <w:tcW w:w="947" w:type="dxa"/>
            <w:tcBorders>
              <w:top w:val="nil"/>
              <w:left w:val="nil"/>
              <w:bottom w:val="nil"/>
              <w:right w:val="double" w:sz="6" w:space="0" w:color="auto"/>
            </w:tcBorders>
            <w:shd w:val="clear" w:color="000000" w:fill="FFFFFF"/>
            <w:noWrap/>
            <w:vAlign w:val="center"/>
          </w:tcPr>
          <w:p w:rsidR="00E2259B" w:rsidRPr="00073FF4" w:rsidRDefault="00E2259B" w:rsidP="00B22941">
            <w:pPr>
              <w:tabs>
                <w:tab w:val="decimal" w:pos="217"/>
              </w:tabs>
              <w:jc w:val="center"/>
              <w:rPr>
                <w:rFonts w:eastAsia="Times New Roman"/>
                <w:color w:val="000000"/>
                <w:sz w:val="20"/>
                <w:szCs w:val="20"/>
              </w:rPr>
            </w:pPr>
            <w:r w:rsidRPr="00073FF4">
              <w:rPr>
                <w:rFonts w:eastAsia="Times New Roman"/>
                <w:color w:val="000000"/>
                <w:sz w:val="20"/>
                <w:szCs w:val="20"/>
              </w:rPr>
              <w:t>-</w:t>
            </w:r>
          </w:p>
        </w:tc>
        <w:tc>
          <w:tcPr>
            <w:tcW w:w="972" w:type="dxa"/>
            <w:tcBorders>
              <w:left w:val="nil"/>
              <w:bottom w:val="nil"/>
              <w:right w:val="single" w:sz="4" w:space="0" w:color="auto"/>
            </w:tcBorders>
            <w:shd w:val="clear" w:color="000000" w:fill="FFFFFF"/>
            <w:noWrap/>
            <w:vAlign w:val="center"/>
          </w:tcPr>
          <w:p w:rsidR="00E2259B" w:rsidRPr="00073FF4" w:rsidRDefault="00E2259B" w:rsidP="00B22941">
            <w:pPr>
              <w:tabs>
                <w:tab w:val="decimal" w:pos="160"/>
              </w:tabs>
              <w:jc w:val="center"/>
              <w:rPr>
                <w:rFonts w:eastAsia="Times New Roman"/>
                <w:color w:val="000000"/>
                <w:sz w:val="20"/>
                <w:szCs w:val="20"/>
              </w:rPr>
            </w:pPr>
            <w:r w:rsidRPr="00073FF4">
              <w:rPr>
                <w:rFonts w:eastAsia="Times New Roman"/>
                <w:color w:val="000000"/>
                <w:sz w:val="20"/>
                <w:szCs w:val="20"/>
              </w:rPr>
              <w:t>-</w:t>
            </w:r>
          </w:p>
        </w:tc>
        <w:tc>
          <w:tcPr>
            <w:tcW w:w="1024" w:type="dxa"/>
            <w:tcBorders>
              <w:left w:val="nil"/>
              <w:bottom w:val="nil"/>
              <w:right w:val="double" w:sz="6" w:space="0" w:color="auto"/>
            </w:tcBorders>
            <w:shd w:val="clear" w:color="000000" w:fill="FFFFFF"/>
            <w:noWrap/>
            <w:vAlign w:val="center"/>
          </w:tcPr>
          <w:p w:rsidR="00E2259B" w:rsidRPr="00073FF4" w:rsidRDefault="00E2259B" w:rsidP="00B22941">
            <w:pPr>
              <w:tabs>
                <w:tab w:val="decimal" w:pos="160"/>
              </w:tabs>
              <w:jc w:val="center"/>
              <w:rPr>
                <w:rFonts w:eastAsia="Times New Roman"/>
                <w:color w:val="000000"/>
                <w:sz w:val="20"/>
                <w:szCs w:val="20"/>
              </w:rPr>
            </w:pPr>
            <w:r w:rsidRPr="00073FF4">
              <w:rPr>
                <w:rFonts w:eastAsia="Times New Roman"/>
                <w:color w:val="000000"/>
                <w:sz w:val="20"/>
                <w:szCs w:val="20"/>
              </w:rPr>
              <w:t>-</w:t>
            </w:r>
          </w:p>
        </w:tc>
        <w:tc>
          <w:tcPr>
            <w:tcW w:w="916" w:type="dxa"/>
            <w:tcBorders>
              <w:left w:val="nil"/>
              <w:right w:val="single" w:sz="4" w:space="0" w:color="auto"/>
            </w:tcBorders>
            <w:shd w:val="clear" w:color="000000" w:fill="FFFFFF"/>
            <w:vAlign w:val="center"/>
          </w:tcPr>
          <w:p w:rsidR="00E2259B" w:rsidRPr="00073FF4" w:rsidRDefault="00E2259B" w:rsidP="00B22941">
            <w:pPr>
              <w:tabs>
                <w:tab w:val="decimal" w:pos="151"/>
              </w:tabs>
              <w:jc w:val="center"/>
              <w:rPr>
                <w:rFonts w:eastAsia="Times New Roman"/>
                <w:color w:val="000000"/>
                <w:sz w:val="20"/>
                <w:szCs w:val="20"/>
              </w:rPr>
            </w:pPr>
            <w:r w:rsidRPr="00073FF4">
              <w:rPr>
                <w:rFonts w:eastAsia="Times New Roman"/>
                <w:color w:val="000000"/>
                <w:sz w:val="20"/>
                <w:szCs w:val="20"/>
              </w:rPr>
              <w:t>0.8</w:t>
            </w:r>
            <w:r w:rsidR="000B06DF" w:rsidRPr="00073FF4">
              <w:rPr>
                <w:rFonts w:eastAsia="Times New Roman"/>
                <w:color w:val="000000"/>
                <w:sz w:val="20"/>
                <w:szCs w:val="20"/>
              </w:rPr>
              <w:t>80</w:t>
            </w:r>
          </w:p>
        </w:tc>
        <w:tc>
          <w:tcPr>
            <w:tcW w:w="838" w:type="dxa"/>
            <w:tcBorders>
              <w:left w:val="single" w:sz="4" w:space="0" w:color="auto"/>
              <w:right w:val="double" w:sz="6" w:space="0" w:color="auto"/>
            </w:tcBorders>
            <w:shd w:val="clear" w:color="000000" w:fill="FFFFFF"/>
            <w:vAlign w:val="center"/>
          </w:tcPr>
          <w:p w:rsidR="00E2259B" w:rsidRPr="00073FF4" w:rsidRDefault="00E2259B" w:rsidP="00B22941">
            <w:pPr>
              <w:tabs>
                <w:tab w:val="decimal" w:pos="143"/>
              </w:tabs>
              <w:jc w:val="center"/>
              <w:rPr>
                <w:rFonts w:eastAsia="Times New Roman"/>
                <w:color w:val="000000"/>
                <w:sz w:val="20"/>
                <w:szCs w:val="20"/>
              </w:rPr>
            </w:pPr>
            <w:r w:rsidRPr="00073FF4">
              <w:rPr>
                <w:rFonts w:eastAsia="Times New Roman"/>
                <w:color w:val="000000"/>
                <w:sz w:val="20"/>
                <w:szCs w:val="20"/>
              </w:rPr>
              <w:t>3.40</w:t>
            </w:r>
          </w:p>
        </w:tc>
      </w:tr>
      <w:tr w:rsidR="00E2259B" w:rsidRPr="00073FF4" w:rsidTr="00026D18">
        <w:trPr>
          <w:trHeight w:val="300"/>
          <w:jc w:val="center"/>
        </w:trPr>
        <w:tc>
          <w:tcPr>
            <w:tcW w:w="4038" w:type="dxa"/>
            <w:tcBorders>
              <w:top w:val="nil"/>
              <w:left w:val="double" w:sz="6" w:space="0" w:color="auto"/>
              <w:bottom w:val="nil"/>
              <w:right w:val="double" w:sz="6" w:space="0" w:color="auto"/>
            </w:tcBorders>
            <w:shd w:val="clear" w:color="000000" w:fill="FFFFFF"/>
            <w:noWrap/>
            <w:vAlign w:val="center"/>
          </w:tcPr>
          <w:p w:rsidR="00E2259B" w:rsidRPr="00073FF4" w:rsidRDefault="00E2259B" w:rsidP="00BD6523">
            <w:pPr>
              <w:jc w:val="left"/>
              <w:rPr>
                <w:rFonts w:eastAsia="Times New Roman"/>
                <w:i/>
                <w:color w:val="000000"/>
                <w:sz w:val="20"/>
                <w:szCs w:val="20"/>
              </w:rPr>
            </w:pPr>
            <w:r w:rsidRPr="00073FF4">
              <w:rPr>
                <w:rFonts w:eastAsia="Times New Roman"/>
                <w:color w:val="000000"/>
                <w:sz w:val="20"/>
                <w:szCs w:val="20"/>
              </w:rPr>
              <w:t xml:space="preserve">    Single person household</w:t>
            </w:r>
          </w:p>
        </w:tc>
        <w:tc>
          <w:tcPr>
            <w:tcW w:w="994" w:type="dxa"/>
            <w:tcBorders>
              <w:top w:val="nil"/>
              <w:left w:val="nil"/>
              <w:bottom w:val="nil"/>
              <w:right w:val="single" w:sz="4" w:space="0" w:color="auto"/>
            </w:tcBorders>
            <w:shd w:val="clear" w:color="000000" w:fill="FFFFFF"/>
            <w:noWrap/>
            <w:vAlign w:val="center"/>
          </w:tcPr>
          <w:p w:rsidR="00E2259B" w:rsidRPr="00073FF4" w:rsidRDefault="00E2259B" w:rsidP="00B22941">
            <w:pPr>
              <w:tabs>
                <w:tab w:val="decimal" w:pos="191"/>
              </w:tabs>
              <w:jc w:val="center"/>
              <w:rPr>
                <w:rFonts w:eastAsia="Times New Roman"/>
                <w:color w:val="000000"/>
                <w:sz w:val="20"/>
                <w:szCs w:val="20"/>
              </w:rPr>
            </w:pPr>
            <w:r w:rsidRPr="00073FF4">
              <w:rPr>
                <w:rFonts w:eastAsia="Times New Roman"/>
                <w:color w:val="000000"/>
                <w:sz w:val="20"/>
                <w:szCs w:val="20"/>
              </w:rPr>
              <w:t>-</w:t>
            </w:r>
          </w:p>
        </w:tc>
        <w:tc>
          <w:tcPr>
            <w:tcW w:w="947" w:type="dxa"/>
            <w:tcBorders>
              <w:top w:val="nil"/>
              <w:left w:val="nil"/>
              <w:bottom w:val="nil"/>
              <w:right w:val="double" w:sz="6" w:space="0" w:color="auto"/>
            </w:tcBorders>
            <w:shd w:val="clear" w:color="000000" w:fill="FFFFFF"/>
            <w:noWrap/>
            <w:vAlign w:val="center"/>
          </w:tcPr>
          <w:p w:rsidR="00E2259B" w:rsidRPr="00073FF4" w:rsidRDefault="00E2259B" w:rsidP="00B22941">
            <w:pPr>
              <w:tabs>
                <w:tab w:val="decimal" w:pos="217"/>
              </w:tabs>
              <w:jc w:val="center"/>
              <w:rPr>
                <w:rFonts w:eastAsia="Times New Roman"/>
                <w:color w:val="000000"/>
                <w:sz w:val="20"/>
                <w:szCs w:val="20"/>
              </w:rPr>
            </w:pPr>
            <w:r w:rsidRPr="00073FF4">
              <w:rPr>
                <w:rFonts w:eastAsia="Times New Roman"/>
                <w:color w:val="000000"/>
                <w:sz w:val="20"/>
                <w:szCs w:val="20"/>
              </w:rPr>
              <w:t>-</w:t>
            </w:r>
          </w:p>
        </w:tc>
        <w:tc>
          <w:tcPr>
            <w:tcW w:w="972" w:type="dxa"/>
            <w:tcBorders>
              <w:left w:val="nil"/>
              <w:bottom w:val="nil"/>
              <w:right w:val="single" w:sz="4" w:space="0" w:color="auto"/>
            </w:tcBorders>
            <w:shd w:val="clear" w:color="000000" w:fill="FFFFFF"/>
            <w:noWrap/>
            <w:vAlign w:val="center"/>
          </w:tcPr>
          <w:p w:rsidR="00E2259B" w:rsidRPr="00073FF4" w:rsidRDefault="00E2259B" w:rsidP="00B22941">
            <w:pPr>
              <w:tabs>
                <w:tab w:val="decimal" w:pos="160"/>
              </w:tabs>
              <w:jc w:val="center"/>
              <w:rPr>
                <w:rFonts w:eastAsia="Times New Roman"/>
                <w:color w:val="000000"/>
                <w:sz w:val="20"/>
                <w:szCs w:val="20"/>
              </w:rPr>
            </w:pPr>
            <w:r w:rsidRPr="00073FF4">
              <w:rPr>
                <w:rFonts w:eastAsia="Times New Roman"/>
                <w:color w:val="000000"/>
                <w:sz w:val="20"/>
                <w:szCs w:val="20"/>
              </w:rPr>
              <w:t>-0.501</w:t>
            </w:r>
          </w:p>
        </w:tc>
        <w:tc>
          <w:tcPr>
            <w:tcW w:w="1024" w:type="dxa"/>
            <w:tcBorders>
              <w:left w:val="nil"/>
              <w:bottom w:val="nil"/>
              <w:right w:val="double" w:sz="6" w:space="0" w:color="auto"/>
            </w:tcBorders>
            <w:shd w:val="clear" w:color="000000" w:fill="FFFFFF"/>
            <w:noWrap/>
            <w:vAlign w:val="center"/>
          </w:tcPr>
          <w:p w:rsidR="00E2259B" w:rsidRPr="00073FF4" w:rsidRDefault="005B4A28" w:rsidP="00B22941">
            <w:pPr>
              <w:tabs>
                <w:tab w:val="decimal" w:pos="160"/>
              </w:tabs>
              <w:rPr>
                <w:rFonts w:eastAsia="Times New Roman"/>
                <w:color w:val="000000"/>
                <w:sz w:val="20"/>
                <w:szCs w:val="20"/>
              </w:rPr>
            </w:pPr>
            <w:r w:rsidRPr="00073FF4">
              <w:rPr>
                <w:rFonts w:eastAsia="Times New Roman"/>
                <w:color w:val="000000"/>
                <w:sz w:val="20"/>
                <w:szCs w:val="20"/>
              </w:rPr>
              <w:t xml:space="preserve">  </w:t>
            </w:r>
            <w:r w:rsidR="00C4765D" w:rsidRPr="00073FF4">
              <w:rPr>
                <w:rFonts w:eastAsia="Times New Roman"/>
                <w:color w:val="000000"/>
                <w:sz w:val="20"/>
                <w:szCs w:val="20"/>
              </w:rPr>
              <w:t xml:space="preserve"> </w:t>
            </w:r>
            <w:r w:rsidRPr="00073FF4">
              <w:rPr>
                <w:rFonts w:eastAsia="Times New Roman"/>
                <w:color w:val="000000"/>
                <w:sz w:val="20"/>
                <w:szCs w:val="20"/>
              </w:rPr>
              <w:t xml:space="preserve"> </w:t>
            </w:r>
            <w:r w:rsidR="00E2259B" w:rsidRPr="00073FF4">
              <w:rPr>
                <w:rFonts w:eastAsia="Times New Roman"/>
                <w:color w:val="000000"/>
                <w:sz w:val="20"/>
                <w:szCs w:val="20"/>
              </w:rPr>
              <w:t>-3.</w:t>
            </w:r>
            <w:r w:rsidR="009F0FAA" w:rsidRPr="00073FF4">
              <w:rPr>
                <w:rFonts w:eastAsia="Times New Roman"/>
                <w:color w:val="000000"/>
                <w:sz w:val="20"/>
                <w:szCs w:val="20"/>
              </w:rPr>
              <w:t>69</w:t>
            </w:r>
          </w:p>
        </w:tc>
        <w:tc>
          <w:tcPr>
            <w:tcW w:w="916" w:type="dxa"/>
            <w:tcBorders>
              <w:left w:val="nil"/>
              <w:right w:val="single" w:sz="4" w:space="0" w:color="auto"/>
            </w:tcBorders>
            <w:shd w:val="clear" w:color="000000" w:fill="FFFFFF"/>
            <w:vAlign w:val="center"/>
          </w:tcPr>
          <w:p w:rsidR="00E2259B" w:rsidRPr="00073FF4" w:rsidRDefault="005B4A28" w:rsidP="00B22941">
            <w:pPr>
              <w:tabs>
                <w:tab w:val="decimal" w:pos="151"/>
              </w:tabs>
              <w:rPr>
                <w:rFonts w:eastAsia="Times New Roman"/>
                <w:color w:val="000000"/>
                <w:sz w:val="20"/>
                <w:szCs w:val="20"/>
              </w:rPr>
            </w:pPr>
            <w:r w:rsidRPr="00073FF4">
              <w:rPr>
                <w:rFonts w:eastAsia="Times New Roman"/>
                <w:color w:val="000000"/>
                <w:sz w:val="20"/>
                <w:szCs w:val="20"/>
              </w:rPr>
              <w:t xml:space="preserve"> </w:t>
            </w:r>
            <w:r w:rsidR="00C4765D" w:rsidRPr="00073FF4">
              <w:rPr>
                <w:rFonts w:eastAsia="Times New Roman"/>
                <w:color w:val="000000"/>
                <w:sz w:val="20"/>
                <w:szCs w:val="20"/>
              </w:rPr>
              <w:t xml:space="preserve"> </w:t>
            </w:r>
            <w:r w:rsidR="00E2259B" w:rsidRPr="00073FF4">
              <w:rPr>
                <w:rFonts w:eastAsia="Times New Roman"/>
                <w:color w:val="000000"/>
                <w:sz w:val="20"/>
                <w:szCs w:val="20"/>
              </w:rPr>
              <w:t>-0.646</w:t>
            </w:r>
          </w:p>
        </w:tc>
        <w:tc>
          <w:tcPr>
            <w:tcW w:w="838" w:type="dxa"/>
            <w:tcBorders>
              <w:left w:val="single" w:sz="4" w:space="0" w:color="auto"/>
              <w:right w:val="double" w:sz="6" w:space="0" w:color="auto"/>
            </w:tcBorders>
            <w:shd w:val="clear" w:color="000000" w:fill="FFFFFF"/>
            <w:vAlign w:val="center"/>
          </w:tcPr>
          <w:p w:rsidR="00E2259B" w:rsidRPr="00073FF4" w:rsidRDefault="007724A4" w:rsidP="00B22941">
            <w:pPr>
              <w:tabs>
                <w:tab w:val="decimal" w:pos="143"/>
              </w:tabs>
              <w:rPr>
                <w:rFonts w:eastAsia="Times New Roman"/>
                <w:color w:val="000000"/>
                <w:sz w:val="20"/>
                <w:szCs w:val="20"/>
              </w:rPr>
            </w:pPr>
            <w:r w:rsidRPr="00073FF4">
              <w:rPr>
                <w:rFonts w:eastAsia="Times New Roman"/>
                <w:color w:val="000000"/>
                <w:sz w:val="20"/>
                <w:szCs w:val="20"/>
              </w:rPr>
              <w:t xml:space="preserve"> </w:t>
            </w:r>
            <w:r w:rsidR="00E2259B" w:rsidRPr="00073FF4">
              <w:rPr>
                <w:rFonts w:eastAsia="Times New Roman"/>
                <w:color w:val="000000"/>
                <w:sz w:val="20"/>
                <w:szCs w:val="20"/>
              </w:rPr>
              <w:t>-3.</w:t>
            </w:r>
            <w:r w:rsidR="009F0FAA" w:rsidRPr="00073FF4">
              <w:rPr>
                <w:rFonts w:eastAsia="Times New Roman"/>
                <w:color w:val="000000"/>
                <w:sz w:val="20"/>
                <w:szCs w:val="20"/>
              </w:rPr>
              <w:t>50</w:t>
            </w:r>
          </w:p>
        </w:tc>
      </w:tr>
      <w:tr w:rsidR="00E2259B" w:rsidRPr="00073FF4" w:rsidTr="00026D18">
        <w:trPr>
          <w:trHeight w:val="300"/>
          <w:jc w:val="center"/>
        </w:trPr>
        <w:tc>
          <w:tcPr>
            <w:tcW w:w="4038" w:type="dxa"/>
            <w:tcBorders>
              <w:top w:val="nil"/>
              <w:left w:val="double" w:sz="6" w:space="0" w:color="auto"/>
              <w:bottom w:val="nil"/>
              <w:right w:val="double" w:sz="6" w:space="0" w:color="auto"/>
            </w:tcBorders>
            <w:shd w:val="clear" w:color="000000" w:fill="FFFFFF"/>
            <w:noWrap/>
            <w:vAlign w:val="center"/>
          </w:tcPr>
          <w:p w:rsidR="00E2259B" w:rsidRPr="00073FF4" w:rsidRDefault="00E2259B" w:rsidP="00BD6523">
            <w:pPr>
              <w:jc w:val="left"/>
              <w:rPr>
                <w:rFonts w:eastAsia="Times New Roman"/>
                <w:i/>
                <w:color w:val="000000"/>
                <w:sz w:val="20"/>
                <w:szCs w:val="20"/>
              </w:rPr>
            </w:pPr>
            <w:r w:rsidRPr="00073FF4">
              <w:rPr>
                <w:rFonts w:eastAsia="Times New Roman"/>
                <w:color w:val="000000"/>
                <w:sz w:val="20"/>
                <w:szCs w:val="20"/>
              </w:rPr>
              <w:t xml:space="preserve">    Couple household</w:t>
            </w:r>
          </w:p>
        </w:tc>
        <w:tc>
          <w:tcPr>
            <w:tcW w:w="994" w:type="dxa"/>
            <w:tcBorders>
              <w:top w:val="nil"/>
              <w:left w:val="nil"/>
              <w:bottom w:val="nil"/>
              <w:right w:val="single" w:sz="4" w:space="0" w:color="auto"/>
            </w:tcBorders>
            <w:shd w:val="clear" w:color="000000" w:fill="FFFFFF"/>
            <w:noWrap/>
            <w:vAlign w:val="center"/>
          </w:tcPr>
          <w:p w:rsidR="00E2259B" w:rsidRPr="00073FF4" w:rsidRDefault="00E2259B" w:rsidP="00B22941">
            <w:pPr>
              <w:tabs>
                <w:tab w:val="decimal" w:pos="191"/>
              </w:tabs>
              <w:jc w:val="center"/>
              <w:rPr>
                <w:rFonts w:eastAsia="Times New Roman"/>
                <w:color w:val="000000"/>
                <w:sz w:val="20"/>
                <w:szCs w:val="20"/>
              </w:rPr>
            </w:pPr>
            <w:r w:rsidRPr="00073FF4">
              <w:rPr>
                <w:rFonts w:eastAsia="Times New Roman"/>
                <w:color w:val="000000"/>
                <w:sz w:val="20"/>
                <w:szCs w:val="20"/>
              </w:rPr>
              <w:t>-</w:t>
            </w:r>
          </w:p>
        </w:tc>
        <w:tc>
          <w:tcPr>
            <w:tcW w:w="947" w:type="dxa"/>
            <w:tcBorders>
              <w:top w:val="nil"/>
              <w:left w:val="nil"/>
              <w:bottom w:val="nil"/>
              <w:right w:val="double" w:sz="6" w:space="0" w:color="auto"/>
            </w:tcBorders>
            <w:shd w:val="clear" w:color="000000" w:fill="FFFFFF"/>
            <w:noWrap/>
            <w:vAlign w:val="center"/>
          </w:tcPr>
          <w:p w:rsidR="00E2259B" w:rsidRPr="00073FF4" w:rsidRDefault="00E2259B" w:rsidP="00B22941">
            <w:pPr>
              <w:tabs>
                <w:tab w:val="decimal" w:pos="217"/>
              </w:tabs>
              <w:jc w:val="center"/>
              <w:rPr>
                <w:rFonts w:eastAsia="Times New Roman"/>
                <w:color w:val="000000"/>
                <w:sz w:val="20"/>
                <w:szCs w:val="20"/>
              </w:rPr>
            </w:pPr>
            <w:r w:rsidRPr="00073FF4">
              <w:rPr>
                <w:rFonts w:eastAsia="Times New Roman"/>
                <w:color w:val="000000"/>
                <w:sz w:val="20"/>
                <w:szCs w:val="20"/>
              </w:rPr>
              <w:t>-</w:t>
            </w:r>
          </w:p>
        </w:tc>
        <w:tc>
          <w:tcPr>
            <w:tcW w:w="972" w:type="dxa"/>
            <w:tcBorders>
              <w:left w:val="nil"/>
              <w:bottom w:val="nil"/>
              <w:right w:val="single" w:sz="4" w:space="0" w:color="auto"/>
            </w:tcBorders>
            <w:shd w:val="clear" w:color="000000" w:fill="FFFFFF"/>
            <w:noWrap/>
            <w:vAlign w:val="center"/>
          </w:tcPr>
          <w:p w:rsidR="00E2259B" w:rsidRPr="00073FF4" w:rsidRDefault="00E2259B" w:rsidP="00B22941">
            <w:pPr>
              <w:tabs>
                <w:tab w:val="decimal" w:pos="160"/>
              </w:tabs>
              <w:jc w:val="center"/>
              <w:rPr>
                <w:rFonts w:eastAsia="Times New Roman"/>
                <w:color w:val="000000"/>
                <w:sz w:val="20"/>
                <w:szCs w:val="20"/>
              </w:rPr>
            </w:pPr>
            <w:r w:rsidRPr="00073FF4">
              <w:rPr>
                <w:rFonts w:eastAsia="Times New Roman"/>
                <w:color w:val="000000"/>
                <w:sz w:val="20"/>
                <w:szCs w:val="20"/>
              </w:rPr>
              <w:t>-</w:t>
            </w:r>
          </w:p>
        </w:tc>
        <w:tc>
          <w:tcPr>
            <w:tcW w:w="1024" w:type="dxa"/>
            <w:tcBorders>
              <w:left w:val="nil"/>
              <w:bottom w:val="nil"/>
              <w:right w:val="double" w:sz="6" w:space="0" w:color="auto"/>
            </w:tcBorders>
            <w:shd w:val="clear" w:color="000000" w:fill="FFFFFF"/>
            <w:noWrap/>
            <w:vAlign w:val="center"/>
          </w:tcPr>
          <w:p w:rsidR="00E2259B" w:rsidRPr="00073FF4" w:rsidRDefault="00E2259B" w:rsidP="00B22941">
            <w:pPr>
              <w:tabs>
                <w:tab w:val="decimal" w:pos="160"/>
              </w:tabs>
              <w:jc w:val="center"/>
              <w:rPr>
                <w:rFonts w:eastAsia="Times New Roman"/>
                <w:color w:val="000000"/>
                <w:sz w:val="20"/>
                <w:szCs w:val="20"/>
              </w:rPr>
            </w:pPr>
            <w:r w:rsidRPr="00073FF4">
              <w:rPr>
                <w:rFonts w:eastAsia="Times New Roman"/>
                <w:color w:val="000000"/>
                <w:sz w:val="20"/>
                <w:szCs w:val="20"/>
              </w:rPr>
              <w:t>-</w:t>
            </w:r>
          </w:p>
        </w:tc>
        <w:tc>
          <w:tcPr>
            <w:tcW w:w="916" w:type="dxa"/>
            <w:tcBorders>
              <w:left w:val="nil"/>
              <w:right w:val="single" w:sz="4" w:space="0" w:color="auto"/>
            </w:tcBorders>
            <w:shd w:val="clear" w:color="000000" w:fill="FFFFFF"/>
            <w:vAlign w:val="center"/>
          </w:tcPr>
          <w:p w:rsidR="00E2259B" w:rsidRPr="00073FF4" w:rsidRDefault="00E2259B" w:rsidP="00B22941">
            <w:pPr>
              <w:tabs>
                <w:tab w:val="decimal" w:pos="151"/>
              </w:tabs>
              <w:jc w:val="center"/>
              <w:rPr>
                <w:rFonts w:eastAsia="Times New Roman"/>
                <w:color w:val="000000"/>
                <w:sz w:val="20"/>
                <w:szCs w:val="20"/>
              </w:rPr>
            </w:pPr>
            <w:r w:rsidRPr="00073FF4">
              <w:rPr>
                <w:rFonts w:eastAsia="Times New Roman"/>
                <w:color w:val="000000"/>
                <w:sz w:val="20"/>
                <w:szCs w:val="20"/>
              </w:rPr>
              <w:t>0.467</w:t>
            </w:r>
          </w:p>
        </w:tc>
        <w:tc>
          <w:tcPr>
            <w:tcW w:w="838" w:type="dxa"/>
            <w:tcBorders>
              <w:left w:val="single" w:sz="4" w:space="0" w:color="auto"/>
              <w:right w:val="double" w:sz="6" w:space="0" w:color="auto"/>
            </w:tcBorders>
            <w:shd w:val="clear" w:color="000000" w:fill="FFFFFF"/>
            <w:vAlign w:val="center"/>
          </w:tcPr>
          <w:p w:rsidR="00E2259B" w:rsidRPr="00073FF4" w:rsidRDefault="00E2259B" w:rsidP="00B22941">
            <w:pPr>
              <w:tabs>
                <w:tab w:val="decimal" w:pos="143"/>
              </w:tabs>
              <w:jc w:val="center"/>
              <w:rPr>
                <w:rFonts w:eastAsia="Times New Roman"/>
                <w:color w:val="000000"/>
                <w:sz w:val="20"/>
                <w:szCs w:val="20"/>
              </w:rPr>
            </w:pPr>
            <w:r w:rsidRPr="00073FF4">
              <w:rPr>
                <w:rFonts w:eastAsia="Times New Roman"/>
                <w:color w:val="000000"/>
                <w:sz w:val="20"/>
                <w:szCs w:val="20"/>
              </w:rPr>
              <w:t>2.</w:t>
            </w:r>
            <w:r w:rsidR="009F0FAA" w:rsidRPr="00073FF4">
              <w:rPr>
                <w:rFonts w:eastAsia="Times New Roman"/>
                <w:color w:val="000000"/>
                <w:sz w:val="20"/>
                <w:szCs w:val="20"/>
              </w:rPr>
              <w:t>70</w:t>
            </w:r>
          </w:p>
        </w:tc>
      </w:tr>
      <w:tr w:rsidR="00E2259B" w:rsidRPr="00073FF4" w:rsidTr="00026D18">
        <w:trPr>
          <w:trHeight w:val="300"/>
          <w:jc w:val="center"/>
        </w:trPr>
        <w:tc>
          <w:tcPr>
            <w:tcW w:w="4038" w:type="dxa"/>
            <w:tcBorders>
              <w:top w:val="nil"/>
              <w:left w:val="double" w:sz="6" w:space="0" w:color="auto"/>
              <w:bottom w:val="nil"/>
              <w:right w:val="double" w:sz="6" w:space="0" w:color="auto"/>
            </w:tcBorders>
            <w:shd w:val="clear" w:color="000000" w:fill="FFFFFF"/>
            <w:noWrap/>
            <w:vAlign w:val="center"/>
          </w:tcPr>
          <w:p w:rsidR="00E2259B" w:rsidRPr="00073FF4" w:rsidRDefault="00E2259B" w:rsidP="00BD6523">
            <w:pPr>
              <w:jc w:val="left"/>
              <w:rPr>
                <w:rFonts w:eastAsia="Times New Roman"/>
                <w:i/>
                <w:color w:val="000000"/>
                <w:sz w:val="20"/>
                <w:szCs w:val="20"/>
              </w:rPr>
            </w:pPr>
            <w:r w:rsidRPr="00073FF4">
              <w:rPr>
                <w:rFonts w:eastAsia="Times New Roman"/>
                <w:color w:val="000000"/>
                <w:sz w:val="20"/>
                <w:szCs w:val="20"/>
              </w:rPr>
              <w:t xml:space="preserve">    Nuclear family household</w:t>
            </w:r>
          </w:p>
        </w:tc>
        <w:tc>
          <w:tcPr>
            <w:tcW w:w="994" w:type="dxa"/>
            <w:tcBorders>
              <w:top w:val="nil"/>
              <w:left w:val="nil"/>
              <w:bottom w:val="nil"/>
              <w:right w:val="single" w:sz="4" w:space="0" w:color="auto"/>
            </w:tcBorders>
            <w:shd w:val="clear" w:color="000000" w:fill="FFFFFF"/>
            <w:noWrap/>
            <w:vAlign w:val="center"/>
          </w:tcPr>
          <w:p w:rsidR="00E2259B" w:rsidRPr="00073FF4" w:rsidRDefault="00E2259B" w:rsidP="00B22941">
            <w:pPr>
              <w:tabs>
                <w:tab w:val="decimal" w:pos="191"/>
              </w:tabs>
              <w:jc w:val="center"/>
              <w:rPr>
                <w:rFonts w:eastAsia="Times New Roman"/>
                <w:color w:val="000000"/>
                <w:sz w:val="20"/>
                <w:szCs w:val="20"/>
              </w:rPr>
            </w:pPr>
            <w:r w:rsidRPr="00073FF4">
              <w:rPr>
                <w:rFonts w:eastAsia="Times New Roman"/>
                <w:color w:val="000000"/>
                <w:sz w:val="20"/>
                <w:szCs w:val="20"/>
              </w:rPr>
              <w:t>-</w:t>
            </w:r>
          </w:p>
        </w:tc>
        <w:tc>
          <w:tcPr>
            <w:tcW w:w="947" w:type="dxa"/>
            <w:tcBorders>
              <w:top w:val="nil"/>
              <w:left w:val="nil"/>
              <w:bottom w:val="nil"/>
              <w:right w:val="double" w:sz="6" w:space="0" w:color="auto"/>
            </w:tcBorders>
            <w:shd w:val="clear" w:color="000000" w:fill="FFFFFF"/>
            <w:noWrap/>
            <w:vAlign w:val="center"/>
          </w:tcPr>
          <w:p w:rsidR="00E2259B" w:rsidRPr="00073FF4" w:rsidRDefault="00E2259B" w:rsidP="00B22941">
            <w:pPr>
              <w:tabs>
                <w:tab w:val="decimal" w:pos="217"/>
              </w:tabs>
              <w:jc w:val="center"/>
              <w:rPr>
                <w:rFonts w:eastAsia="Times New Roman"/>
                <w:color w:val="000000"/>
                <w:sz w:val="20"/>
                <w:szCs w:val="20"/>
              </w:rPr>
            </w:pPr>
            <w:r w:rsidRPr="00073FF4">
              <w:rPr>
                <w:rFonts w:eastAsia="Times New Roman"/>
                <w:color w:val="000000"/>
                <w:sz w:val="20"/>
                <w:szCs w:val="20"/>
              </w:rPr>
              <w:t>-</w:t>
            </w:r>
          </w:p>
        </w:tc>
        <w:tc>
          <w:tcPr>
            <w:tcW w:w="972" w:type="dxa"/>
            <w:tcBorders>
              <w:left w:val="nil"/>
              <w:bottom w:val="nil"/>
              <w:right w:val="single" w:sz="4" w:space="0" w:color="auto"/>
            </w:tcBorders>
            <w:shd w:val="clear" w:color="000000" w:fill="FFFFFF"/>
            <w:noWrap/>
            <w:vAlign w:val="center"/>
          </w:tcPr>
          <w:p w:rsidR="00E2259B" w:rsidRPr="00073FF4" w:rsidRDefault="009F0FAA" w:rsidP="00B22941">
            <w:pPr>
              <w:tabs>
                <w:tab w:val="decimal" w:pos="160"/>
              </w:tabs>
              <w:jc w:val="center"/>
              <w:rPr>
                <w:rFonts w:eastAsia="Times New Roman"/>
                <w:color w:val="000000"/>
                <w:sz w:val="20"/>
                <w:szCs w:val="20"/>
              </w:rPr>
            </w:pPr>
            <w:r w:rsidRPr="00073FF4">
              <w:rPr>
                <w:rFonts w:eastAsia="Times New Roman"/>
                <w:color w:val="000000"/>
                <w:sz w:val="20"/>
                <w:szCs w:val="20"/>
              </w:rPr>
              <w:t>0.542</w:t>
            </w:r>
          </w:p>
        </w:tc>
        <w:tc>
          <w:tcPr>
            <w:tcW w:w="1024" w:type="dxa"/>
            <w:tcBorders>
              <w:left w:val="nil"/>
              <w:bottom w:val="nil"/>
              <w:right w:val="double" w:sz="6" w:space="0" w:color="auto"/>
            </w:tcBorders>
            <w:shd w:val="clear" w:color="000000" w:fill="FFFFFF"/>
            <w:noWrap/>
            <w:vAlign w:val="center"/>
          </w:tcPr>
          <w:p w:rsidR="00E2259B" w:rsidRPr="00073FF4" w:rsidRDefault="00E2259B" w:rsidP="00B22941">
            <w:pPr>
              <w:tabs>
                <w:tab w:val="decimal" w:pos="160"/>
              </w:tabs>
              <w:jc w:val="center"/>
              <w:rPr>
                <w:rFonts w:eastAsia="Times New Roman"/>
                <w:color w:val="000000"/>
                <w:sz w:val="20"/>
                <w:szCs w:val="20"/>
              </w:rPr>
            </w:pPr>
            <w:r w:rsidRPr="00073FF4">
              <w:rPr>
                <w:rFonts w:eastAsia="Times New Roman"/>
                <w:color w:val="000000"/>
                <w:sz w:val="20"/>
                <w:szCs w:val="20"/>
              </w:rPr>
              <w:t>4.77</w:t>
            </w:r>
          </w:p>
        </w:tc>
        <w:tc>
          <w:tcPr>
            <w:tcW w:w="916" w:type="dxa"/>
            <w:tcBorders>
              <w:left w:val="nil"/>
              <w:right w:val="single" w:sz="4" w:space="0" w:color="auto"/>
            </w:tcBorders>
            <w:shd w:val="clear" w:color="000000" w:fill="FFFFFF"/>
            <w:vAlign w:val="center"/>
          </w:tcPr>
          <w:p w:rsidR="00E2259B" w:rsidRPr="00073FF4" w:rsidRDefault="00E2259B" w:rsidP="00B22941">
            <w:pPr>
              <w:tabs>
                <w:tab w:val="decimal" w:pos="151"/>
              </w:tabs>
              <w:jc w:val="center"/>
              <w:rPr>
                <w:rFonts w:eastAsia="Times New Roman"/>
                <w:color w:val="000000"/>
                <w:sz w:val="20"/>
                <w:szCs w:val="20"/>
              </w:rPr>
            </w:pPr>
            <w:r w:rsidRPr="00073FF4">
              <w:rPr>
                <w:rFonts w:eastAsia="Times New Roman"/>
                <w:color w:val="000000"/>
                <w:sz w:val="20"/>
                <w:szCs w:val="20"/>
              </w:rPr>
              <w:t>-</w:t>
            </w:r>
          </w:p>
        </w:tc>
        <w:tc>
          <w:tcPr>
            <w:tcW w:w="838" w:type="dxa"/>
            <w:tcBorders>
              <w:left w:val="single" w:sz="4" w:space="0" w:color="auto"/>
              <w:right w:val="double" w:sz="6" w:space="0" w:color="auto"/>
            </w:tcBorders>
            <w:shd w:val="clear" w:color="000000" w:fill="FFFFFF"/>
            <w:vAlign w:val="center"/>
          </w:tcPr>
          <w:p w:rsidR="00E2259B" w:rsidRPr="00073FF4" w:rsidRDefault="00E2259B" w:rsidP="00B22941">
            <w:pPr>
              <w:tabs>
                <w:tab w:val="decimal" w:pos="143"/>
              </w:tabs>
              <w:jc w:val="center"/>
              <w:rPr>
                <w:rFonts w:eastAsia="Times New Roman"/>
                <w:color w:val="000000"/>
                <w:sz w:val="20"/>
                <w:szCs w:val="20"/>
              </w:rPr>
            </w:pPr>
            <w:r w:rsidRPr="00073FF4">
              <w:rPr>
                <w:rFonts w:eastAsia="Times New Roman"/>
                <w:color w:val="000000"/>
                <w:sz w:val="20"/>
                <w:szCs w:val="20"/>
              </w:rPr>
              <w:t>-</w:t>
            </w:r>
          </w:p>
        </w:tc>
      </w:tr>
      <w:tr w:rsidR="00E2259B" w:rsidRPr="00073FF4" w:rsidTr="00026D18">
        <w:trPr>
          <w:trHeight w:val="300"/>
          <w:jc w:val="center"/>
        </w:trPr>
        <w:tc>
          <w:tcPr>
            <w:tcW w:w="4038" w:type="dxa"/>
            <w:tcBorders>
              <w:top w:val="nil"/>
              <w:left w:val="double" w:sz="6" w:space="0" w:color="auto"/>
              <w:right w:val="double" w:sz="6" w:space="0" w:color="auto"/>
            </w:tcBorders>
            <w:shd w:val="clear" w:color="000000" w:fill="FFFFFF"/>
            <w:noWrap/>
            <w:vAlign w:val="center"/>
          </w:tcPr>
          <w:p w:rsidR="00E2259B" w:rsidRPr="00073FF4" w:rsidRDefault="00E2259B" w:rsidP="00BD6523">
            <w:pPr>
              <w:jc w:val="left"/>
              <w:rPr>
                <w:rFonts w:eastAsia="Times New Roman"/>
                <w:i/>
                <w:color w:val="000000"/>
                <w:sz w:val="20"/>
                <w:szCs w:val="20"/>
              </w:rPr>
            </w:pPr>
            <w:r w:rsidRPr="00073FF4">
              <w:rPr>
                <w:rFonts w:eastAsia="Times New Roman"/>
                <w:color w:val="000000"/>
                <w:sz w:val="20"/>
                <w:szCs w:val="20"/>
              </w:rPr>
              <w:t xml:space="preserve">    Single parent household</w:t>
            </w:r>
          </w:p>
        </w:tc>
        <w:tc>
          <w:tcPr>
            <w:tcW w:w="994" w:type="dxa"/>
            <w:tcBorders>
              <w:top w:val="nil"/>
              <w:left w:val="nil"/>
              <w:right w:val="single" w:sz="4" w:space="0" w:color="auto"/>
            </w:tcBorders>
            <w:shd w:val="clear" w:color="000000" w:fill="FFFFFF"/>
            <w:noWrap/>
            <w:vAlign w:val="center"/>
          </w:tcPr>
          <w:p w:rsidR="00E2259B" w:rsidRPr="00073FF4" w:rsidRDefault="00E2259B" w:rsidP="00B22941">
            <w:pPr>
              <w:tabs>
                <w:tab w:val="decimal" w:pos="191"/>
              </w:tabs>
              <w:jc w:val="center"/>
              <w:rPr>
                <w:rFonts w:eastAsia="Times New Roman"/>
                <w:color w:val="000000"/>
                <w:sz w:val="20"/>
                <w:szCs w:val="20"/>
              </w:rPr>
            </w:pPr>
            <w:r w:rsidRPr="00073FF4">
              <w:rPr>
                <w:rFonts w:eastAsia="Times New Roman"/>
                <w:color w:val="000000"/>
                <w:sz w:val="20"/>
                <w:szCs w:val="20"/>
              </w:rPr>
              <w:t>-</w:t>
            </w:r>
          </w:p>
        </w:tc>
        <w:tc>
          <w:tcPr>
            <w:tcW w:w="947" w:type="dxa"/>
            <w:tcBorders>
              <w:top w:val="nil"/>
              <w:left w:val="nil"/>
              <w:right w:val="double" w:sz="6" w:space="0" w:color="auto"/>
            </w:tcBorders>
            <w:shd w:val="clear" w:color="000000" w:fill="FFFFFF"/>
            <w:noWrap/>
            <w:vAlign w:val="center"/>
          </w:tcPr>
          <w:p w:rsidR="00E2259B" w:rsidRPr="00073FF4" w:rsidRDefault="00E2259B" w:rsidP="00B22941">
            <w:pPr>
              <w:tabs>
                <w:tab w:val="decimal" w:pos="217"/>
              </w:tabs>
              <w:jc w:val="center"/>
              <w:rPr>
                <w:rFonts w:eastAsia="Times New Roman"/>
                <w:color w:val="000000"/>
                <w:sz w:val="20"/>
                <w:szCs w:val="20"/>
              </w:rPr>
            </w:pPr>
            <w:r w:rsidRPr="00073FF4">
              <w:rPr>
                <w:rFonts w:eastAsia="Times New Roman"/>
                <w:color w:val="000000"/>
                <w:sz w:val="20"/>
                <w:szCs w:val="20"/>
              </w:rPr>
              <w:t>-</w:t>
            </w:r>
          </w:p>
        </w:tc>
        <w:tc>
          <w:tcPr>
            <w:tcW w:w="972" w:type="dxa"/>
            <w:tcBorders>
              <w:left w:val="nil"/>
              <w:right w:val="single" w:sz="4" w:space="0" w:color="auto"/>
            </w:tcBorders>
            <w:shd w:val="clear" w:color="000000" w:fill="FFFFFF"/>
            <w:noWrap/>
            <w:vAlign w:val="center"/>
          </w:tcPr>
          <w:p w:rsidR="00E2259B" w:rsidRPr="00073FF4" w:rsidRDefault="009F0FAA" w:rsidP="00B22941">
            <w:pPr>
              <w:tabs>
                <w:tab w:val="decimal" w:pos="160"/>
              </w:tabs>
              <w:jc w:val="center"/>
              <w:rPr>
                <w:rFonts w:eastAsia="Times New Roman"/>
                <w:color w:val="000000"/>
                <w:sz w:val="20"/>
                <w:szCs w:val="20"/>
              </w:rPr>
            </w:pPr>
            <w:r w:rsidRPr="00073FF4">
              <w:rPr>
                <w:rFonts w:eastAsia="Times New Roman"/>
                <w:color w:val="000000"/>
                <w:sz w:val="20"/>
                <w:szCs w:val="20"/>
              </w:rPr>
              <w:t>0.229</w:t>
            </w:r>
          </w:p>
        </w:tc>
        <w:tc>
          <w:tcPr>
            <w:tcW w:w="1024" w:type="dxa"/>
            <w:tcBorders>
              <w:left w:val="nil"/>
              <w:right w:val="double" w:sz="6" w:space="0" w:color="auto"/>
            </w:tcBorders>
            <w:shd w:val="clear" w:color="000000" w:fill="FFFFFF"/>
            <w:noWrap/>
            <w:vAlign w:val="center"/>
          </w:tcPr>
          <w:p w:rsidR="00E2259B" w:rsidRPr="00073FF4" w:rsidRDefault="00E2259B" w:rsidP="00B22941">
            <w:pPr>
              <w:tabs>
                <w:tab w:val="decimal" w:pos="160"/>
              </w:tabs>
              <w:jc w:val="center"/>
              <w:rPr>
                <w:rFonts w:eastAsia="Times New Roman"/>
                <w:color w:val="000000"/>
                <w:sz w:val="20"/>
                <w:szCs w:val="20"/>
              </w:rPr>
            </w:pPr>
            <w:r w:rsidRPr="00073FF4">
              <w:rPr>
                <w:rFonts w:eastAsia="Times New Roman"/>
                <w:color w:val="000000"/>
                <w:sz w:val="20"/>
                <w:szCs w:val="20"/>
              </w:rPr>
              <w:t>2.</w:t>
            </w:r>
            <w:r w:rsidR="009F0FAA" w:rsidRPr="00073FF4">
              <w:rPr>
                <w:rFonts w:eastAsia="Times New Roman"/>
                <w:color w:val="000000"/>
                <w:sz w:val="20"/>
                <w:szCs w:val="20"/>
              </w:rPr>
              <w:t>61</w:t>
            </w:r>
          </w:p>
        </w:tc>
        <w:tc>
          <w:tcPr>
            <w:tcW w:w="916" w:type="dxa"/>
            <w:tcBorders>
              <w:left w:val="nil"/>
              <w:right w:val="single" w:sz="4" w:space="0" w:color="auto"/>
            </w:tcBorders>
            <w:shd w:val="clear" w:color="000000" w:fill="FFFFFF"/>
            <w:vAlign w:val="center"/>
          </w:tcPr>
          <w:p w:rsidR="00E2259B" w:rsidRPr="00073FF4" w:rsidRDefault="00E2259B" w:rsidP="00B22941">
            <w:pPr>
              <w:tabs>
                <w:tab w:val="decimal" w:pos="151"/>
              </w:tabs>
              <w:jc w:val="center"/>
              <w:rPr>
                <w:rFonts w:eastAsia="Times New Roman"/>
                <w:color w:val="000000"/>
                <w:sz w:val="20"/>
                <w:szCs w:val="20"/>
              </w:rPr>
            </w:pPr>
            <w:r w:rsidRPr="00073FF4">
              <w:rPr>
                <w:rFonts w:eastAsia="Times New Roman"/>
                <w:color w:val="000000"/>
                <w:sz w:val="20"/>
                <w:szCs w:val="20"/>
              </w:rPr>
              <w:t>-</w:t>
            </w:r>
          </w:p>
        </w:tc>
        <w:tc>
          <w:tcPr>
            <w:tcW w:w="838" w:type="dxa"/>
            <w:tcBorders>
              <w:left w:val="single" w:sz="4" w:space="0" w:color="auto"/>
              <w:right w:val="double" w:sz="6" w:space="0" w:color="auto"/>
            </w:tcBorders>
            <w:shd w:val="clear" w:color="000000" w:fill="FFFFFF"/>
            <w:vAlign w:val="center"/>
          </w:tcPr>
          <w:p w:rsidR="00E2259B" w:rsidRPr="00073FF4" w:rsidRDefault="00E2259B" w:rsidP="00B22941">
            <w:pPr>
              <w:tabs>
                <w:tab w:val="decimal" w:pos="143"/>
              </w:tabs>
              <w:jc w:val="center"/>
              <w:rPr>
                <w:rFonts w:eastAsia="Times New Roman"/>
                <w:color w:val="000000"/>
                <w:sz w:val="20"/>
                <w:szCs w:val="20"/>
              </w:rPr>
            </w:pPr>
            <w:r w:rsidRPr="00073FF4">
              <w:rPr>
                <w:rFonts w:eastAsia="Times New Roman"/>
                <w:color w:val="000000"/>
                <w:sz w:val="20"/>
                <w:szCs w:val="20"/>
              </w:rPr>
              <w:t>-</w:t>
            </w:r>
          </w:p>
        </w:tc>
      </w:tr>
      <w:tr w:rsidR="00E2259B" w:rsidRPr="00073FF4" w:rsidTr="00026D18">
        <w:trPr>
          <w:trHeight w:val="300"/>
          <w:jc w:val="center"/>
        </w:trPr>
        <w:tc>
          <w:tcPr>
            <w:tcW w:w="4038" w:type="dxa"/>
            <w:tcBorders>
              <w:top w:val="nil"/>
              <w:left w:val="double" w:sz="6" w:space="0" w:color="auto"/>
              <w:bottom w:val="double" w:sz="6" w:space="0" w:color="auto"/>
              <w:right w:val="double" w:sz="6" w:space="0" w:color="auto"/>
            </w:tcBorders>
            <w:shd w:val="clear" w:color="000000" w:fill="FFFFFF"/>
            <w:noWrap/>
            <w:vAlign w:val="center"/>
          </w:tcPr>
          <w:p w:rsidR="00E2259B" w:rsidRPr="00073FF4" w:rsidRDefault="00E2259B" w:rsidP="00BD6523">
            <w:pPr>
              <w:jc w:val="left"/>
              <w:rPr>
                <w:rFonts w:eastAsia="Times New Roman"/>
                <w:i/>
                <w:color w:val="000000"/>
                <w:sz w:val="20"/>
                <w:szCs w:val="20"/>
              </w:rPr>
            </w:pPr>
            <w:r w:rsidRPr="00073FF4">
              <w:rPr>
                <w:rFonts w:eastAsia="Times New Roman"/>
                <w:color w:val="000000"/>
                <w:sz w:val="20"/>
                <w:szCs w:val="20"/>
              </w:rPr>
              <w:t xml:space="preserve">    Income less than</w:t>
            </w:r>
            <w:r w:rsidR="007716C1">
              <w:rPr>
                <w:rFonts w:eastAsia="Times New Roman"/>
                <w:color w:val="000000"/>
                <w:sz w:val="20"/>
                <w:szCs w:val="20"/>
              </w:rPr>
              <w:t xml:space="preserve"> NZ</w:t>
            </w:r>
            <w:r w:rsidRPr="00073FF4">
              <w:rPr>
                <w:rFonts w:eastAsia="Times New Roman"/>
                <w:color w:val="000000"/>
                <w:sz w:val="20"/>
                <w:szCs w:val="20"/>
              </w:rPr>
              <w:t xml:space="preserve"> $50,000</w:t>
            </w:r>
          </w:p>
        </w:tc>
        <w:tc>
          <w:tcPr>
            <w:tcW w:w="994" w:type="dxa"/>
            <w:tcBorders>
              <w:top w:val="nil"/>
              <w:left w:val="nil"/>
              <w:bottom w:val="double" w:sz="6" w:space="0" w:color="auto"/>
              <w:right w:val="single" w:sz="4" w:space="0" w:color="auto"/>
            </w:tcBorders>
            <w:shd w:val="clear" w:color="000000" w:fill="FFFFFF"/>
            <w:noWrap/>
            <w:vAlign w:val="center"/>
          </w:tcPr>
          <w:p w:rsidR="00E2259B" w:rsidRPr="00073FF4" w:rsidRDefault="00E2259B" w:rsidP="00B22941">
            <w:pPr>
              <w:tabs>
                <w:tab w:val="decimal" w:pos="191"/>
              </w:tabs>
              <w:jc w:val="center"/>
              <w:rPr>
                <w:rFonts w:eastAsia="Times New Roman"/>
                <w:color w:val="000000"/>
                <w:sz w:val="20"/>
                <w:szCs w:val="20"/>
              </w:rPr>
            </w:pPr>
            <w:r w:rsidRPr="00073FF4">
              <w:rPr>
                <w:rFonts w:eastAsia="Times New Roman"/>
                <w:color w:val="000000"/>
                <w:sz w:val="20"/>
                <w:szCs w:val="20"/>
              </w:rPr>
              <w:t>-</w:t>
            </w:r>
          </w:p>
        </w:tc>
        <w:tc>
          <w:tcPr>
            <w:tcW w:w="947" w:type="dxa"/>
            <w:tcBorders>
              <w:top w:val="nil"/>
              <w:left w:val="nil"/>
              <w:bottom w:val="double" w:sz="6" w:space="0" w:color="auto"/>
              <w:right w:val="double" w:sz="6" w:space="0" w:color="auto"/>
            </w:tcBorders>
            <w:shd w:val="clear" w:color="000000" w:fill="FFFFFF"/>
            <w:noWrap/>
            <w:vAlign w:val="center"/>
          </w:tcPr>
          <w:p w:rsidR="00E2259B" w:rsidRPr="00073FF4" w:rsidRDefault="00E2259B" w:rsidP="00B22941">
            <w:pPr>
              <w:tabs>
                <w:tab w:val="decimal" w:pos="217"/>
              </w:tabs>
              <w:jc w:val="center"/>
              <w:rPr>
                <w:rFonts w:eastAsia="Times New Roman"/>
                <w:color w:val="000000"/>
                <w:sz w:val="20"/>
                <w:szCs w:val="20"/>
              </w:rPr>
            </w:pPr>
            <w:r w:rsidRPr="00073FF4">
              <w:rPr>
                <w:rFonts w:eastAsia="Times New Roman"/>
                <w:color w:val="000000"/>
                <w:sz w:val="20"/>
                <w:szCs w:val="20"/>
              </w:rPr>
              <w:t>-</w:t>
            </w:r>
          </w:p>
        </w:tc>
        <w:tc>
          <w:tcPr>
            <w:tcW w:w="972" w:type="dxa"/>
            <w:tcBorders>
              <w:left w:val="nil"/>
              <w:bottom w:val="double" w:sz="6" w:space="0" w:color="auto"/>
              <w:right w:val="single" w:sz="4" w:space="0" w:color="auto"/>
            </w:tcBorders>
            <w:shd w:val="clear" w:color="000000" w:fill="FFFFFF"/>
            <w:noWrap/>
            <w:vAlign w:val="center"/>
          </w:tcPr>
          <w:p w:rsidR="00E2259B" w:rsidRPr="00073FF4" w:rsidRDefault="00E2259B" w:rsidP="00B22941">
            <w:pPr>
              <w:tabs>
                <w:tab w:val="decimal" w:pos="160"/>
              </w:tabs>
              <w:jc w:val="center"/>
              <w:rPr>
                <w:rFonts w:eastAsia="Times New Roman"/>
                <w:color w:val="000000"/>
                <w:sz w:val="20"/>
                <w:szCs w:val="20"/>
              </w:rPr>
            </w:pPr>
            <w:r w:rsidRPr="00073FF4">
              <w:rPr>
                <w:rFonts w:eastAsia="Times New Roman"/>
                <w:color w:val="000000"/>
                <w:sz w:val="20"/>
                <w:szCs w:val="20"/>
              </w:rPr>
              <w:t>1.250</w:t>
            </w:r>
          </w:p>
        </w:tc>
        <w:tc>
          <w:tcPr>
            <w:tcW w:w="1024" w:type="dxa"/>
            <w:tcBorders>
              <w:left w:val="nil"/>
              <w:bottom w:val="double" w:sz="6" w:space="0" w:color="auto"/>
              <w:right w:val="double" w:sz="6" w:space="0" w:color="auto"/>
            </w:tcBorders>
            <w:shd w:val="clear" w:color="000000" w:fill="FFFFFF"/>
            <w:noWrap/>
            <w:vAlign w:val="center"/>
          </w:tcPr>
          <w:p w:rsidR="00E2259B" w:rsidRPr="00073FF4" w:rsidRDefault="00E2259B" w:rsidP="00B22941">
            <w:pPr>
              <w:tabs>
                <w:tab w:val="decimal" w:pos="160"/>
              </w:tabs>
              <w:jc w:val="center"/>
              <w:rPr>
                <w:rFonts w:eastAsia="Times New Roman"/>
                <w:color w:val="000000"/>
                <w:sz w:val="20"/>
                <w:szCs w:val="20"/>
              </w:rPr>
            </w:pPr>
            <w:r w:rsidRPr="00073FF4">
              <w:rPr>
                <w:rFonts w:eastAsia="Times New Roman"/>
                <w:color w:val="000000"/>
                <w:sz w:val="20"/>
                <w:szCs w:val="20"/>
              </w:rPr>
              <w:t>2.</w:t>
            </w:r>
            <w:r w:rsidR="009F0FAA" w:rsidRPr="00073FF4">
              <w:rPr>
                <w:rFonts w:eastAsia="Times New Roman"/>
                <w:color w:val="000000"/>
                <w:sz w:val="20"/>
                <w:szCs w:val="20"/>
              </w:rPr>
              <w:t>30</w:t>
            </w:r>
          </w:p>
        </w:tc>
        <w:tc>
          <w:tcPr>
            <w:tcW w:w="916" w:type="dxa"/>
            <w:tcBorders>
              <w:left w:val="nil"/>
              <w:bottom w:val="double" w:sz="6" w:space="0" w:color="auto"/>
              <w:right w:val="single" w:sz="4" w:space="0" w:color="auto"/>
            </w:tcBorders>
            <w:shd w:val="clear" w:color="000000" w:fill="FFFFFF"/>
            <w:vAlign w:val="center"/>
          </w:tcPr>
          <w:p w:rsidR="00E2259B" w:rsidRPr="00073FF4" w:rsidRDefault="00E2259B" w:rsidP="00B22941">
            <w:pPr>
              <w:tabs>
                <w:tab w:val="decimal" w:pos="151"/>
              </w:tabs>
              <w:jc w:val="center"/>
              <w:rPr>
                <w:rFonts w:eastAsia="Times New Roman"/>
                <w:color w:val="000000"/>
                <w:sz w:val="20"/>
                <w:szCs w:val="20"/>
              </w:rPr>
            </w:pPr>
            <w:r w:rsidRPr="00073FF4">
              <w:rPr>
                <w:rFonts w:eastAsia="Times New Roman"/>
                <w:color w:val="000000"/>
                <w:sz w:val="20"/>
                <w:szCs w:val="20"/>
              </w:rPr>
              <w:t>0.6</w:t>
            </w:r>
            <w:r w:rsidR="000B06DF" w:rsidRPr="00073FF4">
              <w:rPr>
                <w:rFonts w:eastAsia="Times New Roman"/>
                <w:color w:val="000000"/>
                <w:sz w:val="20"/>
                <w:szCs w:val="20"/>
              </w:rPr>
              <w:t>04</w:t>
            </w:r>
          </w:p>
        </w:tc>
        <w:tc>
          <w:tcPr>
            <w:tcW w:w="838" w:type="dxa"/>
            <w:tcBorders>
              <w:left w:val="single" w:sz="4" w:space="0" w:color="auto"/>
              <w:bottom w:val="double" w:sz="6" w:space="0" w:color="auto"/>
              <w:right w:val="double" w:sz="6" w:space="0" w:color="auto"/>
            </w:tcBorders>
            <w:shd w:val="clear" w:color="000000" w:fill="FFFFFF"/>
            <w:vAlign w:val="center"/>
          </w:tcPr>
          <w:p w:rsidR="00E2259B" w:rsidRPr="00073FF4" w:rsidRDefault="00E2259B" w:rsidP="00B22941">
            <w:pPr>
              <w:tabs>
                <w:tab w:val="decimal" w:pos="143"/>
              </w:tabs>
              <w:jc w:val="center"/>
              <w:rPr>
                <w:rFonts w:eastAsia="Times New Roman"/>
                <w:color w:val="000000"/>
                <w:sz w:val="20"/>
                <w:szCs w:val="20"/>
              </w:rPr>
            </w:pPr>
            <w:r w:rsidRPr="00073FF4">
              <w:rPr>
                <w:rFonts w:eastAsia="Times New Roman"/>
                <w:color w:val="000000"/>
                <w:sz w:val="20"/>
                <w:szCs w:val="20"/>
              </w:rPr>
              <w:t>3.1</w:t>
            </w:r>
            <w:r w:rsidR="009F0FAA" w:rsidRPr="00073FF4">
              <w:rPr>
                <w:rFonts w:eastAsia="Times New Roman"/>
                <w:color w:val="000000"/>
                <w:sz w:val="20"/>
                <w:szCs w:val="20"/>
              </w:rPr>
              <w:t>2</w:t>
            </w:r>
          </w:p>
        </w:tc>
      </w:tr>
      <w:tr w:rsidR="00E2259B" w:rsidRPr="00073FF4" w:rsidTr="00026D18">
        <w:trPr>
          <w:trHeight w:val="300"/>
          <w:jc w:val="center"/>
        </w:trPr>
        <w:tc>
          <w:tcPr>
            <w:tcW w:w="4038" w:type="dxa"/>
            <w:tcBorders>
              <w:top w:val="double" w:sz="6" w:space="0" w:color="auto"/>
              <w:left w:val="double" w:sz="6" w:space="0" w:color="auto"/>
              <w:bottom w:val="nil"/>
              <w:right w:val="double" w:sz="6" w:space="0" w:color="auto"/>
            </w:tcBorders>
            <w:shd w:val="clear" w:color="000000" w:fill="FFFFFF"/>
            <w:noWrap/>
            <w:vAlign w:val="center"/>
          </w:tcPr>
          <w:p w:rsidR="00E2259B" w:rsidRPr="00073FF4" w:rsidRDefault="00E2259B" w:rsidP="00BD6523">
            <w:pPr>
              <w:rPr>
                <w:rFonts w:eastAsia="Times New Roman"/>
                <w:i/>
                <w:color w:val="000000"/>
                <w:sz w:val="20"/>
                <w:szCs w:val="20"/>
              </w:rPr>
            </w:pPr>
            <w:r w:rsidRPr="00073FF4">
              <w:rPr>
                <w:rFonts w:eastAsia="Times New Roman"/>
                <w:i/>
                <w:color w:val="000000"/>
                <w:sz w:val="20"/>
                <w:szCs w:val="20"/>
              </w:rPr>
              <w:t xml:space="preserve">Baseline utilities </w:t>
            </w:r>
          </w:p>
        </w:tc>
        <w:tc>
          <w:tcPr>
            <w:tcW w:w="994" w:type="dxa"/>
            <w:tcBorders>
              <w:top w:val="double" w:sz="6" w:space="0" w:color="auto"/>
              <w:left w:val="nil"/>
              <w:bottom w:val="nil"/>
              <w:right w:val="single" w:sz="4" w:space="0" w:color="auto"/>
            </w:tcBorders>
            <w:shd w:val="clear" w:color="000000" w:fill="FFFFFF"/>
            <w:noWrap/>
            <w:vAlign w:val="bottom"/>
          </w:tcPr>
          <w:p w:rsidR="00E2259B" w:rsidRPr="00073FF4" w:rsidRDefault="00E2259B" w:rsidP="00992708">
            <w:pPr>
              <w:tabs>
                <w:tab w:val="decimal" w:pos="217"/>
              </w:tabs>
              <w:jc w:val="left"/>
              <w:rPr>
                <w:rFonts w:eastAsia="Times New Roman"/>
                <w:color w:val="000000"/>
                <w:sz w:val="20"/>
                <w:szCs w:val="20"/>
              </w:rPr>
            </w:pPr>
            <w:r w:rsidRPr="00073FF4">
              <w:rPr>
                <w:rFonts w:eastAsia="Times New Roman"/>
                <w:color w:val="000000"/>
                <w:sz w:val="20"/>
                <w:szCs w:val="20"/>
              </w:rPr>
              <w:t> </w:t>
            </w:r>
          </w:p>
        </w:tc>
        <w:tc>
          <w:tcPr>
            <w:tcW w:w="947" w:type="dxa"/>
            <w:tcBorders>
              <w:top w:val="double" w:sz="6" w:space="0" w:color="auto"/>
              <w:left w:val="nil"/>
              <w:bottom w:val="nil"/>
              <w:right w:val="double" w:sz="6" w:space="0" w:color="auto"/>
            </w:tcBorders>
            <w:shd w:val="clear" w:color="000000" w:fill="FFFFFF"/>
            <w:noWrap/>
            <w:vAlign w:val="bottom"/>
          </w:tcPr>
          <w:p w:rsidR="00E2259B" w:rsidRPr="00073FF4" w:rsidRDefault="00E2259B" w:rsidP="00B22941">
            <w:pPr>
              <w:tabs>
                <w:tab w:val="decimal" w:pos="217"/>
              </w:tabs>
              <w:jc w:val="left"/>
              <w:rPr>
                <w:rFonts w:eastAsia="Times New Roman"/>
                <w:color w:val="000000"/>
                <w:sz w:val="20"/>
                <w:szCs w:val="20"/>
              </w:rPr>
            </w:pPr>
            <w:r w:rsidRPr="00073FF4">
              <w:rPr>
                <w:rFonts w:eastAsia="Times New Roman"/>
                <w:color w:val="000000"/>
                <w:sz w:val="20"/>
                <w:szCs w:val="20"/>
              </w:rPr>
              <w:t> </w:t>
            </w:r>
          </w:p>
        </w:tc>
        <w:tc>
          <w:tcPr>
            <w:tcW w:w="972" w:type="dxa"/>
            <w:tcBorders>
              <w:top w:val="double" w:sz="6" w:space="0" w:color="auto"/>
              <w:left w:val="nil"/>
              <w:bottom w:val="nil"/>
              <w:right w:val="single" w:sz="4" w:space="0" w:color="auto"/>
            </w:tcBorders>
            <w:shd w:val="clear" w:color="000000" w:fill="FFFFFF"/>
            <w:noWrap/>
            <w:vAlign w:val="bottom"/>
          </w:tcPr>
          <w:p w:rsidR="00E2259B" w:rsidRPr="00073FF4" w:rsidRDefault="00E2259B" w:rsidP="00B22941">
            <w:pPr>
              <w:tabs>
                <w:tab w:val="decimal" w:pos="160"/>
              </w:tabs>
              <w:jc w:val="left"/>
              <w:rPr>
                <w:rFonts w:eastAsia="Times New Roman"/>
                <w:color w:val="000000"/>
                <w:sz w:val="20"/>
                <w:szCs w:val="20"/>
              </w:rPr>
            </w:pPr>
            <w:r w:rsidRPr="00073FF4">
              <w:rPr>
                <w:rFonts w:eastAsia="Times New Roman"/>
                <w:color w:val="000000"/>
                <w:sz w:val="20"/>
                <w:szCs w:val="20"/>
              </w:rPr>
              <w:t> </w:t>
            </w:r>
          </w:p>
        </w:tc>
        <w:tc>
          <w:tcPr>
            <w:tcW w:w="1024" w:type="dxa"/>
            <w:tcBorders>
              <w:top w:val="double" w:sz="6" w:space="0" w:color="auto"/>
              <w:left w:val="nil"/>
              <w:bottom w:val="nil"/>
              <w:right w:val="double" w:sz="6" w:space="0" w:color="auto"/>
            </w:tcBorders>
            <w:shd w:val="clear" w:color="000000" w:fill="FFFFFF"/>
            <w:noWrap/>
            <w:vAlign w:val="bottom"/>
          </w:tcPr>
          <w:p w:rsidR="00E2259B" w:rsidRPr="00073FF4" w:rsidRDefault="00E2259B" w:rsidP="00B22941">
            <w:pPr>
              <w:tabs>
                <w:tab w:val="decimal" w:pos="160"/>
              </w:tabs>
              <w:jc w:val="left"/>
              <w:rPr>
                <w:rFonts w:eastAsia="Times New Roman"/>
                <w:color w:val="000000"/>
                <w:sz w:val="20"/>
                <w:szCs w:val="20"/>
              </w:rPr>
            </w:pPr>
            <w:r w:rsidRPr="00073FF4">
              <w:rPr>
                <w:rFonts w:eastAsia="Times New Roman"/>
                <w:color w:val="000000"/>
                <w:sz w:val="20"/>
                <w:szCs w:val="20"/>
              </w:rPr>
              <w:t> </w:t>
            </w:r>
          </w:p>
        </w:tc>
        <w:tc>
          <w:tcPr>
            <w:tcW w:w="916" w:type="dxa"/>
            <w:tcBorders>
              <w:top w:val="double" w:sz="6" w:space="0" w:color="auto"/>
              <w:left w:val="nil"/>
              <w:right w:val="single" w:sz="4" w:space="0" w:color="auto"/>
            </w:tcBorders>
            <w:shd w:val="clear" w:color="000000" w:fill="FFFFFF"/>
          </w:tcPr>
          <w:p w:rsidR="00E2259B" w:rsidRPr="00073FF4" w:rsidRDefault="00E2259B" w:rsidP="00B22941">
            <w:pPr>
              <w:tabs>
                <w:tab w:val="decimal" w:pos="151"/>
              </w:tabs>
              <w:jc w:val="left"/>
              <w:rPr>
                <w:rFonts w:eastAsia="Times New Roman"/>
                <w:color w:val="000000"/>
                <w:sz w:val="20"/>
                <w:szCs w:val="20"/>
              </w:rPr>
            </w:pPr>
          </w:p>
        </w:tc>
        <w:tc>
          <w:tcPr>
            <w:tcW w:w="838" w:type="dxa"/>
            <w:tcBorders>
              <w:top w:val="double" w:sz="6" w:space="0" w:color="auto"/>
              <w:left w:val="single" w:sz="4" w:space="0" w:color="auto"/>
              <w:right w:val="double" w:sz="6" w:space="0" w:color="auto"/>
            </w:tcBorders>
            <w:shd w:val="clear" w:color="000000" w:fill="FFFFFF"/>
          </w:tcPr>
          <w:p w:rsidR="00E2259B" w:rsidRPr="00073FF4" w:rsidRDefault="00E2259B" w:rsidP="00B22941">
            <w:pPr>
              <w:tabs>
                <w:tab w:val="decimal" w:pos="143"/>
              </w:tabs>
              <w:jc w:val="left"/>
              <w:rPr>
                <w:rFonts w:eastAsia="Times New Roman"/>
                <w:color w:val="000000"/>
                <w:sz w:val="20"/>
                <w:szCs w:val="20"/>
              </w:rPr>
            </w:pPr>
          </w:p>
        </w:tc>
      </w:tr>
      <w:tr w:rsidR="000B06DF" w:rsidRPr="00073FF4" w:rsidTr="00026D18">
        <w:trPr>
          <w:trHeight w:val="300"/>
          <w:jc w:val="center"/>
        </w:trPr>
        <w:tc>
          <w:tcPr>
            <w:tcW w:w="4038" w:type="dxa"/>
            <w:tcBorders>
              <w:top w:val="nil"/>
              <w:left w:val="double" w:sz="6" w:space="0" w:color="auto"/>
              <w:bottom w:val="nil"/>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 xml:space="preserve">    Logarithm of the area (</w:t>
            </w:r>
            <w:r w:rsidR="002220A4">
              <w:rPr>
                <w:rFonts w:eastAsia="Times New Roman"/>
                <w:color w:val="000000"/>
                <w:sz w:val="20"/>
                <w:szCs w:val="20"/>
              </w:rPr>
              <w:t>miles</w:t>
            </w:r>
            <w:r w:rsidRPr="00073FF4">
              <w:rPr>
                <w:rFonts w:eastAsia="Times New Roman"/>
                <w:color w:val="000000"/>
                <w:sz w:val="20"/>
                <w:szCs w:val="20"/>
                <w:vertAlign w:val="superscript"/>
              </w:rPr>
              <w:t>2</w:t>
            </w:r>
            <w:r w:rsidRPr="00073FF4">
              <w:rPr>
                <w:rFonts w:eastAsia="Times New Roman"/>
                <w:color w:val="000000"/>
                <w:sz w:val="20"/>
                <w:szCs w:val="20"/>
              </w:rPr>
              <w:t>) – mean</w:t>
            </w:r>
          </w:p>
        </w:tc>
        <w:tc>
          <w:tcPr>
            <w:tcW w:w="994" w:type="dxa"/>
            <w:tcBorders>
              <w:top w:val="nil"/>
              <w:left w:val="nil"/>
              <w:bottom w:val="nil"/>
              <w:right w:val="single" w:sz="4" w:space="0" w:color="auto"/>
            </w:tcBorders>
            <w:shd w:val="clear" w:color="000000" w:fill="FFFFFF"/>
            <w:noWrap/>
            <w:vAlign w:val="center"/>
          </w:tcPr>
          <w:p w:rsidR="000B06DF" w:rsidRPr="00073FF4" w:rsidRDefault="008F23F4" w:rsidP="00992708">
            <w:pPr>
              <w:tabs>
                <w:tab w:val="decimal" w:pos="127"/>
                <w:tab w:val="decimal" w:pos="217"/>
              </w:tabs>
              <w:jc w:val="center"/>
              <w:rPr>
                <w:rFonts w:eastAsia="Times New Roman"/>
                <w:color w:val="000000"/>
                <w:sz w:val="20"/>
                <w:szCs w:val="20"/>
              </w:rPr>
            </w:pPr>
            <w:r w:rsidRPr="00073FF4">
              <w:rPr>
                <w:rFonts w:eastAsia="Times New Roman"/>
                <w:color w:val="000000"/>
                <w:sz w:val="20"/>
                <w:szCs w:val="20"/>
              </w:rPr>
              <w:t xml:space="preserve"> </w:t>
            </w:r>
            <w:r w:rsidR="00B22941" w:rsidRPr="00073FF4">
              <w:rPr>
                <w:rFonts w:eastAsia="Times New Roman"/>
                <w:color w:val="000000"/>
                <w:sz w:val="20"/>
                <w:szCs w:val="20"/>
              </w:rPr>
              <w:t xml:space="preserve"> </w:t>
            </w:r>
            <w:r w:rsidR="000B06DF" w:rsidRPr="00073FF4">
              <w:rPr>
                <w:rFonts w:eastAsia="Times New Roman"/>
                <w:color w:val="000000"/>
                <w:sz w:val="20"/>
                <w:szCs w:val="20"/>
              </w:rPr>
              <w:t>0.</w:t>
            </w:r>
            <w:r w:rsidR="002220A4">
              <w:rPr>
                <w:rFonts w:eastAsia="Times New Roman"/>
                <w:color w:val="000000"/>
                <w:sz w:val="20"/>
                <w:szCs w:val="20"/>
              </w:rPr>
              <w:t>797</w:t>
            </w:r>
            <w:r w:rsidR="000B06DF" w:rsidRPr="00073FF4">
              <w:rPr>
                <w:rFonts w:eastAsia="Times New Roman"/>
                <w:color w:val="000000"/>
                <w:sz w:val="20"/>
                <w:szCs w:val="20"/>
              </w:rPr>
              <w:t>*</w:t>
            </w:r>
          </w:p>
        </w:tc>
        <w:tc>
          <w:tcPr>
            <w:tcW w:w="947" w:type="dxa"/>
            <w:tcBorders>
              <w:top w:val="nil"/>
              <w:left w:val="nil"/>
              <w:bottom w:val="nil"/>
              <w:right w:val="double" w:sz="6" w:space="0" w:color="auto"/>
            </w:tcBorders>
            <w:shd w:val="clear" w:color="000000" w:fill="FFFFFF"/>
            <w:noWrap/>
            <w:vAlign w:val="center"/>
          </w:tcPr>
          <w:p w:rsidR="000B06DF" w:rsidRPr="00073FF4" w:rsidRDefault="008F23F4" w:rsidP="00B22941">
            <w:pPr>
              <w:tabs>
                <w:tab w:val="decimal" w:pos="217"/>
              </w:tabs>
              <w:jc w:val="center"/>
              <w:rPr>
                <w:rFonts w:eastAsia="Times New Roman"/>
                <w:color w:val="000000"/>
                <w:sz w:val="20"/>
                <w:szCs w:val="20"/>
              </w:rPr>
            </w:pPr>
            <w:r w:rsidRPr="00073FF4">
              <w:rPr>
                <w:rFonts w:eastAsia="Times New Roman"/>
                <w:color w:val="000000"/>
                <w:sz w:val="20"/>
                <w:szCs w:val="20"/>
              </w:rPr>
              <w:t xml:space="preserve">  </w:t>
            </w:r>
            <w:r w:rsidR="00892588" w:rsidRPr="00073FF4">
              <w:rPr>
                <w:rFonts w:eastAsia="Times New Roman"/>
                <w:color w:val="000000"/>
                <w:sz w:val="20"/>
                <w:szCs w:val="20"/>
              </w:rPr>
              <w:t>4.72</w:t>
            </w:r>
            <w:r w:rsidR="000B06DF" w:rsidRPr="00073FF4">
              <w:rPr>
                <w:rFonts w:eastAsia="Times New Roman"/>
                <w:color w:val="000000"/>
                <w:sz w:val="20"/>
                <w:szCs w:val="20"/>
              </w:rPr>
              <w:t>*</w:t>
            </w:r>
          </w:p>
        </w:tc>
        <w:tc>
          <w:tcPr>
            <w:tcW w:w="972" w:type="dxa"/>
            <w:tcBorders>
              <w:top w:val="nil"/>
              <w:left w:val="nil"/>
              <w:bottom w:val="nil"/>
              <w:right w:val="single" w:sz="4" w:space="0" w:color="auto"/>
            </w:tcBorders>
            <w:shd w:val="clear" w:color="000000" w:fill="FFFFFF"/>
            <w:noWrap/>
            <w:vAlign w:val="center"/>
          </w:tcPr>
          <w:p w:rsidR="000B06DF" w:rsidRPr="00073FF4" w:rsidRDefault="002220A4" w:rsidP="002220A4">
            <w:pPr>
              <w:tabs>
                <w:tab w:val="decimal" w:pos="160"/>
              </w:tabs>
              <w:rPr>
                <w:rFonts w:eastAsia="Times New Roman"/>
                <w:color w:val="000000"/>
                <w:sz w:val="20"/>
                <w:szCs w:val="20"/>
              </w:rPr>
            </w:pPr>
            <w:r>
              <w:rPr>
                <w:rFonts w:eastAsia="Times New Roman"/>
                <w:color w:val="000000"/>
                <w:sz w:val="20"/>
                <w:szCs w:val="20"/>
              </w:rPr>
              <w:t xml:space="preserve">  </w:t>
            </w:r>
            <w:r w:rsidR="005B4A28" w:rsidRPr="00073FF4">
              <w:rPr>
                <w:rFonts w:eastAsia="Times New Roman"/>
                <w:color w:val="000000"/>
                <w:sz w:val="20"/>
                <w:szCs w:val="20"/>
              </w:rPr>
              <w:t xml:space="preserve"> </w:t>
            </w:r>
            <w:r w:rsidR="000B06DF" w:rsidRPr="00073FF4">
              <w:rPr>
                <w:rFonts w:eastAsia="Times New Roman"/>
                <w:color w:val="000000"/>
                <w:sz w:val="20"/>
                <w:szCs w:val="20"/>
              </w:rPr>
              <w:t>0.</w:t>
            </w:r>
            <w:r>
              <w:rPr>
                <w:rFonts w:eastAsia="Times New Roman"/>
                <w:color w:val="000000"/>
                <w:sz w:val="20"/>
                <w:szCs w:val="20"/>
              </w:rPr>
              <w:t>797</w:t>
            </w:r>
            <w:r w:rsidR="000B06DF" w:rsidRPr="00073FF4">
              <w:rPr>
                <w:rFonts w:eastAsia="Times New Roman"/>
                <w:color w:val="000000"/>
                <w:sz w:val="20"/>
                <w:szCs w:val="20"/>
              </w:rPr>
              <w:t>*</w:t>
            </w:r>
          </w:p>
        </w:tc>
        <w:tc>
          <w:tcPr>
            <w:tcW w:w="1024" w:type="dxa"/>
            <w:tcBorders>
              <w:top w:val="nil"/>
              <w:left w:val="nil"/>
              <w:bottom w:val="nil"/>
              <w:right w:val="double" w:sz="6" w:space="0" w:color="auto"/>
            </w:tcBorders>
            <w:shd w:val="clear" w:color="000000" w:fill="FFFFFF"/>
            <w:noWrap/>
            <w:vAlign w:val="center"/>
          </w:tcPr>
          <w:p w:rsidR="000B06DF" w:rsidRPr="00073FF4" w:rsidRDefault="00C4765D" w:rsidP="00B22941">
            <w:pPr>
              <w:tabs>
                <w:tab w:val="decimal" w:pos="160"/>
              </w:tabs>
              <w:jc w:val="center"/>
              <w:rPr>
                <w:rFonts w:eastAsia="Times New Roman"/>
                <w:color w:val="000000"/>
                <w:sz w:val="20"/>
                <w:szCs w:val="20"/>
              </w:rPr>
            </w:pPr>
            <w:r w:rsidRPr="00073FF4">
              <w:rPr>
                <w:rFonts w:eastAsia="Times New Roman"/>
                <w:color w:val="000000"/>
                <w:sz w:val="20"/>
                <w:szCs w:val="20"/>
              </w:rPr>
              <w:t xml:space="preserve"> </w:t>
            </w:r>
            <w:r w:rsidR="005B4A28" w:rsidRPr="00073FF4">
              <w:rPr>
                <w:rFonts w:eastAsia="Times New Roman"/>
                <w:color w:val="000000"/>
                <w:sz w:val="20"/>
                <w:szCs w:val="20"/>
              </w:rPr>
              <w:t xml:space="preserve"> </w:t>
            </w:r>
            <w:r w:rsidR="00892588" w:rsidRPr="00073FF4">
              <w:rPr>
                <w:rFonts w:eastAsia="Times New Roman"/>
                <w:color w:val="000000"/>
                <w:sz w:val="20"/>
                <w:szCs w:val="20"/>
              </w:rPr>
              <w:t>4.72</w:t>
            </w:r>
            <w:r w:rsidR="000B06DF" w:rsidRPr="00073FF4">
              <w:rPr>
                <w:rFonts w:eastAsia="Times New Roman"/>
                <w:color w:val="000000"/>
                <w:sz w:val="20"/>
                <w:szCs w:val="20"/>
              </w:rPr>
              <w:t>*</w:t>
            </w:r>
          </w:p>
        </w:tc>
        <w:tc>
          <w:tcPr>
            <w:tcW w:w="916" w:type="dxa"/>
            <w:tcBorders>
              <w:left w:val="nil"/>
              <w:right w:val="single" w:sz="4" w:space="0" w:color="auto"/>
            </w:tcBorders>
            <w:shd w:val="clear" w:color="000000" w:fill="FFFFFF"/>
            <w:vAlign w:val="center"/>
          </w:tcPr>
          <w:p w:rsidR="000B06DF" w:rsidRPr="00073FF4" w:rsidRDefault="002220A4" w:rsidP="002220A4">
            <w:pPr>
              <w:tabs>
                <w:tab w:val="decimal" w:pos="151"/>
              </w:tabs>
              <w:rPr>
                <w:rFonts w:eastAsia="Times New Roman"/>
                <w:color w:val="000000"/>
                <w:sz w:val="20"/>
                <w:szCs w:val="20"/>
              </w:rPr>
            </w:pPr>
            <w:r>
              <w:rPr>
                <w:rFonts w:eastAsia="Times New Roman"/>
                <w:color w:val="000000"/>
                <w:sz w:val="20"/>
                <w:szCs w:val="20"/>
              </w:rPr>
              <w:t xml:space="preserve"> </w:t>
            </w:r>
            <w:r w:rsidR="005B4A28" w:rsidRPr="00073FF4">
              <w:rPr>
                <w:rFonts w:eastAsia="Times New Roman"/>
                <w:color w:val="000000"/>
                <w:sz w:val="20"/>
                <w:szCs w:val="20"/>
              </w:rPr>
              <w:t xml:space="preserve"> </w:t>
            </w:r>
            <w:r w:rsidR="000B06DF" w:rsidRPr="00073FF4">
              <w:rPr>
                <w:rFonts w:eastAsia="Times New Roman"/>
                <w:color w:val="000000"/>
                <w:sz w:val="20"/>
                <w:szCs w:val="20"/>
              </w:rPr>
              <w:t>0.</w:t>
            </w:r>
            <w:r>
              <w:rPr>
                <w:rFonts w:eastAsia="Times New Roman"/>
                <w:color w:val="000000"/>
                <w:sz w:val="20"/>
                <w:szCs w:val="20"/>
              </w:rPr>
              <w:t>797</w:t>
            </w:r>
            <w:r w:rsidR="000B06DF" w:rsidRPr="00073FF4">
              <w:rPr>
                <w:rFonts w:eastAsia="Times New Roman"/>
                <w:color w:val="000000"/>
                <w:sz w:val="20"/>
                <w:szCs w:val="20"/>
              </w:rPr>
              <w:t>*</w:t>
            </w:r>
          </w:p>
        </w:tc>
        <w:tc>
          <w:tcPr>
            <w:tcW w:w="838" w:type="dxa"/>
            <w:tcBorders>
              <w:left w:val="single" w:sz="4" w:space="0" w:color="auto"/>
              <w:right w:val="double" w:sz="6" w:space="0" w:color="auto"/>
            </w:tcBorders>
            <w:shd w:val="clear" w:color="000000" w:fill="FFFFFF"/>
            <w:vAlign w:val="center"/>
          </w:tcPr>
          <w:p w:rsidR="000B06DF" w:rsidRPr="00073FF4" w:rsidRDefault="00C4765D" w:rsidP="002220A4">
            <w:pPr>
              <w:tabs>
                <w:tab w:val="decimal" w:pos="143"/>
              </w:tabs>
              <w:rPr>
                <w:rFonts w:eastAsia="Times New Roman"/>
                <w:color w:val="000000"/>
                <w:sz w:val="20"/>
                <w:szCs w:val="20"/>
              </w:rPr>
            </w:pPr>
            <w:r w:rsidRPr="00073FF4">
              <w:rPr>
                <w:rFonts w:eastAsia="Times New Roman"/>
                <w:color w:val="000000"/>
                <w:sz w:val="20"/>
                <w:szCs w:val="20"/>
              </w:rPr>
              <w:t xml:space="preserve"> </w:t>
            </w:r>
            <w:r w:rsidR="00026D18">
              <w:rPr>
                <w:rFonts w:eastAsia="Times New Roman"/>
                <w:color w:val="000000"/>
                <w:sz w:val="20"/>
                <w:szCs w:val="20"/>
              </w:rPr>
              <w:t xml:space="preserve"> </w:t>
            </w:r>
            <w:r w:rsidR="00892588" w:rsidRPr="00073FF4">
              <w:rPr>
                <w:rFonts w:eastAsia="Times New Roman"/>
                <w:color w:val="000000"/>
                <w:sz w:val="20"/>
                <w:szCs w:val="20"/>
              </w:rPr>
              <w:t>4.72</w:t>
            </w:r>
            <w:r w:rsidR="000B06DF" w:rsidRPr="00073FF4">
              <w:rPr>
                <w:rFonts w:eastAsia="Times New Roman"/>
                <w:color w:val="000000"/>
                <w:sz w:val="20"/>
                <w:szCs w:val="20"/>
              </w:rPr>
              <w:t>*</w:t>
            </w:r>
          </w:p>
        </w:tc>
      </w:tr>
      <w:tr w:rsidR="000B06DF" w:rsidRPr="00073FF4" w:rsidTr="00026D18">
        <w:trPr>
          <w:trHeight w:val="300"/>
          <w:jc w:val="center"/>
        </w:trPr>
        <w:tc>
          <w:tcPr>
            <w:tcW w:w="4038" w:type="dxa"/>
            <w:tcBorders>
              <w:top w:val="nil"/>
              <w:left w:val="double" w:sz="6" w:space="0" w:color="auto"/>
              <w:bottom w:val="nil"/>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 xml:space="preserve">    Ferry (dummy) – mean</w:t>
            </w:r>
          </w:p>
        </w:tc>
        <w:tc>
          <w:tcPr>
            <w:tcW w:w="994" w:type="dxa"/>
            <w:tcBorders>
              <w:top w:val="nil"/>
              <w:left w:val="nil"/>
              <w:bottom w:val="nil"/>
              <w:right w:val="single" w:sz="4" w:space="0" w:color="auto"/>
            </w:tcBorders>
            <w:shd w:val="clear" w:color="000000" w:fill="FFFFFF"/>
            <w:noWrap/>
            <w:vAlign w:val="center"/>
          </w:tcPr>
          <w:p w:rsidR="000B06DF" w:rsidRPr="00073FF4" w:rsidRDefault="000B06DF" w:rsidP="00992708">
            <w:pPr>
              <w:tabs>
                <w:tab w:val="decimal" w:pos="127"/>
                <w:tab w:val="decimal" w:pos="217"/>
              </w:tabs>
              <w:jc w:val="center"/>
              <w:rPr>
                <w:rFonts w:eastAsia="Times New Roman"/>
                <w:color w:val="000000"/>
                <w:sz w:val="20"/>
                <w:szCs w:val="20"/>
              </w:rPr>
            </w:pPr>
            <w:r w:rsidRPr="00073FF4">
              <w:rPr>
                <w:rFonts w:eastAsia="Times New Roman"/>
                <w:color w:val="000000"/>
                <w:sz w:val="20"/>
                <w:szCs w:val="20"/>
              </w:rPr>
              <w:t>0.102</w:t>
            </w:r>
          </w:p>
        </w:tc>
        <w:tc>
          <w:tcPr>
            <w:tcW w:w="947" w:type="dxa"/>
            <w:tcBorders>
              <w:top w:val="nil"/>
              <w:left w:val="nil"/>
              <w:bottom w:val="nil"/>
              <w:right w:val="double" w:sz="6" w:space="0" w:color="auto"/>
            </w:tcBorders>
            <w:shd w:val="clear" w:color="000000" w:fill="FFFFFF"/>
            <w:noWrap/>
            <w:vAlign w:val="center"/>
          </w:tcPr>
          <w:p w:rsidR="000B06DF" w:rsidRPr="00073FF4" w:rsidRDefault="00C4765D" w:rsidP="00C4765D">
            <w:pPr>
              <w:tabs>
                <w:tab w:val="decimal" w:pos="217"/>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2.40</w:t>
            </w:r>
          </w:p>
        </w:tc>
        <w:tc>
          <w:tcPr>
            <w:tcW w:w="972" w:type="dxa"/>
            <w:tcBorders>
              <w:top w:val="nil"/>
              <w:left w:val="nil"/>
              <w:bottom w:val="nil"/>
              <w:right w:val="single" w:sz="4" w:space="0" w:color="auto"/>
            </w:tcBorders>
            <w:shd w:val="clear" w:color="000000" w:fill="FFFFFF"/>
            <w:noWrap/>
            <w:vAlign w:val="center"/>
          </w:tcPr>
          <w:p w:rsidR="000B06DF" w:rsidRPr="00073FF4" w:rsidRDefault="005B4A28" w:rsidP="00B22941">
            <w:pPr>
              <w:tabs>
                <w:tab w:val="decimal" w:pos="160"/>
              </w:tabs>
              <w:rPr>
                <w:rFonts w:eastAsia="Times New Roman"/>
                <w:color w:val="000000"/>
                <w:sz w:val="20"/>
                <w:szCs w:val="20"/>
              </w:rPr>
            </w:pPr>
            <w:r w:rsidRPr="00073FF4">
              <w:rPr>
                <w:rFonts w:eastAsia="Times New Roman"/>
                <w:color w:val="000000"/>
                <w:sz w:val="20"/>
                <w:szCs w:val="20"/>
              </w:rPr>
              <w:t xml:space="preserve"> </w:t>
            </w:r>
            <w:r w:rsidR="00C4765D" w:rsidRPr="00073FF4">
              <w:rPr>
                <w:rFonts w:eastAsia="Times New Roman"/>
                <w:color w:val="000000"/>
                <w:sz w:val="20"/>
                <w:szCs w:val="20"/>
              </w:rPr>
              <w:t xml:space="preserve"> </w:t>
            </w:r>
            <w:r w:rsidRPr="00073FF4">
              <w:rPr>
                <w:rFonts w:eastAsia="Times New Roman"/>
                <w:color w:val="000000"/>
                <w:sz w:val="20"/>
                <w:szCs w:val="20"/>
              </w:rPr>
              <w:t xml:space="preserve"> </w:t>
            </w:r>
            <w:r w:rsidR="000B06DF" w:rsidRPr="00073FF4">
              <w:rPr>
                <w:rFonts w:eastAsia="Times New Roman"/>
                <w:color w:val="000000"/>
                <w:sz w:val="20"/>
                <w:szCs w:val="20"/>
              </w:rPr>
              <w:t>0.121</w:t>
            </w:r>
          </w:p>
        </w:tc>
        <w:tc>
          <w:tcPr>
            <w:tcW w:w="1024" w:type="dxa"/>
            <w:tcBorders>
              <w:top w:val="nil"/>
              <w:left w:val="nil"/>
              <w:bottom w:val="nil"/>
              <w:right w:val="double" w:sz="6" w:space="0" w:color="auto"/>
            </w:tcBorders>
            <w:shd w:val="clear" w:color="000000" w:fill="FFFFFF"/>
            <w:noWrap/>
            <w:vAlign w:val="center"/>
          </w:tcPr>
          <w:p w:rsidR="000B06DF" w:rsidRPr="00073FF4" w:rsidRDefault="00C4765D" w:rsidP="00C4765D">
            <w:pPr>
              <w:tabs>
                <w:tab w:val="decimal" w:pos="160"/>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3.20</w:t>
            </w:r>
          </w:p>
        </w:tc>
        <w:tc>
          <w:tcPr>
            <w:tcW w:w="916" w:type="dxa"/>
            <w:tcBorders>
              <w:left w:val="nil"/>
              <w:right w:val="single" w:sz="4" w:space="0" w:color="auto"/>
            </w:tcBorders>
            <w:shd w:val="clear" w:color="000000" w:fill="FFFFFF"/>
            <w:vAlign w:val="center"/>
          </w:tcPr>
          <w:p w:rsidR="000B06DF" w:rsidRPr="00073FF4" w:rsidRDefault="000B06DF" w:rsidP="00B22941">
            <w:pPr>
              <w:tabs>
                <w:tab w:val="decimal" w:pos="151"/>
              </w:tabs>
              <w:jc w:val="center"/>
              <w:rPr>
                <w:rFonts w:eastAsia="Times New Roman"/>
                <w:color w:val="000000"/>
                <w:sz w:val="20"/>
                <w:szCs w:val="20"/>
              </w:rPr>
            </w:pPr>
            <w:r w:rsidRPr="00073FF4">
              <w:rPr>
                <w:rFonts w:eastAsia="Times New Roman"/>
                <w:color w:val="000000"/>
                <w:sz w:val="20"/>
                <w:szCs w:val="20"/>
              </w:rPr>
              <w:t>-</w:t>
            </w:r>
          </w:p>
        </w:tc>
        <w:tc>
          <w:tcPr>
            <w:tcW w:w="838" w:type="dxa"/>
            <w:tcBorders>
              <w:left w:val="single" w:sz="4" w:space="0" w:color="auto"/>
              <w:right w:val="double" w:sz="6" w:space="0" w:color="auto"/>
            </w:tcBorders>
            <w:shd w:val="clear" w:color="000000" w:fill="FFFFFF"/>
            <w:vAlign w:val="center"/>
          </w:tcPr>
          <w:p w:rsidR="000B06DF" w:rsidRPr="00073FF4" w:rsidRDefault="000B06DF" w:rsidP="00B22941">
            <w:pPr>
              <w:tabs>
                <w:tab w:val="decimal" w:pos="143"/>
              </w:tabs>
              <w:jc w:val="center"/>
              <w:rPr>
                <w:rFonts w:eastAsia="Times New Roman"/>
                <w:color w:val="000000"/>
                <w:sz w:val="20"/>
                <w:szCs w:val="20"/>
              </w:rPr>
            </w:pPr>
            <w:r w:rsidRPr="00073FF4">
              <w:rPr>
                <w:rFonts w:eastAsia="Times New Roman"/>
                <w:color w:val="000000"/>
                <w:sz w:val="20"/>
                <w:szCs w:val="20"/>
              </w:rPr>
              <w:t>-</w:t>
            </w:r>
          </w:p>
        </w:tc>
      </w:tr>
      <w:tr w:rsidR="000B06DF" w:rsidRPr="00073FF4" w:rsidTr="00026D18">
        <w:trPr>
          <w:trHeight w:val="300"/>
          <w:jc w:val="center"/>
        </w:trPr>
        <w:tc>
          <w:tcPr>
            <w:tcW w:w="4038" w:type="dxa"/>
            <w:tcBorders>
              <w:top w:val="nil"/>
              <w:left w:val="double" w:sz="6" w:space="0" w:color="auto"/>
              <w:bottom w:val="nil"/>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 xml:space="preserve">    Travel cost ($/100) –mean</w:t>
            </w:r>
          </w:p>
        </w:tc>
        <w:tc>
          <w:tcPr>
            <w:tcW w:w="994" w:type="dxa"/>
            <w:tcBorders>
              <w:top w:val="nil"/>
              <w:left w:val="nil"/>
              <w:bottom w:val="nil"/>
              <w:right w:val="single" w:sz="4" w:space="0" w:color="auto"/>
            </w:tcBorders>
            <w:shd w:val="clear" w:color="000000" w:fill="FFFFFF"/>
            <w:noWrap/>
            <w:vAlign w:val="center"/>
          </w:tcPr>
          <w:p w:rsidR="000B06DF" w:rsidRPr="00073FF4" w:rsidRDefault="008F23F4" w:rsidP="00992708">
            <w:pPr>
              <w:tabs>
                <w:tab w:val="decimal" w:pos="127"/>
                <w:tab w:val="decimal" w:pos="217"/>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 xml:space="preserve"> </w:t>
            </w:r>
            <w:r w:rsidR="00B22941" w:rsidRPr="00073FF4">
              <w:rPr>
                <w:rFonts w:eastAsia="Times New Roman"/>
                <w:color w:val="000000"/>
                <w:sz w:val="20"/>
                <w:szCs w:val="20"/>
              </w:rPr>
              <w:t xml:space="preserve"> </w:t>
            </w:r>
            <w:r w:rsidR="000B06DF" w:rsidRPr="00073FF4">
              <w:rPr>
                <w:rFonts w:eastAsia="Times New Roman"/>
                <w:color w:val="000000"/>
                <w:sz w:val="20"/>
                <w:szCs w:val="20"/>
              </w:rPr>
              <w:t>-0.700</w:t>
            </w:r>
          </w:p>
        </w:tc>
        <w:tc>
          <w:tcPr>
            <w:tcW w:w="947" w:type="dxa"/>
            <w:tcBorders>
              <w:top w:val="nil"/>
              <w:left w:val="nil"/>
              <w:bottom w:val="nil"/>
              <w:right w:val="double" w:sz="6" w:space="0" w:color="auto"/>
            </w:tcBorders>
            <w:shd w:val="clear" w:color="000000" w:fill="FFFFFF"/>
            <w:noWrap/>
            <w:vAlign w:val="center"/>
          </w:tcPr>
          <w:p w:rsidR="000B06DF" w:rsidRPr="00073FF4" w:rsidRDefault="008F23F4" w:rsidP="00B22941">
            <w:pPr>
              <w:tabs>
                <w:tab w:val="decimal" w:pos="217"/>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-15.22</w:t>
            </w:r>
          </w:p>
        </w:tc>
        <w:tc>
          <w:tcPr>
            <w:tcW w:w="972" w:type="dxa"/>
            <w:tcBorders>
              <w:top w:val="nil"/>
              <w:left w:val="nil"/>
              <w:bottom w:val="nil"/>
              <w:right w:val="single" w:sz="4" w:space="0" w:color="auto"/>
            </w:tcBorders>
            <w:shd w:val="clear" w:color="000000" w:fill="FFFFFF"/>
            <w:noWrap/>
            <w:vAlign w:val="center"/>
          </w:tcPr>
          <w:p w:rsidR="000B06DF" w:rsidRPr="00073FF4" w:rsidRDefault="00C4765D" w:rsidP="00B22941">
            <w:pPr>
              <w:tabs>
                <w:tab w:val="decimal" w:pos="160"/>
              </w:tabs>
              <w:rPr>
                <w:rFonts w:eastAsia="Times New Roman"/>
                <w:color w:val="000000"/>
                <w:sz w:val="20"/>
                <w:szCs w:val="20"/>
              </w:rPr>
            </w:pPr>
            <w:r w:rsidRPr="00073FF4">
              <w:rPr>
                <w:rFonts w:eastAsia="Times New Roman"/>
                <w:color w:val="000000"/>
                <w:sz w:val="20"/>
                <w:szCs w:val="20"/>
              </w:rPr>
              <w:t xml:space="preserve"> </w:t>
            </w:r>
            <w:r w:rsidR="005B4A28" w:rsidRPr="00073FF4">
              <w:rPr>
                <w:rFonts w:eastAsia="Times New Roman"/>
                <w:color w:val="000000"/>
                <w:sz w:val="20"/>
                <w:szCs w:val="20"/>
              </w:rPr>
              <w:t xml:space="preserve"> </w:t>
            </w:r>
            <w:r w:rsidR="000B06DF" w:rsidRPr="00073FF4">
              <w:rPr>
                <w:rFonts w:eastAsia="Times New Roman"/>
                <w:color w:val="000000"/>
                <w:sz w:val="20"/>
                <w:szCs w:val="20"/>
              </w:rPr>
              <w:t>-0.821</w:t>
            </w:r>
          </w:p>
        </w:tc>
        <w:tc>
          <w:tcPr>
            <w:tcW w:w="1024" w:type="dxa"/>
            <w:tcBorders>
              <w:top w:val="nil"/>
              <w:left w:val="nil"/>
              <w:bottom w:val="nil"/>
              <w:right w:val="double" w:sz="6" w:space="0" w:color="auto"/>
            </w:tcBorders>
            <w:shd w:val="clear" w:color="000000" w:fill="FFFFFF"/>
            <w:noWrap/>
            <w:vAlign w:val="center"/>
          </w:tcPr>
          <w:p w:rsidR="000B06DF" w:rsidRPr="00073FF4" w:rsidRDefault="005B4A28" w:rsidP="00B22941">
            <w:pPr>
              <w:tabs>
                <w:tab w:val="decimal" w:pos="160"/>
              </w:tabs>
              <w:rPr>
                <w:rFonts w:eastAsia="Times New Roman"/>
                <w:color w:val="000000"/>
                <w:sz w:val="20"/>
                <w:szCs w:val="20"/>
              </w:rPr>
            </w:pPr>
            <w:r w:rsidRPr="00073FF4">
              <w:rPr>
                <w:rFonts w:eastAsia="Times New Roman"/>
                <w:color w:val="000000"/>
                <w:sz w:val="20"/>
                <w:szCs w:val="20"/>
              </w:rPr>
              <w:t xml:space="preserve"> </w:t>
            </w:r>
            <w:r w:rsidR="00C4765D" w:rsidRPr="00073FF4">
              <w:rPr>
                <w:rFonts w:eastAsia="Times New Roman"/>
                <w:color w:val="000000"/>
                <w:sz w:val="20"/>
                <w:szCs w:val="20"/>
              </w:rPr>
              <w:t xml:space="preserve"> </w:t>
            </w:r>
            <w:r w:rsidR="000B06DF" w:rsidRPr="00073FF4">
              <w:rPr>
                <w:rFonts w:eastAsia="Times New Roman"/>
                <w:color w:val="000000"/>
                <w:sz w:val="20"/>
                <w:szCs w:val="20"/>
              </w:rPr>
              <w:t>-35.04</w:t>
            </w:r>
          </w:p>
        </w:tc>
        <w:tc>
          <w:tcPr>
            <w:tcW w:w="916" w:type="dxa"/>
            <w:tcBorders>
              <w:left w:val="nil"/>
              <w:right w:val="single" w:sz="4" w:space="0" w:color="auto"/>
            </w:tcBorders>
            <w:shd w:val="clear" w:color="000000" w:fill="FFFFFF"/>
            <w:vAlign w:val="center"/>
          </w:tcPr>
          <w:p w:rsidR="000B06DF" w:rsidRPr="00073FF4" w:rsidRDefault="005B4A28" w:rsidP="00B22941">
            <w:pPr>
              <w:tabs>
                <w:tab w:val="decimal" w:pos="151"/>
              </w:tabs>
              <w:rPr>
                <w:rFonts w:eastAsia="Times New Roman"/>
                <w:color w:val="000000"/>
                <w:sz w:val="20"/>
                <w:szCs w:val="20"/>
              </w:rPr>
            </w:pPr>
            <w:r w:rsidRPr="00073FF4">
              <w:rPr>
                <w:rFonts w:eastAsia="Times New Roman"/>
                <w:color w:val="000000"/>
                <w:sz w:val="20"/>
                <w:szCs w:val="20"/>
              </w:rPr>
              <w:t xml:space="preserve"> </w:t>
            </w:r>
            <w:r w:rsidR="002220A4">
              <w:rPr>
                <w:rFonts w:eastAsia="Times New Roman"/>
                <w:color w:val="000000"/>
                <w:sz w:val="20"/>
                <w:szCs w:val="20"/>
              </w:rPr>
              <w:t xml:space="preserve"> </w:t>
            </w:r>
            <w:r w:rsidR="00C4765D" w:rsidRPr="00073FF4">
              <w:rPr>
                <w:rFonts w:eastAsia="Times New Roman"/>
                <w:color w:val="000000"/>
                <w:sz w:val="20"/>
                <w:szCs w:val="20"/>
              </w:rPr>
              <w:t xml:space="preserve"> </w:t>
            </w:r>
            <w:r w:rsidR="000B06DF" w:rsidRPr="00073FF4">
              <w:rPr>
                <w:rFonts w:eastAsia="Times New Roman"/>
                <w:color w:val="000000"/>
                <w:sz w:val="20"/>
                <w:szCs w:val="20"/>
              </w:rPr>
              <w:t>-0.780</w:t>
            </w:r>
          </w:p>
        </w:tc>
        <w:tc>
          <w:tcPr>
            <w:tcW w:w="838" w:type="dxa"/>
            <w:tcBorders>
              <w:left w:val="single" w:sz="4" w:space="0" w:color="auto"/>
              <w:right w:val="double" w:sz="6" w:space="0" w:color="auto"/>
            </w:tcBorders>
            <w:shd w:val="clear" w:color="000000" w:fill="FFFFFF"/>
            <w:vAlign w:val="center"/>
          </w:tcPr>
          <w:p w:rsidR="000B06DF" w:rsidRPr="00073FF4" w:rsidRDefault="007724A4" w:rsidP="00B22941">
            <w:pPr>
              <w:tabs>
                <w:tab w:val="decimal" w:pos="143"/>
              </w:tabs>
              <w:rPr>
                <w:rFonts w:eastAsia="Times New Roman"/>
                <w:color w:val="000000"/>
                <w:sz w:val="20"/>
                <w:szCs w:val="20"/>
              </w:rPr>
            </w:pPr>
            <w:r w:rsidRPr="00073FF4">
              <w:rPr>
                <w:rFonts w:eastAsia="Times New Roman"/>
                <w:color w:val="000000"/>
                <w:sz w:val="20"/>
                <w:szCs w:val="20"/>
              </w:rPr>
              <w:t xml:space="preserve"> </w:t>
            </w:r>
            <w:r w:rsidR="00026D18">
              <w:rPr>
                <w:rFonts w:eastAsia="Times New Roman"/>
                <w:color w:val="000000"/>
                <w:sz w:val="20"/>
                <w:szCs w:val="20"/>
              </w:rPr>
              <w:t xml:space="preserve"> </w:t>
            </w:r>
            <w:r w:rsidR="000B06DF" w:rsidRPr="00073FF4">
              <w:rPr>
                <w:rFonts w:eastAsia="Times New Roman"/>
                <w:color w:val="000000"/>
                <w:sz w:val="20"/>
                <w:szCs w:val="20"/>
              </w:rPr>
              <w:t>-4.95</w:t>
            </w:r>
          </w:p>
        </w:tc>
      </w:tr>
      <w:tr w:rsidR="000B06DF" w:rsidRPr="00073FF4" w:rsidTr="00026D18">
        <w:trPr>
          <w:trHeight w:val="300"/>
          <w:jc w:val="center"/>
        </w:trPr>
        <w:tc>
          <w:tcPr>
            <w:tcW w:w="4038" w:type="dxa"/>
            <w:tcBorders>
              <w:top w:val="nil"/>
              <w:left w:val="double" w:sz="6" w:space="0" w:color="auto"/>
              <w:bottom w:val="nil"/>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 xml:space="preserve">    Travel cost ($/100) – standard deviation</w:t>
            </w:r>
          </w:p>
        </w:tc>
        <w:tc>
          <w:tcPr>
            <w:tcW w:w="994" w:type="dxa"/>
            <w:tcBorders>
              <w:top w:val="nil"/>
              <w:left w:val="nil"/>
              <w:bottom w:val="nil"/>
              <w:right w:val="single" w:sz="4" w:space="0" w:color="auto"/>
            </w:tcBorders>
            <w:shd w:val="clear" w:color="000000" w:fill="FFFFFF"/>
            <w:noWrap/>
            <w:vAlign w:val="center"/>
          </w:tcPr>
          <w:p w:rsidR="000B06DF" w:rsidRPr="00073FF4" w:rsidRDefault="000B06DF" w:rsidP="00992708">
            <w:pPr>
              <w:tabs>
                <w:tab w:val="decimal" w:pos="127"/>
                <w:tab w:val="decimal" w:pos="217"/>
              </w:tabs>
              <w:jc w:val="center"/>
              <w:rPr>
                <w:rFonts w:eastAsia="Times New Roman"/>
                <w:color w:val="000000"/>
                <w:sz w:val="20"/>
                <w:szCs w:val="20"/>
              </w:rPr>
            </w:pPr>
            <w:r w:rsidRPr="00073FF4">
              <w:rPr>
                <w:rFonts w:eastAsia="Times New Roman"/>
                <w:color w:val="000000"/>
                <w:sz w:val="20"/>
                <w:szCs w:val="20"/>
              </w:rPr>
              <w:t>0.501</w:t>
            </w:r>
          </w:p>
        </w:tc>
        <w:tc>
          <w:tcPr>
            <w:tcW w:w="947" w:type="dxa"/>
            <w:tcBorders>
              <w:top w:val="nil"/>
              <w:left w:val="nil"/>
              <w:bottom w:val="nil"/>
              <w:right w:val="double" w:sz="6" w:space="0" w:color="auto"/>
            </w:tcBorders>
            <w:shd w:val="clear" w:color="000000" w:fill="FFFFFF"/>
            <w:noWrap/>
            <w:vAlign w:val="center"/>
          </w:tcPr>
          <w:p w:rsidR="000B06DF" w:rsidRPr="00073FF4" w:rsidRDefault="00C4765D" w:rsidP="00C4765D">
            <w:pPr>
              <w:tabs>
                <w:tab w:val="decimal" w:pos="217"/>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3.00</w:t>
            </w:r>
          </w:p>
        </w:tc>
        <w:tc>
          <w:tcPr>
            <w:tcW w:w="972" w:type="dxa"/>
            <w:tcBorders>
              <w:top w:val="nil"/>
              <w:left w:val="nil"/>
              <w:bottom w:val="nil"/>
              <w:right w:val="single" w:sz="4"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0.573</w:t>
            </w:r>
          </w:p>
        </w:tc>
        <w:tc>
          <w:tcPr>
            <w:tcW w:w="1024" w:type="dxa"/>
            <w:tcBorders>
              <w:top w:val="nil"/>
              <w:left w:val="nil"/>
              <w:bottom w:val="nil"/>
              <w:right w:val="double" w:sz="6" w:space="0" w:color="auto"/>
            </w:tcBorders>
            <w:shd w:val="clear" w:color="000000" w:fill="FFFFFF"/>
            <w:noWrap/>
            <w:vAlign w:val="center"/>
          </w:tcPr>
          <w:p w:rsidR="000B06DF" w:rsidRPr="00073FF4" w:rsidRDefault="00C4765D" w:rsidP="00C4765D">
            <w:pPr>
              <w:tabs>
                <w:tab w:val="decimal" w:pos="160"/>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2.89</w:t>
            </w:r>
          </w:p>
        </w:tc>
        <w:tc>
          <w:tcPr>
            <w:tcW w:w="916" w:type="dxa"/>
            <w:tcBorders>
              <w:left w:val="nil"/>
              <w:right w:val="single" w:sz="4" w:space="0" w:color="auto"/>
            </w:tcBorders>
            <w:shd w:val="clear" w:color="000000" w:fill="FFFFFF"/>
            <w:vAlign w:val="center"/>
          </w:tcPr>
          <w:p w:rsidR="000B06DF" w:rsidRPr="00073FF4" w:rsidRDefault="000B06DF" w:rsidP="00B22941">
            <w:pPr>
              <w:tabs>
                <w:tab w:val="decimal" w:pos="151"/>
              </w:tabs>
              <w:jc w:val="center"/>
              <w:rPr>
                <w:rFonts w:eastAsia="Times New Roman"/>
                <w:color w:val="000000"/>
                <w:sz w:val="20"/>
                <w:szCs w:val="20"/>
              </w:rPr>
            </w:pPr>
            <w:r w:rsidRPr="00073FF4">
              <w:rPr>
                <w:rFonts w:eastAsia="Times New Roman"/>
                <w:color w:val="000000"/>
                <w:sz w:val="20"/>
                <w:szCs w:val="20"/>
              </w:rPr>
              <w:t>0.442</w:t>
            </w:r>
          </w:p>
        </w:tc>
        <w:tc>
          <w:tcPr>
            <w:tcW w:w="838" w:type="dxa"/>
            <w:tcBorders>
              <w:left w:val="single" w:sz="4" w:space="0" w:color="auto"/>
              <w:right w:val="double" w:sz="6" w:space="0" w:color="auto"/>
            </w:tcBorders>
            <w:shd w:val="clear" w:color="000000" w:fill="FFFFFF"/>
            <w:vAlign w:val="center"/>
          </w:tcPr>
          <w:p w:rsidR="000B06DF" w:rsidRPr="00073FF4" w:rsidRDefault="000B06DF" w:rsidP="00B22941">
            <w:pPr>
              <w:tabs>
                <w:tab w:val="decimal" w:pos="143"/>
              </w:tabs>
              <w:jc w:val="center"/>
              <w:rPr>
                <w:rFonts w:eastAsia="Times New Roman"/>
                <w:color w:val="000000"/>
                <w:sz w:val="20"/>
                <w:szCs w:val="20"/>
              </w:rPr>
            </w:pPr>
            <w:r w:rsidRPr="00073FF4">
              <w:rPr>
                <w:rFonts w:eastAsia="Times New Roman"/>
                <w:color w:val="000000"/>
                <w:sz w:val="20"/>
                <w:szCs w:val="20"/>
              </w:rPr>
              <w:t>3.14</w:t>
            </w:r>
          </w:p>
        </w:tc>
      </w:tr>
      <w:tr w:rsidR="000B06DF" w:rsidRPr="00073FF4" w:rsidTr="00026D18">
        <w:trPr>
          <w:trHeight w:val="300"/>
          <w:jc w:val="center"/>
        </w:trPr>
        <w:tc>
          <w:tcPr>
            <w:tcW w:w="4038" w:type="dxa"/>
            <w:tcBorders>
              <w:top w:val="nil"/>
              <w:left w:val="double" w:sz="6" w:space="0" w:color="auto"/>
              <w:bottom w:val="nil"/>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 xml:space="preserve">    Land cover accessibility measure specific to</w:t>
            </w:r>
          </w:p>
        </w:tc>
        <w:tc>
          <w:tcPr>
            <w:tcW w:w="994" w:type="dxa"/>
            <w:tcBorders>
              <w:top w:val="nil"/>
              <w:left w:val="nil"/>
              <w:bottom w:val="nil"/>
              <w:right w:val="single" w:sz="4" w:space="0" w:color="auto"/>
            </w:tcBorders>
            <w:shd w:val="clear" w:color="000000" w:fill="FFFFFF"/>
            <w:noWrap/>
            <w:vAlign w:val="bottom"/>
          </w:tcPr>
          <w:p w:rsidR="000B06DF" w:rsidRPr="00073FF4" w:rsidRDefault="000B06DF" w:rsidP="00992708">
            <w:pPr>
              <w:tabs>
                <w:tab w:val="decimal" w:pos="127"/>
                <w:tab w:val="decimal" w:pos="217"/>
              </w:tabs>
              <w:jc w:val="center"/>
              <w:rPr>
                <w:rFonts w:eastAsia="Times New Roman"/>
                <w:color w:val="000000"/>
                <w:sz w:val="20"/>
                <w:szCs w:val="20"/>
              </w:rPr>
            </w:pPr>
            <w:r w:rsidRPr="00073FF4">
              <w:rPr>
                <w:rFonts w:eastAsia="Times New Roman"/>
                <w:color w:val="000000"/>
                <w:sz w:val="20"/>
                <w:szCs w:val="20"/>
              </w:rPr>
              <w:t> </w:t>
            </w:r>
          </w:p>
        </w:tc>
        <w:tc>
          <w:tcPr>
            <w:tcW w:w="947" w:type="dxa"/>
            <w:tcBorders>
              <w:top w:val="nil"/>
              <w:left w:val="nil"/>
              <w:bottom w:val="nil"/>
              <w:right w:val="double" w:sz="6" w:space="0" w:color="auto"/>
            </w:tcBorders>
            <w:shd w:val="clear" w:color="000000" w:fill="FFFFFF"/>
            <w:noWrap/>
            <w:vAlign w:val="bottom"/>
          </w:tcPr>
          <w:p w:rsidR="000B06DF" w:rsidRPr="00073FF4" w:rsidRDefault="000B06DF" w:rsidP="00B22941">
            <w:pPr>
              <w:tabs>
                <w:tab w:val="decimal" w:pos="217"/>
              </w:tabs>
              <w:jc w:val="center"/>
              <w:rPr>
                <w:rFonts w:eastAsia="Times New Roman"/>
                <w:color w:val="000000"/>
                <w:sz w:val="20"/>
                <w:szCs w:val="20"/>
              </w:rPr>
            </w:pPr>
            <w:r w:rsidRPr="00073FF4">
              <w:rPr>
                <w:rFonts w:eastAsia="Times New Roman"/>
                <w:color w:val="000000"/>
                <w:sz w:val="20"/>
                <w:szCs w:val="20"/>
              </w:rPr>
              <w:t> </w:t>
            </w:r>
          </w:p>
        </w:tc>
        <w:tc>
          <w:tcPr>
            <w:tcW w:w="972" w:type="dxa"/>
            <w:tcBorders>
              <w:top w:val="nil"/>
              <w:left w:val="nil"/>
              <w:bottom w:val="nil"/>
              <w:right w:val="single" w:sz="4" w:space="0" w:color="auto"/>
            </w:tcBorders>
            <w:shd w:val="clear" w:color="000000" w:fill="FFFFFF"/>
            <w:noWrap/>
            <w:vAlign w:val="bottom"/>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 </w:t>
            </w:r>
          </w:p>
        </w:tc>
        <w:tc>
          <w:tcPr>
            <w:tcW w:w="1024" w:type="dxa"/>
            <w:tcBorders>
              <w:top w:val="nil"/>
              <w:left w:val="nil"/>
              <w:bottom w:val="nil"/>
              <w:right w:val="double" w:sz="6" w:space="0" w:color="auto"/>
            </w:tcBorders>
            <w:shd w:val="clear" w:color="000000" w:fill="FFFFFF"/>
            <w:noWrap/>
            <w:vAlign w:val="bottom"/>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 </w:t>
            </w:r>
          </w:p>
        </w:tc>
        <w:tc>
          <w:tcPr>
            <w:tcW w:w="916" w:type="dxa"/>
            <w:tcBorders>
              <w:left w:val="nil"/>
              <w:right w:val="single" w:sz="4" w:space="0" w:color="auto"/>
            </w:tcBorders>
            <w:shd w:val="clear" w:color="000000" w:fill="FFFFFF"/>
            <w:vAlign w:val="bottom"/>
          </w:tcPr>
          <w:p w:rsidR="000B06DF" w:rsidRPr="00073FF4" w:rsidRDefault="000B06DF" w:rsidP="00B22941">
            <w:pPr>
              <w:tabs>
                <w:tab w:val="decimal" w:pos="151"/>
              </w:tabs>
              <w:jc w:val="center"/>
              <w:rPr>
                <w:rFonts w:eastAsia="Times New Roman"/>
                <w:color w:val="000000"/>
                <w:sz w:val="20"/>
                <w:szCs w:val="20"/>
              </w:rPr>
            </w:pPr>
          </w:p>
        </w:tc>
        <w:tc>
          <w:tcPr>
            <w:tcW w:w="838" w:type="dxa"/>
            <w:tcBorders>
              <w:left w:val="single" w:sz="4" w:space="0" w:color="auto"/>
              <w:right w:val="double" w:sz="6" w:space="0" w:color="auto"/>
            </w:tcBorders>
            <w:shd w:val="clear" w:color="000000" w:fill="FFFFFF"/>
            <w:vAlign w:val="bottom"/>
          </w:tcPr>
          <w:p w:rsidR="000B06DF" w:rsidRPr="00073FF4" w:rsidRDefault="000B06DF" w:rsidP="00B22941">
            <w:pPr>
              <w:tabs>
                <w:tab w:val="decimal" w:pos="143"/>
              </w:tabs>
              <w:jc w:val="center"/>
              <w:rPr>
                <w:rFonts w:eastAsia="Times New Roman"/>
                <w:color w:val="000000"/>
                <w:sz w:val="20"/>
                <w:szCs w:val="20"/>
              </w:rPr>
            </w:pPr>
          </w:p>
        </w:tc>
      </w:tr>
      <w:tr w:rsidR="000B06DF" w:rsidRPr="00073FF4" w:rsidTr="00026D18">
        <w:trPr>
          <w:trHeight w:val="315"/>
          <w:jc w:val="center"/>
        </w:trPr>
        <w:tc>
          <w:tcPr>
            <w:tcW w:w="4038" w:type="dxa"/>
            <w:tcBorders>
              <w:top w:val="nil"/>
              <w:left w:val="double" w:sz="6" w:space="0" w:color="auto"/>
              <w:bottom w:val="nil"/>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 xml:space="preserve">         Urban (/10</w:t>
            </w:r>
            <w:r w:rsidRPr="00073FF4">
              <w:rPr>
                <w:rFonts w:eastAsia="Times New Roman"/>
                <w:color w:val="000000"/>
                <w:sz w:val="20"/>
                <w:szCs w:val="20"/>
                <w:vertAlign w:val="superscript"/>
              </w:rPr>
              <w:t>4</w:t>
            </w:r>
            <w:r w:rsidRPr="00073FF4">
              <w:rPr>
                <w:rFonts w:eastAsia="Times New Roman"/>
                <w:color w:val="000000"/>
                <w:sz w:val="20"/>
                <w:szCs w:val="20"/>
              </w:rPr>
              <w:t>) –mean</w:t>
            </w:r>
          </w:p>
        </w:tc>
        <w:tc>
          <w:tcPr>
            <w:tcW w:w="994" w:type="dxa"/>
            <w:tcBorders>
              <w:top w:val="nil"/>
              <w:left w:val="nil"/>
              <w:bottom w:val="nil"/>
              <w:right w:val="single" w:sz="4" w:space="0" w:color="auto"/>
            </w:tcBorders>
            <w:shd w:val="clear" w:color="000000" w:fill="FFFFFF"/>
            <w:noWrap/>
            <w:vAlign w:val="center"/>
          </w:tcPr>
          <w:p w:rsidR="000B06DF" w:rsidRPr="00073FF4" w:rsidRDefault="000B06DF" w:rsidP="00992708">
            <w:pPr>
              <w:tabs>
                <w:tab w:val="decimal" w:pos="127"/>
                <w:tab w:val="decimal" w:pos="217"/>
              </w:tabs>
              <w:jc w:val="center"/>
              <w:rPr>
                <w:rFonts w:eastAsia="Times New Roman"/>
                <w:color w:val="000000"/>
                <w:sz w:val="20"/>
                <w:szCs w:val="20"/>
              </w:rPr>
            </w:pPr>
            <w:r w:rsidRPr="00073FF4">
              <w:rPr>
                <w:rFonts w:eastAsia="Times New Roman"/>
                <w:color w:val="000000"/>
                <w:sz w:val="20"/>
                <w:szCs w:val="20"/>
              </w:rPr>
              <w:t>0.431</w:t>
            </w:r>
          </w:p>
        </w:tc>
        <w:tc>
          <w:tcPr>
            <w:tcW w:w="947" w:type="dxa"/>
            <w:tcBorders>
              <w:top w:val="nil"/>
              <w:left w:val="nil"/>
              <w:bottom w:val="nil"/>
              <w:right w:val="double" w:sz="6" w:space="0" w:color="auto"/>
            </w:tcBorders>
            <w:shd w:val="clear" w:color="000000" w:fill="FFFFFF"/>
            <w:noWrap/>
            <w:vAlign w:val="center"/>
          </w:tcPr>
          <w:p w:rsidR="000B06DF" w:rsidRPr="00073FF4" w:rsidRDefault="00C4765D" w:rsidP="00C4765D">
            <w:pPr>
              <w:tabs>
                <w:tab w:val="decimal" w:pos="217"/>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2.43</w:t>
            </w:r>
          </w:p>
        </w:tc>
        <w:tc>
          <w:tcPr>
            <w:tcW w:w="972" w:type="dxa"/>
            <w:tcBorders>
              <w:top w:val="nil"/>
              <w:left w:val="nil"/>
              <w:bottom w:val="nil"/>
              <w:right w:val="single" w:sz="4" w:space="0" w:color="auto"/>
            </w:tcBorders>
            <w:shd w:val="clear" w:color="000000" w:fill="FFFFFF"/>
            <w:noWrap/>
            <w:vAlign w:val="center"/>
          </w:tcPr>
          <w:p w:rsidR="000B06DF" w:rsidRPr="00073FF4" w:rsidRDefault="005B4A28" w:rsidP="00B22941">
            <w:pPr>
              <w:tabs>
                <w:tab w:val="decimal" w:pos="160"/>
              </w:tabs>
              <w:jc w:val="center"/>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0.429</w:t>
            </w:r>
          </w:p>
        </w:tc>
        <w:tc>
          <w:tcPr>
            <w:tcW w:w="1024" w:type="dxa"/>
            <w:tcBorders>
              <w:top w:val="nil"/>
              <w:left w:val="nil"/>
              <w:bottom w:val="nil"/>
              <w:right w:val="double" w:sz="6"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 xml:space="preserve"> 2.09</w:t>
            </w:r>
          </w:p>
        </w:tc>
        <w:tc>
          <w:tcPr>
            <w:tcW w:w="916" w:type="dxa"/>
            <w:tcBorders>
              <w:left w:val="nil"/>
              <w:right w:val="single" w:sz="4" w:space="0" w:color="auto"/>
            </w:tcBorders>
            <w:shd w:val="clear" w:color="000000" w:fill="FFFFFF"/>
            <w:vAlign w:val="center"/>
          </w:tcPr>
          <w:p w:rsidR="000B06DF" w:rsidRPr="00073FF4" w:rsidRDefault="000B06DF" w:rsidP="00B22941">
            <w:pPr>
              <w:tabs>
                <w:tab w:val="decimal" w:pos="151"/>
              </w:tabs>
              <w:jc w:val="center"/>
              <w:rPr>
                <w:rFonts w:eastAsia="Times New Roman"/>
                <w:color w:val="000000"/>
                <w:sz w:val="20"/>
                <w:szCs w:val="20"/>
              </w:rPr>
            </w:pPr>
            <w:r w:rsidRPr="00073FF4">
              <w:rPr>
                <w:rFonts w:eastAsia="Times New Roman"/>
                <w:color w:val="000000"/>
                <w:sz w:val="20"/>
                <w:szCs w:val="20"/>
              </w:rPr>
              <w:t>0.457</w:t>
            </w:r>
          </w:p>
        </w:tc>
        <w:tc>
          <w:tcPr>
            <w:tcW w:w="838" w:type="dxa"/>
            <w:tcBorders>
              <w:left w:val="single" w:sz="4" w:space="0" w:color="auto"/>
              <w:right w:val="double" w:sz="6" w:space="0" w:color="auto"/>
            </w:tcBorders>
            <w:shd w:val="clear" w:color="000000" w:fill="FFFFFF"/>
            <w:vAlign w:val="center"/>
          </w:tcPr>
          <w:p w:rsidR="000B06DF" w:rsidRPr="00073FF4" w:rsidRDefault="000B06DF" w:rsidP="00B22941">
            <w:pPr>
              <w:tabs>
                <w:tab w:val="decimal" w:pos="143"/>
              </w:tabs>
              <w:jc w:val="center"/>
              <w:rPr>
                <w:rFonts w:eastAsia="Times New Roman"/>
                <w:color w:val="000000"/>
                <w:sz w:val="20"/>
                <w:szCs w:val="20"/>
              </w:rPr>
            </w:pPr>
            <w:r w:rsidRPr="00073FF4">
              <w:rPr>
                <w:rFonts w:eastAsia="Times New Roman"/>
                <w:color w:val="000000"/>
                <w:sz w:val="20"/>
                <w:szCs w:val="20"/>
              </w:rPr>
              <w:t>2.64</w:t>
            </w:r>
          </w:p>
        </w:tc>
      </w:tr>
      <w:tr w:rsidR="000B06DF" w:rsidRPr="00073FF4" w:rsidTr="00026D18">
        <w:trPr>
          <w:trHeight w:val="315"/>
          <w:jc w:val="center"/>
        </w:trPr>
        <w:tc>
          <w:tcPr>
            <w:tcW w:w="4038" w:type="dxa"/>
            <w:tcBorders>
              <w:top w:val="nil"/>
              <w:left w:val="double" w:sz="6" w:space="0" w:color="auto"/>
              <w:bottom w:val="nil"/>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 xml:space="preserve">         Urban (/10</w:t>
            </w:r>
            <w:r w:rsidRPr="00073FF4">
              <w:rPr>
                <w:rFonts w:eastAsia="Times New Roman"/>
                <w:color w:val="000000"/>
                <w:sz w:val="20"/>
                <w:szCs w:val="20"/>
                <w:vertAlign w:val="superscript"/>
              </w:rPr>
              <w:t>4</w:t>
            </w:r>
            <w:r w:rsidRPr="00073FF4">
              <w:rPr>
                <w:rFonts w:eastAsia="Times New Roman"/>
                <w:color w:val="000000"/>
                <w:sz w:val="20"/>
                <w:szCs w:val="20"/>
              </w:rPr>
              <w:t>) – standard deviation</w:t>
            </w:r>
          </w:p>
        </w:tc>
        <w:tc>
          <w:tcPr>
            <w:tcW w:w="994" w:type="dxa"/>
            <w:tcBorders>
              <w:top w:val="nil"/>
              <w:left w:val="nil"/>
              <w:bottom w:val="nil"/>
              <w:right w:val="single" w:sz="4" w:space="0" w:color="auto"/>
            </w:tcBorders>
            <w:shd w:val="clear" w:color="000000" w:fill="FFFFFF"/>
            <w:noWrap/>
            <w:vAlign w:val="center"/>
          </w:tcPr>
          <w:p w:rsidR="000B06DF" w:rsidRPr="00073FF4" w:rsidRDefault="000B06DF" w:rsidP="00992708">
            <w:pPr>
              <w:tabs>
                <w:tab w:val="decimal" w:pos="127"/>
                <w:tab w:val="decimal" w:pos="217"/>
              </w:tabs>
              <w:jc w:val="center"/>
              <w:rPr>
                <w:rFonts w:eastAsia="Times New Roman"/>
                <w:color w:val="000000"/>
                <w:sz w:val="20"/>
                <w:szCs w:val="20"/>
              </w:rPr>
            </w:pPr>
            <w:r w:rsidRPr="00073FF4">
              <w:rPr>
                <w:rFonts w:eastAsia="Times New Roman"/>
                <w:color w:val="000000"/>
                <w:sz w:val="20"/>
                <w:szCs w:val="20"/>
              </w:rPr>
              <w:t>0.119</w:t>
            </w:r>
          </w:p>
        </w:tc>
        <w:tc>
          <w:tcPr>
            <w:tcW w:w="947" w:type="dxa"/>
            <w:tcBorders>
              <w:top w:val="nil"/>
              <w:left w:val="nil"/>
              <w:bottom w:val="nil"/>
              <w:right w:val="double" w:sz="6" w:space="0" w:color="auto"/>
            </w:tcBorders>
            <w:shd w:val="clear" w:color="000000" w:fill="FFFFFF"/>
            <w:noWrap/>
            <w:vAlign w:val="center"/>
          </w:tcPr>
          <w:p w:rsidR="000B06DF" w:rsidRPr="00073FF4" w:rsidRDefault="00C4765D" w:rsidP="00C4765D">
            <w:pPr>
              <w:tabs>
                <w:tab w:val="decimal" w:pos="217"/>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2.28</w:t>
            </w:r>
          </w:p>
        </w:tc>
        <w:tc>
          <w:tcPr>
            <w:tcW w:w="972" w:type="dxa"/>
            <w:tcBorders>
              <w:top w:val="nil"/>
              <w:left w:val="nil"/>
              <w:bottom w:val="nil"/>
              <w:right w:val="single" w:sz="4" w:space="0" w:color="auto"/>
            </w:tcBorders>
            <w:shd w:val="clear" w:color="000000" w:fill="FFFFFF"/>
            <w:noWrap/>
            <w:vAlign w:val="center"/>
          </w:tcPr>
          <w:p w:rsidR="000B06DF" w:rsidRPr="00073FF4" w:rsidRDefault="005B4A28" w:rsidP="00B22941">
            <w:pPr>
              <w:tabs>
                <w:tab w:val="decimal" w:pos="160"/>
              </w:tabs>
              <w:jc w:val="center"/>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0.100</w:t>
            </w:r>
          </w:p>
        </w:tc>
        <w:tc>
          <w:tcPr>
            <w:tcW w:w="1024" w:type="dxa"/>
            <w:tcBorders>
              <w:top w:val="nil"/>
              <w:left w:val="nil"/>
              <w:bottom w:val="nil"/>
              <w:right w:val="double" w:sz="6"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2.23</w:t>
            </w:r>
          </w:p>
        </w:tc>
        <w:tc>
          <w:tcPr>
            <w:tcW w:w="916" w:type="dxa"/>
            <w:tcBorders>
              <w:left w:val="nil"/>
              <w:right w:val="single" w:sz="4" w:space="0" w:color="auto"/>
            </w:tcBorders>
            <w:shd w:val="clear" w:color="000000" w:fill="FFFFFF"/>
            <w:vAlign w:val="center"/>
          </w:tcPr>
          <w:p w:rsidR="000B06DF" w:rsidRPr="00073FF4" w:rsidRDefault="000B06DF" w:rsidP="00B22941">
            <w:pPr>
              <w:tabs>
                <w:tab w:val="decimal" w:pos="151"/>
              </w:tabs>
              <w:jc w:val="center"/>
              <w:rPr>
                <w:rFonts w:eastAsia="Times New Roman"/>
                <w:color w:val="000000"/>
                <w:sz w:val="20"/>
                <w:szCs w:val="20"/>
              </w:rPr>
            </w:pPr>
            <w:r w:rsidRPr="00073FF4">
              <w:rPr>
                <w:rFonts w:eastAsia="Times New Roman"/>
                <w:color w:val="000000"/>
                <w:sz w:val="20"/>
                <w:szCs w:val="20"/>
              </w:rPr>
              <w:t>0.091</w:t>
            </w:r>
          </w:p>
        </w:tc>
        <w:tc>
          <w:tcPr>
            <w:tcW w:w="838" w:type="dxa"/>
            <w:tcBorders>
              <w:left w:val="single" w:sz="4" w:space="0" w:color="auto"/>
              <w:right w:val="double" w:sz="6" w:space="0" w:color="auto"/>
            </w:tcBorders>
            <w:shd w:val="clear" w:color="000000" w:fill="FFFFFF"/>
            <w:vAlign w:val="center"/>
          </w:tcPr>
          <w:p w:rsidR="000B06DF" w:rsidRPr="00073FF4" w:rsidRDefault="000B06DF" w:rsidP="00B22941">
            <w:pPr>
              <w:tabs>
                <w:tab w:val="decimal" w:pos="143"/>
              </w:tabs>
              <w:jc w:val="center"/>
              <w:rPr>
                <w:rFonts w:eastAsia="Times New Roman"/>
                <w:color w:val="000000"/>
                <w:sz w:val="20"/>
                <w:szCs w:val="20"/>
              </w:rPr>
            </w:pPr>
            <w:r w:rsidRPr="00073FF4">
              <w:rPr>
                <w:rFonts w:eastAsia="Times New Roman"/>
                <w:color w:val="000000"/>
                <w:sz w:val="20"/>
                <w:szCs w:val="20"/>
              </w:rPr>
              <w:t>2.17</w:t>
            </w:r>
          </w:p>
        </w:tc>
      </w:tr>
      <w:tr w:rsidR="000B06DF" w:rsidRPr="00073FF4" w:rsidTr="00026D18">
        <w:trPr>
          <w:trHeight w:val="315"/>
          <w:jc w:val="center"/>
        </w:trPr>
        <w:tc>
          <w:tcPr>
            <w:tcW w:w="4038" w:type="dxa"/>
            <w:tcBorders>
              <w:top w:val="nil"/>
              <w:left w:val="double" w:sz="6" w:space="0" w:color="auto"/>
              <w:bottom w:val="nil"/>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 xml:space="preserve">         Forest (/10</w:t>
            </w:r>
            <w:r w:rsidRPr="00073FF4">
              <w:rPr>
                <w:rFonts w:eastAsia="Times New Roman"/>
                <w:color w:val="000000"/>
                <w:sz w:val="20"/>
                <w:szCs w:val="20"/>
                <w:vertAlign w:val="superscript"/>
              </w:rPr>
              <w:t>4</w:t>
            </w:r>
            <w:r w:rsidRPr="00073FF4">
              <w:rPr>
                <w:rFonts w:eastAsia="Times New Roman"/>
                <w:color w:val="000000"/>
                <w:sz w:val="20"/>
                <w:szCs w:val="20"/>
              </w:rPr>
              <w:t>) –mean</w:t>
            </w:r>
          </w:p>
        </w:tc>
        <w:tc>
          <w:tcPr>
            <w:tcW w:w="994" w:type="dxa"/>
            <w:tcBorders>
              <w:top w:val="nil"/>
              <w:left w:val="nil"/>
              <w:bottom w:val="nil"/>
              <w:right w:val="single" w:sz="4" w:space="0" w:color="auto"/>
            </w:tcBorders>
            <w:shd w:val="clear" w:color="000000" w:fill="FFFFFF"/>
            <w:noWrap/>
            <w:vAlign w:val="center"/>
          </w:tcPr>
          <w:p w:rsidR="000B06DF" w:rsidRPr="00073FF4" w:rsidRDefault="000B06DF" w:rsidP="00992708">
            <w:pPr>
              <w:tabs>
                <w:tab w:val="decimal" w:pos="127"/>
                <w:tab w:val="decimal" w:pos="217"/>
              </w:tabs>
              <w:jc w:val="center"/>
              <w:rPr>
                <w:rFonts w:eastAsia="Times New Roman"/>
                <w:color w:val="000000"/>
                <w:sz w:val="20"/>
                <w:szCs w:val="20"/>
              </w:rPr>
            </w:pPr>
            <w:r w:rsidRPr="00073FF4">
              <w:rPr>
                <w:rFonts w:eastAsia="Times New Roman"/>
                <w:color w:val="000000"/>
                <w:sz w:val="20"/>
                <w:szCs w:val="20"/>
              </w:rPr>
              <w:t>0.450</w:t>
            </w:r>
          </w:p>
        </w:tc>
        <w:tc>
          <w:tcPr>
            <w:tcW w:w="947" w:type="dxa"/>
            <w:tcBorders>
              <w:top w:val="nil"/>
              <w:left w:val="nil"/>
              <w:bottom w:val="nil"/>
              <w:right w:val="double" w:sz="6" w:space="0" w:color="auto"/>
            </w:tcBorders>
            <w:shd w:val="clear" w:color="000000" w:fill="FFFFFF"/>
            <w:noWrap/>
            <w:vAlign w:val="center"/>
          </w:tcPr>
          <w:p w:rsidR="000B06DF" w:rsidRPr="00073FF4" w:rsidRDefault="00C4765D" w:rsidP="00C4765D">
            <w:pPr>
              <w:tabs>
                <w:tab w:val="decimal" w:pos="217"/>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5.09</w:t>
            </w:r>
          </w:p>
        </w:tc>
        <w:tc>
          <w:tcPr>
            <w:tcW w:w="972" w:type="dxa"/>
            <w:tcBorders>
              <w:top w:val="nil"/>
              <w:left w:val="nil"/>
              <w:bottom w:val="nil"/>
              <w:right w:val="single" w:sz="4" w:space="0" w:color="auto"/>
            </w:tcBorders>
            <w:shd w:val="clear" w:color="000000" w:fill="FFFFFF"/>
            <w:noWrap/>
            <w:vAlign w:val="center"/>
          </w:tcPr>
          <w:p w:rsidR="000B06DF" w:rsidRPr="00073FF4" w:rsidRDefault="005B4A28" w:rsidP="00B22941">
            <w:pPr>
              <w:tabs>
                <w:tab w:val="decimal" w:pos="160"/>
              </w:tabs>
              <w:jc w:val="center"/>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0.360</w:t>
            </w:r>
          </w:p>
        </w:tc>
        <w:tc>
          <w:tcPr>
            <w:tcW w:w="1024" w:type="dxa"/>
            <w:tcBorders>
              <w:top w:val="nil"/>
              <w:left w:val="nil"/>
              <w:bottom w:val="nil"/>
              <w:right w:val="double" w:sz="6"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 xml:space="preserve"> 6.66</w:t>
            </w:r>
          </w:p>
        </w:tc>
        <w:tc>
          <w:tcPr>
            <w:tcW w:w="916" w:type="dxa"/>
            <w:tcBorders>
              <w:left w:val="nil"/>
              <w:right w:val="single" w:sz="4" w:space="0" w:color="auto"/>
            </w:tcBorders>
            <w:shd w:val="clear" w:color="000000" w:fill="FFFFFF"/>
            <w:vAlign w:val="center"/>
          </w:tcPr>
          <w:p w:rsidR="000B06DF" w:rsidRPr="00073FF4" w:rsidRDefault="000B06DF" w:rsidP="00B22941">
            <w:pPr>
              <w:tabs>
                <w:tab w:val="decimal" w:pos="151"/>
              </w:tabs>
              <w:jc w:val="center"/>
              <w:rPr>
                <w:rFonts w:eastAsia="Times New Roman"/>
                <w:color w:val="000000"/>
                <w:sz w:val="20"/>
                <w:szCs w:val="20"/>
              </w:rPr>
            </w:pPr>
            <w:r w:rsidRPr="00073FF4">
              <w:rPr>
                <w:rFonts w:eastAsia="Times New Roman"/>
                <w:color w:val="000000"/>
                <w:sz w:val="20"/>
                <w:szCs w:val="20"/>
              </w:rPr>
              <w:t>0.210</w:t>
            </w:r>
          </w:p>
        </w:tc>
        <w:tc>
          <w:tcPr>
            <w:tcW w:w="838" w:type="dxa"/>
            <w:tcBorders>
              <w:left w:val="single" w:sz="4" w:space="0" w:color="auto"/>
              <w:right w:val="double" w:sz="6" w:space="0" w:color="auto"/>
            </w:tcBorders>
            <w:shd w:val="clear" w:color="000000" w:fill="FFFFFF"/>
            <w:vAlign w:val="center"/>
          </w:tcPr>
          <w:p w:rsidR="000B06DF" w:rsidRPr="00073FF4" w:rsidRDefault="000B06DF" w:rsidP="00B22941">
            <w:pPr>
              <w:tabs>
                <w:tab w:val="decimal" w:pos="143"/>
              </w:tabs>
              <w:jc w:val="center"/>
              <w:rPr>
                <w:rFonts w:eastAsia="Times New Roman"/>
                <w:color w:val="000000"/>
                <w:sz w:val="20"/>
                <w:szCs w:val="20"/>
              </w:rPr>
            </w:pPr>
            <w:r w:rsidRPr="00073FF4">
              <w:rPr>
                <w:rFonts w:eastAsia="Times New Roman"/>
                <w:color w:val="000000"/>
                <w:sz w:val="20"/>
                <w:szCs w:val="20"/>
              </w:rPr>
              <w:t>4.44</w:t>
            </w:r>
          </w:p>
        </w:tc>
      </w:tr>
      <w:tr w:rsidR="000B06DF" w:rsidRPr="00073FF4" w:rsidTr="00026D18">
        <w:trPr>
          <w:trHeight w:val="315"/>
          <w:jc w:val="center"/>
        </w:trPr>
        <w:tc>
          <w:tcPr>
            <w:tcW w:w="4038" w:type="dxa"/>
            <w:tcBorders>
              <w:top w:val="nil"/>
              <w:left w:val="double" w:sz="6" w:space="0" w:color="auto"/>
              <w:bottom w:val="nil"/>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 xml:space="preserve">         Wetland (/10</w:t>
            </w:r>
            <w:r w:rsidRPr="00073FF4">
              <w:rPr>
                <w:rFonts w:eastAsia="Times New Roman"/>
                <w:color w:val="000000"/>
                <w:sz w:val="20"/>
                <w:szCs w:val="20"/>
                <w:vertAlign w:val="superscript"/>
              </w:rPr>
              <w:t>4</w:t>
            </w:r>
            <w:r w:rsidRPr="00073FF4">
              <w:rPr>
                <w:rFonts w:eastAsia="Times New Roman"/>
                <w:color w:val="000000"/>
                <w:sz w:val="20"/>
                <w:szCs w:val="20"/>
              </w:rPr>
              <w:t>) –mean</w:t>
            </w:r>
          </w:p>
        </w:tc>
        <w:tc>
          <w:tcPr>
            <w:tcW w:w="994" w:type="dxa"/>
            <w:tcBorders>
              <w:top w:val="nil"/>
              <w:left w:val="nil"/>
              <w:bottom w:val="nil"/>
              <w:right w:val="single" w:sz="4" w:space="0" w:color="auto"/>
            </w:tcBorders>
            <w:shd w:val="clear" w:color="000000" w:fill="FFFFFF"/>
            <w:noWrap/>
            <w:vAlign w:val="center"/>
          </w:tcPr>
          <w:p w:rsidR="000B06DF" w:rsidRPr="00073FF4" w:rsidRDefault="008F23F4" w:rsidP="00992708">
            <w:pPr>
              <w:tabs>
                <w:tab w:val="decimal" w:pos="127"/>
                <w:tab w:val="decimal" w:pos="217"/>
              </w:tabs>
              <w:rPr>
                <w:rFonts w:eastAsia="Times New Roman"/>
                <w:color w:val="000000"/>
                <w:sz w:val="20"/>
                <w:szCs w:val="20"/>
              </w:rPr>
            </w:pPr>
            <w:r w:rsidRPr="00073FF4">
              <w:rPr>
                <w:rFonts w:eastAsia="Times New Roman"/>
                <w:color w:val="000000"/>
                <w:sz w:val="20"/>
                <w:szCs w:val="20"/>
              </w:rPr>
              <w:t xml:space="preserve">  </w:t>
            </w:r>
            <w:r w:rsidR="00B22941" w:rsidRPr="00073FF4">
              <w:rPr>
                <w:rFonts w:eastAsia="Times New Roman"/>
                <w:color w:val="000000"/>
                <w:sz w:val="20"/>
                <w:szCs w:val="20"/>
              </w:rPr>
              <w:t xml:space="preserve"> </w:t>
            </w:r>
            <w:r w:rsidR="000B06DF" w:rsidRPr="00073FF4">
              <w:rPr>
                <w:rFonts w:eastAsia="Times New Roman"/>
                <w:color w:val="000000"/>
                <w:sz w:val="20"/>
                <w:szCs w:val="20"/>
              </w:rPr>
              <w:t>-4.210</w:t>
            </w:r>
          </w:p>
        </w:tc>
        <w:tc>
          <w:tcPr>
            <w:tcW w:w="947" w:type="dxa"/>
            <w:tcBorders>
              <w:top w:val="nil"/>
              <w:left w:val="nil"/>
              <w:bottom w:val="nil"/>
              <w:right w:val="double" w:sz="6" w:space="0" w:color="auto"/>
            </w:tcBorders>
            <w:shd w:val="clear" w:color="000000" w:fill="FFFFFF"/>
            <w:noWrap/>
            <w:vAlign w:val="center"/>
          </w:tcPr>
          <w:p w:rsidR="000B06DF" w:rsidRPr="00073FF4" w:rsidRDefault="008F23F4" w:rsidP="00B22941">
            <w:pPr>
              <w:tabs>
                <w:tab w:val="decimal" w:pos="217"/>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-3.23</w:t>
            </w:r>
          </w:p>
        </w:tc>
        <w:tc>
          <w:tcPr>
            <w:tcW w:w="972" w:type="dxa"/>
            <w:tcBorders>
              <w:top w:val="nil"/>
              <w:left w:val="nil"/>
              <w:bottom w:val="nil"/>
              <w:right w:val="single" w:sz="4"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-4.195</w:t>
            </w:r>
          </w:p>
        </w:tc>
        <w:tc>
          <w:tcPr>
            <w:tcW w:w="1024" w:type="dxa"/>
            <w:tcBorders>
              <w:top w:val="nil"/>
              <w:left w:val="nil"/>
              <w:bottom w:val="nil"/>
              <w:right w:val="double" w:sz="6"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-5.10</w:t>
            </w:r>
          </w:p>
        </w:tc>
        <w:tc>
          <w:tcPr>
            <w:tcW w:w="916" w:type="dxa"/>
            <w:tcBorders>
              <w:left w:val="nil"/>
              <w:right w:val="single" w:sz="4" w:space="0" w:color="auto"/>
            </w:tcBorders>
            <w:shd w:val="clear" w:color="000000" w:fill="FFFFFF"/>
            <w:vAlign w:val="center"/>
          </w:tcPr>
          <w:p w:rsidR="000B06DF" w:rsidRPr="00073FF4" w:rsidRDefault="005B4A28" w:rsidP="00B22941">
            <w:pPr>
              <w:tabs>
                <w:tab w:val="decimal" w:pos="151"/>
              </w:tabs>
              <w:rPr>
                <w:rFonts w:eastAsia="Times New Roman"/>
                <w:color w:val="000000"/>
                <w:sz w:val="20"/>
                <w:szCs w:val="20"/>
              </w:rPr>
            </w:pPr>
            <w:r w:rsidRPr="00073FF4">
              <w:rPr>
                <w:rFonts w:eastAsia="Times New Roman"/>
                <w:color w:val="000000"/>
                <w:sz w:val="20"/>
                <w:szCs w:val="20"/>
              </w:rPr>
              <w:t xml:space="preserve"> </w:t>
            </w:r>
            <w:r w:rsidR="00C4765D" w:rsidRPr="00073FF4">
              <w:rPr>
                <w:rFonts w:eastAsia="Times New Roman"/>
                <w:color w:val="000000"/>
                <w:sz w:val="20"/>
                <w:szCs w:val="20"/>
              </w:rPr>
              <w:t xml:space="preserve"> </w:t>
            </w:r>
            <w:r w:rsidR="000B06DF" w:rsidRPr="00073FF4">
              <w:rPr>
                <w:rFonts w:eastAsia="Times New Roman"/>
                <w:color w:val="000000"/>
                <w:sz w:val="20"/>
                <w:szCs w:val="20"/>
              </w:rPr>
              <w:t>-4.030</w:t>
            </w:r>
          </w:p>
        </w:tc>
        <w:tc>
          <w:tcPr>
            <w:tcW w:w="838" w:type="dxa"/>
            <w:tcBorders>
              <w:left w:val="single" w:sz="4" w:space="0" w:color="auto"/>
              <w:right w:val="double" w:sz="6" w:space="0" w:color="auto"/>
            </w:tcBorders>
            <w:shd w:val="clear" w:color="000000" w:fill="FFFFFF"/>
            <w:vAlign w:val="center"/>
          </w:tcPr>
          <w:p w:rsidR="000B06DF" w:rsidRPr="00073FF4" w:rsidRDefault="00C4765D" w:rsidP="00B22941">
            <w:pPr>
              <w:tabs>
                <w:tab w:val="decimal" w:pos="143"/>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-2.69</w:t>
            </w:r>
          </w:p>
        </w:tc>
      </w:tr>
      <w:tr w:rsidR="000B06DF" w:rsidRPr="00073FF4" w:rsidTr="00026D18">
        <w:trPr>
          <w:trHeight w:val="330"/>
          <w:jc w:val="center"/>
        </w:trPr>
        <w:tc>
          <w:tcPr>
            <w:tcW w:w="4038" w:type="dxa"/>
            <w:tcBorders>
              <w:top w:val="nil"/>
              <w:left w:val="double" w:sz="6" w:space="0" w:color="auto"/>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 xml:space="preserve">         Agricultural (/10</w:t>
            </w:r>
            <w:r w:rsidRPr="00073FF4">
              <w:rPr>
                <w:rFonts w:eastAsia="Times New Roman"/>
                <w:color w:val="000000"/>
                <w:sz w:val="20"/>
                <w:szCs w:val="20"/>
                <w:vertAlign w:val="superscript"/>
              </w:rPr>
              <w:t>4</w:t>
            </w:r>
            <w:r w:rsidRPr="00073FF4">
              <w:rPr>
                <w:rFonts w:eastAsia="Times New Roman"/>
                <w:color w:val="000000"/>
                <w:sz w:val="20"/>
                <w:szCs w:val="20"/>
              </w:rPr>
              <w:t>) –mean</w:t>
            </w:r>
          </w:p>
        </w:tc>
        <w:tc>
          <w:tcPr>
            <w:tcW w:w="994" w:type="dxa"/>
            <w:tcBorders>
              <w:top w:val="nil"/>
              <w:left w:val="nil"/>
              <w:right w:val="single" w:sz="4" w:space="0" w:color="auto"/>
            </w:tcBorders>
            <w:shd w:val="clear" w:color="000000" w:fill="FFFFFF"/>
            <w:noWrap/>
            <w:vAlign w:val="center"/>
          </w:tcPr>
          <w:p w:rsidR="000B06DF" w:rsidRPr="00073FF4" w:rsidRDefault="008F23F4" w:rsidP="00992708">
            <w:pPr>
              <w:tabs>
                <w:tab w:val="decimal" w:pos="127"/>
                <w:tab w:val="decimal" w:pos="217"/>
              </w:tabs>
              <w:rPr>
                <w:rFonts w:eastAsia="Times New Roman"/>
                <w:color w:val="000000"/>
                <w:sz w:val="20"/>
                <w:szCs w:val="20"/>
              </w:rPr>
            </w:pPr>
            <w:r w:rsidRPr="00073FF4">
              <w:rPr>
                <w:rFonts w:eastAsia="Times New Roman"/>
                <w:color w:val="000000"/>
                <w:sz w:val="20"/>
                <w:szCs w:val="20"/>
              </w:rPr>
              <w:t xml:space="preserve">  </w:t>
            </w:r>
            <w:r w:rsidR="00B22941" w:rsidRPr="00073FF4">
              <w:rPr>
                <w:rFonts w:eastAsia="Times New Roman"/>
                <w:color w:val="000000"/>
                <w:sz w:val="20"/>
                <w:szCs w:val="20"/>
              </w:rPr>
              <w:t xml:space="preserve"> </w:t>
            </w:r>
            <w:r w:rsidR="000B06DF" w:rsidRPr="00073FF4">
              <w:rPr>
                <w:rFonts w:eastAsia="Times New Roman"/>
                <w:color w:val="000000"/>
                <w:sz w:val="20"/>
                <w:szCs w:val="20"/>
              </w:rPr>
              <w:t>-0.112</w:t>
            </w:r>
          </w:p>
        </w:tc>
        <w:tc>
          <w:tcPr>
            <w:tcW w:w="947" w:type="dxa"/>
            <w:tcBorders>
              <w:top w:val="nil"/>
              <w:left w:val="nil"/>
              <w:right w:val="double" w:sz="6" w:space="0" w:color="auto"/>
            </w:tcBorders>
            <w:shd w:val="clear" w:color="000000" w:fill="FFFFFF"/>
            <w:noWrap/>
            <w:vAlign w:val="center"/>
          </w:tcPr>
          <w:p w:rsidR="000B06DF" w:rsidRPr="00073FF4" w:rsidRDefault="00C4765D" w:rsidP="00C4765D">
            <w:pPr>
              <w:tabs>
                <w:tab w:val="decimal" w:pos="217"/>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-4.91</w:t>
            </w:r>
          </w:p>
        </w:tc>
        <w:tc>
          <w:tcPr>
            <w:tcW w:w="972" w:type="dxa"/>
            <w:tcBorders>
              <w:top w:val="nil"/>
              <w:left w:val="nil"/>
              <w:right w:val="single" w:sz="4"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-0.498</w:t>
            </w:r>
          </w:p>
        </w:tc>
        <w:tc>
          <w:tcPr>
            <w:tcW w:w="1024" w:type="dxa"/>
            <w:tcBorders>
              <w:top w:val="nil"/>
              <w:left w:val="nil"/>
              <w:right w:val="double" w:sz="6"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-9.15</w:t>
            </w:r>
          </w:p>
        </w:tc>
        <w:tc>
          <w:tcPr>
            <w:tcW w:w="916" w:type="dxa"/>
            <w:tcBorders>
              <w:left w:val="nil"/>
              <w:right w:val="single" w:sz="4" w:space="0" w:color="auto"/>
            </w:tcBorders>
            <w:shd w:val="clear" w:color="000000" w:fill="FFFFFF"/>
            <w:vAlign w:val="center"/>
          </w:tcPr>
          <w:p w:rsidR="000B06DF" w:rsidRPr="00073FF4" w:rsidRDefault="000B06DF" w:rsidP="00B22941">
            <w:pPr>
              <w:tabs>
                <w:tab w:val="decimal" w:pos="151"/>
              </w:tabs>
              <w:jc w:val="center"/>
              <w:rPr>
                <w:rFonts w:eastAsia="Times New Roman"/>
                <w:color w:val="000000"/>
                <w:sz w:val="20"/>
                <w:szCs w:val="20"/>
              </w:rPr>
            </w:pPr>
            <w:r w:rsidRPr="00073FF4">
              <w:rPr>
                <w:rFonts w:eastAsia="Times New Roman"/>
                <w:color w:val="000000"/>
                <w:sz w:val="20"/>
                <w:szCs w:val="20"/>
              </w:rPr>
              <w:t>0.212</w:t>
            </w:r>
          </w:p>
        </w:tc>
        <w:tc>
          <w:tcPr>
            <w:tcW w:w="838" w:type="dxa"/>
            <w:tcBorders>
              <w:left w:val="single" w:sz="4" w:space="0" w:color="auto"/>
              <w:right w:val="double" w:sz="6" w:space="0" w:color="auto"/>
            </w:tcBorders>
            <w:shd w:val="clear" w:color="000000" w:fill="FFFFFF"/>
            <w:vAlign w:val="center"/>
          </w:tcPr>
          <w:p w:rsidR="000B06DF" w:rsidRPr="00073FF4" w:rsidRDefault="000B06DF" w:rsidP="00B22941">
            <w:pPr>
              <w:tabs>
                <w:tab w:val="decimal" w:pos="143"/>
              </w:tabs>
              <w:jc w:val="center"/>
              <w:rPr>
                <w:rFonts w:eastAsia="Times New Roman"/>
                <w:color w:val="000000"/>
                <w:sz w:val="20"/>
                <w:szCs w:val="20"/>
              </w:rPr>
            </w:pPr>
            <w:r w:rsidRPr="00073FF4">
              <w:rPr>
                <w:rFonts w:eastAsia="Times New Roman"/>
                <w:color w:val="000000"/>
                <w:sz w:val="20"/>
                <w:szCs w:val="20"/>
              </w:rPr>
              <w:t>3.59</w:t>
            </w:r>
          </w:p>
        </w:tc>
      </w:tr>
      <w:tr w:rsidR="000B06DF" w:rsidRPr="00073FF4" w:rsidTr="00026D18">
        <w:trPr>
          <w:trHeight w:val="330"/>
          <w:jc w:val="center"/>
        </w:trPr>
        <w:tc>
          <w:tcPr>
            <w:tcW w:w="4038" w:type="dxa"/>
            <w:tcBorders>
              <w:top w:val="nil"/>
              <w:left w:val="double" w:sz="6" w:space="0" w:color="auto"/>
              <w:bottom w:val="double" w:sz="6" w:space="0" w:color="auto"/>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 xml:space="preserve">    Land-cover diversity accessibility  index</w:t>
            </w:r>
          </w:p>
        </w:tc>
        <w:tc>
          <w:tcPr>
            <w:tcW w:w="994" w:type="dxa"/>
            <w:tcBorders>
              <w:top w:val="nil"/>
              <w:left w:val="nil"/>
              <w:bottom w:val="double" w:sz="6" w:space="0" w:color="auto"/>
              <w:right w:val="single" w:sz="4" w:space="0" w:color="auto"/>
            </w:tcBorders>
            <w:shd w:val="clear" w:color="000000" w:fill="FFFFFF"/>
            <w:noWrap/>
            <w:vAlign w:val="center"/>
          </w:tcPr>
          <w:p w:rsidR="000B06DF" w:rsidRPr="00073FF4" w:rsidRDefault="00B22941" w:rsidP="00992708">
            <w:pPr>
              <w:tabs>
                <w:tab w:val="decimal" w:pos="127"/>
                <w:tab w:val="decimal" w:pos="217"/>
              </w:tabs>
              <w:jc w:val="center"/>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0.270</w:t>
            </w:r>
          </w:p>
        </w:tc>
        <w:tc>
          <w:tcPr>
            <w:tcW w:w="947" w:type="dxa"/>
            <w:tcBorders>
              <w:top w:val="nil"/>
              <w:left w:val="nil"/>
              <w:bottom w:val="double" w:sz="6" w:space="0" w:color="auto"/>
              <w:right w:val="double" w:sz="6" w:space="0" w:color="auto"/>
            </w:tcBorders>
            <w:shd w:val="clear" w:color="000000" w:fill="FFFFFF"/>
            <w:noWrap/>
            <w:vAlign w:val="center"/>
          </w:tcPr>
          <w:p w:rsidR="000B06DF" w:rsidRPr="00073FF4" w:rsidRDefault="00C4765D" w:rsidP="00C4765D">
            <w:pPr>
              <w:tabs>
                <w:tab w:val="decimal" w:pos="217"/>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2.69</w:t>
            </w:r>
          </w:p>
        </w:tc>
        <w:tc>
          <w:tcPr>
            <w:tcW w:w="972" w:type="dxa"/>
            <w:tcBorders>
              <w:top w:val="nil"/>
              <w:left w:val="nil"/>
              <w:bottom w:val="double" w:sz="6" w:space="0" w:color="auto"/>
              <w:right w:val="single" w:sz="4"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-0.443</w:t>
            </w:r>
          </w:p>
        </w:tc>
        <w:tc>
          <w:tcPr>
            <w:tcW w:w="1024" w:type="dxa"/>
            <w:tcBorders>
              <w:top w:val="nil"/>
              <w:left w:val="nil"/>
              <w:bottom w:val="double" w:sz="6" w:space="0" w:color="auto"/>
              <w:right w:val="double" w:sz="6"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-2.32</w:t>
            </w:r>
          </w:p>
        </w:tc>
        <w:tc>
          <w:tcPr>
            <w:tcW w:w="916" w:type="dxa"/>
            <w:tcBorders>
              <w:left w:val="nil"/>
              <w:bottom w:val="double" w:sz="6" w:space="0" w:color="auto"/>
              <w:right w:val="single" w:sz="4" w:space="0" w:color="auto"/>
            </w:tcBorders>
            <w:shd w:val="clear" w:color="000000" w:fill="FFFFFF"/>
            <w:vAlign w:val="center"/>
          </w:tcPr>
          <w:p w:rsidR="000B06DF" w:rsidRPr="00073FF4" w:rsidRDefault="005B4A28" w:rsidP="00B22941">
            <w:pPr>
              <w:tabs>
                <w:tab w:val="decimal" w:pos="151"/>
              </w:tabs>
              <w:rPr>
                <w:rFonts w:eastAsia="Times New Roman"/>
                <w:color w:val="000000"/>
                <w:sz w:val="20"/>
                <w:szCs w:val="20"/>
              </w:rPr>
            </w:pPr>
            <w:r w:rsidRPr="00073FF4">
              <w:rPr>
                <w:rFonts w:eastAsia="Times New Roman"/>
                <w:color w:val="000000"/>
                <w:sz w:val="20"/>
                <w:szCs w:val="20"/>
              </w:rPr>
              <w:t xml:space="preserve"> </w:t>
            </w:r>
            <w:r w:rsidR="00C4765D" w:rsidRPr="00073FF4">
              <w:rPr>
                <w:rFonts w:eastAsia="Times New Roman"/>
                <w:color w:val="000000"/>
                <w:sz w:val="20"/>
                <w:szCs w:val="20"/>
              </w:rPr>
              <w:t xml:space="preserve"> </w:t>
            </w:r>
            <w:r w:rsidR="000B06DF" w:rsidRPr="00073FF4">
              <w:rPr>
                <w:rFonts w:eastAsia="Times New Roman"/>
                <w:color w:val="000000"/>
                <w:sz w:val="20"/>
                <w:szCs w:val="20"/>
              </w:rPr>
              <w:t>-0.213</w:t>
            </w:r>
          </w:p>
        </w:tc>
        <w:tc>
          <w:tcPr>
            <w:tcW w:w="838" w:type="dxa"/>
            <w:tcBorders>
              <w:left w:val="single" w:sz="4" w:space="0" w:color="auto"/>
              <w:bottom w:val="double" w:sz="6" w:space="0" w:color="auto"/>
              <w:right w:val="double" w:sz="6" w:space="0" w:color="auto"/>
            </w:tcBorders>
            <w:shd w:val="clear" w:color="000000" w:fill="FFFFFF"/>
            <w:vAlign w:val="center"/>
          </w:tcPr>
          <w:p w:rsidR="000B06DF" w:rsidRPr="00073FF4" w:rsidRDefault="000B06DF" w:rsidP="00B22941">
            <w:pPr>
              <w:tabs>
                <w:tab w:val="decimal" w:pos="143"/>
              </w:tabs>
              <w:jc w:val="center"/>
              <w:rPr>
                <w:rFonts w:eastAsia="Times New Roman"/>
                <w:color w:val="000000"/>
                <w:sz w:val="20"/>
                <w:szCs w:val="20"/>
              </w:rPr>
            </w:pPr>
            <w:r w:rsidRPr="00073FF4">
              <w:rPr>
                <w:rFonts w:eastAsia="Times New Roman"/>
                <w:color w:val="000000"/>
                <w:sz w:val="20"/>
                <w:szCs w:val="20"/>
              </w:rPr>
              <w:t>-2.16</w:t>
            </w:r>
          </w:p>
        </w:tc>
      </w:tr>
      <w:tr w:rsidR="000B06DF" w:rsidRPr="00073FF4" w:rsidTr="00026D18">
        <w:trPr>
          <w:trHeight w:val="330"/>
          <w:jc w:val="center"/>
        </w:trPr>
        <w:tc>
          <w:tcPr>
            <w:tcW w:w="4038" w:type="dxa"/>
            <w:tcBorders>
              <w:top w:val="double" w:sz="6" w:space="0" w:color="auto"/>
              <w:left w:val="double" w:sz="6" w:space="0" w:color="auto"/>
              <w:right w:val="double" w:sz="6" w:space="0" w:color="auto"/>
            </w:tcBorders>
            <w:shd w:val="clear" w:color="000000" w:fill="FFFFFF"/>
            <w:noWrap/>
            <w:vAlign w:val="center"/>
          </w:tcPr>
          <w:p w:rsidR="000B06DF" w:rsidRPr="00073FF4" w:rsidRDefault="000B06DF" w:rsidP="00BD6523">
            <w:pPr>
              <w:rPr>
                <w:rFonts w:eastAsia="Times New Roman"/>
                <w:i/>
                <w:color w:val="000000"/>
                <w:sz w:val="20"/>
                <w:szCs w:val="20"/>
              </w:rPr>
            </w:pPr>
            <w:r w:rsidRPr="00073FF4">
              <w:rPr>
                <w:rFonts w:eastAsia="Times New Roman"/>
                <w:i/>
                <w:color w:val="000000"/>
                <w:sz w:val="20"/>
                <w:szCs w:val="20"/>
              </w:rPr>
              <w:t>Satiation parameters</w:t>
            </w:r>
            <w:r w:rsidR="00073FF4" w:rsidRPr="00073FF4">
              <w:rPr>
                <w:rFonts w:eastAsia="Times New Roman"/>
                <w:i/>
                <w:color w:val="000000"/>
                <w:sz w:val="20"/>
                <w:szCs w:val="20"/>
              </w:rPr>
              <w:t xml:space="preserve"> </w:t>
            </w:r>
            <w:r w:rsidRPr="00073FF4">
              <w:rPr>
                <w:rFonts w:eastAsia="Times New Roman"/>
                <w:color w:val="000000"/>
                <w:sz w:val="20"/>
                <w:szCs w:val="20"/>
              </w:rPr>
              <w:t>(</w:t>
            </w:r>
            <w:r w:rsidR="00073FF4" w:rsidRPr="00073FF4">
              <w:rPr>
                <w:position w:val="-14"/>
                <w:sz w:val="20"/>
                <w:szCs w:val="20"/>
              </w:rPr>
              <w:object w:dxaOrig="279" w:dyaOrig="420">
                <v:shape id="_x0000_i1542" type="#_x0000_t75" style="width:11.25pt;height:17.25pt" o:ole="" o:preferrelative="f">
                  <v:imagedata r:id="rId947" o:title=""/>
                </v:shape>
                <o:OLEObject Type="Embed" ProgID="Equation.3" ShapeID="_x0000_i1542" DrawAspect="Content" ObjectID="_1519137391" r:id="rId948"/>
              </w:object>
            </w:r>
            <w:r w:rsidR="00073FF4" w:rsidRPr="00073FF4">
              <w:rPr>
                <w:sz w:val="20"/>
                <w:szCs w:val="20"/>
              </w:rPr>
              <w:t xml:space="preserve"> </w:t>
            </w:r>
            <w:r w:rsidRPr="00073FF4">
              <w:rPr>
                <w:sz w:val="20"/>
                <w:szCs w:val="20"/>
              </w:rPr>
              <w:t>parameters)</w:t>
            </w:r>
          </w:p>
        </w:tc>
        <w:tc>
          <w:tcPr>
            <w:tcW w:w="994" w:type="dxa"/>
            <w:tcBorders>
              <w:top w:val="double" w:sz="6" w:space="0" w:color="auto"/>
              <w:left w:val="nil"/>
              <w:right w:val="single" w:sz="4" w:space="0" w:color="auto"/>
            </w:tcBorders>
            <w:shd w:val="clear" w:color="000000" w:fill="FFFFFF"/>
            <w:noWrap/>
            <w:vAlign w:val="center"/>
          </w:tcPr>
          <w:p w:rsidR="000B06DF" w:rsidRPr="00073FF4" w:rsidRDefault="000B06DF" w:rsidP="00992708">
            <w:pPr>
              <w:tabs>
                <w:tab w:val="decimal" w:pos="217"/>
              </w:tabs>
              <w:jc w:val="center"/>
              <w:rPr>
                <w:rFonts w:eastAsia="Times New Roman"/>
                <w:color w:val="000000"/>
                <w:sz w:val="20"/>
                <w:szCs w:val="20"/>
              </w:rPr>
            </w:pPr>
          </w:p>
        </w:tc>
        <w:tc>
          <w:tcPr>
            <w:tcW w:w="947" w:type="dxa"/>
            <w:tcBorders>
              <w:top w:val="double" w:sz="6" w:space="0" w:color="auto"/>
              <w:left w:val="nil"/>
              <w:right w:val="double" w:sz="6" w:space="0" w:color="auto"/>
            </w:tcBorders>
            <w:shd w:val="clear" w:color="000000" w:fill="FFFFFF"/>
            <w:noWrap/>
            <w:vAlign w:val="center"/>
          </w:tcPr>
          <w:p w:rsidR="000B06DF" w:rsidRPr="00073FF4" w:rsidRDefault="000B06DF" w:rsidP="00B22941">
            <w:pPr>
              <w:tabs>
                <w:tab w:val="decimal" w:pos="217"/>
              </w:tabs>
              <w:jc w:val="center"/>
              <w:rPr>
                <w:rFonts w:eastAsia="Times New Roman"/>
                <w:color w:val="000000"/>
                <w:sz w:val="20"/>
                <w:szCs w:val="20"/>
              </w:rPr>
            </w:pPr>
          </w:p>
        </w:tc>
        <w:tc>
          <w:tcPr>
            <w:tcW w:w="972" w:type="dxa"/>
            <w:tcBorders>
              <w:top w:val="double" w:sz="6" w:space="0" w:color="auto"/>
              <w:left w:val="nil"/>
              <w:right w:val="single" w:sz="4"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p>
        </w:tc>
        <w:tc>
          <w:tcPr>
            <w:tcW w:w="1024" w:type="dxa"/>
            <w:tcBorders>
              <w:top w:val="double" w:sz="6" w:space="0" w:color="auto"/>
              <w:left w:val="nil"/>
              <w:right w:val="double" w:sz="6"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p>
        </w:tc>
        <w:tc>
          <w:tcPr>
            <w:tcW w:w="916" w:type="dxa"/>
            <w:tcBorders>
              <w:top w:val="double" w:sz="6" w:space="0" w:color="auto"/>
              <w:left w:val="nil"/>
              <w:right w:val="single" w:sz="4" w:space="0" w:color="auto"/>
            </w:tcBorders>
            <w:shd w:val="clear" w:color="000000" w:fill="FFFFFF"/>
            <w:vAlign w:val="center"/>
          </w:tcPr>
          <w:p w:rsidR="000B06DF" w:rsidRPr="00073FF4" w:rsidRDefault="000B06DF" w:rsidP="00B22941">
            <w:pPr>
              <w:tabs>
                <w:tab w:val="decimal" w:pos="151"/>
              </w:tabs>
              <w:jc w:val="center"/>
              <w:rPr>
                <w:rFonts w:eastAsia="Times New Roman"/>
                <w:color w:val="000000"/>
                <w:sz w:val="20"/>
                <w:szCs w:val="20"/>
              </w:rPr>
            </w:pPr>
          </w:p>
        </w:tc>
        <w:tc>
          <w:tcPr>
            <w:tcW w:w="838" w:type="dxa"/>
            <w:tcBorders>
              <w:top w:val="double" w:sz="6" w:space="0" w:color="auto"/>
              <w:left w:val="single" w:sz="4" w:space="0" w:color="auto"/>
              <w:right w:val="double" w:sz="6" w:space="0" w:color="auto"/>
            </w:tcBorders>
            <w:shd w:val="clear" w:color="000000" w:fill="FFFFFF"/>
            <w:vAlign w:val="center"/>
          </w:tcPr>
          <w:p w:rsidR="000B06DF" w:rsidRPr="00073FF4" w:rsidRDefault="000B06DF" w:rsidP="00B22941">
            <w:pPr>
              <w:tabs>
                <w:tab w:val="decimal" w:pos="143"/>
              </w:tabs>
              <w:jc w:val="center"/>
              <w:rPr>
                <w:rFonts w:eastAsia="Times New Roman"/>
                <w:color w:val="000000"/>
                <w:sz w:val="20"/>
                <w:szCs w:val="20"/>
              </w:rPr>
            </w:pPr>
          </w:p>
        </w:tc>
      </w:tr>
      <w:tr w:rsidR="000B06DF" w:rsidRPr="00073FF4" w:rsidTr="00026D18">
        <w:trPr>
          <w:trHeight w:val="330"/>
          <w:jc w:val="center"/>
        </w:trPr>
        <w:tc>
          <w:tcPr>
            <w:tcW w:w="4038" w:type="dxa"/>
            <w:tcBorders>
              <w:left w:val="double" w:sz="6" w:space="0" w:color="auto"/>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 xml:space="preserve">    Constant</w:t>
            </w:r>
          </w:p>
        </w:tc>
        <w:tc>
          <w:tcPr>
            <w:tcW w:w="994" w:type="dxa"/>
            <w:tcBorders>
              <w:left w:val="nil"/>
              <w:right w:val="single" w:sz="4" w:space="0" w:color="auto"/>
            </w:tcBorders>
            <w:shd w:val="clear" w:color="000000" w:fill="FFFFFF"/>
            <w:noWrap/>
            <w:vAlign w:val="center"/>
          </w:tcPr>
          <w:p w:rsidR="000B06DF" w:rsidRPr="00073FF4" w:rsidRDefault="000B06DF" w:rsidP="00992708">
            <w:pPr>
              <w:tabs>
                <w:tab w:val="decimal" w:pos="217"/>
              </w:tabs>
              <w:jc w:val="center"/>
              <w:rPr>
                <w:rFonts w:eastAsia="Times New Roman"/>
                <w:color w:val="000000"/>
                <w:sz w:val="20"/>
                <w:szCs w:val="20"/>
              </w:rPr>
            </w:pPr>
            <w:r w:rsidRPr="00073FF4">
              <w:rPr>
                <w:rFonts w:eastAsia="Times New Roman"/>
                <w:color w:val="000000"/>
                <w:sz w:val="20"/>
                <w:szCs w:val="20"/>
              </w:rPr>
              <w:t>1.802</w:t>
            </w:r>
          </w:p>
        </w:tc>
        <w:tc>
          <w:tcPr>
            <w:tcW w:w="947" w:type="dxa"/>
            <w:tcBorders>
              <w:left w:val="nil"/>
              <w:right w:val="double" w:sz="6" w:space="0" w:color="auto"/>
            </w:tcBorders>
            <w:shd w:val="clear" w:color="000000" w:fill="FFFFFF"/>
            <w:noWrap/>
            <w:vAlign w:val="center"/>
          </w:tcPr>
          <w:p w:rsidR="000B06DF" w:rsidRPr="00073FF4" w:rsidRDefault="008F23F4" w:rsidP="00B22941">
            <w:pPr>
              <w:tabs>
                <w:tab w:val="decimal" w:pos="217"/>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27.20</w:t>
            </w:r>
          </w:p>
        </w:tc>
        <w:tc>
          <w:tcPr>
            <w:tcW w:w="972" w:type="dxa"/>
            <w:tcBorders>
              <w:left w:val="nil"/>
              <w:right w:val="single" w:sz="4" w:space="0" w:color="auto"/>
            </w:tcBorders>
            <w:shd w:val="clear" w:color="000000" w:fill="FFFFFF"/>
            <w:noWrap/>
            <w:vAlign w:val="center"/>
          </w:tcPr>
          <w:p w:rsidR="000B06DF" w:rsidRPr="00073FF4" w:rsidRDefault="005B4A28" w:rsidP="00B22941">
            <w:pPr>
              <w:tabs>
                <w:tab w:val="decimal" w:pos="160"/>
              </w:tabs>
              <w:jc w:val="center"/>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1.789</w:t>
            </w:r>
          </w:p>
        </w:tc>
        <w:tc>
          <w:tcPr>
            <w:tcW w:w="1024" w:type="dxa"/>
            <w:tcBorders>
              <w:left w:val="nil"/>
              <w:right w:val="double" w:sz="6"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25.42</w:t>
            </w:r>
          </w:p>
        </w:tc>
        <w:tc>
          <w:tcPr>
            <w:tcW w:w="916" w:type="dxa"/>
            <w:tcBorders>
              <w:left w:val="nil"/>
              <w:right w:val="single" w:sz="4" w:space="0" w:color="auto"/>
            </w:tcBorders>
            <w:shd w:val="clear" w:color="000000" w:fill="FFFFFF"/>
            <w:vAlign w:val="center"/>
          </w:tcPr>
          <w:p w:rsidR="000B06DF" w:rsidRPr="00073FF4" w:rsidRDefault="00C4765D" w:rsidP="00B22941">
            <w:pPr>
              <w:tabs>
                <w:tab w:val="decimal" w:pos="151"/>
              </w:tabs>
              <w:jc w:val="center"/>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1.672</w:t>
            </w:r>
          </w:p>
        </w:tc>
        <w:tc>
          <w:tcPr>
            <w:tcW w:w="838" w:type="dxa"/>
            <w:tcBorders>
              <w:left w:val="single" w:sz="4" w:space="0" w:color="auto"/>
              <w:right w:val="double" w:sz="6" w:space="0" w:color="auto"/>
            </w:tcBorders>
            <w:shd w:val="clear" w:color="000000" w:fill="FFFFFF"/>
            <w:vAlign w:val="center"/>
          </w:tcPr>
          <w:p w:rsidR="000B06DF" w:rsidRPr="00073FF4" w:rsidRDefault="007724A4" w:rsidP="00B22941">
            <w:pPr>
              <w:tabs>
                <w:tab w:val="decimal" w:pos="143"/>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23.11</w:t>
            </w:r>
          </w:p>
        </w:tc>
      </w:tr>
      <w:tr w:rsidR="000B06DF" w:rsidRPr="00073FF4" w:rsidTr="00026D18">
        <w:trPr>
          <w:trHeight w:val="330"/>
          <w:jc w:val="center"/>
        </w:trPr>
        <w:tc>
          <w:tcPr>
            <w:tcW w:w="4038" w:type="dxa"/>
            <w:tcBorders>
              <w:left w:val="double" w:sz="6" w:space="0" w:color="auto"/>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 xml:space="preserve">    Land cover accessibility measure specific to</w:t>
            </w:r>
          </w:p>
        </w:tc>
        <w:tc>
          <w:tcPr>
            <w:tcW w:w="994" w:type="dxa"/>
            <w:tcBorders>
              <w:left w:val="nil"/>
              <w:right w:val="single" w:sz="4" w:space="0" w:color="auto"/>
            </w:tcBorders>
            <w:shd w:val="clear" w:color="000000" w:fill="FFFFFF"/>
            <w:noWrap/>
            <w:vAlign w:val="center"/>
          </w:tcPr>
          <w:p w:rsidR="000B06DF" w:rsidRPr="00073FF4" w:rsidRDefault="000B06DF" w:rsidP="00992708">
            <w:pPr>
              <w:tabs>
                <w:tab w:val="decimal" w:pos="217"/>
              </w:tabs>
              <w:jc w:val="center"/>
              <w:rPr>
                <w:rFonts w:eastAsia="Times New Roman"/>
                <w:color w:val="000000"/>
                <w:sz w:val="20"/>
                <w:szCs w:val="20"/>
              </w:rPr>
            </w:pPr>
          </w:p>
        </w:tc>
        <w:tc>
          <w:tcPr>
            <w:tcW w:w="947" w:type="dxa"/>
            <w:tcBorders>
              <w:left w:val="nil"/>
              <w:right w:val="double" w:sz="6" w:space="0" w:color="auto"/>
            </w:tcBorders>
            <w:shd w:val="clear" w:color="000000" w:fill="FFFFFF"/>
            <w:noWrap/>
            <w:vAlign w:val="center"/>
          </w:tcPr>
          <w:p w:rsidR="000B06DF" w:rsidRPr="00073FF4" w:rsidRDefault="000B06DF" w:rsidP="00B22941">
            <w:pPr>
              <w:tabs>
                <w:tab w:val="decimal" w:pos="217"/>
              </w:tabs>
              <w:jc w:val="center"/>
              <w:rPr>
                <w:rFonts w:eastAsia="Times New Roman"/>
                <w:color w:val="000000"/>
                <w:sz w:val="20"/>
                <w:szCs w:val="20"/>
              </w:rPr>
            </w:pPr>
          </w:p>
        </w:tc>
        <w:tc>
          <w:tcPr>
            <w:tcW w:w="972" w:type="dxa"/>
            <w:tcBorders>
              <w:left w:val="nil"/>
              <w:right w:val="single" w:sz="4"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p>
        </w:tc>
        <w:tc>
          <w:tcPr>
            <w:tcW w:w="1024" w:type="dxa"/>
            <w:tcBorders>
              <w:left w:val="nil"/>
              <w:right w:val="double" w:sz="6"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p>
        </w:tc>
        <w:tc>
          <w:tcPr>
            <w:tcW w:w="916" w:type="dxa"/>
            <w:tcBorders>
              <w:left w:val="nil"/>
              <w:right w:val="single" w:sz="4" w:space="0" w:color="auto"/>
            </w:tcBorders>
            <w:shd w:val="clear" w:color="000000" w:fill="FFFFFF"/>
            <w:vAlign w:val="center"/>
          </w:tcPr>
          <w:p w:rsidR="000B06DF" w:rsidRPr="00073FF4" w:rsidRDefault="000B06DF" w:rsidP="00B22941">
            <w:pPr>
              <w:tabs>
                <w:tab w:val="decimal" w:pos="151"/>
              </w:tabs>
              <w:jc w:val="center"/>
              <w:rPr>
                <w:rFonts w:eastAsia="Times New Roman"/>
                <w:color w:val="000000"/>
                <w:sz w:val="20"/>
                <w:szCs w:val="20"/>
              </w:rPr>
            </w:pPr>
          </w:p>
        </w:tc>
        <w:tc>
          <w:tcPr>
            <w:tcW w:w="838" w:type="dxa"/>
            <w:tcBorders>
              <w:left w:val="single" w:sz="4" w:space="0" w:color="auto"/>
              <w:right w:val="double" w:sz="6" w:space="0" w:color="auto"/>
            </w:tcBorders>
            <w:shd w:val="clear" w:color="000000" w:fill="FFFFFF"/>
            <w:vAlign w:val="center"/>
          </w:tcPr>
          <w:p w:rsidR="000B06DF" w:rsidRPr="00073FF4" w:rsidRDefault="000B06DF" w:rsidP="00B22941">
            <w:pPr>
              <w:tabs>
                <w:tab w:val="decimal" w:pos="143"/>
              </w:tabs>
              <w:jc w:val="center"/>
              <w:rPr>
                <w:rFonts w:eastAsia="Times New Roman"/>
                <w:color w:val="000000"/>
                <w:sz w:val="20"/>
                <w:szCs w:val="20"/>
              </w:rPr>
            </w:pPr>
          </w:p>
        </w:tc>
      </w:tr>
      <w:tr w:rsidR="000B06DF" w:rsidRPr="00073FF4" w:rsidTr="00026D18">
        <w:trPr>
          <w:trHeight w:val="330"/>
          <w:jc w:val="center"/>
        </w:trPr>
        <w:tc>
          <w:tcPr>
            <w:tcW w:w="4038" w:type="dxa"/>
            <w:tcBorders>
              <w:left w:val="double" w:sz="6" w:space="0" w:color="auto"/>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 xml:space="preserve">         Wetland (/10</w:t>
            </w:r>
            <w:r w:rsidRPr="00073FF4">
              <w:rPr>
                <w:rFonts w:eastAsia="Times New Roman"/>
                <w:color w:val="000000"/>
                <w:sz w:val="20"/>
                <w:szCs w:val="20"/>
                <w:vertAlign w:val="superscript"/>
              </w:rPr>
              <w:t>4</w:t>
            </w:r>
            <w:r w:rsidRPr="00073FF4">
              <w:rPr>
                <w:rFonts w:eastAsia="Times New Roman"/>
                <w:color w:val="000000"/>
                <w:sz w:val="20"/>
                <w:szCs w:val="20"/>
              </w:rPr>
              <w:t>) –mean</w:t>
            </w:r>
          </w:p>
        </w:tc>
        <w:tc>
          <w:tcPr>
            <w:tcW w:w="994" w:type="dxa"/>
            <w:tcBorders>
              <w:left w:val="nil"/>
              <w:right w:val="single" w:sz="4" w:space="0" w:color="auto"/>
            </w:tcBorders>
            <w:shd w:val="clear" w:color="000000" w:fill="FFFFFF"/>
            <w:noWrap/>
            <w:vAlign w:val="center"/>
          </w:tcPr>
          <w:p w:rsidR="000B06DF" w:rsidRPr="00073FF4" w:rsidRDefault="000B06DF" w:rsidP="00992708">
            <w:pPr>
              <w:tabs>
                <w:tab w:val="decimal" w:pos="217"/>
              </w:tabs>
              <w:jc w:val="center"/>
              <w:rPr>
                <w:rFonts w:eastAsia="Times New Roman"/>
                <w:color w:val="000000"/>
                <w:sz w:val="20"/>
                <w:szCs w:val="20"/>
              </w:rPr>
            </w:pPr>
            <w:r w:rsidRPr="00073FF4">
              <w:rPr>
                <w:rFonts w:eastAsia="Times New Roman"/>
                <w:color w:val="000000"/>
                <w:sz w:val="20"/>
                <w:szCs w:val="20"/>
              </w:rPr>
              <w:t>-2.535</w:t>
            </w:r>
          </w:p>
        </w:tc>
        <w:tc>
          <w:tcPr>
            <w:tcW w:w="947" w:type="dxa"/>
            <w:tcBorders>
              <w:left w:val="nil"/>
              <w:right w:val="double" w:sz="6" w:space="0" w:color="auto"/>
            </w:tcBorders>
            <w:shd w:val="clear" w:color="000000" w:fill="FFFFFF"/>
            <w:noWrap/>
            <w:vAlign w:val="center"/>
          </w:tcPr>
          <w:p w:rsidR="000B06DF" w:rsidRPr="00073FF4" w:rsidRDefault="008F23F4" w:rsidP="00B22941">
            <w:pPr>
              <w:tabs>
                <w:tab w:val="decimal" w:pos="217"/>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-3.56</w:t>
            </w:r>
          </w:p>
        </w:tc>
        <w:tc>
          <w:tcPr>
            <w:tcW w:w="972" w:type="dxa"/>
            <w:tcBorders>
              <w:left w:val="nil"/>
              <w:right w:val="single" w:sz="4"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-2.367</w:t>
            </w:r>
          </w:p>
        </w:tc>
        <w:tc>
          <w:tcPr>
            <w:tcW w:w="1024" w:type="dxa"/>
            <w:tcBorders>
              <w:left w:val="nil"/>
              <w:right w:val="double" w:sz="6"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-4.10</w:t>
            </w:r>
          </w:p>
        </w:tc>
        <w:tc>
          <w:tcPr>
            <w:tcW w:w="916" w:type="dxa"/>
            <w:tcBorders>
              <w:left w:val="nil"/>
              <w:right w:val="single" w:sz="4" w:space="0" w:color="auto"/>
            </w:tcBorders>
            <w:shd w:val="clear" w:color="000000" w:fill="FFFFFF"/>
            <w:vAlign w:val="center"/>
          </w:tcPr>
          <w:p w:rsidR="000B06DF" w:rsidRPr="00073FF4" w:rsidRDefault="00C4765D" w:rsidP="00C4765D">
            <w:pPr>
              <w:tabs>
                <w:tab w:val="decimal" w:pos="151"/>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-2.055</w:t>
            </w:r>
          </w:p>
        </w:tc>
        <w:tc>
          <w:tcPr>
            <w:tcW w:w="838" w:type="dxa"/>
            <w:tcBorders>
              <w:left w:val="single" w:sz="4" w:space="0" w:color="auto"/>
              <w:right w:val="double" w:sz="6" w:space="0" w:color="auto"/>
            </w:tcBorders>
            <w:shd w:val="clear" w:color="000000" w:fill="FFFFFF"/>
            <w:vAlign w:val="center"/>
          </w:tcPr>
          <w:p w:rsidR="000B06DF" w:rsidRPr="00073FF4" w:rsidRDefault="000B06DF" w:rsidP="00B22941">
            <w:pPr>
              <w:tabs>
                <w:tab w:val="decimal" w:pos="143"/>
              </w:tabs>
              <w:jc w:val="center"/>
              <w:rPr>
                <w:rFonts w:eastAsia="Times New Roman"/>
                <w:color w:val="000000"/>
                <w:sz w:val="20"/>
                <w:szCs w:val="20"/>
              </w:rPr>
            </w:pPr>
            <w:r w:rsidRPr="00073FF4">
              <w:rPr>
                <w:rFonts w:eastAsia="Times New Roman"/>
                <w:color w:val="000000"/>
                <w:sz w:val="20"/>
                <w:szCs w:val="20"/>
              </w:rPr>
              <w:t>2.17</w:t>
            </w:r>
          </w:p>
        </w:tc>
      </w:tr>
      <w:tr w:rsidR="000B06DF" w:rsidRPr="00073FF4" w:rsidTr="00026D18">
        <w:trPr>
          <w:trHeight w:val="330"/>
          <w:jc w:val="center"/>
        </w:trPr>
        <w:tc>
          <w:tcPr>
            <w:tcW w:w="4038" w:type="dxa"/>
            <w:tcBorders>
              <w:left w:val="double" w:sz="6" w:space="0" w:color="auto"/>
              <w:bottom w:val="double" w:sz="6" w:space="0" w:color="auto"/>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 xml:space="preserve">    Land-cover diversity accessibility index</w:t>
            </w:r>
          </w:p>
        </w:tc>
        <w:tc>
          <w:tcPr>
            <w:tcW w:w="994" w:type="dxa"/>
            <w:tcBorders>
              <w:left w:val="nil"/>
              <w:bottom w:val="double" w:sz="6" w:space="0" w:color="auto"/>
              <w:right w:val="single" w:sz="4" w:space="0" w:color="auto"/>
            </w:tcBorders>
            <w:shd w:val="clear" w:color="000000" w:fill="FFFFFF"/>
            <w:noWrap/>
            <w:vAlign w:val="center"/>
          </w:tcPr>
          <w:p w:rsidR="000B06DF" w:rsidRPr="00073FF4" w:rsidRDefault="000B06DF" w:rsidP="00992708">
            <w:pPr>
              <w:tabs>
                <w:tab w:val="decimal" w:pos="217"/>
              </w:tabs>
              <w:jc w:val="center"/>
              <w:rPr>
                <w:rFonts w:eastAsia="Times New Roman"/>
                <w:color w:val="000000"/>
                <w:sz w:val="20"/>
                <w:szCs w:val="20"/>
              </w:rPr>
            </w:pPr>
            <w:r w:rsidRPr="00073FF4">
              <w:rPr>
                <w:rFonts w:eastAsia="Times New Roman"/>
                <w:color w:val="000000"/>
                <w:sz w:val="20"/>
                <w:szCs w:val="20"/>
              </w:rPr>
              <w:t>0.770</w:t>
            </w:r>
          </w:p>
        </w:tc>
        <w:tc>
          <w:tcPr>
            <w:tcW w:w="947" w:type="dxa"/>
            <w:tcBorders>
              <w:left w:val="nil"/>
              <w:bottom w:val="double" w:sz="6" w:space="0" w:color="auto"/>
              <w:right w:val="double" w:sz="6" w:space="0" w:color="auto"/>
            </w:tcBorders>
            <w:shd w:val="clear" w:color="000000" w:fill="FFFFFF"/>
            <w:noWrap/>
            <w:vAlign w:val="center"/>
          </w:tcPr>
          <w:p w:rsidR="000B06DF" w:rsidRPr="00073FF4" w:rsidRDefault="00C4765D" w:rsidP="00C4765D">
            <w:pPr>
              <w:tabs>
                <w:tab w:val="decimal" w:pos="217"/>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2.09</w:t>
            </w:r>
          </w:p>
        </w:tc>
        <w:tc>
          <w:tcPr>
            <w:tcW w:w="972" w:type="dxa"/>
            <w:tcBorders>
              <w:left w:val="nil"/>
              <w:bottom w:val="double" w:sz="6" w:space="0" w:color="auto"/>
              <w:right w:val="single" w:sz="4"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w:t>
            </w:r>
          </w:p>
        </w:tc>
        <w:tc>
          <w:tcPr>
            <w:tcW w:w="1024" w:type="dxa"/>
            <w:tcBorders>
              <w:left w:val="nil"/>
              <w:bottom w:val="double" w:sz="6" w:space="0" w:color="auto"/>
              <w:right w:val="double" w:sz="6" w:space="0" w:color="auto"/>
            </w:tcBorders>
            <w:shd w:val="clear" w:color="000000" w:fill="FFFFFF"/>
            <w:noWrap/>
            <w:vAlign w:val="center"/>
          </w:tcPr>
          <w:p w:rsidR="000B06DF" w:rsidRPr="00073FF4" w:rsidRDefault="000B06DF" w:rsidP="00B22941">
            <w:pPr>
              <w:tabs>
                <w:tab w:val="decimal" w:pos="160"/>
              </w:tabs>
              <w:jc w:val="center"/>
              <w:rPr>
                <w:rFonts w:eastAsia="Times New Roman"/>
                <w:color w:val="000000"/>
                <w:sz w:val="20"/>
                <w:szCs w:val="20"/>
              </w:rPr>
            </w:pPr>
            <w:r w:rsidRPr="00073FF4">
              <w:rPr>
                <w:rFonts w:eastAsia="Times New Roman"/>
                <w:color w:val="000000"/>
                <w:sz w:val="20"/>
                <w:szCs w:val="20"/>
              </w:rPr>
              <w:t>-</w:t>
            </w:r>
          </w:p>
        </w:tc>
        <w:tc>
          <w:tcPr>
            <w:tcW w:w="916" w:type="dxa"/>
            <w:tcBorders>
              <w:left w:val="nil"/>
              <w:bottom w:val="double" w:sz="6" w:space="0" w:color="auto"/>
              <w:right w:val="single" w:sz="4" w:space="0" w:color="auto"/>
            </w:tcBorders>
            <w:shd w:val="clear" w:color="000000" w:fill="FFFFFF"/>
            <w:vAlign w:val="center"/>
          </w:tcPr>
          <w:p w:rsidR="000B06DF" w:rsidRPr="00073FF4" w:rsidRDefault="00C4765D" w:rsidP="00C4765D">
            <w:pPr>
              <w:tabs>
                <w:tab w:val="decimal" w:pos="151"/>
              </w:tabs>
              <w:rPr>
                <w:rFonts w:eastAsia="Times New Roman"/>
                <w:color w:val="000000"/>
                <w:sz w:val="20"/>
                <w:szCs w:val="20"/>
              </w:rPr>
            </w:pPr>
            <w:r w:rsidRPr="00073FF4">
              <w:rPr>
                <w:rFonts w:eastAsia="Times New Roman"/>
                <w:color w:val="000000"/>
                <w:sz w:val="20"/>
                <w:szCs w:val="20"/>
              </w:rPr>
              <w:t xml:space="preserve">   </w:t>
            </w:r>
            <w:r w:rsidR="000B06DF" w:rsidRPr="00073FF4">
              <w:rPr>
                <w:rFonts w:eastAsia="Times New Roman"/>
                <w:color w:val="000000"/>
                <w:sz w:val="20"/>
                <w:szCs w:val="20"/>
              </w:rPr>
              <w:t>-0.231</w:t>
            </w:r>
          </w:p>
        </w:tc>
        <w:tc>
          <w:tcPr>
            <w:tcW w:w="838" w:type="dxa"/>
            <w:tcBorders>
              <w:left w:val="single" w:sz="4" w:space="0" w:color="auto"/>
              <w:bottom w:val="double" w:sz="6" w:space="0" w:color="auto"/>
              <w:right w:val="double" w:sz="6" w:space="0" w:color="auto"/>
            </w:tcBorders>
            <w:shd w:val="clear" w:color="000000" w:fill="FFFFFF"/>
            <w:vAlign w:val="center"/>
          </w:tcPr>
          <w:p w:rsidR="000B06DF" w:rsidRPr="00073FF4" w:rsidRDefault="000B06DF" w:rsidP="00B22941">
            <w:pPr>
              <w:tabs>
                <w:tab w:val="decimal" w:pos="143"/>
              </w:tabs>
              <w:jc w:val="center"/>
              <w:rPr>
                <w:rFonts w:eastAsia="Times New Roman"/>
                <w:color w:val="000000"/>
                <w:sz w:val="20"/>
                <w:szCs w:val="20"/>
              </w:rPr>
            </w:pPr>
            <w:r w:rsidRPr="00073FF4">
              <w:rPr>
                <w:rFonts w:eastAsia="Times New Roman"/>
                <w:color w:val="000000"/>
                <w:sz w:val="20"/>
                <w:szCs w:val="20"/>
              </w:rPr>
              <w:t>-2.04</w:t>
            </w:r>
          </w:p>
        </w:tc>
      </w:tr>
      <w:tr w:rsidR="000B06DF" w:rsidRPr="00073FF4" w:rsidTr="00026D18">
        <w:trPr>
          <w:trHeight w:val="330"/>
          <w:jc w:val="center"/>
        </w:trPr>
        <w:tc>
          <w:tcPr>
            <w:tcW w:w="4038" w:type="dxa"/>
            <w:tcBorders>
              <w:top w:val="nil"/>
              <w:left w:val="double" w:sz="6" w:space="0" w:color="auto"/>
              <w:bottom w:val="double" w:sz="6" w:space="0" w:color="auto"/>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Spatial autoregressive coefficient (t-stat)</w:t>
            </w:r>
          </w:p>
        </w:tc>
        <w:tc>
          <w:tcPr>
            <w:tcW w:w="5691" w:type="dxa"/>
            <w:gridSpan w:val="6"/>
            <w:tcBorders>
              <w:top w:val="double" w:sz="6" w:space="0" w:color="auto"/>
              <w:left w:val="double" w:sz="6" w:space="0" w:color="auto"/>
              <w:bottom w:val="double" w:sz="6" w:space="0" w:color="auto"/>
              <w:right w:val="double" w:sz="6" w:space="0" w:color="000000"/>
            </w:tcBorders>
            <w:shd w:val="clear" w:color="000000" w:fill="FFFFFF"/>
            <w:noWrap/>
            <w:vAlign w:val="center"/>
          </w:tcPr>
          <w:p w:rsidR="000B06DF" w:rsidRPr="00073FF4" w:rsidRDefault="000B06DF" w:rsidP="00BD6523">
            <w:pPr>
              <w:jc w:val="center"/>
              <w:rPr>
                <w:rFonts w:eastAsia="Times New Roman"/>
                <w:color w:val="000000"/>
                <w:sz w:val="20"/>
                <w:szCs w:val="20"/>
              </w:rPr>
            </w:pPr>
            <w:r w:rsidRPr="00073FF4">
              <w:rPr>
                <w:rFonts w:eastAsia="Times New Roman"/>
                <w:color w:val="000000"/>
                <w:sz w:val="20"/>
                <w:szCs w:val="20"/>
              </w:rPr>
              <w:t>0.096 (1.56)</w:t>
            </w:r>
          </w:p>
        </w:tc>
      </w:tr>
      <w:tr w:rsidR="000B06DF" w:rsidRPr="00073FF4" w:rsidTr="00026D18">
        <w:trPr>
          <w:trHeight w:val="330"/>
          <w:jc w:val="center"/>
        </w:trPr>
        <w:tc>
          <w:tcPr>
            <w:tcW w:w="4038" w:type="dxa"/>
            <w:tcBorders>
              <w:top w:val="nil"/>
              <w:left w:val="double" w:sz="6" w:space="0" w:color="auto"/>
              <w:bottom w:val="double" w:sz="6" w:space="0" w:color="auto"/>
              <w:right w:val="double" w:sz="6" w:space="0" w:color="auto"/>
            </w:tcBorders>
            <w:shd w:val="clear" w:color="000000" w:fill="FFFFFF"/>
            <w:noWrap/>
            <w:vAlign w:val="center"/>
          </w:tcPr>
          <w:p w:rsidR="000B06DF" w:rsidRPr="00073FF4" w:rsidRDefault="000B06DF" w:rsidP="00BD6523">
            <w:pPr>
              <w:rPr>
                <w:rFonts w:eastAsia="Times New Roman"/>
                <w:color w:val="000000"/>
                <w:sz w:val="20"/>
                <w:szCs w:val="20"/>
              </w:rPr>
            </w:pPr>
            <w:r w:rsidRPr="00073FF4">
              <w:rPr>
                <w:rFonts w:eastAsia="Times New Roman"/>
                <w:color w:val="000000"/>
                <w:sz w:val="20"/>
                <w:szCs w:val="20"/>
              </w:rPr>
              <w:t>Log-Likelihood at Convergence</w:t>
            </w:r>
          </w:p>
        </w:tc>
        <w:tc>
          <w:tcPr>
            <w:tcW w:w="5691" w:type="dxa"/>
            <w:gridSpan w:val="6"/>
            <w:tcBorders>
              <w:top w:val="double" w:sz="6" w:space="0" w:color="auto"/>
              <w:left w:val="double" w:sz="6" w:space="0" w:color="auto"/>
              <w:bottom w:val="double" w:sz="6" w:space="0" w:color="auto"/>
              <w:right w:val="double" w:sz="6" w:space="0" w:color="000000"/>
            </w:tcBorders>
            <w:shd w:val="clear" w:color="000000" w:fill="FFFFFF"/>
            <w:noWrap/>
            <w:vAlign w:val="center"/>
          </w:tcPr>
          <w:p w:rsidR="000B06DF" w:rsidRPr="00073FF4" w:rsidRDefault="000B06DF" w:rsidP="00BD6523">
            <w:pPr>
              <w:jc w:val="center"/>
              <w:rPr>
                <w:rFonts w:eastAsia="Times New Roman"/>
                <w:color w:val="000000"/>
                <w:sz w:val="20"/>
                <w:szCs w:val="20"/>
              </w:rPr>
            </w:pPr>
            <w:r w:rsidRPr="00073FF4">
              <w:rPr>
                <w:sz w:val="20"/>
                <w:szCs w:val="20"/>
              </w:rPr>
              <w:t>-8,499.78</w:t>
            </w:r>
          </w:p>
        </w:tc>
      </w:tr>
    </w:tbl>
    <w:p w:rsidR="005A3865" w:rsidRPr="003A58BC" w:rsidRDefault="000B06DF" w:rsidP="003A58BC">
      <w:pPr>
        <w:spacing w:before="120"/>
        <w:ind w:left="180" w:hanging="180"/>
        <w:rPr>
          <w:sz w:val="19"/>
          <w:szCs w:val="19"/>
        </w:rPr>
      </w:pPr>
      <w:r w:rsidRPr="003A58BC">
        <w:rPr>
          <w:sz w:val="19"/>
          <w:szCs w:val="19"/>
        </w:rPr>
        <w:t xml:space="preserve">* </w:t>
      </w:r>
      <w:r w:rsidR="009D1515" w:rsidRPr="003A58BC">
        <w:rPr>
          <w:sz w:val="19"/>
          <w:szCs w:val="19"/>
        </w:rPr>
        <w:t xml:space="preserve">The size coefficient (coefficient corresponding to the logarithm of the area in </w:t>
      </w:r>
      <w:r w:rsidR="006D16A8" w:rsidRPr="003A58BC">
        <w:rPr>
          <w:sz w:val="19"/>
          <w:szCs w:val="19"/>
        </w:rPr>
        <w:t>miles</w:t>
      </w:r>
      <w:r w:rsidR="006D16A8" w:rsidRPr="003A58BC">
        <w:rPr>
          <w:sz w:val="19"/>
          <w:szCs w:val="19"/>
          <w:vertAlign w:val="superscript"/>
        </w:rPr>
        <w:t>2</w:t>
      </w:r>
      <w:r w:rsidR="009D1515" w:rsidRPr="003A58BC">
        <w:rPr>
          <w:sz w:val="19"/>
          <w:szCs w:val="19"/>
        </w:rPr>
        <w:t xml:space="preserve">) is </w:t>
      </w:r>
      <w:r w:rsidR="009B46C2" w:rsidRPr="003A58BC">
        <w:rPr>
          <w:sz w:val="19"/>
          <w:szCs w:val="19"/>
        </w:rPr>
        <w:t xml:space="preserve">constrained </w:t>
      </w:r>
      <w:r w:rsidR="009D1515" w:rsidRPr="003A58BC">
        <w:rPr>
          <w:sz w:val="19"/>
          <w:szCs w:val="19"/>
        </w:rPr>
        <w:t xml:space="preserve">to be </w:t>
      </w:r>
      <w:r w:rsidR="009B46C2" w:rsidRPr="003A58BC">
        <w:rPr>
          <w:sz w:val="19"/>
          <w:szCs w:val="19"/>
        </w:rPr>
        <w:t xml:space="preserve">equal </w:t>
      </w:r>
      <w:r w:rsidR="009D1515" w:rsidRPr="003A58BC">
        <w:rPr>
          <w:sz w:val="19"/>
          <w:szCs w:val="19"/>
        </w:rPr>
        <w:t>across all segments</w:t>
      </w:r>
      <w:r w:rsidR="00073FF4" w:rsidRPr="003A58BC">
        <w:rPr>
          <w:sz w:val="19"/>
          <w:szCs w:val="19"/>
        </w:rPr>
        <w:t xml:space="preserve">. </w:t>
      </w:r>
      <w:r w:rsidR="009B46C2" w:rsidRPr="003A58BC">
        <w:rPr>
          <w:sz w:val="19"/>
          <w:szCs w:val="19"/>
        </w:rPr>
        <w:t>The t-statistic for this coefficient is with respect to the hypothesis that the coefficient is equal to one.</w:t>
      </w:r>
    </w:p>
    <w:p w:rsidR="00026D18" w:rsidRPr="003A58BC" w:rsidRDefault="005A3865" w:rsidP="003A58BC">
      <w:pPr>
        <w:spacing w:before="120"/>
        <w:ind w:left="180" w:hanging="180"/>
        <w:rPr>
          <w:sz w:val="19"/>
          <w:szCs w:val="19"/>
        </w:rPr>
      </w:pPr>
      <w:r w:rsidRPr="003A58BC">
        <w:rPr>
          <w:sz w:val="19"/>
          <w:szCs w:val="19"/>
        </w:rPr>
        <w:t>+ All coefficients are different from zero (or different from one in the case of the size variable) at the 95% confidence level or higher (or a p-value of 0.05 or lower). The 95% confidence level corresponds to an absolute t-statistic value of 1.96.</w:t>
      </w:r>
    </w:p>
    <w:p w:rsidR="005A3865" w:rsidRPr="000B06DF" w:rsidRDefault="005A3865" w:rsidP="00026D18">
      <w:pPr>
        <w:ind w:left="180" w:hanging="180"/>
        <w:rPr>
          <w:sz w:val="20"/>
          <w:szCs w:val="20"/>
        </w:rPr>
        <w:sectPr w:rsidR="005A3865" w:rsidRPr="000B06DF" w:rsidSect="00992BE1">
          <w:pgSz w:w="12240" w:h="15840"/>
          <w:pgMar w:top="1440" w:right="1440" w:bottom="1440" w:left="1440" w:header="720" w:footer="720" w:gutter="0"/>
          <w:cols w:space="720"/>
          <w:docGrid w:linePitch="360"/>
        </w:sectPr>
      </w:pPr>
      <w:r>
        <w:rPr>
          <w:sz w:val="20"/>
          <w:szCs w:val="20"/>
        </w:rPr>
        <w:t xml:space="preserve"> </w:t>
      </w:r>
    </w:p>
    <w:p w:rsidR="000711F1" w:rsidRDefault="000711F1" w:rsidP="00915A72">
      <w:pPr>
        <w:jc w:val="center"/>
        <w:rPr>
          <w:b/>
          <w:sz w:val="22"/>
        </w:rPr>
      </w:pPr>
    </w:p>
    <w:p w:rsidR="00915A72" w:rsidRDefault="00915A72" w:rsidP="00915A72">
      <w:pPr>
        <w:jc w:val="center"/>
        <w:rPr>
          <w:b/>
          <w:sz w:val="22"/>
        </w:rPr>
      </w:pPr>
    </w:p>
    <w:p w:rsidR="00636F38" w:rsidRPr="00073FF4" w:rsidRDefault="00636F38" w:rsidP="00E2259B">
      <w:pPr>
        <w:spacing w:after="120"/>
        <w:jc w:val="center"/>
        <w:rPr>
          <w:b/>
          <w:sz w:val="22"/>
        </w:rPr>
      </w:pPr>
      <w:proofErr w:type="gramStart"/>
      <w:r w:rsidRPr="00073FF4">
        <w:rPr>
          <w:b/>
          <w:sz w:val="22"/>
        </w:rPr>
        <w:t xml:space="preserve">Table </w:t>
      </w:r>
      <w:r w:rsidR="00C755B6" w:rsidRPr="00073FF4">
        <w:rPr>
          <w:b/>
          <w:sz w:val="22"/>
        </w:rPr>
        <w:t>7</w:t>
      </w:r>
      <w:r w:rsidR="00884D45">
        <w:rPr>
          <w:b/>
          <w:sz w:val="22"/>
        </w:rPr>
        <w:t>.</w:t>
      </w:r>
      <w:proofErr w:type="gramEnd"/>
      <w:r w:rsidRPr="00073FF4">
        <w:rPr>
          <w:b/>
          <w:sz w:val="22"/>
        </w:rPr>
        <w:t xml:space="preserve"> </w:t>
      </w:r>
      <w:r w:rsidRPr="00073FF4">
        <w:rPr>
          <w:b/>
          <w:bCs/>
          <w:sz w:val="22"/>
          <w:szCs w:val="24"/>
        </w:rPr>
        <w:t>Quantitative Characterization of the Three Segments</w:t>
      </w:r>
    </w:p>
    <w:tbl>
      <w:tblPr>
        <w:tblStyle w:val="TableGrid"/>
        <w:tblW w:w="0" w:type="auto"/>
        <w:jc w:val="center"/>
        <w:tblLook w:val="04A0" w:firstRow="1" w:lastRow="0" w:firstColumn="1" w:lastColumn="0" w:noHBand="0" w:noVBand="1"/>
      </w:tblPr>
      <w:tblGrid>
        <w:gridCol w:w="2055"/>
        <w:gridCol w:w="2534"/>
        <w:gridCol w:w="1733"/>
        <w:gridCol w:w="1733"/>
        <w:gridCol w:w="1733"/>
        <w:gridCol w:w="1733"/>
      </w:tblGrid>
      <w:tr w:rsidR="00636F38" w:rsidRPr="00073FF4" w:rsidTr="000626F3">
        <w:trPr>
          <w:trHeight w:val="352"/>
          <w:jc w:val="center"/>
        </w:trPr>
        <w:tc>
          <w:tcPr>
            <w:tcW w:w="4589" w:type="dxa"/>
            <w:gridSpan w:val="2"/>
            <w:tcBorders>
              <w:top w:val="double" w:sz="4" w:space="0" w:color="auto"/>
              <w:left w:val="double" w:sz="4" w:space="0" w:color="auto"/>
              <w:bottom w:val="double" w:sz="4" w:space="0" w:color="auto"/>
              <w:right w:val="single" w:sz="4" w:space="0" w:color="auto"/>
            </w:tcBorders>
            <w:vAlign w:val="center"/>
          </w:tcPr>
          <w:p w:rsidR="00636F38" w:rsidRPr="00073FF4" w:rsidRDefault="00636F38" w:rsidP="008F23F4">
            <w:pPr>
              <w:jc w:val="center"/>
              <w:rPr>
                <w:b/>
                <w:sz w:val="20"/>
                <w:szCs w:val="20"/>
              </w:rPr>
            </w:pPr>
            <w:r w:rsidRPr="00073FF4">
              <w:rPr>
                <w:b/>
                <w:sz w:val="20"/>
                <w:szCs w:val="20"/>
              </w:rPr>
              <w:t>Segmentation Variable</w:t>
            </w:r>
          </w:p>
        </w:tc>
        <w:tc>
          <w:tcPr>
            <w:tcW w:w="1733" w:type="dxa"/>
            <w:tcBorders>
              <w:top w:val="double" w:sz="4" w:space="0" w:color="auto"/>
              <w:left w:val="single" w:sz="4" w:space="0" w:color="auto"/>
              <w:bottom w:val="double" w:sz="4" w:space="0" w:color="auto"/>
              <w:right w:val="single" w:sz="4" w:space="0" w:color="auto"/>
            </w:tcBorders>
            <w:vAlign w:val="center"/>
          </w:tcPr>
          <w:p w:rsidR="00636F38" w:rsidRPr="00073FF4" w:rsidRDefault="00636F38" w:rsidP="008F23F4">
            <w:pPr>
              <w:jc w:val="center"/>
              <w:rPr>
                <w:b/>
                <w:sz w:val="20"/>
                <w:szCs w:val="20"/>
              </w:rPr>
            </w:pPr>
            <w:r w:rsidRPr="00073FF4">
              <w:rPr>
                <w:b/>
                <w:sz w:val="20"/>
                <w:szCs w:val="20"/>
              </w:rPr>
              <w:t>First Segment</w:t>
            </w:r>
          </w:p>
        </w:tc>
        <w:tc>
          <w:tcPr>
            <w:tcW w:w="1733" w:type="dxa"/>
            <w:tcBorders>
              <w:top w:val="double" w:sz="4" w:space="0" w:color="auto"/>
              <w:left w:val="single" w:sz="4" w:space="0" w:color="auto"/>
              <w:bottom w:val="double" w:sz="4" w:space="0" w:color="auto"/>
              <w:right w:val="single" w:sz="4" w:space="0" w:color="auto"/>
            </w:tcBorders>
            <w:vAlign w:val="center"/>
          </w:tcPr>
          <w:p w:rsidR="00636F38" w:rsidRPr="00073FF4" w:rsidRDefault="00636F38" w:rsidP="008F23F4">
            <w:pPr>
              <w:jc w:val="center"/>
              <w:rPr>
                <w:b/>
                <w:sz w:val="20"/>
                <w:szCs w:val="20"/>
              </w:rPr>
            </w:pPr>
            <w:r w:rsidRPr="00073FF4">
              <w:rPr>
                <w:b/>
                <w:sz w:val="20"/>
                <w:szCs w:val="20"/>
              </w:rPr>
              <w:t>Second Segment</w:t>
            </w:r>
          </w:p>
        </w:tc>
        <w:tc>
          <w:tcPr>
            <w:tcW w:w="1733" w:type="dxa"/>
            <w:tcBorders>
              <w:top w:val="double" w:sz="4" w:space="0" w:color="auto"/>
              <w:left w:val="single" w:sz="4" w:space="0" w:color="auto"/>
              <w:bottom w:val="double" w:sz="4" w:space="0" w:color="auto"/>
              <w:right w:val="single" w:sz="4" w:space="0" w:color="auto"/>
            </w:tcBorders>
            <w:vAlign w:val="center"/>
          </w:tcPr>
          <w:p w:rsidR="00636F38" w:rsidRPr="00073FF4" w:rsidRDefault="00636F38" w:rsidP="008F23F4">
            <w:pPr>
              <w:jc w:val="center"/>
              <w:rPr>
                <w:b/>
                <w:sz w:val="20"/>
                <w:szCs w:val="20"/>
              </w:rPr>
            </w:pPr>
            <w:r w:rsidRPr="00073FF4">
              <w:rPr>
                <w:b/>
                <w:sz w:val="20"/>
                <w:szCs w:val="20"/>
              </w:rPr>
              <w:t>Third Segment</w:t>
            </w:r>
          </w:p>
        </w:tc>
        <w:tc>
          <w:tcPr>
            <w:tcW w:w="1733" w:type="dxa"/>
            <w:tcBorders>
              <w:top w:val="double" w:sz="4" w:space="0" w:color="auto"/>
              <w:left w:val="single" w:sz="4" w:space="0" w:color="auto"/>
              <w:bottom w:val="double" w:sz="4" w:space="0" w:color="auto"/>
              <w:right w:val="double" w:sz="4" w:space="0" w:color="auto"/>
            </w:tcBorders>
            <w:vAlign w:val="center"/>
          </w:tcPr>
          <w:p w:rsidR="00636F38" w:rsidRPr="00073FF4" w:rsidRDefault="00636F38" w:rsidP="008F23F4">
            <w:pPr>
              <w:jc w:val="center"/>
              <w:rPr>
                <w:b/>
                <w:sz w:val="20"/>
                <w:szCs w:val="20"/>
              </w:rPr>
            </w:pPr>
            <w:r w:rsidRPr="00073FF4">
              <w:rPr>
                <w:b/>
                <w:sz w:val="20"/>
                <w:szCs w:val="20"/>
              </w:rPr>
              <w:t>Overall Market</w:t>
            </w:r>
          </w:p>
        </w:tc>
      </w:tr>
      <w:tr w:rsidR="00636F38" w:rsidRPr="00073FF4" w:rsidTr="000626F3">
        <w:trPr>
          <w:trHeight w:val="539"/>
          <w:jc w:val="center"/>
        </w:trPr>
        <w:tc>
          <w:tcPr>
            <w:tcW w:w="2055" w:type="dxa"/>
            <w:vMerge w:val="restart"/>
            <w:tcBorders>
              <w:top w:val="double" w:sz="4" w:space="0" w:color="auto"/>
              <w:left w:val="double" w:sz="4" w:space="0" w:color="auto"/>
            </w:tcBorders>
            <w:vAlign w:val="center"/>
          </w:tcPr>
          <w:p w:rsidR="00636F38" w:rsidRPr="00073FF4" w:rsidRDefault="00636F38" w:rsidP="008F23F4">
            <w:pPr>
              <w:jc w:val="center"/>
              <w:rPr>
                <w:sz w:val="20"/>
                <w:szCs w:val="20"/>
              </w:rPr>
            </w:pPr>
            <w:r w:rsidRPr="00073FF4">
              <w:rPr>
                <w:sz w:val="20"/>
                <w:szCs w:val="20"/>
              </w:rPr>
              <w:t>Age</w:t>
            </w:r>
          </w:p>
        </w:tc>
        <w:tc>
          <w:tcPr>
            <w:tcW w:w="2534" w:type="dxa"/>
            <w:tcBorders>
              <w:top w:val="double" w:sz="4" w:space="0" w:color="auto"/>
              <w:bottom w:val="nil"/>
            </w:tcBorders>
            <w:vAlign w:val="center"/>
          </w:tcPr>
          <w:p w:rsidR="00636F38" w:rsidRPr="00073FF4" w:rsidRDefault="00636F38" w:rsidP="009D47D8">
            <w:pPr>
              <w:jc w:val="left"/>
              <w:rPr>
                <w:sz w:val="20"/>
                <w:szCs w:val="20"/>
              </w:rPr>
            </w:pPr>
            <w:r w:rsidRPr="00073FF4">
              <w:rPr>
                <w:sz w:val="20"/>
                <w:szCs w:val="20"/>
              </w:rPr>
              <w:t>Younger than 48</w:t>
            </w:r>
          </w:p>
        </w:tc>
        <w:tc>
          <w:tcPr>
            <w:tcW w:w="1733" w:type="dxa"/>
            <w:tcBorders>
              <w:top w:val="double" w:sz="4" w:space="0" w:color="auto"/>
              <w:bottom w:val="nil"/>
            </w:tcBorders>
            <w:vAlign w:val="center"/>
          </w:tcPr>
          <w:p w:rsidR="00636F38" w:rsidRPr="00073FF4" w:rsidRDefault="00636F38" w:rsidP="008F23F4">
            <w:pPr>
              <w:tabs>
                <w:tab w:val="decimal" w:pos="212"/>
              </w:tabs>
              <w:jc w:val="center"/>
              <w:rPr>
                <w:sz w:val="20"/>
                <w:szCs w:val="20"/>
              </w:rPr>
            </w:pPr>
            <w:r w:rsidRPr="00073FF4">
              <w:rPr>
                <w:sz w:val="20"/>
                <w:szCs w:val="20"/>
              </w:rPr>
              <w:t>60.2%</w:t>
            </w:r>
          </w:p>
        </w:tc>
        <w:tc>
          <w:tcPr>
            <w:tcW w:w="1733" w:type="dxa"/>
            <w:tcBorders>
              <w:top w:val="double" w:sz="4" w:space="0" w:color="auto"/>
              <w:bottom w:val="nil"/>
            </w:tcBorders>
            <w:vAlign w:val="center"/>
          </w:tcPr>
          <w:p w:rsidR="00636F38" w:rsidRPr="00073FF4" w:rsidRDefault="00636F38" w:rsidP="008F23F4">
            <w:pPr>
              <w:tabs>
                <w:tab w:val="decimal" w:pos="347"/>
              </w:tabs>
              <w:jc w:val="center"/>
              <w:rPr>
                <w:sz w:val="20"/>
                <w:szCs w:val="20"/>
              </w:rPr>
            </w:pPr>
            <w:r w:rsidRPr="00073FF4">
              <w:rPr>
                <w:sz w:val="20"/>
                <w:szCs w:val="20"/>
              </w:rPr>
              <w:t>61.8%</w:t>
            </w:r>
          </w:p>
        </w:tc>
        <w:tc>
          <w:tcPr>
            <w:tcW w:w="1733" w:type="dxa"/>
            <w:tcBorders>
              <w:top w:val="double" w:sz="4" w:space="0" w:color="auto"/>
              <w:bottom w:val="nil"/>
            </w:tcBorders>
            <w:vAlign w:val="center"/>
          </w:tcPr>
          <w:p w:rsidR="00636F38" w:rsidRPr="00073FF4" w:rsidRDefault="00636F38" w:rsidP="008F23F4">
            <w:pPr>
              <w:tabs>
                <w:tab w:val="decimal" w:pos="253"/>
              </w:tabs>
              <w:jc w:val="center"/>
              <w:rPr>
                <w:sz w:val="20"/>
                <w:szCs w:val="20"/>
              </w:rPr>
            </w:pPr>
            <w:r w:rsidRPr="00073FF4">
              <w:rPr>
                <w:sz w:val="20"/>
                <w:szCs w:val="20"/>
              </w:rPr>
              <w:t>35.7%</w:t>
            </w:r>
          </w:p>
        </w:tc>
        <w:tc>
          <w:tcPr>
            <w:tcW w:w="1733" w:type="dxa"/>
            <w:tcBorders>
              <w:top w:val="double" w:sz="4" w:space="0" w:color="auto"/>
              <w:bottom w:val="nil"/>
              <w:right w:val="double" w:sz="4" w:space="0" w:color="auto"/>
            </w:tcBorders>
            <w:vAlign w:val="center"/>
          </w:tcPr>
          <w:p w:rsidR="00636F38" w:rsidRPr="00073FF4" w:rsidRDefault="00636F38" w:rsidP="008F23F4">
            <w:pPr>
              <w:tabs>
                <w:tab w:val="decimal" w:pos="225"/>
              </w:tabs>
              <w:jc w:val="center"/>
              <w:rPr>
                <w:sz w:val="20"/>
                <w:szCs w:val="20"/>
              </w:rPr>
            </w:pPr>
            <w:r w:rsidRPr="00073FF4">
              <w:rPr>
                <w:sz w:val="20"/>
                <w:szCs w:val="20"/>
              </w:rPr>
              <w:t>46.4%</w:t>
            </w:r>
          </w:p>
        </w:tc>
      </w:tr>
      <w:tr w:rsidR="00636F38" w:rsidRPr="00073FF4" w:rsidTr="000626F3">
        <w:trPr>
          <w:trHeight w:val="539"/>
          <w:jc w:val="center"/>
        </w:trPr>
        <w:tc>
          <w:tcPr>
            <w:tcW w:w="2055" w:type="dxa"/>
            <w:vMerge/>
            <w:tcBorders>
              <w:left w:val="double" w:sz="4" w:space="0" w:color="auto"/>
            </w:tcBorders>
            <w:vAlign w:val="center"/>
          </w:tcPr>
          <w:p w:rsidR="00636F38" w:rsidRPr="00073FF4" w:rsidRDefault="00636F38" w:rsidP="008F23F4">
            <w:pPr>
              <w:jc w:val="center"/>
              <w:rPr>
                <w:sz w:val="20"/>
                <w:szCs w:val="20"/>
              </w:rPr>
            </w:pPr>
          </w:p>
        </w:tc>
        <w:tc>
          <w:tcPr>
            <w:tcW w:w="2534" w:type="dxa"/>
            <w:tcBorders>
              <w:top w:val="nil"/>
              <w:bottom w:val="nil"/>
            </w:tcBorders>
            <w:vAlign w:val="center"/>
          </w:tcPr>
          <w:p w:rsidR="00636F38" w:rsidRPr="00073FF4" w:rsidRDefault="00636F38" w:rsidP="009D47D8">
            <w:pPr>
              <w:jc w:val="left"/>
              <w:rPr>
                <w:sz w:val="20"/>
                <w:szCs w:val="20"/>
              </w:rPr>
            </w:pPr>
            <w:r w:rsidRPr="00073FF4">
              <w:rPr>
                <w:sz w:val="20"/>
                <w:szCs w:val="20"/>
              </w:rPr>
              <w:t>48 years or older</w:t>
            </w:r>
          </w:p>
        </w:tc>
        <w:tc>
          <w:tcPr>
            <w:tcW w:w="1733" w:type="dxa"/>
            <w:tcBorders>
              <w:top w:val="nil"/>
              <w:bottom w:val="nil"/>
            </w:tcBorders>
            <w:vAlign w:val="center"/>
          </w:tcPr>
          <w:p w:rsidR="00636F38" w:rsidRPr="00073FF4" w:rsidRDefault="00636F38" w:rsidP="008F23F4">
            <w:pPr>
              <w:tabs>
                <w:tab w:val="decimal" w:pos="212"/>
              </w:tabs>
              <w:jc w:val="center"/>
              <w:rPr>
                <w:sz w:val="20"/>
                <w:szCs w:val="20"/>
              </w:rPr>
            </w:pPr>
            <w:r w:rsidRPr="00073FF4">
              <w:rPr>
                <w:sz w:val="20"/>
                <w:szCs w:val="20"/>
              </w:rPr>
              <w:t>39.8%</w:t>
            </w:r>
          </w:p>
        </w:tc>
        <w:tc>
          <w:tcPr>
            <w:tcW w:w="1733" w:type="dxa"/>
            <w:tcBorders>
              <w:top w:val="nil"/>
              <w:bottom w:val="nil"/>
            </w:tcBorders>
            <w:vAlign w:val="center"/>
          </w:tcPr>
          <w:p w:rsidR="00636F38" w:rsidRPr="00073FF4" w:rsidRDefault="00636F38" w:rsidP="008F23F4">
            <w:pPr>
              <w:tabs>
                <w:tab w:val="decimal" w:pos="347"/>
              </w:tabs>
              <w:jc w:val="center"/>
              <w:rPr>
                <w:sz w:val="20"/>
                <w:szCs w:val="20"/>
              </w:rPr>
            </w:pPr>
            <w:r w:rsidRPr="00073FF4">
              <w:rPr>
                <w:sz w:val="20"/>
                <w:szCs w:val="20"/>
              </w:rPr>
              <w:t>38.2%</w:t>
            </w:r>
          </w:p>
        </w:tc>
        <w:tc>
          <w:tcPr>
            <w:tcW w:w="1733" w:type="dxa"/>
            <w:tcBorders>
              <w:top w:val="nil"/>
              <w:bottom w:val="nil"/>
            </w:tcBorders>
            <w:vAlign w:val="center"/>
          </w:tcPr>
          <w:p w:rsidR="00636F38" w:rsidRPr="00073FF4" w:rsidRDefault="00636F38" w:rsidP="008F23F4">
            <w:pPr>
              <w:tabs>
                <w:tab w:val="decimal" w:pos="253"/>
              </w:tabs>
              <w:jc w:val="center"/>
              <w:rPr>
                <w:sz w:val="20"/>
                <w:szCs w:val="20"/>
              </w:rPr>
            </w:pPr>
            <w:r w:rsidRPr="00073FF4">
              <w:rPr>
                <w:sz w:val="20"/>
                <w:szCs w:val="20"/>
              </w:rPr>
              <w:t>64.3%</w:t>
            </w:r>
          </w:p>
        </w:tc>
        <w:tc>
          <w:tcPr>
            <w:tcW w:w="1733" w:type="dxa"/>
            <w:tcBorders>
              <w:top w:val="nil"/>
              <w:bottom w:val="nil"/>
              <w:right w:val="double" w:sz="4" w:space="0" w:color="auto"/>
            </w:tcBorders>
            <w:vAlign w:val="center"/>
          </w:tcPr>
          <w:p w:rsidR="00636F38" w:rsidRPr="00073FF4" w:rsidRDefault="00636F38" w:rsidP="008F23F4">
            <w:pPr>
              <w:tabs>
                <w:tab w:val="decimal" w:pos="225"/>
              </w:tabs>
              <w:jc w:val="center"/>
              <w:rPr>
                <w:sz w:val="20"/>
                <w:szCs w:val="20"/>
              </w:rPr>
            </w:pPr>
            <w:r w:rsidRPr="00073FF4">
              <w:rPr>
                <w:sz w:val="20"/>
                <w:szCs w:val="20"/>
              </w:rPr>
              <w:t>53.6%</w:t>
            </w:r>
          </w:p>
        </w:tc>
      </w:tr>
      <w:tr w:rsidR="00636F38" w:rsidRPr="00073FF4" w:rsidTr="000626F3">
        <w:trPr>
          <w:trHeight w:val="539"/>
          <w:jc w:val="center"/>
        </w:trPr>
        <w:tc>
          <w:tcPr>
            <w:tcW w:w="2055" w:type="dxa"/>
            <w:vMerge w:val="restart"/>
            <w:tcBorders>
              <w:left w:val="double" w:sz="4" w:space="0" w:color="auto"/>
            </w:tcBorders>
            <w:vAlign w:val="center"/>
          </w:tcPr>
          <w:p w:rsidR="00636F38" w:rsidRPr="00073FF4" w:rsidRDefault="00636F38" w:rsidP="008F23F4">
            <w:pPr>
              <w:jc w:val="center"/>
              <w:rPr>
                <w:sz w:val="20"/>
                <w:szCs w:val="20"/>
              </w:rPr>
            </w:pPr>
            <w:r w:rsidRPr="00073FF4">
              <w:rPr>
                <w:sz w:val="20"/>
                <w:szCs w:val="20"/>
              </w:rPr>
              <w:t>Household structure</w:t>
            </w:r>
          </w:p>
        </w:tc>
        <w:tc>
          <w:tcPr>
            <w:tcW w:w="2534" w:type="dxa"/>
            <w:tcBorders>
              <w:bottom w:val="nil"/>
            </w:tcBorders>
            <w:vAlign w:val="center"/>
          </w:tcPr>
          <w:p w:rsidR="00636F38" w:rsidRPr="00073FF4" w:rsidRDefault="00636F38" w:rsidP="009D47D8">
            <w:pPr>
              <w:jc w:val="left"/>
              <w:rPr>
                <w:sz w:val="20"/>
                <w:szCs w:val="20"/>
              </w:rPr>
            </w:pPr>
            <w:r w:rsidRPr="00073FF4">
              <w:rPr>
                <w:sz w:val="20"/>
                <w:szCs w:val="20"/>
              </w:rPr>
              <w:t>Single person</w:t>
            </w:r>
          </w:p>
        </w:tc>
        <w:tc>
          <w:tcPr>
            <w:tcW w:w="1733" w:type="dxa"/>
            <w:tcBorders>
              <w:bottom w:val="nil"/>
            </w:tcBorders>
            <w:vAlign w:val="center"/>
          </w:tcPr>
          <w:p w:rsidR="00636F38" w:rsidRPr="00073FF4" w:rsidRDefault="00636F38" w:rsidP="008F23F4">
            <w:pPr>
              <w:tabs>
                <w:tab w:val="decimal" w:pos="212"/>
              </w:tabs>
              <w:jc w:val="center"/>
              <w:rPr>
                <w:sz w:val="20"/>
                <w:szCs w:val="20"/>
              </w:rPr>
            </w:pPr>
            <w:r w:rsidRPr="00073FF4">
              <w:rPr>
                <w:sz w:val="20"/>
                <w:szCs w:val="20"/>
              </w:rPr>
              <w:t>15.4%</w:t>
            </w:r>
          </w:p>
        </w:tc>
        <w:tc>
          <w:tcPr>
            <w:tcW w:w="1733" w:type="dxa"/>
            <w:tcBorders>
              <w:bottom w:val="nil"/>
            </w:tcBorders>
            <w:vAlign w:val="center"/>
          </w:tcPr>
          <w:p w:rsidR="00636F38" w:rsidRPr="00073FF4" w:rsidRDefault="00636F38" w:rsidP="008F23F4">
            <w:pPr>
              <w:tabs>
                <w:tab w:val="decimal" w:pos="347"/>
              </w:tabs>
              <w:jc w:val="center"/>
              <w:rPr>
                <w:sz w:val="20"/>
                <w:szCs w:val="20"/>
              </w:rPr>
            </w:pPr>
            <w:r w:rsidRPr="00073FF4">
              <w:rPr>
                <w:sz w:val="20"/>
                <w:szCs w:val="20"/>
              </w:rPr>
              <w:t>13.8%</w:t>
            </w:r>
          </w:p>
        </w:tc>
        <w:tc>
          <w:tcPr>
            <w:tcW w:w="1733" w:type="dxa"/>
            <w:tcBorders>
              <w:bottom w:val="nil"/>
            </w:tcBorders>
            <w:vAlign w:val="center"/>
          </w:tcPr>
          <w:p w:rsidR="00636F38" w:rsidRPr="00073FF4" w:rsidRDefault="00636F38" w:rsidP="008F23F4">
            <w:pPr>
              <w:tabs>
                <w:tab w:val="decimal" w:pos="253"/>
              </w:tabs>
              <w:jc w:val="center"/>
              <w:rPr>
                <w:sz w:val="20"/>
                <w:szCs w:val="20"/>
              </w:rPr>
            </w:pPr>
            <w:r w:rsidRPr="00073FF4">
              <w:rPr>
                <w:sz w:val="20"/>
                <w:szCs w:val="20"/>
              </w:rPr>
              <w:t>13.7%</w:t>
            </w:r>
          </w:p>
        </w:tc>
        <w:tc>
          <w:tcPr>
            <w:tcW w:w="1733" w:type="dxa"/>
            <w:tcBorders>
              <w:bottom w:val="nil"/>
              <w:right w:val="double" w:sz="4" w:space="0" w:color="auto"/>
            </w:tcBorders>
            <w:vAlign w:val="center"/>
          </w:tcPr>
          <w:p w:rsidR="00636F38" w:rsidRPr="00073FF4" w:rsidRDefault="00636F38" w:rsidP="008F23F4">
            <w:pPr>
              <w:tabs>
                <w:tab w:val="decimal" w:pos="225"/>
              </w:tabs>
              <w:jc w:val="center"/>
              <w:rPr>
                <w:sz w:val="20"/>
                <w:szCs w:val="20"/>
              </w:rPr>
            </w:pPr>
            <w:r w:rsidRPr="00073FF4">
              <w:rPr>
                <w:sz w:val="20"/>
                <w:szCs w:val="20"/>
              </w:rPr>
              <w:t>14.0%</w:t>
            </w:r>
          </w:p>
        </w:tc>
      </w:tr>
      <w:tr w:rsidR="00636F38" w:rsidRPr="00073FF4" w:rsidTr="000626F3">
        <w:trPr>
          <w:trHeight w:val="539"/>
          <w:jc w:val="center"/>
        </w:trPr>
        <w:tc>
          <w:tcPr>
            <w:tcW w:w="2055" w:type="dxa"/>
            <w:vMerge/>
            <w:tcBorders>
              <w:left w:val="double" w:sz="4" w:space="0" w:color="auto"/>
            </w:tcBorders>
            <w:vAlign w:val="center"/>
          </w:tcPr>
          <w:p w:rsidR="00636F38" w:rsidRPr="00073FF4" w:rsidRDefault="00636F38" w:rsidP="008F23F4">
            <w:pPr>
              <w:jc w:val="center"/>
              <w:rPr>
                <w:sz w:val="20"/>
                <w:szCs w:val="20"/>
              </w:rPr>
            </w:pPr>
          </w:p>
        </w:tc>
        <w:tc>
          <w:tcPr>
            <w:tcW w:w="2534" w:type="dxa"/>
            <w:tcBorders>
              <w:top w:val="nil"/>
              <w:bottom w:val="nil"/>
            </w:tcBorders>
            <w:vAlign w:val="center"/>
          </w:tcPr>
          <w:p w:rsidR="00636F38" w:rsidRPr="00073FF4" w:rsidRDefault="00636F38" w:rsidP="009D47D8">
            <w:pPr>
              <w:jc w:val="left"/>
              <w:rPr>
                <w:sz w:val="20"/>
                <w:szCs w:val="20"/>
              </w:rPr>
            </w:pPr>
            <w:r w:rsidRPr="00073FF4">
              <w:rPr>
                <w:sz w:val="20"/>
                <w:szCs w:val="20"/>
              </w:rPr>
              <w:t>Couple</w:t>
            </w:r>
          </w:p>
        </w:tc>
        <w:tc>
          <w:tcPr>
            <w:tcW w:w="1733" w:type="dxa"/>
            <w:tcBorders>
              <w:top w:val="nil"/>
              <w:bottom w:val="nil"/>
            </w:tcBorders>
            <w:vAlign w:val="center"/>
          </w:tcPr>
          <w:p w:rsidR="00636F38" w:rsidRPr="00073FF4" w:rsidRDefault="00636F38" w:rsidP="008F23F4">
            <w:pPr>
              <w:tabs>
                <w:tab w:val="decimal" w:pos="212"/>
              </w:tabs>
              <w:jc w:val="center"/>
              <w:rPr>
                <w:sz w:val="20"/>
                <w:szCs w:val="20"/>
              </w:rPr>
            </w:pPr>
            <w:r w:rsidRPr="00073FF4">
              <w:rPr>
                <w:sz w:val="20"/>
                <w:szCs w:val="20"/>
              </w:rPr>
              <w:t>22.9%</w:t>
            </w:r>
          </w:p>
        </w:tc>
        <w:tc>
          <w:tcPr>
            <w:tcW w:w="1733" w:type="dxa"/>
            <w:tcBorders>
              <w:top w:val="nil"/>
              <w:bottom w:val="nil"/>
            </w:tcBorders>
            <w:vAlign w:val="center"/>
          </w:tcPr>
          <w:p w:rsidR="00636F38" w:rsidRPr="00073FF4" w:rsidRDefault="00636F38" w:rsidP="008F23F4">
            <w:pPr>
              <w:tabs>
                <w:tab w:val="decimal" w:pos="347"/>
              </w:tabs>
              <w:jc w:val="center"/>
              <w:rPr>
                <w:sz w:val="20"/>
                <w:szCs w:val="20"/>
              </w:rPr>
            </w:pPr>
            <w:r w:rsidRPr="00073FF4">
              <w:rPr>
                <w:sz w:val="20"/>
                <w:szCs w:val="20"/>
              </w:rPr>
              <w:t>18.3%</w:t>
            </w:r>
          </w:p>
        </w:tc>
        <w:tc>
          <w:tcPr>
            <w:tcW w:w="1733" w:type="dxa"/>
            <w:tcBorders>
              <w:top w:val="nil"/>
              <w:bottom w:val="nil"/>
            </w:tcBorders>
            <w:vAlign w:val="center"/>
          </w:tcPr>
          <w:p w:rsidR="00636F38" w:rsidRPr="00073FF4" w:rsidRDefault="00636F38" w:rsidP="008F23F4">
            <w:pPr>
              <w:tabs>
                <w:tab w:val="decimal" w:pos="253"/>
              </w:tabs>
              <w:jc w:val="center"/>
              <w:rPr>
                <w:sz w:val="20"/>
                <w:szCs w:val="20"/>
              </w:rPr>
            </w:pPr>
            <w:r w:rsidRPr="00073FF4">
              <w:rPr>
                <w:sz w:val="20"/>
                <w:szCs w:val="20"/>
              </w:rPr>
              <w:t>41.5%</w:t>
            </w:r>
          </w:p>
        </w:tc>
        <w:tc>
          <w:tcPr>
            <w:tcW w:w="1733" w:type="dxa"/>
            <w:tcBorders>
              <w:top w:val="nil"/>
              <w:bottom w:val="nil"/>
              <w:right w:val="double" w:sz="4" w:space="0" w:color="auto"/>
            </w:tcBorders>
            <w:vAlign w:val="center"/>
          </w:tcPr>
          <w:p w:rsidR="00636F38" w:rsidRPr="00073FF4" w:rsidRDefault="00636F38" w:rsidP="008F23F4">
            <w:pPr>
              <w:tabs>
                <w:tab w:val="decimal" w:pos="225"/>
              </w:tabs>
              <w:jc w:val="center"/>
              <w:rPr>
                <w:sz w:val="20"/>
                <w:szCs w:val="20"/>
              </w:rPr>
            </w:pPr>
            <w:r w:rsidRPr="00073FF4">
              <w:rPr>
                <w:sz w:val="20"/>
                <w:szCs w:val="20"/>
              </w:rPr>
              <w:t>26.0%</w:t>
            </w:r>
          </w:p>
        </w:tc>
      </w:tr>
      <w:tr w:rsidR="00636F38" w:rsidRPr="00073FF4" w:rsidTr="000626F3">
        <w:trPr>
          <w:trHeight w:val="539"/>
          <w:jc w:val="center"/>
        </w:trPr>
        <w:tc>
          <w:tcPr>
            <w:tcW w:w="2055" w:type="dxa"/>
            <w:vMerge/>
            <w:tcBorders>
              <w:left w:val="double" w:sz="4" w:space="0" w:color="auto"/>
            </w:tcBorders>
            <w:vAlign w:val="center"/>
          </w:tcPr>
          <w:p w:rsidR="00636F38" w:rsidRPr="00073FF4" w:rsidRDefault="00636F38" w:rsidP="008F23F4">
            <w:pPr>
              <w:jc w:val="center"/>
              <w:rPr>
                <w:sz w:val="20"/>
                <w:szCs w:val="20"/>
              </w:rPr>
            </w:pPr>
          </w:p>
        </w:tc>
        <w:tc>
          <w:tcPr>
            <w:tcW w:w="2534" w:type="dxa"/>
            <w:tcBorders>
              <w:top w:val="nil"/>
              <w:bottom w:val="nil"/>
            </w:tcBorders>
            <w:vAlign w:val="center"/>
          </w:tcPr>
          <w:p w:rsidR="00636F38" w:rsidRPr="00073FF4" w:rsidRDefault="00636F38" w:rsidP="009D47D8">
            <w:pPr>
              <w:jc w:val="left"/>
              <w:rPr>
                <w:sz w:val="20"/>
                <w:szCs w:val="20"/>
              </w:rPr>
            </w:pPr>
            <w:r w:rsidRPr="00073FF4">
              <w:rPr>
                <w:sz w:val="20"/>
                <w:szCs w:val="20"/>
              </w:rPr>
              <w:t>Nuclear family</w:t>
            </w:r>
          </w:p>
        </w:tc>
        <w:tc>
          <w:tcPr>
            <w:tcW w:w="1733" w:type="dxa"/>
            <w:tcBorders>
              <w:top w:val="nil"/>
              <w:bottom w:val="nil"/>
            </w:tcBorders>
            <w:vAlign w:val="center"/>
          </w:tcPr>
          <w:p w:rsidR="00636F38" w:rsidRPr="00073FF4" w:rsidRDefault="00636F38" w:rsidP="008F23F4">
            <w:pPr>
              <w:tabs>
                <w:tab w:val="decimal" w:pos="212"/>
              </w:tabs>
              <w:jc w:val="center"/>
              <w:rPr>
                <w:sz w:val="20"/>
                <w:szCs w:val="20"/>
              </w:rPr>
            </w:pPr>
            <w:r w:rsidRPr="00073FF4">
              <w:rPr>
                <w:sz w:val="20"/>
                <w:szCs w:val="20"/>
              </w:rPr>
              <w:t>45.0%</w:t>
            </w:r>
          </w:p>
        </w:tc>
        <w:tc>
          <w:tcPr>
            <w:tcW w:w="1733" w:type="dxa"/>
            <w:tcBorders>
              <w:top w:val="nil"/>
              <w:bottom w:val="nil"/>
            </w:tcBorders>
            <w:vAlign w:val="center"/>
          </w:tcPr>
          <w:p w:rsidR="00636F38" w:rsidRPr="00073FF4" w:rsidRDefault="00636F38" w:rsidP="008F23F4">
            <w:pPr>
              <w:tabs>
                <w:tab w:val="decimal" w:pos="347"/>
              </w:tabs>
              <w:jc w:val="center"/>
              <w:rPr>
                <w:sz w:val="20"/>
                <w:szCs w:val="20"/>
              </w:rPr>
            </w:pPr>
            <w:r w:rsidRPr="00073FF4">
              <w:rPr>
                <w:sz w:val="20"/>
                <w:szCs w:val="20"/>
              </w:rPr>
              <w:t>52.1%</w:t>
            </w:r>
          </w:p>
        </w:tc>
        <w:tc>
          <w:tcPr>
            <w:tcW w:w="1733" w:type="dxa"/>
            <w:tcBorders>
              <w:top w:val="nil"/>
              <w:bottom w:val="nil"/>
            </w:tcBorders>
            <w:vAlign w:val="center"/>
          </w:tcPr>
          <w:p w:rsidR="00636F38" w:rsidRPr="00073FF4" w:rsidRDefault="00636F38" w:rsidP="008F23F4">
            <w:pPr>
              <w:tabs>
                <w:tab w:val="decimal" w:pos="253"/>
              </w:tabs>
              <w:jc w:val="center"/>
              <w:rPr>
                <w:sz w:val="20"/>
                <w:szCs w:val="20"/>
              </w:rPr>
            </w:pPr>
            <w:r w:rsidRPr="00073FF4">
              <w:rPr>
                <w:sz w:val="20"/>
                <w:szCs w:val="20"/>
              </w:rPr>
              <w:t>31.6%</w:t>
            </w:r>
          </w:p>
        </w:tc>
        <w:tc>
          <w:tcPr>
            <w:tcW w:w="1733" w:type="dxa"/>
            <w:tcBorders>
              <w:top w:val="nil"/>
              <w:bottom w:val="nil"/>
              <w:right w:val="double" w:sz="4" w:space="0" w:color="auto"/>
            </w:tcBorders>
            <w:vAlign w:val="center"/>
          </w:tcPr>
          <w:p w:rsidR="00636F38" w:rsidRPr="00073FF4" w:rsidRDefault="00636F38" w:rsidP="008F23F4">
            <w:pPr>
              <w:tabs>
                <w:tab w:val="decimal" w:pos="225"/>
              </w:tabs>
              <w:jc w:val="center"/>
              <w:rPr>
                <w:sz w:val="20"/>
                <w:szCs w:val="20"/>
              </w:rPr>
            </w:pPr>
            <w:r w:rsidRPr="00073FF4">
              <w:rPr>
                <w:sz w:val="20"/>
                <w:szCs w:val="20"/>
              </w:rPr>
              <w:t>45.0%</w:t>
            </w:r>
          </w:p>
        </w:tc>
      </w:tr>
      <w:tr w:rsidR="00636F38" w:rsidRPr="00073FF4" w:rsidTr="000626F3">
        <w:trPr>
          <w:trHeight w:val="539"/>
          <w:jc w:val="center"/>
        </w:trPr>
        <w:tc>
          <w:tcPr>
            <w:tcW w:w="2055" w:type="dxa"/>
            <w:vMerge/>
            <w:tcBorders>
              <w:left w:val="double" w:sz="4" w:space="0" w:color="auto"/>
            </w:tcBorders>
            <w:vAlign w:val="center"/>
          </w:tcPr>
          <w:p w:rsidR="00636F38" w:rsidRPr="00073FF4" w:rsidRDefault="00636F38" w:rsidP="008F23F4">
            <w:pPr>
              <w:jc w:val="center"/>
              <w:rPr>
                <w:sz w:val="20"/>
                <w:szCs w:val="20"/>
              </w:rPr>
            </w:pPr>
          </w:p>
        </w:tc>
        <w:tc>
          <w:tcPr>
            <w:tcW w:w="2534" w:type="dxa"/>
            <w:tcBorders>
              <w:top w:val="nil"/>
              <w:bottom w:val="nil"/>
            </w:tcBorders>
            <w:vAlign w:val="center"/>
          </w:tcPr>
          <w:p w:rsidR="00636F38" w:rsidRPr="00073FF4" w:rsidRDefault="00636F38" w:rsidP="009D47D8">
            <w:pPr>
              <w:jc w:val="left"/>
              <w:rPr>
                <w:sz w:val="20"/>
                <w:szCs w:val="20"/>
              </w:rPr>
            </w:pPr>
            <w:r w:rsidRPr="00073FF4">
              <w:rPr>
                <w:sz w:val="20"/>
                <w:szCs w:val="20"/>
              </w:rPr>
              <w:t>Single parent</w:t>
            </w:r>
          </w:p>
        </w:tc>
        <w:tc>
          <w:tcPr>
            <w:tcW w:w="1733" w:type="dxa"/>
            <w:tcBorders>
              <w:top w:val="nil"/>
              <w:bottom w:val="nil"/>
            </w:tcBorders>
            <w:vAlign w:val="center"/>
          </w:tcPr>
          <w:p w:rsidR="00636F38" w:rsidRPr="00073FF4" w:rsidRDefault="00636F38" w:rsidP="008F23F4">
            <w:pPr>
              <w:tabs>
                <w:tab w:val="decimal" w:pos="212"/>
              </w:tabs>
              <w:jc w:val="center"/>
              <w:rPr>
                <w:sz w:val="20"/>
                <w:szCs w:val="20"/>
              </w:rPr>
            </w:pPr>
            <w:r w:rsidRPr="00073FF4">
              <w:rPr>
                <w:sz w:val="20"/>
                <w:szCs w:val="20"/>
              </w:rPr>
              <w:t>5.1%</w:t>
            </w:r>
          </w:p>
        </w:tc>
        <w:tc>
          <w:tcPr>
            <w:tcW w:w="1733" w:type="dxa"/>
            <w:tcBorders>
              <w:top w:val="nil"/>
              <w:bottom w:val="nil"/>
            </w:tcBorders>
            <w:vAlign w:val="center"/>
          </w:tcPr>
          <w:p w:rsidR="00636F38" w:rsidRPr="00073FF4" w:rsidRDefault="00636F38" w:rsidP="008F23F4">
            <w:pPr>
              <w:tabs>
                <w:tab w:val="decimal" w:pos="347"/>
              </w:tabs>
              <w:jc w:val="center"/>
              <w:rPr>
                <w:sz w:val="20"/>
                <w:szCs w:val="20"/>
              </w:rPr>
            </w:pPr>
            <w:r w:rsidRPr="00073FF4">
              <w:rPr>
                <w:sz w:val="20"/>
                <w:szCs w:val="20"/>
              </w:rPr>
              <w:t>7.4%</w:t>
            </w:r>
          </w:p>
        </w:tc>
        <w:tc>
          <w:tcPr>
            <w:tcW w:w="1733" w:type="dxa"/>
            <w:tcBorders>
              <w:top w:val="nil"/>
              <w:bottom w:val="nil"/>
            </w:tcBorders>
            <w:vAlign w:val="center"/>
          </w:tcPr>
          <w:p w:rsidR="00636F38" w:rsidRPr="00073FF4" w:rsidRDefault="00636F38" w:rsidP="008F23F4">
            <w:pPr>
              <w:tabs>
                <w:tab w:val="decimal" w:pos="253"/>
              </w:tabs>
              <w:jc w:val="center"/>
              <w:rPr>
                <w:sz w:val="20"/>
                <w:szCs w:val="20"/>
              </w:rPr>
            </w:pPr>
            <w:r w:rsidRPr="00073FF4">
              <w:rPr>
                <w:sz w:val="20"/>
                <w:szCs w:val="20"/>
              </w:rPr>
              <w:t>4.7%</w:t>
            </w:r>
          </w:p>
        </w:tc>
        <w:tc>
          <w:tcPr>
            <w:tcW w:w="1733" w:type="dxa"/>
            <w:tcBorders>
              <w:top w:val="nil"/>
              <w:bottom w:val="nil"/>
              <w:right w:val="double" w:sz="4" w:space="0" w:color="auto"/>
            </w:tcBorders>
            <w:vAlign w:val="center"/>
          </w:tcPr>
          <w:p w:rsidR="00636F38" w:rsidRPr="00073FF4" w:rsidRDefault="00636F38" w:rsidP="008F23F4">
            <w:pPr>
              <w:tabs>
                <w:tab w:val="decimal" w:pos="225"/>
              </w:tabs>
              <w:jc w:val="center"/>
              <w:rPr>
                <w:sz w:val="20"/>
                <w:szCs w:val="20"/>
              </w:rPr>
            </w:pPr>
            <w:r w:rsidRPr="00073FF4">
              <w:rPr>
                <w:sz w:val="20"/>
                <w:szCs w:val="20"/>
              </w:rPr>
              <w:t>6.3%</w:t>
            </w:r>
          </w:p>
        </w:tc>
      </w:tr>
      <w:tr w:rsidR="00636F38" w:rsidRPr="00073FF4" w:rsidTr="000626F3">
        <w:trPr>
          <w:trHeight w:val="539"/>
          <w:jc w:val="center"/>
        </w:trPr>
        <w:tc>
          <w:tcPr>
            <w:tcW w:w="2055" w:type="dxa"/>
            <w:vMerge/>
            <w:tcBorders>
              <w:left w:val="double" w:sz="4" w:space="0" w:color="auto"/>
              <w:bottom w:val="single" w:sz="4" w:space="0" w:color="auto"/>
            </w:tcBorders>
            <w:vAlign w:val="center"/>
          </w:tcPr>
          <w:p w:rsidR="00636F38" w:rsidRPr="00073FF4" w:rsidRDefault="00636F38" w:rsidP="008F23F4">
            <w:pPr>
              <w:jc w:val="center"/>
              <w:rPr>
                <w:sz w:val="20"/>
                <w:szCs w:val="20"/>
              </w:rPr>
            </w:pPr>
          </w:p>
        </w:tc>
        <w:tc>
          <w:tcPr>
            <w:tcW w:w="2534" w:type="dxa"/>
            <w:tcBorders>
              <w:top w:val="nil"/>
              <w:bottom w:val="single" w:sz="4" w:space="0" w:color="auto"/>
            </w:tcBorders>
            <w:vAlign w:val="center"/>
          </w:tcPr>
          <w:p w:rsidR="00636F38" w:rsidRPr="00073FF4" w:rsidRDefault="00636F38" w:rsidP="009D47D8">
            <w:pPr>
              <w:jc w:val="left"/>
              <w:rPr>
                <w:sz w:val="20"/>
                <w:szCs w:val="20"/>
              </w:rPr>
            </w:pPr>
            <w:r w:rsidRPr="00073FF4">
              <w:rPr>
                <w:sz w:val="20"/>
                <w:szCs w:val="20"/>
              </w:rPr>
              <w:t>Multi family or non-family</w:t>
            </w:r>
          </w:p>
        </w:tc>
        <w:tc>
          <w:tcPr>
            <w:tcW w:w="1733" w:type="dxa"/>
            <w:tcBorders>
              <w:top w:val="nil"/>
              <w:bottom w:val="single" w:sz="4" w:space="0" w:color="auto"/>
            </w:tcBorders>
            <w:vAlign w:val="center"/>
          </w:tcPr>
          <w:p w:rsidR="00636F38" w:rsidRPr="00073FF4" w:rsidRDefault="00636F38" w:rsidP="008F23F4">
            <w:pPr>
              <w:tabs>
                <w:tab w:val="decimal" w:pos="212"/>
              </w:tabs>
              <w:jc w:val="center"/>
              <w:rPr>
                <w:sz w:val="20"/>
                <w:szCs w:val="20"/>
              </w:rPr>
            </w:pPr>
            <w:r w:rsidRPr="00073FF4">
              <w:rPr>
                <w:sz w:val="20"/>
                <w:szCs w:val="20"/>
              </w:rPr>
              <w:t>11.6%</w:t>
            </w:r>
          </w:p>
        </w:tc>
        <w:tc>
          <w:tcPr>
            <w:tcW w:w="1733" w:type="dxa"/>
            <w:tcBorders>
              <w:top w:val="nil"/>
              <w:bottom w:val="single" w:sz="4" w:space="0" w:color="auto"/>
            </w:tcBorders>
            <w:vAlign w:val="center"/>
          </w:tcPr>
          <w:p w:rsidR="00636F38" w:rsidRPr="00073FF4" w:rsidRDefault="00636F38" w:rsidP="008F23F4">
            <w:pPr>
              <w:tabs>
                <w:tab w:val="decimal" w:pos="347"/>
              </w:tabs>
              <w:jc w:val="center"/>
              <w:rPr>
                <w:sz w:val="20"/>
                <w:szCs w:val="20"/>
              </w:rPr>
            </w:pPr>
            <w:r w:rsidRPr="00073FF4">
              <w:rPr>
                <w:sz w:val="20"/>
                <w:szCs w:val="20"/>
              </w:rPr>
              <w:t>8.4%</w:t>
            </w:r>
          </w:p>
        </w:tc>
        <w:tc>
          <w:tcPr>
            <w:tcW w:w="1733" w:type="dxa"/>
            <w:tcBorders>
              <w:top w:val="nil"/>
              <w:bottom w:val="single" w:sz="4" w:space="0" w:color="auto"/>
            </w:tcBorders>
            <w:vAlign w:val="center"/>
          </w:tcPr>
          <w:p w:rsidR="00636F38" w:rsidRPr="00073FF4" w:rsidRDefault="00636F38" w:rsidP="008F23F4">
            <w:pPr>
              <w:tabs>
                <w:tab w:val="decimal" w:pos="253"/>
              </w:tabs>
              <w:jc w:val="center"/>
              <w:rPr>
                <w:sz w:val="20"/>
                <w:szCs w:val="20"/>
              </w:rPr>
            </w:pPr>
            <w:r w:rsidRPr="00073FF4">
              <w:rPr>
                <w:sz w:val="20"/>
                <w:szCs w:val="20"/>
              </w:rPr>
              <w:t>8.5%</w:t>
            </w:r>
          </w:p>
        </w:tc>
        <w:tc>
          <w:tcPr>
            <w:tcW w:w="1733" w:type="dxa"/>
            <w:tcBorders>
              <w:top w:val="nil"/>
              <w:bottom w:val="single" w:sz="4" w:space="0" w:color="auto"/>
              <w:right w:val="double" w:sz="4" w:space="0" w:color="auto"/>
            </w:tcBorders>
            <w:vAlign w:val="center"/>
          </w:tcPr>
          <w:p w:rsidR="00636F38" w:rsidRPr="00073FF4" w:rsidRDefault="00636F38" w:rsidP="008F23F4">
            <w:pPr>
              <w:tabs>
                <w:tab w:val="decimal" w:pos="225"/>
              </w:tabs>
              <w:jc w:val="center"/>
              <w:rPr>
                <w:sz w:val="20"/>
                <w:szCs w:val="20"/>
              </w:rPr>
            </w:pPr>
            <w:r w:rsidRPr="00073FF4">
              <w:rPr>
                <w:sz w:val="20"/>
                <w:szCs w:val="20"/>
              </w:rPr>
              <w:t>8.7%</w:t>
            </w:r>
          </w:p>
        </w:tc>
      </w:tr>
      <w:tr w:rsidR="00636F38" w:rsidRPr="00073FF4" w:rsidTr="000626F3">
        <w:trPr>
          <w:trHeight w:val="539"/>
          <w:jc w:val="center"/>
        </w:trPr>
        <w:tc>
          <w:tcPr>
            <w:tcW w:w="2055" w:type="dxa"/>
            <w:vMerge w:val="restart"/>
            <w:tcBorders>
              <w:top w:val="single" w:sz="4" w:space="0" w:color="auto"/>
              <w:left w:val="double" w:sz="4" w:space="0" w:color="auto"/>
            </w:tcBorders>
            <w:vAlign w:val="center"/>
          </w:tcPr>
          <w:p w:rsidR="00636F38" w:rsidRPr="00073FF4" w:rsidRDefault="00636F38" w:rsidP="008F23F4">
            <w:pPr>
              <w:jc w:val="center"/>
              <w:rPr>
                <w:sz w:val="20"/>
                <w:szCs w:val="20"/>
              </w:rPr>
            </w:pPr>
            <w:r w:rsidRPr="00073FF4">
              <w:rPr>
                <w:sz w:val="20"/>
                <w:szCs w:val="20"/>
              </w:rPr>
              <w:t>Income</w:t>
            </w:r>
          </w:p>
        </w:tc>
        <w:tc>
          <w:tcPr>
            <w:tcW w:w="2534" w:type="dxa"/>
            <w:tcBorders>
              <w:top w:val="single" w:sz="4" w:space="0" w:color="auto"/>
              <w:bottom w:val="nil"/>
            </w:tcBorders>
            <w:vAlign w:val="center"/>
          </w:tcPr>
          <w:p w:rsidR="00636F38" w:rsidRPr="00073FF4" w:rsidRDefault="00636F38" w:rsidP="009D47D8">
            <w:pPr>
              <w:jc w:val="left"/>
              <w:rPr>
                <w:sz w:val="20"/>
                <w:szCs w:val="20"/>
              </w:rPr>
            </w:pPr>
            <w:r w:rsidRPr="00073FF4">
              <w:rPr>
                <w:sz w:val="20"/>
                <w:szCs w:val="20"/>
              </w:rPr>
              <w:t xml:space="preserve">Less than </w:t>
            </w:r>
            <w:r w:rsidR="007716C1">
              <w:rPr>
                <w:sz w:val="20"/>
                <w:szCs w:val="20"/>
              </w:rPr>
              <w:t>NZ</w:t>
            </w:r>
            <w:r w:rsidRPr="00073FF4">
              <w:rPr>
                <w:sz w:val="20"/>
                <w:szCs w:val="20"/>
              </w:rPr>
              <w:t>$50,000</w:t>
            </w:r>
          </w:p>
        </w:tc>
        <w:tc>
          <w:tcPr>
            <w:tcW w:w="1733" w:type="dxa"/>
            <w:tcBorders>
              <w:top w:val="single" w:sz="4" w:space="0" w:color="auto"/>
              <w:bottom w:val="nil"/>
            </w:tcBorders>
            <w:vAlign w:val="center"/>
          </w:tcPr>
          <w:p w:rsidR="00636F38" w:rsidRPr="00073FF4" w:rsidRDefault="00636F38" w:rsidP="008F23F4">
            <w:pPr>
              <w:tabs>
                <w:tab w:val="decimal" w:pos="212"/>
              </w:tabs>
              <w:jc w:val="center"/>
              <w:rPr>
                <w:sz w:val="20"/>
                <w:szCs w:val="20"/>
              </w:rPr>
            </w:pPr>
            <w:r w:rsidRPr="00073FF4">
              <w:rPr>
                <w:sz w:val="20"/>
                <w:szCs w:val="20"/>
              </w:rPr>
              <w:t>22.9%</w:t>
            </w:r>
          </w:p>
        </w:tc>
        <w:tc>
          <w:tcPr>
            <w:tcW w:w="1733" w:type="dxa"/>
            <w:tcBorders>
              <w:top w:val="single" w:sz="4" w:space="0" w:color="auto"/>
              <w:bottom w:val="nil"/>
            </w:tcBorders>
            <w:vAlign w:val="center"/>
          </w:tcPr>
          <w:p w:rsidR="00636F38" w:rsidRPr="00073FF4" w:rsidRDefault="00636F38" w:rsidP="008F23F4">
            <w:pPr>
              <w:tabs>
                <w:tab w:val="decimal" w:pos="347"/>
              </w:tabs>
              <w:jc w:val="center"/>
              <w:rPr>
                <w:sz w:val="20"/>
                <w:szCs w:val="20"/>
              </w:rPr>
            </w:pPr>
            <w:r w:rsidRPr="00073FF4">
              <w:rPr>
                <w:sz w:val="20"/>
                <w:szCs w:val="20"/>
              </w:rPr>
              <w:t>42.6%</w:t>
            </w:r>
          </w:p>
        </w:tc>
        <w:tc>
          <w:tcPr>
            <w:tcW w:w="1733" w:type="dxa"/>
            <w:tcBorders>
              <w:top w:val="single" w:sz="4" w:space="0" w:color="auto"/>
              <w:bottom w:val="nil"/>
            </w:tcBorders>
            <w:vAlign w:val="center"/>
          </w:tcPr>
          <w:p w:rsidR="00636F38" w:rsidRPr="00073FF4" w:rsidRDefault="00636F38" w:rsidP="008F23F4">
            <w:pPr>
              <w:tabs>
                <w:tab w:val="decimal" w:pos="253"/>
              </w:tabs>
              <w:jc w:val="center"/>
              <w:rPr>
                <w:sz w:val="20"/>
                <w:szCs w:val="20"/>
              </w:rPr>
            </w:pPr>
            <w:r w:rsidRPr="00073FF4">
              <w:rPr>
                <w:sz w:val="20"/>
                <w:szCs w:val="20"/>
              </w:rPr>
              <w:t>34.5%</w:t>
            </w:r>
          </w:p>
        </w:tc>
        <w:tc>
          <w:tcPr>
            <w:tcW w:w="1733" w:type="dxa"/>
            <w:tcBorders>
              <w:top w:val="single" w:sz="4" w:space="0" w:color="auto"/>
              <w:bottom w:val="nil"/>
              <w:right w:val="double" w:sz="4" w:space="0" w:color="auto"/>
            </w:tcBorders>
            <w:vAlign w:val="center"/>
          </w:tcPr>
          <w:p w:rsidR="00636F38" w:rsidRPr="00073FF4" w:rsidRDefault="00636F38" w:rsidP="008F23F4">
            <w:pPr>
              <w:tabs>
                <w:tab w:val="decimal" w:pos="225"/>
              </w:tabs>
              <w:jc w:val="center"/>
              <w:rPr>
                <w:sz w:val="20"/>
                <w:szCs w:val="20"/>
              </w:rPr>
            </w:pPr>
            <w:r w:rsidRPr="00073FF4">
              <w:rPr>
                <w:sz w:val="20"/>
                <w:szCs w:val="20"/>
              </w:rPr>
              <w:t>37.8%</w:t>
            </w:r>
          </w:p>
        </w:tc>
      </w:tr>
      <w:tr w:rsidR="00636F38" w:rsidRPr="00073FF4" w:rsidTr="000626F3">
        <w:trPr>
          <w:trHeight w:val="539"/>
          <w:jc w:val="center"/>
        </w:trPr>
        <w:tc>
          <w:tcPr>
            <w:tcW w:w="2055" w:type="dxa"/>
            <w:vMerge/>
            <w:tcBorders>
              <w:left w:val="double" w:sz="4" w:space="0" w:color="auto"/>
              <w:bottom w:val="double" w:sz="4" w:space="0" w:color="auto"/>
            </w:tcBorders>
            <w:vAlign w:val="center"/>
          </w:tcPr>
          <w:p w:rsidR="00636F38" w:rsidRPr="00073FF4" w:rsidRDefault="00636F38" w:rsidP="008F23F4">
            <w:pPr>
              <w:jc w:val="center"/>
              <w:rPr>
                <w:sz w:val="20"/>
                <w:szCs w:val="20"/>
              </w:rPr>
            </w:pPr>
          </w:p>
        </w:tc>
        <w:tc>
          <w:tcPr>
            <w:tcW w:w="2534" w:type="dxa"/>
            <w:tcBorders>
              <w:top w:val="nil"/>
              <w:bottom w:val="double" w:sz="4" w:space="0" w:color="auto"/>
            </w:tcBorders>
            <w:vAlign w:val="center"/>
          </w:tcPr>
          <w:p w:rsidR="00636F38" w:rsidRPr="00073FF4" w:rsidRDefault="007716C1" w:rsidP="009D47D8">
            <w:pPr>
              <w:jc w:val="left"/>
              <w:rPr>
                <w:sz w:val="20"/>
                <w:szCs w:val="20"/>
              </w:rPr>
            </w:pPr>
            <w:r>
              <w:rPr>
                <w:sz w:val="20"/>
                <w:szCs w:val="20"/>
              </w:rPr>
              <w:t>NZ</w:t>
            </w:r>
            <w:r w:rsidR="00636F38" w:rsidRPr="00073FF4">
              <w:rPr>
                <w:sz w:val="20"/>
                <w:szCs w:val="20"/>
              </w:rPr>
              <w:t>$50,000 or more</w:t>
            </w:r>
          </w:p>
        </w:tc>
        <w:tc>
          <w:tcPr>
            <w:tcW w:w="1733" w:type="dxa"/>
            <w:tcBorders>
              <w:top w:val="nil"/>
              <w:bottom w:val="double" w:sz="4" w:space="0" w:color="auto"/>
            </w:tcBorders>
            <w:vAlign w:val="center"/>
          </w:tcPr>
          <w:p w:rsidR="00636F38" w:rsidRPr="00073FF4" w:rsidRDefault="00636F38" w:rsidP="008F23F4">
            <w:pPr>
              <w:tabs>
                <w:tab w:val="decimal" w:pos="212"/>
              </w:tabs>
              <w:jc w:val="center"/>
              <w:rPr>
                <w:sz w:val="20"/>
                <w:szCs w:val="20"/>
              </w:rPr>
            </w:pPr>
            <w:r w:rsidRPr="00073FF4">
              <w:rPr>
                <w:sz w:val="20"/>
                <w:szCs w:val="20"/>
              </w:rPr>
              <w:t>77.1%</w:t>
            </w:r>
          </w:p>
        </w:tc>
        <w:tc>
          <w:tcPr>
            <w:tcW w:w="1733" w:type="dxa"/>
            <w:tcBorders>
              <w:top w:val="nil"/>
              <w:bottom w:val="double" w:sz="4" w:space="0" w:color="auto"/>
            </w:tcBorders>
            <w:vAlign w:val="center"/>
          </w:tcPr>
          <w:p w:rsidR="00636F38" w:rsidRPr="00073FF4" w:rsidRDefault="00636F38" w:rsidP="008F23F4">
            <w:pPr>
              <w:tabs>
                <w:tab w:val="decimal" w:pos="347"/>
              </w:tabs>
              <w:jc w:val="center"/>
              <w:rPr>
                <w:sz w:val="20"/>
                <w:szCs w:val="20"/>
              </w:rPr>
            </w:pPr>
            <w:r w:rsidRPr="00073FF4">
              <w:rPr>
                <w:sz w:val="20"/>
                <w:szCs w:val="20"/>
              </w:rPr>
              <w:t>57.4%</w:t>
            </w:r>
          </w:p>
        </w:tc>
        <w:tc>
          <w:tcPr>
            <w:tcW w:w="1733" w:type="dxa"/>
            <w:tcBorders>
              <w:top w:val="nil"/>
              <w:bottom w:val="double" w:sz="4" w:space="0" w:color="auto"/>
            </w:tcBorders>
            <w:vAlign w:val="center"/>
          </w:tcPr>
          <w:p w:rsidR="00636F38" w:rsidRPr="00073FF4" w:rsidRDefault="00636F38" w:rsidP="008F23F4">
            <w:pPr>
              <w:tabs>
                <w:tab w:val="decimal" w:pos="253"/>
              </w:tabs>
              <w:jc w:val="center"/>
              <w:rPr>
                <w:sz w:val="20"/>
                <w:szCs w:val="20"/>
              </w:rPr>
            </w:pPr>
            <w:r w:rsidRPr="00073FF4">
              <w:rPr>
                <w:sz w:val="20"/>
                <w:szCs w:val="20"/>
              </w:rPr>
              <w:t>65.5%</w:t>
            </w:r>
          </w:p>
        </w:tc>
        <w:tc>
          <w:tcPr>
            <w:tcW w:w="1733" w:type="dxa"/>
            <w:tcBorders>
              <w:top w:val="nil"/>
              <w:bottom w:val="double" w:sz="4" w:space="0" w:color="auto"/>
              <w:right w:val="double" w:sz="4" w:space="0" w:color="auto"/>
            </w:tcBorders>
            <w:vAlign w:val="center"/>
          </w:tcPr>
          <w:p w:rsidR="00636F38" w:rsidRPr="00073FF4" w:rsidRDefault="00636F38" w:rsidP="008F23F4">
            <w:pPr>
              <w:tabs>
                <w:tab w:val="decimal" w:pos="225"/>
              </w:tabs>
              <w:jc w:val="center"/>
              <w:rPr>
                <w:sz w:val="20"/>
                <w:szCs w:val="20"/>
              </w:rPr>
            </w:pPr>
            <w:r w:rsidRPr="00073FF4">
              <w:rPr>
                <w:sz w:val="20"/>
                <w:szCs w:val="20"/>
              </w:rPr>
              <w:t>62.2%</w:t>
            </w:r>
          </w:p>
        </w:tc>
      </w:tr>
    </w:tbl>
    <w:p w:rsidR="00636F38" w:rsidRDefault="00636F38" w:rsidP="00636F38">
      <w:pPr>
        <w:jc w:val="left"/>
        <w:rPr>
          <w:b/>
        </w:rPr>
      </w:pPr>
    </w:p>
    <w:p w:rsidR="000F47D8" w:rsidRDefault="000F47D8" w:rsidP="00636F38">
      <w:pPr>
        <w:jc w:val="left"/>
        <w:rPr>
          <w:b/>
          <w:bCs/>
          <w:szCs w:val="24"/>
        </w:rPr>
      </w:pPr>
    </w:p>
    <w:p w:rsidR="000F47D8" w:rsidRDefault="000F47D8" w:rsidP="00636F38">
      <w:pPr>
        <w:jc w:val="left"/>
        <w:rPr>
          <w:b/>
          <w:bCs/>
          <w:szCs w:val="24"/>
        </w:rPr>
      </w:pPr>
    </w:p>
    <w:p w:rsidR="000F47D8" w:rsidRDefault="000F47D8" w:rsidP="00636F38">
      <w:pPr>
        <w:jc w:val="left"/>
        <w:rPr>
          <w:b/>
          <w:bCs/>
          <w:szCs w:val="24"/>
        </w:rPr>
      </w:pPr>
    </w:p>
    <w:p w:rsidR="00D0668A" w:rsidRDefault="00D0668A" w:rsidP="00781F89">
      <w:pPr>
        <w:spacing w:after="120" w:line="276" w:lineRule="auto"/>
        <w:rPr>
          <w:sz w:val="20"/>
          <w:szCs w:val="20"/>
        </w:rPr>
      </w:pPr>
    </w:p>
    <w:p w:rsidR="00D0668A" w:rsidRDefault="00D0668A" w:rsidP="00781F89">
      <w:pPr>
        <w:spacing w:after="120" w:line="276" w:lineRule="auto"/>
        <w:rPr>
          <w:sz w:val="20"/>
          <w:szCs w:val="20"/>
        </w:rPr>
      </w:pPr>
    </w:p>
    <w:p w:rsidR="00D0668A" w:rsidRDefault="00D0668A" w:rsidP="00781F89">
      <w:pPr>
        <w:spacing w:after="120" w:line="276" w:lineRule="auto"/>
        <w:rPr>
          <w:sz w:val="20"/>
          <w:szCs w:val="20"/>
        </w:rPr>
      </w:pPr>
    </w:p>
    <w:p w:rsidR="00D0668A" w:rsidRDefault="00D0668A" w:rsidP="00781F89">
      <w:pPr>
        <w:spacing w:after="120" w:line="276" w:lineRule="auto"/>
        <w:rPr>
          <w:sz w:val="20"/>
          <w:szCs w:val="20"/>
        </w:rPr>
      </w:pPr>
    </w:p>
    <w:p w:rsidR="00D0668A" w:rsidRDefault="00D0668A" w:rsidP="00DF46BF">
      <w:pPr>
        <w:pStyle w:val="Title"/>
        <w:jc w:val="both"/>
        <w:sectPr w:rsidR="00D0668A" w:rsidSect="00C4765D">
          <w:footerReference w:type="default" r:id="rId949"/>
          <w:pgSz w:w="15840" w:h="12240" w:orient="landscape"/>
          <w:pgMar w:top="1440" w:right="1440" w:bottom="1440" w:left="1440" w:header="720" w:footer="720" w:gutter="0"/>
          <w:cols w:space="720"/>
          <w:docGrid w:linePitch="360"/>
        </w:sectPr>
      </w:pPr>
    </w:p>
    <w:p w:rsidR="00D0668A" w:rsidRPr="000626F3" w:rsidRDefault="00D0668A" w:rsidP="00D0668A">
      <w:pPr>
        <w:pStyle w:val="Title"/>
        <w:spacing w:after="120"/>
        <w:rPr>
          <w:sz w:val="22"/>
        </w:rPr>
      </w:pPr>
      <w:proofErr w:type="gramStart"/>
      <w:r w:rsidRPr="000626F3">
        <w:rPr>
          <w:sz w:val="22"/>
        </w:rPr>
        <w:lastRenderedPageBreak/>
        <w:t>Table 8.</w:t>
      </w:r>
      <w:proofErr w:type="gramEnd"/>
      <w:r w:rsidRPr="000626F3">
        <w:rPr>
          <w:sz w:val="22"/>
        </w:rPr>
        <w:t xml:space="preserve"> Measures of Fit </w:t>
      </w:r>
      <w:r w:rsidR="00741F6C">
        <w:rPr>
          <w:sz w:val="22"/>
        </w:rPr>
        <w:t xml:space="preserve"> </w:t>
      </w:r>
      <w:r w:rsidR="00741F6C" w:rsidRPr="00BA38DA">
        <w:rPr>
          <w:position w:val="-10"/>
          <w:sz w:val="20"/>
          <w:szCs w:val="20"/>
        </w:rPr>
        <w:object w:dxaOrig="2079" w:dyaOrig="340">
          <v:shape id="_x0000_i1543" type="#_x0000_t75" style="width:89.25pt;height:15pt" o:ole="">
            <v:imagedata r:id="rId950" o:title=""/>
          </v:shape>
          <o:OLEObject Type="Embed" ProgID="Equation.3" ShapeID="_x0000_i1543" DrawAspect="Content" ObjectID="_1519137392" r:id="rId951"/>
        </w:object>
      </w:r>
    </w:p>
    <w:tbl>
      <w:tblPr>
        <w:tblW w:w="12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6"/>
        <w:gridCol w:w="1138"/>
        <w:gridCol w:w="1112"/>
        <w:gridCol w:w="1142"/>
        <w:gridCol w:w="1143"/>
        <w:gridCol w:w="1143"/>
        <w:gridCol w:w="1143"/>
        <w:gridCol w:w="1143"/>
        <w:gridCol w:w="1143"/>
      </w:tblGrid>
      <w:tr w:rsidR="00D0668A" w:rsidRPr="00BA38DA" w:rsidTr="001645E2">
        <w:trPr>
          <w:trHeight w:val="432"/>
          <w:jc w:val="center"/>
        </w:trPr>
        <w:tc>
          <w:tcPr>
            <w:tcW w:w="5236" w:type="dxa"/>
            <w:gridSpan w:val="3"/>
            <w:vMerge w:val="restart"/>
            <w:tcBorders>
              <w:top w:val="double" w:sz="4" w:space="0" w:color="auto"/>
              <w:left w:val="double" w:sz="4" w:space="0" w:color="auto"/>
              <w:right w:val="double" w:sz="4" w:space="0" w:color="auto"/>
            </w:tcBorders>
            <w:shd w:val="clear" w:color="auto" w:fill="auto"/>
            <w:vAlign w:val="center"/>
          </w:tcPr>
          <w:p w:rsidR="00D0668A" w:rsidRPr="00BA38DA" w:rsidRDefault="00D0668A" w:rsidP="003B1A0B">
            <w:pPr>
              <w:jc w:val="center"/>
              <w:rPr>
                <w:b/>
                <w:sz w:val="20"/>
                <w:szCs w:val="20"/>
              </w:rPr>
            </w:pPr>
            <w:r w:rsidRPr="00BA38DA">
              <w:rPr>
                <w:b/>
                <w:sz w:val="20"/>
                <w:szCs w:val="20"/>
              </w:rPr>
              <w:t>Summary Statistic</w:t>
            </w:r>
          </w:p>
        </w:tc>
        <w:tc>
          <w:tcPr>
            <w:tcW w:w="6857" w:type="dxa"/>
            <w:gridSpan w:val="6"/>
            <w:tcBorders>
              <w:top w:val="double" w:sz="4" w:space="0" w:color="auto"/>
              <w:left w:val="double" w:sz="4" w:space="0" w:color="auto"/>
              <w:right w:val="double" w:sz="4" w:space="0" w:color="auto"/>
            </w:tcBorders>
            <w:shd w:val="clear" w:color="auto" w:fill="auto"/>
            <w:vAlign w:val="center"/>
          </w:tcPr>
          <w:p w:rsidR="00D0668A" w:rsidRPr="00BA38DA" w:rsidRDefault="00D0668A" w:rsidP="003B1A0B">
            <w:pPr>
              <w:jc w:val="center"/>
              <w:rPr>
                <w:b/>
                <w:sz w:val="20"/>
                <w:szCs w:val="20"/>
              </w:rPr>
            </w:pPr>
            <w:r w:rsidRPr="00BA38DA">
              <w:rPr>
                <w:b/>
                <w:sz w:val="20"/>
                <w:szCs w:val="20"/>
              </w:rPr>
              <w:t>Estimation Sample</w:t>
            </w:r>
          </w:p>
        </w:tc>
      </w:tr>
      <w:tr w:rsidR="00D0668A" w:rsidRPr="00BA38DA" w:rsidTr="001645E2">
        <w:trPr>
          <w:trHeight w:val="432"/>
          <w:jc w:val="center"/>
        </w:trPr>
        <w:tc>
          <w:tcPr>
            <w:tcW w:w="5236" w:type="dxa"/>
            <w:gridSpan w:val="3"/>
            <w:vMerge/>
            <w:tcBorders>
              <w:left w:val="double" w:sz="4" w:space="0" w:color="auto"/>
              <w:bottom w:val="double" w:sz="4" w:space="0" w:color="auto"/>
              <w:right w:val="double" w:sz="4" w:space="0" w:color="auto"/>
            </w:tcBorders>
            <w:shd w:val="clear" w:color="auto" w:fill="auto"/>
          </w:tcPr>
          <w:p w:rsidR="00D0668A" w:rsidRPr="00BA38DA" w:rsidRDefault="00D0668A" w:rsidP="003B1A0B">
            <w:pPr>
              <w:rPr>
                <w:sz w:val="20"/>
                <w:szCs w:val="20"/>
              </w:rPr>
            </w:pPr>
          </w:p>
        </w:tc>
        <w:tc>
          <w:tcPr>
            <w:tcW w:w="2285" w:type="dxa"/>
            <w:gridSpan w:val="2"/>
            <w:tcBorders>
              <w:left w:val="double" w:sz="4" w:space="0" w:color="auto"/>
              <w:bottom w:val="double" w:sz="4" w:space="0" w:color="auto"/>
            </w:tcBorders>
            <w:shd w:val="clear" w:color="auto" w:fill="auto"/>
            <w:vAlign w:val="center"/>
          </w:tcPr>
          <w:p w:rsidR="00D0668A" w:rsidRPr="00BA38DA" w:rsidRDefault="00D0668A" w:rsidP="003B1A0B">
            <w:pPr>
              <w:jc w:val="center"/>
              <w:rPr>
                <w:b/>
                <w:sz w:val="20"/>
                <w:szCs w:val="20"/>
              </w:rPr>
            </w:pPr>
            <w:r w:rsidRPr="00BA38DA">
              <w:rPr>
                <w:b/>
                <w:sz w:val="20"/>
                <w:szCs w:val="20"/>
              </w:rPr>
              <w:t>FDMN-MDCP</w:t>
            </w:r>
          </w:p>
        </w:tc>
        <w:tc>
          <w:tcPr>
            <w:tcW w:w="2286" w:type="dxa"/>
            <w:gridSpan w:val="2"/>
            <w:tcBorders>
              <w:bottom w:val="double" w:sz="4" w:space="0" w:color="auto"/>
            </w:tcBorders>
            <w:shd w:val="clear" w:color="auto" w:fill="auto"/>
            <w:vAlign w:val="center"/>
          </w:tcPr>
          <w:p w:rsidR="00D0668A" w:rsidRPr="00BA38DA" w:rsidRDefault="00D0668A" w:rsidP="003B1A0B">
            <w:pPr>
              <w:jc w:val="center"/>
              <w:rPr>
                <w:b/>
                <w:sz w:val="20"/>
                <w:szCs w:val="20"/>
              </w:rPr>
            </w:pPr>
            <w:r w:rsidRPr="00BA38DA">
              <w:rPr>
                <w:b/>
                <w:sz w:val="20"/>
                <w:szCs w:val="20"/>
              </w:rPr>
              <w:t>LC-MDCP</w:t>
            </w:r>
          </w:p>
        </w:tc>
        <w:tc>
          <w:tcPr>
            <w:tcW w:w="2286" w:type="dxa"/>
            <w:gridSpan w:val="2"/>
            <w:tcBorders>
              <w:bottom w:val="double" w:sz="4" w:space="0" w:color="auto"/>
              <w:right w:val="double" w:sz="4" w:space="0" w:color="auto"/>
            </w:tcBorders>
            <w:shd w:val="clear" w:color="auto" w:fill="auto"/>
            <w:vAlign w:val="center"/>
          </w:tcPr>
          <w:p w:rsidR="00D0668A" w:rsidRPr="00BA38DA" w:rsidRDefault="00D0668A" w:rsidP="003B1A0B">
            <w:pPr>
              <w:jc w:val="center"/>
              <w:rPr>
                <w:b/>
                <w:sz w:val="20"/>
                <w:szCs w:val="20"/>
              </w:rPr>
            </w:pPr>
            <w:r w:rsidRPr="00BA38DA">
              <w:rPr>
                <w:b/>
                <w:sz w:val="20"/>
                <w:szCs w:val="20"/>
              </w:rPr>
              <w:t>RC-MDCP</w:t>
            </w:r>
          </w:p>
        </w:tc>
      </w:tr>
      <w:tr w:rsidR="00D0668A" w:rsidRPr="00BA38DA" w:rsidTr="001645E2">
        <w:trPr>
          <w:trHeight w:val="504"/>
          <w:jc w:val="center"/>
        </w:trPr>
        <w:tc>
          <w:tcPr>
            <w:tcW w:w="523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D0668A" w:rsidRPr="00BA38DA" w:rsidRDefault="00D0668A" w:rsidP="00D0668A">
            <w:pPr>
              <w:rPr>
                <w:sz w:val="20"/>
                <w:szCs w:val="20"/>
              </w:rPr>
            </w:pPr>
            <w:r w:rsidRPr="00BA38DA">
              <w:rPr>
                <w:sz w:val="20"/>
                <w:szCs w:val="20"/>
              </w:rPr>
              <w:t xml:space="preserve">Log-likelihood of the </w:t>
            </w:r>
            <w:r w:rsidR="0008781A" w:rsidRPr="00BA38DA">
              <w:rPr>
                <w:sz w:val="20"/>
                <w:szCs w:val="20"/>
              </w:rPr>
              <w:t xml:space="preserve">naïve </w:t>
            </w:r>
            <w:r w:rsidRPr="00BA38DA">
              <w:rPr>
                <w:sz w:val="20"/>
                <w:szCs w:val="20"/>
              </w:rPr>
              <w:t>unsegmented model</w:t>
            </w:r>
          </w:p>
        </w:tc>
        <w:tc>
          <w:tcPr>
            <w:tcW w:w="6857"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D0668A" w:rsidRPr="00BA38DA" w:rsidRDefault="00D0668A" w:rsidP="00894FCA">
            <w:pPr>
              <w:jc w:val="center"/>
              <w:rPr>
                <w:sz w:val="20"/>
                <w:szCs w:val="20"/>
              </w:rPr>
            </w:pPr>
            <w:r w:rsidRPr="00BA38DA">
              <w:rPr>
                <w:sz w:val="20"/>
                <w:szCs w:val="20"/>
              </w:rPr>
              <w:t xml:space="preserve"> -1</w:t>
            </w:r>
            <w:r w:rsidR="00894FCA" w:rsidRPr="00BA38DA">
              <w:rPr>
                <w:sz w:val="20"/>
                <w:szCs w:val="20"/>
              </w:rPr>
              <w:t>5,783.21</w:t>
            </w:r>
          </w:p>
        </w:tc>
      </w:tr>
      <w:tr w:rsidR="00D0668A" w:rsidRPr="00BA38DA" w:rsidTr="001645E2">
        <w:trPr>
          <w:trHeight w:val="504"/>
          <w:jc w:val="center"/>
        </w:trPr>
        <w:tc>
          <w:tcPr>
            <w:tcW w:w="5236" w:type="dxa"/>
            <w:gridSpan w:val="3"/>
            <w:tcBorders>
              <w:left w:val="double" w:sz="4" w:space="0" w:color="auto"/>
              <w:bottom w:val="double" w:sz="4" w:space="0" w:color="auto"/>
              <w:right w:val="double" w:sz="4" w:space="0" w:color="auto"/>
            </w:tcBorders>
            <w:shd w:val="clear" w:color="auto" w:fill="auto"/>
            <w:vAlign w:val="center"/>
          </w:tcPr>
          <w:p w:rsidR="00D0668A" w:rsidRPr="00BA38DA" w:rsidRDefault="00D0668A" w:rsidP="003B1A0B">
            <w:pPr>
              <w:rPr>
                <w:sz w:val="20"/>
                <w:szCs w:val="20"/>
              </w:rPr>
            </w:pPr>
            <w:r w:rsidRPr="00BA38DA">
              <w:rPr>
                <w:sz w:val="20"/>
                <w:szCs w:val="20"/>
              </w:rPr>
              <w:t>Log-likelihood at convergence</w:t>
            </w:r>
          </w:p>
        </w:tc>
        <w:tc>
          <w:tcPr>
            <w:tcW w:w="2285" w:type="dxa"/>
            <w:gridSpan w:val="2"/>
            <w:tcBorders>
              <w:left w:val="double" w:sz="4" w:space="0" w:color="auto"/>
              <w:bottom w:val="double" w:sz="4" w:space="0" w:color="auto"/>
            </w:tcBorders>
            <w:shd w:val="clear" w:color="auto" w:fill="auto"/>
            <w:vAlign w:val="center"/>
          </w:tcPr>
          <w:p w:rsidR="00D0668A" w:rsidRPr="00BA38DA" w:rsidRDefault="00D0668A" w:rsidP="003B1A0B">
            <w:pPr>
              <w:jc w:val="center"/>
              <w:rPr>
                <w:sz w:val="20"/>
                <w:szCs w:val="20"/>
              </w:rPr>
            </w:pPr>
            <w:r w:rsidRPr="00BA38DA">
              <w:rPr>
                <w:sz w:val="20"/>
                <w:szCs w:val="20"/>
              </w:rPr>
              <w:t>-</w:t>
            </w:r>
            <w:r w:rsidR="00EC29D3" w:rsidRPr="00BA38DA">
              <w:rPr>
                <w:sz w:val="20"/>
                <w:szCs w:val="20"/>
              </w:rPr>
              <w:t>8,499.78</w:t>
            </w:r>
          </w:p>
        </w:tc>
        <w:tc>
          <w:tcPr>
            <w:tcW w:w="2286" w:type="dxa"/>
            <w:gridSpan w:val="2"/>
            <w:tcBorders>
              <w:bottom w:val="double" w:sz="4" w:space="0" w:color="auto"/>
            </w:tcBorders>
            <w:shd w:val="clear" w:color="auto" w:fill="auto"/>
            <w:vAlign w:val="center"/>
          </w:tcPr>
          <w:p w:rsidR="00D0668A" w:rsidRPr="00BA38DA" w:rsidRDefault="00D0668A" w:rsidP="003B1A0B">
            <w:pPr>
              <w:jc w:val="center"/>
              <w:rPr>
                <w:sz w:val="20"/>
                <w:szCs w:val="20"/>
              </w:rPr>
            </w:pPr>
            <w:r w:rsidRPr="00BA38DA">
              <w:rPr>
                <w:sz w:val="20"/>
                <w:szCs w:val="20"/>
              </w:rPr>
              <w:t>-</w:t>
            </w:r>
            <w:r w:rsidR="00EC29D3" w:rsidRPr="00BA38DA">
              <w:rPr>
                <w:sz w:val="20"/>
                <w:szCs w:val="20"/>
              </w:rPr>
              <w:t>8,550</w:t>
            </w:r>
            <w:r w:rsidR="00894FCA" w:rsidRPr="00BA38DA">
              <w:rPr>
                <w:sz w:val="20"/>
                <w:szCs w:val="20"/>
              </w:rPr>
              <w:t>.03</w:t>
            </w:r>
          </w:p>
        </w:tc>
        <w:tc>
          <w:tcPr>
            <w:tcW w:w="2286" w:type="dxa"/>
            <w:gridSpan w:val="2"/>
            <w:tcBorders>
              <w:bottom w:val="double" w:sz="4" w:space="0" w:color="auto"/>
              <w:right w:val="double" w:sz="4" w:space="0" w:color="auto"/>
            </w:tcBorders>
            <w:shd w:val="clear" w:color="auto" w:fill="auto"/>
            <w:vAlign w:val="center"/>
          </w:tcPr>
          <w:p w:rsidR="00D0668A" w:rsidRPr="00BA38DA" w:rsidRDefault="00D0668A" w:rsidP="00EC29D3">
            <w:pPr>
              <w:jc w:val="center"/>
              <w:rPr>
                <w:sz w:val="20"/>
                <w:szCs w:val="20"/>
              </w:rPr>
            </w:pPr>
            <w:r w:rsidRPr="00BA38DA">
              <w:rPr>
                <w:sz w:val="20"/>
                <w:szCs w:val="20"/>
              </w:rPr>
              <w:t xml:space="preserve">  -</w:t>
            </w:r>
            <w:r w:rsidR="00EC29D3" w:rsidRPr="00BA38DA">
              <w:rPr>
                <w:sz w:val="20"/>
                <w:szCs w:val="20"/>
              </w:rPr>
              <w:t>8,6</w:t>
            </w:r>
            <w:r w:rsidR="00894FCA" w:rsidRPr="00BA38DA">
              <w:rPr>
                <w:sz w:val="20"/>
                <w:szCs w:val="20"/>
              </w:rPr>
              <w:t>4</w:t>
            </w:r>
            <w:r w:rsidR="00EC29D3" w:rsidRPr="00BA38DA">
              <w:rPr>
                <w:sz w:val="20"/>
                <w:szCs w:val="20"/>
              </w:rPr>
              <w:t>8.46</w:t>
            </w:r>
          </w:p>
        </w:tc>
      </w:tr>
      <w:tr w:rsidR="00D0668A" w:rsidRPr="00BA38DA" w:rsidTr="001645E2">
        <w:trPr>
          <w:trHeight w:val="504"/>
          <w:jc w:val="center"/>
        </w:trPr>
        <w:tc>
          <w:tcPr>
            <w:tcW w:w="5236" w:type="dxa"/>
            <w:gridSpan w:val="3"/>
            <w:tcBorders>
              <w:top w:val="double" w:sz="4" w:space="0" w:color="auto"/>
              <w:left w:val="double" w:sz="4" w:space="0" w:color="auto"/>
              <w:right w:val="double" w:sz="4" w:space="0" w:color="auto"/>
            </w:tcBorders>
            <w:shd w:val="clear" w:color="auto" w:fill="auto"/>
            <w:vAlign w:val="center"/>
          </w:tcPr>
          <w:p w:rsidR="00D0668A" w:rsidRPr="00BA38DA" w:rsidRDefault="00D0668A" w:rsidP="003B1A0B">
            <w:pPr>
              <w:rPr>
                <w:sz w:val="20"/>
                <w:szCs w:val="20"/>
              </w:rPr>
            </w:pPr>
            <w:r w:rsidRPr="00BA38DA">
              <w:rPr>
                <w:sz w:val="20"/>
                <w:szCs w:val="20"/>
              </w:rPr>
              <w:t>Number of parameters</w:t>
            </w:r>
          </w:p>
        </w:tc>
        <w:tc>
          <w:tcPr>
            <w:tcW w:w="2285" w:type="dxa"/>
            <w:gridSpan w:val="2"/>
            <w:tcBorders>
              <w:top w:val="double" w:sz="4" w:space="0" w:color="auto"/>
              <w:left w:val="double" w:sz="4" w:space="0" w:color="auto"/>
            </w:tcBorders>
            <w:shd w:val="clear" w:color="auto" w:fill="auto"/>
            <w:vAlign w:val="center"/>
          </w:tcPr>
          <w:p w:rsidR="00D0668A" w:rsidRPr="00BA38DA" w:rsidRDefault="00EC29D3" w:rsidP="003B1A0B">
            <w:pPr>
              <w:jc w:val="center"/>
              <w:rPr>
                <w:sz w:val="20"/>
                <w:szCs w:val="20"/>
              </w:rPr>
            </w:pPr>
            <w:r w:rsidRPr="00BA38DA">
              <w:rPr>
                <w:sz w:val="20"/>
                <w:szCs w:val="20"/>
              </w:rPr>
              <w:t>49</w:t>
            </w:r>
          </w:p>
        </w:tc>
        <w:tc>
          <w:tcPr>
            <w:tcW w:w="2286" w:type="dxa"/>
            <w:gridSpan w:val="2"/>
            <w:tcBorders>
              <w:top w:val="double" w:sz="4" w:space="0" w:color="auto"/>
            </w:tcBorders>
            <w:shd w:val="clear" w:color="auto" w:fill="auto"/>
            <w:vAlign w:val="center"/>
          </w:tcPr>
          <w:p w:rsidR="00D0668A" w:rsidRPr="00BA38DA" w:rsidRDefault="00EC29D3" w:rsidP="003B1A0B">
            <w:pPr>
              <w:jc w:val="center"/>
              <w:rPr>
                <w:sz w:val="20"/>
                <w:szCs w:val="20"/>
              </w:rPr>
            </w:pPr>
            <w:r w:rsidRPr="00BA38DA">
              <w:rPr>
                <w:sz w:val="20"/>
                <w:szCs w:val="20"/>
              </w:rPr>
              <w:t>40</w:t>
            </w:r>
          </w:p>
        </w:tc>
        <w:tc>
          <w:tcPr>
            <w:tcW w:w="2286" w:type="dxa"/>
            <w:gridSpan w:val="2"/>
            <w:tcBorders>
              <w:top w:val="double" w:sz="4" w:space="0" w:color="auto"/>
              <w:right w:val="double" w:sz="4" w:space="0" w:color="auto"/>
            </w:tcBorders>
            <w:shd w:val="clear" w:color="auto" w:fill="auto"/>
            <w:vAlign w:val="center"/>
          </w:tcPr>
          <w:p w:rsidR="00D0668A" w:rsidRPr="00BA38DA" w:rsidRDefault="00EC29D3" w:rsidP="003B1A0B">
            <w:pPr>
              <w:jc w:val="center"/>
              <w:rPr>
                <w:sz w:val="20"/>
                <w:szCs w:val="20"/>
              </w:rPr>
            </w:pPr>
            <w:r w:rsidRPr="00BA38DA">
              <w:rPr>
                <w:sz w:val="20"/>
                <w:szCs w:val="20"/>
              </w:rPr>
              <w:t>15</w:t>
            </w:r>
          </w:p>
        </w:tc>
      </w:tr>
      <w:tr w:rsidR="00D0668A" w:rsidRPr="00BA38DA" w:rsidTr="001645E2">
        <w:trPr>
          <w:trHeight w:val="504"/>
          <w:jc w:val="center"/>
        </w:trPr>
        <w:tc>
          <w:tcPr>
            <w:tcW w:w="5236" w:type="dxa"/>
            <w:gridSpan w:val="3"/>
            <w:tcBorders>
              <w:left w:val="double" w:sz="4" w:space="0" w:color="auto"/>
              <w:bottom w:val="double" w:sz="4" w:space="0" w:color="auto"/>
              <w:right w:val="double" w:sz="4" w:space="0" w:color="auto"/>
            </w:tcBorders>
            <w:shd w:val="clear" w:color="auto" w:fill="auto"/>
            <w:vAlign w:val="center"/>
          </w:tcPr>
          <w:p w:rsidR="00D0668A" w:rsidRPr="00BA38DA" w:rsidRDefault="00D0668A" w:rsidP="003B1A0B">
            <w:pPr>
              <w:rPr>
                <w:sz w:val="20"/>
                <w:szCs w:val="20"/>
              </w:rPr>
            </w:pPr>
            <w:r w:rsidRPr="00BA38DA">
              <w:rPr>
                <w:sz w:val="20"/>
                <w:szCs w:val="20"/>
              </w:rPr>
              <w:t>Number of observations</w:t>
            </w:r>
          </w:p>
        </w:tc>
        <w:tc>
          <w:tcPr>
            <w:tcW w:w="6857" w:type="dxa"/>
            <w:gridSpan w:val="6"/>
            <w:tcBorders>
              <w:left w:val="double" w:sz="4" w:space="0" w:color="auto"/>
              <w:bottom w:val="double" w:sz="4" w:space="0" w:color="auto"/>
              <w:right w:val="double" w:sz="4" w:space="0" w:color="auto"/>
            </w:tcBorders>
            <w:shd w:val="clear" w:color="auto" w:fill="auto"/>
            <w:vAlign w:val="center"/>
          </w:tcPr>
          <w:p w:rsidR="00D0668A" w:rsidRPr="00BA38DA" w:rsidRDefault="00EC29D3" w:rsidP="00F750B6">
            <w:pPr>
              <w:jc w:val="center"/>
              <w:rPr>
                <w:sz w:val="20"/>
                <w:szCs w:val="20"/>
              </w:rPr>
            </w:pPr>
            <w:r w:rsidRPr="00BA38DA">
              <w:rPr>
                <w:sz w:val="20"/>
                <w:szCs w:val="20"/>
              </w:rPr>
              <w:t>3,</w:t>
            </w:r>
            <w:r w:rsidR="00F750B6" w:rsidRPr="00BA38DA">
              <w:rPr>
                <w:sz w:val="20"/>
                <w:szCs w:val="20"/>
              </w:rPr>
              <w:t>508</w:t>
            </w:r>
          </w:p>
        </w:tc>
      </w:tr>
      <w:tr w:rsidR="00D0668A" w:rsidRPr="00BA38DA" w:rsidTr="001645E2">
        <w:trPr>
          <w:trHeight w:val="504"/>
          <w:jc w:val="center"/>
        </w:trPr>
        <w:tc>
          <w:tcPr>
            <w:tcW w:w="5236" w:type="dxa"/>
            <w:gridSpan w:val="3"/>
            <w:tcBorders>
              <w:left w:val="double" w:sz="4" w:space="0" w:color="auto"/>
              <w:bottom w:val="double" w:sz="4" w:space="0" w:color="auto"/>
              <w:right w:val="double" w:sz="4" w:space="0" w:color="auto"/>
            </w:tcBorders>
            <w:shd w:val="clear" w:color="auto" w:fill="auto"/>
            <w:vAlign w:val="center"/>
          </w:tcPr>
          <w:p w:rsidR="00D0668A" w:rsidRPr="00BA38DA" w:rsidRDefault="00D0668A" w:rsidP="003B1A0B">
            <w:pPr>
              <w:rPr>
                <w:sz w:val="20"/>
                <w:szCs w:val="20"/>
              </w:rPr>
            </w:pPr>
            <w:r w:rsidRPr="00BA38DA">
              <w:rPr>
                <w:sz w:val="20"/>
                <w:szCs w:val="20"/>
              </w:rPr>
              <w:t xml:space="preserve">Adjusted likelihood ratio index </w:t>
            </w:r>
          </w:p>
        </w:tc>
        <w:tc>
          <w:tcPr>
            <w:tcW w:w="2285" w:type="dxa"/>
            <w:gridSpan w:val="2"/>
            <w:tcBorders>
              <w:left w:val="double" w:sz="4" w:space="0" w:color="auto"/>
              <w:bottom w:val="double" w:sz="4" w:space="0" w:color="auto"/>
            </w:tcBorders>
            <w:shd w:val="clear" w:color="auto" w:fill="auto"/>
            <w:vAlign w:val="center"/>
          </w:tcPr>
          <w:p w:rsidR="00D0668A" w:rsidRPr="00BA38DA" w:rsidRDefault="00D0668A" w:rsidP="00894FCA">
            <w:pPr>
              <w:jc w:val="center"/>
              <w:rPr>
                <w:sz w:val="20"/>
                <w:szCs w:val="20"/>
              </w:rPr>
            </w:pPr>
            <w:r w:rsidRPr="00BA38DA">
              <w:rPr>
                <w:sz w:val="20"/>
                <w:szCs w:val="20"/>
              </w:rPr>
              <w:t>0.</w:t>
            </w:r>
            <w:r w:rsidR="00894FCA" w:rsidRPr="00BA38DA">
              <w:rPr>
                <w:sz w:val="20"/>
                <w:szCs w:val="20"/>
              </w:rPr>
              <w:t>458</w:t>
            </w:r>
          </w:p>
        </w:tc>
        <w:tc>
          <w:tcPr>
            <w:tcW w:w="2286" w:type="dxa"/>
            <w:gridSpan w:val="2"/>
            <w:tcBorders>
              <w:bottom w:val="double" w:sz="4" w:space="0" w:color="auto"/>
            </w:tcBorders>
            <w:shd w:val="clear" w:color="auto" w:fill="auto"/>
            <w:vAlign w:val="center"/>
          </w:tcPr>
          <w:p w:rsidR="00D0668A" w:rsidRPr="00BA38DA" w:rsidRDefault="00D0668A" w:rsidP="00894FCA">
            <w:pPr>
              <w:jc w:val="center"/>
              <w:rPr>
                <w:sz w:val="20"/>
                <w:szCs w:val="20"/>
              </w:rPr>
            </w:pPr>
            <w:r w:rsidRPr="00BA38DA">
              <w:rPr>
                <w:sz w:val="20"/>
                <w:szCs w:val="20"/>
              </w:rPr>
              <w:t>0.</w:t>
            </w:r>
            <w:r w:rsidR="00894FCA" w:rsidRPr="00BA38DA">
              <w:rPr>
                <w:sz w:val="20"/>
                <w:szCs w:val="20"/>
              </w:rPr>
              <w:t>455</w:t>
            </w:r>
          </w:p>
        </w:tc>
        <w:tc>
          <w:tcPr>
            <w:tcW w:w="2286" w:type="dxa"/>
            <w:gridSpan w:val="2"/>
            <w:tcBorders>
              <w:bottom w:val="double" w:sz="4" w:space="0" w:color="auto"/>
              <w:right w:val="double" w:sz="4" w:space="0" w:color="auto"/>
            </w:tcBorders>
            <w:shd w:val="clear" w:color="auto" w:fill="auto"/>
            <w:vAlign w:val="center"/>
          </w:tcPr>
          <w:p w:rsidR="00D0668A" w:rsidRPr="00BA38DA" w:rsidRDefault="00D0668A" w:rsidP="00894FCA">
            <w:pPr>
              <w:jc w:val="center"/>
              <w:rPr>
                <w:sz w:val="20"/>
                <w:szCs w:val="20"/>
              </w:rPr>
            </w:pPr>
            <w:r w:rsidRPr="00BA38DA">
              <w:rPr>
                <w:sz w:val="20"/>
                <w:szCs w:val="20"/>
              </w:rPr>
              <w:t>0.</w:t>
            </w:r>
            <w:r w:rsidR="00894FCA" w:rsidRPr="00BA38DA">
              <w:rPr>
                <w:sz w:val="20"/>
                <w:szCs w:val="20"/>
              </w:rPr>
              <w:t>451</w:t>
            </w:r>
          </w:p>
        </w:tc>
      </w:tr>
      <w:tr w:rsidR="00D0668A" w:rsidRPr="00BA38DA" w:rsidTr="001645E2">
        <w:trPr>
          <w:trHeight w:val="504"/>
          <w:jc w:val="center"/>
        </w:trPr>
        <w:tc>
          <w:tcPr>
            <w:tcW w:w="523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D0668A" w:rsidRPr="00BA38DA" w:rsidRDefault="00D0668A" w:rsidP="00BA38DA">
            <w:pPr>
              <w:jc w:val="left"/>
              <w:rPr>
                <w:sz w:val="20"/>
                <w:szCs w:val="20"/>
              </w:rPr>
            </w:pPr>
            <w:r w:rsidRPr="00BA38DA">
              <w:rPr>
                <w:sz w:val="20"/>
                <w:szCs w:val="20"/>
              </w:rPr>
              <w:t xml:space="preserve">Predictive likelihood ratio test between FDMN-MDCP and </w:t>
            </w:r>
            <w:r w:rsidR="002610D3" w:rsidRPr="00BA38DA">
              <w:rPr>
                <w:sz w:val="20"/>
                <w:szCs w:val="20"/>
              </w:rPr>
              <w:t>LC-MDCP models</w:t>
            </w:r>
          </w:p>
        </w:tc>
        <w:tc>
          <w:tcPr>
            <w:tcW w:w="6857"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D0668A" w:rsidRPr="00BA38DA" w:rsidRDefault="00D0668A" w:rsidP="00EC29D3">
            <w:pPr>
              <w:jc w:val="center"/>
              <w:rPr>
                <w:sz w:val="20"/>
                <w:szCs w:val="20"/>
              </w:rPr>
            </w:pPr>
            <w:r w:rsidRPr="00BA38DA">
              <w:rPr>
                <w:sz w:val="20"/>
                <w:szCs w:val="20"/>
              </w:rPr>
              <w:t>Test statistic [-2*(LL</w:t>
            </w:r>
            <w:r w:rsidR="002610D3" w:rsidRPr="00BA38DA">
              <w:rPr>
                <w:sz w:val="20"/>
                <w:szCs w:val="20"/>
                <w:vertAlign w:val="subscript"/>
              </w:rPr>
              <w:t>LC-MDCP</w:t>
            </w:r>
            <w:r w:rsidRPr="00BA38DA">
              <w:rPr>
                <w:sz w:val="20"/>
                <w:szCs w:val="20"/>
              </w:rPr>
              <w:t>-LL</w:t>
            </w:r>
            <w:r w:rsidR="002610D3" w:rsidRPr="00BA38DA">
              <w:rPr>
                <w:sz w:val="20"/>
                <w:szCs w:val="20"/>
                <w:vertAlign w:val="subscript"/>
              </w:rPr>
              <w:t>FDMN-MDCP</w:t>
            </w:r>
            <w:r w:rsidRPr="00BA38DA">
              <w:rPr>
                <w:sz w:val="20"/>
                <w:szCs w:val="20"/>
              </w:rPr>
              <w:t>)]=</w:t>
            </w:r>
            <w:r w:rsidR="00EC29D3" w:rsidRPr="00BA38DA">
              <w:rPr>
                <w:sz w:val="20"/>
                <w:szCs w:val="20"/>
              </w:rPr>
              <w:t>102</w:t>
            </w:r>
            <w:r w:rsidRPr="00BA38DA">
              <w:rPr>
                <w:sz w:val="20"/>
                <w:szCs w:val="20"/>
              </w:rPr>
              <w:t xml:space="preserve"> &gt; Chi-Squared statistics with </w:t>
            </w:r>
            <w:r w:rsidR="00EC29D3" w:rsidRPr="00BA38DA">
              <w:rPr>
                <w:sz w:val="20"/>
                <w:szCs w:val="20"/>
              </w:rPr>
              <w:t>9</w:t>
            </w:r>
            <w:r w:rsidRPr="00BA38DA">
              <w:rPr>
                <w:sz w:val="20"/>
                <w:szCs w:val="20"/>
              </w:rPr>
              <w:t xml:space="preserve"> degrees of freedom at any reasonable level of significance</w:t>
            </w:r>
          </w:p>
        </w:tc>
      </w:tr>
      <w:tr w:rsidR="00D0668A" w:rsidRPr="00BA38DA" w:rsidTr="001645E2">
        <w:trPr>
          <w:trHeight w:val="504"/>
          <w:jc w:val="center"/>
        </w:trPr>
        <w:tc>
          <w:tcPr>
            <w:tcW w:w="5236"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D0668A" w:rsidRPr="00BA38DA" w:rsidRDefault="00D0668A" w:rsidP="00BA38DA">
            <w:pPr>
              <w:jc w:val="left"/>
              <w:rPr>
                <w:sz w:val="20"/>
                <w:szCs w:val="20"/>
              </w:rPr>
            </w:pPr>
            <w:r w:rsidRPr="00BA38DA">
              <w:rPr>
                <w:sz w:val="20"/>
                <w:szCs w:val="20"/>
              </w:rPr>
              <w:t xml:space="preserve">Non-nested adjusted likelihood ratio test between the </w:t>
            </w:r>
            <w:r w:rsidR="002610D3" w:rsidRPr="00BA38DA">
              <w:rPr>
                <w:sz w:val="20"/>
                <w:szCs w:val="20"/>
              </w:rPr>
              <w:t>FDMN-MDCP</w:t>
            </w:r>
            <w:r w:rsidRPr="00BA38DA">
              <w:rPr>
                <w:sz w:val="20"/>
                <w:szCs w:val="20"/>
              </w:rPr>
              <w:t xml:space="preserve"> and </w:t>
            </w:r>
            <w:r w:rsidR="002610D3" w:rsidRPr="00BA38DA">
              <w:rPr>
                <w:sz w:val="20"/>
                <w:szCs w:val="20"/>
              </w:rPr>
              <w:t>RC-MDCP models</w:t>
            </w:r>
          </w:p>
        </w:tc>
        <w:tc>
          <w:tcPr>
            <w:tcW w:w="6857"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D0668A" w:rsidRPr="00BA38DA" w:rsidRDefault="00741F6C" w:rsidP="003B1A0B">
            <w:pPr>
              <w:jc w:val="center"/>
              <w:rPr>
                <w:sz w:val="20"/>
                <w:szCs w:val="20"/>
              </w:rPr>
            </w:pPr>
            <w:r w:rsidRPr="00BA38DA">
              <w:rPr>
                <w:position w:val="-10"/>
                <w:sz w:val="20"/>
                <w:szCs w:val="20"/>
              </w:rPr>
              <w:object w:dxaOrig="2079" w:dyaOrig="340">
                <v:shape id="_x0000_i1544" type="#_x0000_t75" style="width:89.25pt;height:15pt" o:ole="">
                  <v:imagedata r:id="rId950" o:title=""/>
                </v:shape>
                <o:OLEObject Type="Embed" ProgID="Equation.3" ShapeID="_x0000_i1544" DrawAspect="Content" ObjectID="_1519137393" r:id="rId952"/>
              </w:object>
            </w:r>
          </w:p>
        </w:tc>
      </w:tr>
      <w:tr w:rsidR="00246AE4" w:rsidRPr="00BA38DA" w:rsidTr="001645E2">
        <w:trPr>
          <w:trHeight w:val="504"/>
          <w:jc w:val="center"/>
        </w:trPr>
        <w:tc>
          <w:tcPr>
            <w:tcW w:w="2986" w:type="dxa"/>
            <w:vMerge w:val="restart"/>
            <w:tcBorders>
              <w:top w:val="double" w:sz="4" w:space="0" w:color="auto"/>
              <w:left w:val="double" w:sz="4" w:space="0" w:color="auto"/>
              <w:right w:val="double" w:sz="4" w:space="0" w:color="auto"/>
            </w:tcBorders>
            <w:shd w:val="clear" w:color="auto" w:fill="auto"/>
            <w:vAlign w:val="center"/>
          </w:tcPr>
          <w:p w:rsidR="00246AE4" w:rsidRPr="00BA38DA" w:rsidRDefault="00246AE4" w:rsidP="003B1A0B">
            <w:pPr>
              <w:rPr>
                <w:sz w:val="20"/>
                <w:szCs w:val="20"/>
              </w:rPr>
            </w:pPr>
            <w:r w:rsidRPr="00BA38DA">
              <w:rPr>
                <w:sz w:val="20"/>
                <w:szCs w:val="20"/>
              </w:rPr>
              <w:t xml:space="preserve">Percentage of individuals </w:t>
            </w:r>
            <w:r>
              <w:rPr>
                <w:sz w:val="20"/>
                <w:szCs w:val="20"/>
              </w:rPr>
              <w:t xml:space="preserve">(trips) </w:t>
            </w:r>
            <w:r w:rsidRPr="00BA38DA">
              <w:rPr>
                <w:sz w:val="20"/>
                <w:szCs w:val="20"/>
              </w:rPr>
              <w:t>predicted to visit….</w:t>
            </w:r>
          </w:p>
        </w:tc>
        <w:tc>
          <w:tcPr>
            <w:tcW w:w="2250" w:type="dxa"/>
            <w:gridSpan w:val="2"/>
            <w:tcBorders>
              <w:top w:val="double" w:sz="4" w:space="0" w:color="auto"/>
              <w:left w:val="double" w:sz="4" w:space="0" w:color="auto"/>
              <w:bottom w:val="double" w:sz="4" w:space="0" w:color="auto"/>
              <w:right w:val="double" w:sz="4" w:space="0" w:color="auto"/>
            </w:tcBorders>
            <w:shd w:val="clear" w:color="auto" w:fill="auto"/>
            <w:vAlign w:val="center"/>
          </w:tcPr>
          <w:p w:rsidR="00246AE4" w:rsidRPr="00BA38DA" w:rsidRDefault="00246AE4" w:rsidP="009F0149">
            <w:pPr>
              <w:jc w:val="center"/>
              <w:rPr>
                <w:sz w:val="20"/>
                <w:szCs w:val="20"/>
              </w:rPr>
            </w:pPr>
            <w:r w:rsidRPr="00BA38DA">
              <w:rPr>
                <w:sz w:val="20"/>
                <w:szCs w:val="20"/>
              </w:rPr>
              <w:t>Actual percentage</w:t>
            </w:r>
          </w:p>
        </w:tc>
        <w:tc>
          <w:tcPr>
            <w:tcW w:w="6857"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246AE4" w:rsidRPr="00BA38DA" w:rsidRDefault="00246AE4" w:rsidP="0008781A">
            <w:pPr>
              <w:jc w:val="center"/>
              <w:rPr>
                <w:sz w:val="20"/>
                <w:szCs w:val="20"/>
              </w:rPr>
            </w:pPr>
            <w:r w:rsidRPr="00BA38DA">
              <w:rPr>
                <w:sz w:val="20"/>
                <w:szCs w:val="20"/>
              </w:rPr>
              <w:t>Predicted percentage</w:t>
            </w:r>
          </w:p>
        </w:tc>
      </w:tr>
      <w:tr w:rsidR="001645E2" w:rsidRPr="00BA38DA" w:rsidTr="001645E2">
        <w:trPr>
          <w:trHeight w:val="504"/>
          <w:jc w:val="center"/>
        </w:trPr>
        <w:tc>
          <w:tcPr>
            <w:tcW w:w="2986" w:type="dxa"/>
            <w:vMerge/>
            <w:tcBorders>
              <w:left w:val="double" w:sz="4" w:space="0" w:color="auto"/>
              <w:bottom w:val="double" w:sz="4" w:space="0" w:color="auto"/>
              <w:right w:val="double" w:sz="4" w:space="0" w:color="auto"/>
            </w:tcBorders>
            <w:shd w:val="clear" w:color="auto" w:fill="auto"/>
            <w:vAlign w:val="center"/>
          </w:tcPr>
          <w:p w:rsidR="00246AE4" w:rsidRPr="00BA38DA" w:rsidRDefault="00246AE4" w:rsidP="003B1A0B">
            <w:pPr>
              <w:rPr>
                <w:sz w:val="20"/>
                <w:szCs w:val="20"/>
              </w:rPr>
            </w:pPr>
          </w:p>
        </w:tc>
        <w:tc>
          <w:tcPr>
            <w:tcW w:w="1138" w:type="dxa"/>
            <w:tcBorders>
              <w:top w:val="double" w:sz="4" w:space="0" w:color="auto"/>
              <w:left w:val="double" w:sz="4" w:space="0" w:color="auto"/>
              <w:bottom w:val="double" w:sz="4" w:space="0" w:color="auto"/>
              <w:right w:val="single" w:sz="4" w:space="0" w:color="auto"/>
            </w:tcBorders>
            <w:shd w:val="clear" w:color="auto" w:fill="auto"/>
            <w:vAlign w:val="center"/>
          </w:tcPr>
          <w:p w:rsidR="00246AE4" w:rsidRPr="00BA38DA" w:rsidRDefault="00246AE4" w:rsidP="00865852">
            <w:pPr>
              <w:jc w:val="center"/>
              <w:rPr>
                <w:sz w:val="20"/>
                <w:szCs w:val="20"/>
              </w:rPr>
            </w:pPr>
            <w:r>
              <w:rPr>
                <w:sz w:val="20"/>
                <w:szCs w:val="20"/>
              </w:rPr>
              <w:t>Individuals</w:t>
            </w:r>
          </w:p>
        </w:tc>
        <w:tc>
          <w:tcPr>
            <w:tcW w:w="1112" w:type="dxa"/>
            <w:tcBorders>
              <w:top w:val="double" w:sz="4" w:space="0" w:color="auto"/>
              <w:left w:val="single" w:sz="4" w:space="0" w:color="auto"/>
              <w:bottom w:val="double" w:sz="4" w:space="0" w:color="auto"/>
              <w:right w:val="double" w:sz="4" w:space="0" w:color="auto"/>
            </w:tcBorders>
            <w:shd w:val="clear" w:color="auto" w:fill="auto"/>
            <w:vAlign w:val="center"/>
          </w:tcPr>
          <w:p w:rsidR="00246AE4" w:rsidRPr="00BA38DA" w:rsidRDefault="00246AE4" w:rsidP="00865852">
            <w:pPr>
              <w:jc w:val="center"/>
              <w:rPr>
                <w:sz w:val="20"/>
                <w:szCs w:val="20"/>
              </w:rPr>
            </w:pPr>
            <w:r w:rsidRPr="00BA38DA">
              <w:rPr>
                <w:sz w:val="20"/>
                <w:szCs w:val="20"/>
              </w:rPr>
              <w:t xml:space="preserve"> </w:t>
            </w:r>
            <w:r>
              <w:rPr>
                <w:sz w:val="20"/>
                <w:szCs w:val="20"/>
              </w:rPr>
              <w:t>Trips</w:t>
            </w:r>
          </w:p>
        </w:tc>
        <w:tc>
          <w:tcPr>
            <w:tcW w:w="1142" w:type="dxa"/>
            <w:tcBorders>
              <w:top w:val="double" w:sz="4" w:space="0" w:color="auto"/>
              <w:left w:val="double" w:sz="4" w:space="0" w:color="auto"/>
              <w:bottom w:val="double" w:sz="4" w:space="0" w:color="auto"/>
              <w:right w:val="single" w:sz="4" w:space="0" w:color="auto"/>
            </w:tcBorders>
            <w:shd w:val="clear" w:color="auto" w:fill="auto"/>
            <w:vAlign w:val="center"/>
          </w:tcPr>
          <w:p w:rsidR="00246AE4" w:rsidRPr="00BA38DA" w:rsidRDefault="00246AE4" w:rsidP="0008781A">
            <w:pPr>
              <w:jc w:val="center"/>
              <w:rPr>
                <w:sz w:val="20"/>
                <w:szCs w:val="20"/>
              </w:rPr>
            </w:pPr>
            <w:r>
              <w:rPr>
                <w:sz w:val="20"/>
                <w:szCs w:val="20"/>
              </w:rPr>
              <w:t>Individuals</w:t>
            </w:r>
          </w:p>
        </w:tc>
        <w:tc>
          <w:tcPr>
            <w:tcW w:w="1143" w:type="dxa"/>
            <w:tcBorders>
              <w:top w:val="double" w:sz="4" w:space="0" w:color="auto"/>
              <w:left w:val="single" w:sz="4" w:space="0" w:color="auto"/>
              <w:bottom w:val="double" w:sz="4" w:space="0" w:color="auto"/>
            </w:tcBorders>
            <w:shd w:val="clear" w:color="auto" w:fill="auto"/>
            <w:vAlign w:val="center"/>
          </w:tcPr>
          <w:p w:rsidR="00246AE4" w:rsidRPr="00BA38DA" w:rsidRDefault="00246AE4" w:rsidP="0008781A">
            <w:pPr>
              <w:jc w:val="center"/>
              <w:rPr>
                <w:sz w:val="20"/>
                <w:szCs w:val="20"/>
              </w:rPr>
            </w:pPr>
            <w:r>
              <w:rPr>
                <w:sz w:val="20"/>
                <w:szCs w:val="20"/>
              </w:rPr>
              <w:t>Trips</w:t>
            </w:r>
          </w:p>
        </w:tc>
        <w:tc>
          <w:tcPr>
            <w:tcW w:w="1143" w:type="dxa"/>
            <w:tcBorders>
              <w:top w:val="double" w:sz="4" w:space="0" w:color="auto"/>
              <w:left w:val="double" w:sz="4" w:space="0" w:color="auto"/>
              <w:bottom w:val="double" w:sz="4" w:space="0" w:color="auto"/>
              <w:right w:val="single" w:sz="4" w:space="0" w:color="auto"/>
            </w:tcBorders>
            <w:shd w:val="clear" w:color="auto" w:fill="auto"/>
            <w:vAlign w:val="center"/>
          </w:tcPr>
          <w:p w:rsidR="00246AE4" w:rsidRPr="00BA38DA" w:rsidRDefault="00246AE4" w:rsidP="0008781A">
            <w:pPr>
              <w:jc w:val="center"/>
              <w:rPr>
                <w:sz w:val="20"/>
                <w:szCs w:val="20"/>
              </w:rPr>
            </w:pPr>
            <w:r>
              <w:rPr>
                <w:sz w:val="20"/>
                <w:szCs w:val="20"/>
              </w:rPr>
              <w:t>Individuals</w:t>
            </w:r>
          </w:p>
        </w:tc>
        <w:tc>
          <w:tcPr>
            <w:tcW w:w="1143" w:type="dxa"/>
            <w:tcBorders>
              <w:top w:val="double" w:sz="4" w:space="0" w:color="auto"/>
              <w:left w:val="single" w:sz="4" w:space="0" w:color="auto"/>
              <w:bottom w:val="double" w:sz="4" w:space="0" w:color="auto"/>
            </w:tcBorders>
            <w:shd w:val="clear" w:color="auto" w:fill="auto"/>
            <w:vAlign w:val="center"/>
          </w:tcPr>
          <w:p w:rsidR="00246AE4" w:rsidRPr="00BA38DA" w:rsidRDefault="00246AE4" w:rsidP="0008781A">
            <w:pPr>
              <w:jc w:val="center"/>
              <w:rPr>
                <w:sz w:val="20"/>
                <w:szCs w:val="20"/>
              </w:rPr>
            </w:pPr>
            <w:r>
              <w:rPr>
                <w:sz w:val="20"/>
                <w:szCs w:val="20"/>
              </w:rPr>
              <w:t>Trips</w:t>
            </w:r>
          </w:p>
        </w:tc>
        <w:tc>
          <w:tcPr>
            <w:tcW w:w="1143" w:type="dxa"/>
            <w:tcBorders>
              <w:top w:val="double" w:sz="4" w:space="0" w:color="auto"/>
              <w:left w:val="double" w:sz="4" w:space="0" w:color="auto"/>
              <w:bottom w:val="double" w:sz="4" w:space="0" w:color="auto"/>
              <w:right w:val="single" w:sz="4" w:space="0" w:color="auto"/>
            </w:tcBorders>
            <w:shd w:val="clear" w:color="auto" w:fill="auto"/>
            <w:vAlign w:val="center"/>
          </w:tcPr>
          <w:p w:rsidR="00246AE4" w:rsidRPr="00BA38DA" w:rsidRDefault="00D56E0C" w:rsidP="0008781A">
            <w:pPr>
              <w:jc w:val="center"/>
              <w:rPr>
                <w:sz w:val="20"/>
                <w:szCs w:val="20"/>
              </w:rPr>
            </w:pPr>
            <w:r>
              <w:rPr>
                <w:sz w:val="20"/>
                <w:szCs w:val="20"/>
              </w:rPr>
              <w:t>Individuals</w:t>
            </w:r>
          </w:p>
        </w:tc>
        <w:tc>
          <w:tcPr>
            <w:tcW w:w="1143" w:type="dxa"/>
            <w:tcBorders>
              <w:top w:val="double" w:sz="4" w:space="0" w:color="auto"/>
              <w:left w:val="single" w:sz="4" w:space="0" w:color="auto"/>
              <w:bottom w:val="double" w:sz="4" w:space="0" w:color="auto"/>
              <w:right w:val="double" w:sz="4" w:space="0" w:color="auto"/>
            </w:tcBorders>
            <w:shd w:val="clear" w:color="auto" w:fill="auto"/>
            <w:vAlign w:val="center"/>
          </w:tcPr>
          <w:p w:rsidR="00246AE4" w:rsidRPr="00BA38DA" w:rsidRDefault="00246AE4" w:rsidP="0008781A">
            <w:pPr>
              <w:jc w:val="center"/>
              <w:rPr>
                <w:sz w:val="20"/>
                <w:szCs w:val="20"/>
              </w:rPr>
            </w:pPr>
            <w:r>
              <w:rPr>
                <w:sz w:val="20"/>
                <w:szCs w:val="20"/>
              </w:rPr>
              <w:t>Trips</w:t>
            </w:r>
          </w:p>
        </w:tc>
      </w:tr>
      <w:tr w:rsidR="006E0B7A" w:rsidRPr="00BA38DA" w:rsidTr="001645E2">
        <w:trPr>
          <w:trHeight w:val="504"/>
          <w:jc w:val="center"/>
        </w:trPr>
        <w:tc>
          <w:tcPr>
            <w:tcW w:w="2986" w:type="dxa"/>
            <w:tcBorders>
              <w:top w:val="double" w:sz="4" w:space="0" w:color="auto"/>
              <w:left w:val="double" w:sz="4" w:space="0" w:color="auto"/>
              <w:right w:val="double" w:sz="4" w:space="0" w:color="auto"/>
            </w:tcBorders>
            <w:shd w:val="clear" w:color="auto" w:fill="auto"/>
            <w:vAlign w:val="center"/>
          </w:tcPr>
          <w:p w:rsidR="006E0B7A" w:rsidRPr="00BA38DA" w:rsidRDefault="006E0B7A" w:rsidP="00892588">
            <w:pPr>
              <w:ind w:left="255"/>
              <w:rPr>
                <w:sz w:val="20"/>
                <w:szCs w:val="20"/>
              </w:rPr>
            </w:pPr>
            <w:r w:rsidRPr="00BA38DA">
              <w:rPr>
                <w:sz w:val="20"/>
                <w:szCs w:val="20"/>
              </w:rPr>
              <w:t>Waikato but not Auckland</w:t>
            </w:r>
            <w:r w:rsidRPr="00BA38DA" w:rsidDel="00892588">
              <w:rPr>
                <w:sz w:val="20"/>
                <w:szCs w:val="20"/>
              </w:rPr>
              <w:t xml:space="preserve"> </w:t>
            </w:r>
          </w:p>
        </w:tc>
        <w:tc>
          <w:tcPr>
            <w:tcW w:w="1138" w:type="dxa"/>
            <w:tcBorders>
              <w:top w:val="double" w:sz="4" w:space="0" w:color="auto"/>
              <w:left w:val="double" w:sz="4" w:space="0" w:color="auto"/>
              <w:right w:val="single" w:sz="4" w:space="0" w:color="auto"/>
            </w:tcBorders>
            <w:shd w:val="clear" w:color="auto" w:fill="auto"/>
            <w:vAlign w:val="center"/>
          </w:tcPr>
          <w:p w:rsidR="006E0B7A" w:rsidRPr="00BA38DA" w:rsidRDefault="003A1E9C" w:rsidP="00865852">
            <w:pPr>
              <w:jc w:val="center"/>
              <w:rPr>
                <w:sz w:val="20"/>
                <w:szCs w:val="20"/>
              </w:rPr>
            </w:pPr>
            <w:r>
              <w:rPr>
                <w:sz w:val="20"/>
                <w:szCs w:val="20"/>
              </w:rPr>
              <w:t>16.9</w:t>
            </w:r>
          </w:p>
        </w:tc>
        <w:tc>
          <w:tcPr>
            <w:tcW w:w="1112" w:type="dxa"/>
            <w:tcBorders>
              <w:top w:val="double" w:sz="4" w:space="0" w:color="auto"/>
              <w:left w:val="single" w:sz="4" w:space="0" w:color="auto"/>
              <w:right w:val="double" w:sz="4" w:space="0" w:color="auto"/>
            </w:tcBorders>
            <w:shd w:val="clear" w:color="auto" w:fill="auto"/>
            <w:vAlign w:val="center"/>
          </w:tcPr>
          <w:p w:rsidR="006E0B7A" w:rsidRPr="00BA38DA" w:rsidRDefault="00A043A5" w:rsidP="001645E2">
            <w:pPr>
              <w:jc w:val="center"/>
              <w:rPr>
                <w:sz w:val="20"/>
                <w:szCs w:val="20"/>
              </w:rPr>
            </w:pPr>
            <w:r>
              <w:rPr>
                <w:sz w:val="20"/>
                <w:szCs w:val="20"/>
              </w:rPr>
              <w:t>17.9</w:t>
            </w:r>
          </w:p>
        </w:tc>
        <w:tc>
          <w:tcPr>
            <w:tcW w:w="1142" w:type="dxa"/>
            <w:tcBorders>
              <w:top w:val="double" w:sz="4" w:space="0" w:color="auto"/>
              <w:left w:val="double" w:sz="4" w:space="0" w:color="auto"/>
              <w:right w:val="single" w:sz="4" w:space="0" w:color="auto"/>
            </w:tcBorders>
            <w:shd w:val="clear" w:color="auto" w:fill="auto"/>
            <w:vAlign w:val="center"/>
          </w:tcPr>
          <w:p w:rsidR="006E0B7A" w:rsidRPr="00BA38DA" w:rsidRDefault="00A043A5" w:rsidP="001645E2">
            <w:pPr>
              <w:jc w:val="center"/>
              <w:rPr>
                <w:sz w:val="20"/>
                <w:szCs w:val="20"/>
              </w:rPr>
            </w:pPr>
            <w:r>
              <w:rPr>
                <w:sz w:val="20"/>
                <w:szCs w:val="20"/>
              </w:rPr>
              <w:t>17.6</w:t>
            </w:r>
            <w:r w:rsidR="006E0B7A" w:rsidRPr="00BA38DA">
              <w:rPr>
                <w:sz w:val="20"/>
                <w:szCs w:val="20"/>
              </w:rPr>
              <w:t xml:space="preserve"> </w:t>
            </w:r>
          </w:p>
        </w:tc>
        <w:tc>
          <w:tcPr>
            <w:tcW w:w="1143" w:type="dxa"/>
            <w:tcBorders>
              <w:top w:val="double" w:sz="4" w:space="0" w:color="auto"/>
              <w:left w:val="single" w:sz="4" w:space="0" w:color="auto"/>
              <w:right w:val="double" w:sz="4" w:space="0" w:color="auto"/>
            </w:tcBorders>
            <w:shd w:val="clear" w:color="auto" w:fill="auto"/>
            <w:vAlign w:val="center"/>
          </w:tcPr>
          <w:p w:rsidR="006E0B7A" w:rsidRPr="00BA38DA" w:rsidRDefault="00A043A5" w:rsidP="00246AE4">
            <w:pPr>
              <w:jc w:val="center"/>
              <w:rPr>
                <w:sz w:val="20"/>
                <w:szCs w:val="20"/>
              </w:rPr>
            </w:pPr>
            <w:r>
              <w:rPr>
                <w:sz w:val="20"/>
                <w:szCs w:val="20"/>
              </w:rPr>
              <w:t>18.4</w:t>
            </w:r>
            <w:r w:rsidR="006E0B7A" w:rsidRPr="00BA38DA">
              <w:rPr>
                <w:sz w:val="20"/>
                <w:szCs w:val="20"/>
              </w:rPr>
              <w:t xml:space="preserve">  </w:t>
            </w:r>
          </w:p>
        </w:tc>
        <w:tc>
          <w:tcPr>
            <w:tcW w:w="1143" w:type="dxa"/>
            <w:tcBorders>
              <w:top w:val="double" w:sz="4" w:space="0" w:color="auto"/>
              <w:left w:val="double" w:sz="4" w:space="0" w:color="auto"/>
              <w:bottom w:val="single" w:sz="4" w:space="0" w:color="auto"/>
            </w:tcBorders>
            <w:shd w:val="clear" w:color="auto" w:fill="auto"/>
            <w:vAlign w:val="center"/>
          </w:tcPr>
          <w:p w:rsidR="006E0B7A" w:rsidRPr="00BA38DA" w:rsidRDefault="00A043A5" w:rsidP="003E752C">
            <w:pPr>
              <w:jc w:val="center"/>
              <w:rPr>
                <w:sz w:val="20"/>
                <w:szCs w:val="20"/>
              </w:rPr>
            </w:pPr>
            <w:r>
              <w:rPr>
                <w:sz w:val="20"/>
                <w:szCs w:val="20"/>
              </w:rPr>
              <w:t>20.0</w:t>
            </w:r>
          </w:p>
        </w:tc>
        <w:tc>
          <w:tcPr>
            <w:tcW w:w="1143" w:type="dxa"/>
            <w:tcBorders>
              <w:top w:val="double" w:sz="4" w:space="0" w:color="auto"/>
              <w:bottom w:val="single" w:sz="4" w:space="0" w:color="auto"/>
              <w:right w:val="double" w:sz="4" w:space="0" w:color="auto"/>
            </w:tcBorders>
            <w:shd w:val="clear" w:color="auto" w:fill="auto"/>
            <w:vAlign w:val="center"/>
          </w:tcPr>
          <w:p w:rsidR="006E0B7A" w:rsidRPr="00BA38DA" w:rsidRDefault="00A043A5" w:rsidP="003E752C">
            <w:pPr>
              <w:jc w:val="center"/>
              <w:rPr>
                <w:sz w:val="20"/>
                <w:szCs w:val="20"/>
              </w:rPr>
            </w:pPr>
            <w:r>
              <w:rPr>
                <w:sz w:val="20"/>
                <w:szCs w:val="20"/>
              </w:rPr>
              <w:t>20.5</w:t>
            </w:r>
          </w:p>
        </w:tc>
        <w:tc>
          <w:tcPr>
            <w:tcW w:w="1143" w:type="dxa"/>
            <w:tcBorders>
              <w:top w:val="double" w:sz="4" w:space="0" w:color="auto"/>
              <w:left w:val="double" w:sz="4" w:space="0" w:color="auto"/>
              <w:bottom w:val="single" w:sz="4" w:space="0" w:color="auto"/>
              <w:right w:val="single" w:sz="4" w:space="0" w:color="auto"/>
            </w:tcBorders>
            <w:shd w:val="clear" w:color="auto" w:fill="auto"/>
            <w:vAlign w:val="center"/>
          </w:tcPr>
          <w:p w:rsidR="006E0B7A" w:rsidRPr="00BA38DA" w:rsidRDefault="00A043A5" w:rsidP="0008781A">
            <w:pPr>
              <w:jc w:val="center"/>
              <w:rPr>
                <w:sz w:val="20"/>
                <w:szCs w:val="20"/>
              </w:rPr>
            </w:pPr>
            <w:r>
              <w:rPr>
                <w:sz w:val="20"/>
                <w:szCs w:val="20"/>
              </w:rPr>
              <w:t>21.4</w:t>
            </w:r>
          </w:p>
        </w:tc>
        <w:tc>
          <w:tcPr>
            <w:tcW w:w="1143" w:type="dxa"/>
            <w:tcBorders>
              <w:top w:val="double" w:sz="4" w:space="0" w:color="auto"/>
              <w:left w:val="single" w:sz="4" w:space="0" w:color="auto"/>
              <w:bottom w:val="single" w:sz="4" w:space="0" w:color="auto"/>
              <w:right w:val="double" w:sz="4" w:space="0" w:color="auto"/>
            </w:tcBorders>
            <w:shd w:val="clear" w:color="auto" w:fill="auto"/>
            <w:vAlign w:val="center"/>
          </w:tcPr>
          <w:p w:rsidR="006E0B7A" w:rsidRPr="00BA38DA" w:rsidRDefault="00A043A5" w:rsidP="0008781A">
            <w:pPr>
              <w:jc w:val="center"/>
              <w:rPr>
                <w:sz w:val="20"/>
                <w:szCs w:val="20"/>
              </w:rPr>
            </w:pPr>
            <w:r>
              <w:rPr>
                <w:sz w:val="20"/>
                <w:szCs w:val="20"/>
              </w:rPr>
              <w:t>22.3</w:t>
            </w:r>
          </w:p>
        </w:tc>
      </w:tr>
      <w:tr w:rsidR="006E0B7A" w:rsidRPr="00BA38DA" w:rsidTr="001645E2">
        <w:trPr>
          <w:trHeight w:val="504"/>
          <w:jc w:val="center"/>
        </w:trPr>
        <w:tc>
          <w:tcPr>
            <w:tcW w:w="2986" w:type="dxa"/>
            <w:tcBorders>
              <w:left w:val="double" w:sz="4" w:space="0" w:color="auto"/>
              <w:right w:val="double" w:sz="4" w:space="0" w:color="auto"/>
            </w:tcBorders>
            <w:shd w:val="clear" w:color="auto" w:fill="auto"/>
            <w:vAlign w:val="center"/>
          </w:tcPr>
          <w:p w:rsidR="006E0B7A" w:rsidRPr="00BA38DA" w:rsidRDefault="006E0B7A" w:rsidP="00892588">
            <w:pPr>
              <w:ind w:left="255"/>
              <w:rPr>
                <w:sz w:val="20"/>
                <w:szCs w:val="20"/>
              </w:rPr>
            </w:pPr>
            <w:r w:rsidRPr="00BA38DA">
              <w:rPr>
                <w:sz w:val="20"/>
                <w:szCs w:val="20"/>
              </w:rPr>
              <w:t>Auckland but not Waikato</w:t>
            </w:r>
          </w:p>
        </w:tc>
        <w:tc>
          <w:tcPr>
            <w:tcW w:w="1138" w:type="dxa"/>
            <w:tcBorders>
              <w:left w:val="double" w:sz="4" w:space="0" w:color="auto"/>
              <w:right w:val="single" w:sz="4" w:space="0" w:color="auto"/>
            </w:tcBorders>
            <w:shd w:val="clear" w:color="auto" w:fill="auto"/>
            <w:vAlign w:val="center"/>
          </w:tcPr>
          <w:p w:rsidR="006E0B7A" w:rsidRPr="00BA38DA" w:rsidRDefault="003A1E9C" w:rsidP="00865852">
            <w:pPr>
              <w:jc w:val="center"/>
              <w:rPr>
                <w:sz w:val="20"/>
                <w:szCs w:val="20"/>
              </w:rPr>
            </w:pPr>
            <w:r>
              <w:rPr>
                <w:sz w:val="20"/>
                <w:szCs w:val="20"/>
              </w:rPr>
              <w:t>10.8</w:t>
            </w:r>
          </w:p>
        </w:tc>
        <w:tc>
          <w:tcPr>
            <w:tcW w:w="1112" w:type="dxa"/>
            <w:tcBorders>
              <w:left w:val="single" w:sz="4" w:space="0" w:color="auto"/>
              <w:right w:val="double" w:sz="4" w:space="0" w:color="auto"/>
            </w:tcBorders>
            <w:shd w:val="clear" w:color="auto" w:fill="auto"/>
            <w:vAlign w:val="center"/>
          </w:tcPr>
          <w:p w:rsidR="006E0B7A" w:rsidRPr="00BA38DA" w:rsidRDefault="00A043A5" w:rsidP="001645E2">
            <w:pPr>
              <w:jc w:val="center"/>
              <w:rPr>
                <w:sz w:val="20"/>
                <w:szCs w:val="20"/>
              </w:rPr>
            </w:pPr>
            <w:r>
              <w:rPr>
                <w:sz w:val="20"/>
                <w:szCs w:val="20"/>
              </w:rPr>
              <w:t xml:space="preserve">  8.1</w:t>
            </w:r>
          </w:p>
        </w:tc>
        <w:tc>
          <w:tcPr>
            <w:tcW w:w="1142" w:type="dxa"/>
            <w:tcBorders>
              <w:left w:val="double" w:sz="4" w:space="0" w:color="auto"/>
              <w:right w:val="single" w:sz="4" w:space="0" w:color="auto"/>
            </w:tcBorders>
            <w:shd w:val="clear" w:color="auto" w:fill="auto"/>
            <w:vAlign w:val="center"/>
          </w:tcPr>
          <w:p w:rsidR="006E0B7A" w:rsidRPr="00BA38DA" w:rsidRDefault="00A043A5" w:rsidP="003B1A0B">
            <w:pPr>
              <w:jc w:val="center"/>
              <w:rPr>
                <w:sz w:val="20"/>
                <w:szCs w:val="20"/>
              </w:rPr>
            </w:pPr>
            <w:r>
              <w:rPr>
                <w:sz w:val="20"/>
                <w:szCs w:val="20"/>
              </w:rPr>
              <w:t>12.3</w:t>
            </w:r>
          </w:p>
        </w:tc>
        <w:tc>
          <w:tcPr>
            <w:tcW w:w="1143" w:type="dxa"/>
            <w:tcBorders>
              <w:left w:val="single" w:sz="4" w:space="0" w:color="auto"/>
              <w:right w:val="double" w:sz="4" w:space="0" w:color="auto"/>
            </w:tcBorders>
            <w:shd w:val="clear" w:color="auto" w:fill="auto"/>
            <w:vAlign w:val="center"/>
          </w:tcPr>
          <w:p w:rsidR="006E0B7A" w:rsidRPr="00BA38DA" w:rsidRDefault="00A043A5" w:rsidP="003B1A0B">
            <w:pPr>
              <w:jc w:val="center"/>
              <w:rPr>
                <w:sz w:val="20"/>
                <w:szCs w:val="20"/>
              </w:rPr>
            </w:pPr>
            <w:r>
              <w:rPr>
                <w:sz w:val="20"/>
                <w:szCs w:val="20"/>
              </w:rPr>
              <w:t xml:space="preserve">  9.5</w:t>
            </w:r>
          </w:p>
        </w:tc>
        <w:tc>
          <w:tcPr>
            <w:tcW w:w="1143" w:type="dxa"/>
            <w:tcBorders>
              <w:top w:val="single" w:sz="4" w:space="0" w:color="auto"/>
              <w:left w:val="double" w:sz="4" w:space="0" w:color="auto"/>
              <w:bottom w:val="single" w:sz="4" w:space="0" w:color="auto"/>
            </w:tcBorders>
            <w:shd w:val="clear" w:color="auto" w:fill="auto"/>
            <w:vAlign w:val="center"/>
          </w:tcPr>
          <w:p w:rsidR="006E0B7A" w:rsidRPr="00BA38DA" w:rsidRDefault="00A043A5" w:rsidP="003E752C">
            <w:pPr>
              <w:jc w:val="center"/>
              <w:rPr>
                <w:sz w:val="20"/>
                <w:szCs w:val="20"/>
              </w:rPr>
            </w:pPr>
            <w:r>
              <w:rPr>
                <w:sz w:val="20"/>
                <w:szCs w:val="20"/>
              </w:rPr>
              <w:t>14.0</w:t>
            </w:r>
          </w:p>
        </w:tc>
        <w:tc>
          <w:tcPr>
            <w:tcW w:w="1143" w:type="dxa"/>
            <w:tcBorders>
              <w:top w:val="single" w:sz="4" w:space="0" w:color="auto"/>
              <w:bottom w:val="single" w:sz="4" w:space="0" w:color="auto"/>
              <w:right w:val="double" w:sz="4" w:space="0" w:color="auto"/>
            </w:tcBorders>
            <w:shd w:val="clear" w:color="auto" w:fill="auto"/>
            <w:vAlign w:val="center"/>
          </w:tcPr>
          <w:p w:rsidR="006E0B7A" w:rsidRPr="00BA38DA" w:rsidRDefault="00A043A5" w:rsidP="003E752C">
            <w:pPr>
              <w:jc w:val="center"/>
              <w:rPr>
                <w:sz w:val="20"/>
                <w:szCs w:val="20"/>
              </w:rPr>
            </w:pPr>
            <w:r>
              <w:rPr>
                <w:sz w:val="20"/>
                <w:szCs w:val="20"/>
              </w:rPr>
              <w:t>11.8</w:t>
            </w:r>
          </w:p>
        </w:tc>
        <w:tc>
          <w:tcPr>
            <w:tcW w:w="1143" w:type="dxa"/>
            <w:tcBorders>
              <w:top w:val="single" w:sz="4" w:space="0" w:color="auto"/>
              <w:left w:val="double" w:sz="4" w:space="0" w:color="auto"/>
              <w:bottom w:val="single" w:sz="4" w:space="0" w:color="auto"/>
              <w:right w:val="single" w:sz="4" w:space="0" w:color="auto"/>
            </w:tcBorders>
            <w:shd w:val="clear" w:color="auto" w:fill="auto"/>
            <w:vAlign w:val="center"/>
          </w:tcPr>
          <w:p w:rsidR="006E0B7A" w:rsidRPr="00BA38DA" w:rsidRDefault="00A043A5" w:rsidP="003B1A0B">
            <w:pPr>
              <w:jc w:val="center"/>
              <w:rPr>
                <w:sz w:val="20"/>
                <w:szCs w:val="20"/>
              </w:rPr>
            </w:pPr>
            <w:r>
              <w:rPr>
                <w:sz w:val="20"/>
                <w:szCs w:val="20"/>
              </w:rPr>
              <w:t>14.5</w:t>
            </w:r>
          </w:p>
        </w:tc>
        <w:tc>
          <w:tcPr>
            <w:tcW w:w="1143" w:type="dxa"/>
            <w:tcBorders>
              <w:top w:val="single" w:sz="4" w:space="0" w:color="auto"/>
              <w:left w:val="single" w:sz="4" w:space="0" w:color="auto"/>
              <w:bottom w:val="single" w:sz="4" w:space="0" w:color="auto"/>
              <w:right w:val="double" w:sz="4" w:space="0" w:color="auto"/>
            </w:tcBorders>
            <w:shd w:val="clear" w:color="auto" w:fill="auto"/>
            <w:vAlign w:val="center"/>
          </w:tcPr>
          <w:p w:rsidR="006E0B7A" w:rsidRPr="00BA38DA" w:rsidRDefault="00A043A5" w:rsidP="003B1A0B">
            <w:pPr>
              <w:jc w:val="center"/>
              <w:rPr>
                <w:sz w:val="20"/>
                <w:szCs w:val="20"/>
              </w:rPr>
            </w:pPr>
            <w:r>
              <w:rPr>
                <w:sz w:val="20"/>
                <w:szCs w:val="20"/>
              </w:rPr>
              <w:t>12.4</w:t>
            </w:r>
          </w:p>
        </w:tc>
      </w:tr>
      <w:tr w:rsidR="006E0B7A" w:rsidRPr="00BA38DA" w:rsidTr="001645E2">
        <w:trPr>
          <w:trHeight w:val="504"/>
          <w:jc w:val="center"/>
        </w:trPr>
        <w:tc>
          <w:tcPr>
            <w:tcW w:w="2986" w:type="dxa"/>
            <w:tcBorders>
              <w:left w:val="double" w:sz="4" w:space="0" w:color="auto"/>
              <w:bottom w:val="single" w:sz="4" w:space="0" w:color="auto"/>
              <w:right w:val="double" w:sz="4" w:space="0" w:color="auto"/>
            </w:tcBorders>
            <w:shd w:val="clear" w:color="auto" w:fill="auto"/>
            <w:vAlign w:val="center"/>
          </w:tcPr>
          <w:p w:rsidR="006E0B7A" w:rsidRPr="00BA38DA" w:rsidRDefault="006E0B7A" w:rsidP="00892588">
            <w:pPr>
              <w:ind w:left="255"/>
              <w:rPr>
                <w:sz w:val="20"/>
                <w:szCs w:val="20"/>
              </w:rPr>
            </w:pPr>
            <w:r w:rsidRPr="00BA38DA">
              <w:rPr>
                <w:sz w:val="20"/>
                <w:szCs w:val="20"/>
              </w:rPr>
              <w:t>Both Auckland and Waikato</w:t>
            </w:r>
          </w:p>
        </w:tc>
        <w:tc>
          <w:tcPr>
            <w:tcW w:w="1138" w:type="dxa"/>
            <w:tcBorders>
              <w:left w:val="double" w:sz="4" w:space="0" w:color="auto"/>
              <w:right w:val="single" w:sz="4" w:space="0" w:color="auto"/>
            </w:tcBorders>
            <w:shd w:val="clear" w:color="auto" w:fill="auto"/>
            <w:vAlign w:val="center"/>
          </w:tcPr>
          <w:p w:rsidR="006E0B7A" w:rsidRPr="00BA38DA" w:rsidRDefault="003A1E9C" w:rsidP="00865852">
            <w:pPr>
              <w:jc w:val="center"/>
              <w:rPr>
                <w:sz w:val="20"/>
                <w:szCs w:val="20"/>
              </w:rPr>
            </w:pPr>
            <w:r>
              <w:rPr>
                <w:sz w:val="20"/>
                <w:szCs w:val="20"/>
              </w:rPr>
              <w:t xml:space="preserve">  5.6</w:t>
            </w:r>
          </w:p>
        </w:tc>
        <w:tc>
          <w:tcPr>
            <w:tcW w:w="1112" w:type="dxa"/>
            <w:tcBorders>
              <w:left w:val="single" w:sz="4" w:space="0" w:color="auto"/>
              <w:right w:val="double" w:sz="4" w:space="0" w:color="auto"/>
            </w:tcBorders>
            <w:shd w:val="clear" w:color="auto" w:fill="auto"/>
            <w:vAlign w:val="center"/>
          </w:tcPr>
          <w:p w:rsidR="006E0B7A" w:rsidRPr="00BA38DA" w:rsidRDefault="00A043A5" w:rsidP="001645E2">
            <w:pPr>
              <w:jc w:val="center"/>
              <w:rPr>
                <w:sz w:val="20"/>
                <w:szCs w:val="20"/>
              </w:rPr>
            </w:pPr>
            <w:r>
              <w:rPr>
                <w:sz w:val="20"/>
                <w:szCs w:val="20"/>
              </w:rPr>
              <w:t xml:space="preserve">  6.4</w:t>
            </w:r>
          </w:p>
        </w:tc>
        <w:tc>
          <w:tcPr>
            <w:tcW w:w="1142" w:type="dxa"/>
            <w:tcBorders>
              <w:left w:val="double" w:sz="4" w:space="0" w:color="auto"/>
              <w:right w:val="single" w:sz="4" w:space="0" w:color="auto"/>
            </w:tcBorders>
            <w:shd w:val="clear" w:color="auto" w:fill="auto"/>
            <w:vAlign w:val="center"/>
          </w:tcPr>
          <w:p w:rsidR="006E0B7A" w:rsidRPr="00BA38DA" w:rsidRDefault="00A043A5" w:rsidP="003B1A0B">
            <w:pPr>
              <w:jc w:val="center"/>
              <w:rPr>
                <w:sz w:val="20"/>
                <w:szCs w:val="20"/>
              </w:rPr>
            </w:pPr>
            <w:r>
              <w:rPr>
                <w:sz w:val="20"/>
                <w:szCs w:val="20"/>
              </w:rPr>
              <w:t xml:space="preserve">  6.7</w:t>
            </w:r>
          </w:p>
        </w:tc>
        <w:tc>
          <w:tcPr>
            <w:tcW w:w="1143" w:type="dxa"/>
            <w:tcBorders>
              <w:left w:val="single" w:sz="4" w:space="0" w:color="auto"/>
              <w:right w:val="double" w:sz="4" w:space="0" w:color="auto"/>
            </w:tcBorders>
            <w:shd w:val="clear" w:color="auto" w:fill="auto"/>
            <w:vAlign w:val="center"/>
          </w:tcPr>
          <w:p w:rsidR="006E0B7A" w:rsidRPr="00BA38DA" w:rsidRDefault="00A043A5" w:rsidP="003B1A0B">
            <w:pPr>
              <w:jc w:val="center"/>
              <w:rPr>
                <w:sz w:val="20"/>
                <w:szCs w:val="20"/>
              </w:rPr>
            </w:pPr>
            <w:r>
              <w:rPr>
                <w:sz w:val="20"/>
                <w:szCs w:val="20"/>
              </w:rPr>
              <w:t xml:space="preserve">  7.7</w:t>
            </w:r>
          </w:p>
        </w:tc>
        <w:tc>
          <w:tcPr>
            <w:tcW w:w="1143" w:type="dxa"/>
            <w:tcBorders>
              <w:top w:val="single" w:sz="4" w:space="0" w:color="auto"/>
              <w:left w:val="double" w:sz="4" w:space="0" w:color="auto"/>
              <w:bottom w:val="single" w:sz="4" w:space="0" w:color="auto"/>
            </w:tcBorders>
            <w:shd w:val="clear" w:color="auto" w:fill="auto"/>
            <w:vAlign w:val="center"/>
          </w:tcPr>
          <w:p w:rsidR="006E0B7A" w:rsidRPr="00BA38DA" w:rsidRDefault="00A043A5" w:rsidP="0008781A">
            <w:pPr>
              <w:jc w:val="center"/>
              <w:rPr>
                <w:sz w:val="20"/>
                <w:szCs w:val="20"/>
              </w:rPr>
            </w:pPr>
            <w:r>
              <w:rPr>
                <w:sz w:val="20"/>
                <w:szCs w:val="20"/>
              </w:rPr>
              <w:t xml:space="preserve">  8.6</w:t>
            </w:r>
          </w:p>
        </w:tc>
        <w:tc>
          <w:tcPr>
            <w:tcW w:w="1143" w:type="dxa"/>
            <w:tcBorders>
              <w:top w:val="single" w:sz="4" w:space="0" w:color="auto"/>
              <w:bottom w:val="single" w:sz="4" w:space="0" w:color="auto"/>
              <w:right w:val="double" w:sz="4" w:space="0" w:color="auto"/>
            </w:tcBorders>
            <w:shd w:val="clear" w:color="auto" w:fill="auto"/>
            <w:vAlign w:val="center"/>
          </w:tcPr>
          <w:p w:rsidR="006E0B7A" w:rsidRPr="00BA38DA" w:rsidRDefault="00247DF7" w:rsidP="0008781A">
            <w:pPr>
              <w:jc w:val="center"/>
              <w:rPr>
                <w:sz w:val="20"/>
                <w:szCs w:val="20"/>
              </w:rPr>
            </w:pPr>
            <w:r>
              <w:rPr>
                <w:sz w:val="20"/>
                <w:szCs w:val="20"/>
              </w:rPr>
              <w:t xml:space="preserve">  </w:t>
            </w:r>
            <w:r w:rsidR="00A043A5">
              <w:rPr>
                <w:sz w:val="20"/>
                <w:szCs w:val="20"/>
              </w:rPr>
              <w:t>9.4</w:t>
            </w:r>
          </w:p>
        </w:tc>
        <w:tc>
          <w:tcPr>
            <w:tcW w:w="1143" w:type="dxa"/>
            <w:tcBorders>
              <w:top w:val="single" w:sz="4" w:space="0" w:color="auto"/>
              <w:left w:val="double" w:sz="4" w:space="0" w:color="auto"/>
              <w:bottom w:val="single" w:sz="4" w:space="0" w:color="auto"/>
              <w:right w:val="single" w:sz="4" w:space="0" w:color="auto"/>
            </w:tcBorders>
            <w:shd w:val="clear" w:color="auto" w:fill="auto"/>
            <w:vAlign w:val="center"/>
          </w:tcPr>
          <w:p w:rsidR="006E0B7A" w:rsidRPr="00BA38DA" w:rsidRDefault="00A043A5" w:rsidP="0008781A">
            <w:pPr>
              <w:jc w:val="center"/>
              <w:rPr>
                <w:sz w:val="20"/>
                <w:szCs w:val="20"/>
              </w:rPr>
            </w:pPr>
            <w:r>
              <w:rPr>
                <w:sz w:val="20"/>
                <w:szCs w:val="20"/>
              </w:rPr>
              <w:t xml:space="preserve"> 9.3</w:t>
            </w:r>
          </w:p>
        </w:tc>
        <w:tc>
          <w:tcPr>
            <w:tcW w:w="1143" w:type="dxa"/>
            <w:tcBorders>
              <w:top w:val="single" w:sz="4" w:space="0" w:color="auto"/>
              <w:left w:val="single" w:sz="4" w:space="0" w:color="auto"/>
              <w:bottom w:val="single" w:sz="4" w:space="0" w:color="auto"/>
              <w:right w:val="double" w:sz="4" w:space="0" w:color="auto"/>
            </w:tcBorders>
            <w:shd w:val="clear" w:color="auto" w:fill="auto"/>
            <w:vAlign w:val="center"/>
          </w:tcPr>
          <w:p w:rsidR="006E0B7A" w:rsidRPr="00BA38DA" w:rsidRDefault="00A043A5" w:rsidP="0008781A">
            <w:pPr>
              <w:jc w:val="center"/>
              <w:rPr>
                <w:sz w:val="20"/>
                <w:szCs w:val="20"/>
              </w:rPr>
            </w:pPr>
            <w:r>
              <w:rPr>
                <w:sz w:val="20"/>
                <w:szCs w:val="20"/>
              </w:rPr>
              <w:t xml:space="preserve">  9.7</w:t>
            </w:r>
          </w:p>
        </w:tc>
      </w:tr>
      <w:tr w:rsidR="006E0B7A" w:rsidRPr="00BA38DA" w:rsidTr="001645E2">
        <w:trPr>
          <w:trHeight w:val="504"/>
          <w:jc w:val="center"/>
        </w:trPr>
        <w:tc>
          <w:tcPr>
            <w:tcW w:w="2986" w:type="dxa"/>
            <w:tcBorders>
              <w:left w:val="double" w:sz="4" w:space="0" w:color="auto"/>
              <w:bottom w:val="single" w:sz="4" w:space="0" w:color="auto"/>
              <w:right w:val="double" w:sz="4" w:space="0" w:color="auto"/>
            </w:tcBorders>
            <w:shd w:val="clear" w:color="auto" w:fill="auto"/>
            <w:vAlign w:val="center"/>
          </w:tcPr>
          <w:p w:rsidR="006E0B7A" w:rsidRPr="00BA38DA" w:rsidRDefault="006E0B7A" w:rsidP="00892588">
            <w:pPr>
              <w:ind w:left="255"/>
              <w:rPr>
                <w:sz w:val="20"/>
                <w:szCs w:val="20"/>
              </w:rPr>
            </w:pPr>
            <w:r w:rsidRPr="00BA38DA">
              <w:rPr>
                <w:sz w:val="20"/>
                <w:szCs w:val="20"/>
              </w:rPr>
              <w:t>Neither Auckland nor Waikato</w:t>
            </w:r>
          </w:p>
        </w:tc>
        <w:tc>
          <w:tcPr>
            <w:tcW w:w="1138" w:type="dxa"/>
            <w:tcBorders>
              <w:left w:val="double" w:sz="4" w:space="0" w:color="auto"/>
              <w:bottom w:val="single" w:sz="4" w:space="0" w:color="auto"/>
              <w:right w:val="single" w:sz="4" w:space="0" w:color="auto"/>
            </w:tcBorders>
            <w:shd w:val="clear" w:color="auto" w:fill="auto"/>
            <w:vAlign w:val="center"/>
          </w:tcPr>
          <w:p w:rsidR="006E0B7A" w:rsidRPr="00BA38DA" w:rsidRDefault="0077302A" w:rsidP="00865852">
            <w:pPr>
              <w:jc w:val="center"/>
              <w:rPr>
                <w:sz w:val="20"/>
                <w:szCs w:val="20"/>
              </w:rPr>
            </w:pPr>
            <w:r>
              <w:rPr>
                <w:sz w:val="20"/>
                <w:szCs w:val="20"/>
              </w:rPr>
              <w:t>66.7</w:t>
            </w:r>
          </w:p>
        </w:tc>
        <w:tc>
          <w:tcPr>
            <w:tcW w:w="1112" w:type="dxa"/>
            <w:tcBorders>
              <w:left w:val="single" w:sz="4" w:space="0" w:color="auto"/>
              <w:bottom w:val="single" w:sz="4" w:space="0" w:color="auto"/>
              <w:right w:val="double" w:sz="4" w:space="0" w:color="auto"/>
            </w:tcBorders>
            <w:shd w:val="clear" w:color="auto" w:fill="auto"/>
            <w:vAlign w:val="center"/>
          </w:tcPr>
          <w:p w:rsidR="006E0B7A" w:rsidRPr="00BA38DA" w:rsidRDefault="00A043A5" w:rsidP="001645E2">
            <w:pPr>
              <w:jc w:val="center"/>
              <w:rPr>
                <w:sz w:val="20"/>
                <w:szCs w:val="20"/>
              </w:rPr>
            </w:pPr>
            <w:r>
              <w:rPr>
                <w:sz w:val="20"/>
                <w:szCs w:val="20"/>
              </w:rPr>
              <w:t>67.6</w:t>
            </w:r>
          </w:p>
        </w:tc>
        <w:tc>
          <w:tcPr>
            <w:tcW w:w="1142" w:type="dxa"/>
            <w:tcBorders>
              <w:left w:val="double" w:sz="4" w:space="0" w:color="auto"/>
              <w:bottom w:val="single" w:sz="4" w:space="0" w:color="auto"/>
              <w:right w:val="single" w:sz="4" w:space="0" w:color="auto"/>
            </w:tcBorders>
            <w:shd w:val="clear" w:color="auto" w:fill="auto"/>
            <w:vAlign w:val="center"/>
          </w:tcPr>
          <w:p w:rsidR="006E0B7A" w:rsidRPr="00BA38DA" w:rsidRDefault="00A043A5" w:rsidP="003B1A0B">
            <w:pPr>
              <w:jc w:val="center"/>
              <w:rPr>
                <w:sz w:val="20"/>
                <w:szCs w:val="20"/>
              </w:rPr>
            </w:pPr>
            <w:r>
              <w:rPr>
                <w:sz w:val="20"/>
                <w:szCs w:val="20"/>
              </w:rPr>
              <w:t>63.4</w:t>
            </w:r>
          </w:p>
        </w:tc>
        <w:tc>
          <w:tcPr>
            <w:tcW w:w="1143" w:type="dxa"/>
            <w:tcBorders>
              <w:left w:val="single" w:sz="4" w:space="0" w:color="auto"/>
              <w:bottom w:val="single" w:sz="4" w:space="0" w:color="auto"/>
              <w:right w:val="double" w:sz="4" w:space="0" w:color="auto"/>
            </w:tcBorders>
            <w:shd w:val="clear" w:color="auto" w:fill="auto"/>
            <w:vAlign w:val="center"/>
          </w:tcPr>
          <w:p w:rsidR="006E0B7A" w:rsidRPr="00BA38DA" w:rsidRDefault="00A043A5" w:rsidP="003B1A0B">
            <w:pPr>
              <w:jc w:val="center"/>
              <w:rPr>
                <w:sz w:val="20"/>
                <w:szCs w:val="20"/>
              </w:rPr>
            </w:pPr>
            <w:r>
              <w:rPr>
                <w:sz w:val="20"/>
                <w:szCs w:val="20"/>
              </w:rPr>
              <w:t>64.4</w:t>
            </w:r>
          </w:p>
        </w:tc>
        <w:tc>
          <w:tcPr>
            <w:tcW w:w="1143" w:type="dxa"/>
            <w:tcBorders>
              <w:top w:val="single" w:sz="4" w:space="0" w:color="auto"/>
              <w:left w:val="double" w:sz="4" w:space="0" w:color="auto"/>
              <w:bottom w:val="single" w:sz="4" w:space="0" w:color="auto"/>
            </w:tcBorders>
            <w:shd w:val="clear" w:color="auto" w:fill="auto"/>
            <w:vAlign w:val="center"/>
          </w:tcPr>
          <w:p w:rsidR="006E0B7A" w:rsidRPr="00BA38DA" w:rsidRDefault="00A043A5" w:rsidP="0008781A">
            <w:pPr>
              <w:jc w:val="center"/>
              <w:rPr>
                <w:sz w:val="20"/>
                <w:szCs w:val="20"/>
              </w:rPr>
            </w:pPr>
            <w:r>
              <w:rPr>
                <w:sz w:val="20"/>
                <w:szCs w:val="20"/>
              </w:rPr>
              <w:t>57.4</w:t>
            </w:r>
          </w:p>
        </w:tc>
        <w:tc>
          <w:tcPr>
            <w:tcW w:w="1143" w:type="dxa"/>
            <w:tcBorders>
              <w:top w:val="single" w:sz="4" w:space="0" w:color="auto"/>
              <w:bottom w:val="single" w:sz="4" w:space="0" w:color="auto"/>
              <w:right w:val="double" w:sz="4" w:space="0" w:color="auto"/>
            </w:tcBorders>
            <w:shd w:val="clear" w:color="auto" w:fill="auto"/>
            <w:vAlign w:val="center"/>
          </w:tcPr>
          <w:p w:rsidR="006E0B7A" w:rsidRPr="00BA38DA" w:rsidRDefault="00247DF7" w:rsidP="0008781A">
            <w:pPr>
              <w:jc w:val="center"/>
              <w:rPr>
                <w:sz w:val="20"/>
                <w:szCs w:val="20"/>
              </w:rPr>
            </w:pPr>
            <w:r>
              <w:rPr>
                <w:sz w:val="20"/>
                <w:szCs w:val="20"/>
              </w:rPr>
              <w:t>5</w:t>
            </w:r>
            <w:r w:rsidR="00A043A5">
              <w:rPr>
                <w:sz w:val="20"/>
                <w:szCs w:val="20"/>
              </w:rPr>
              <w:t>8.3</w:t>
            </w:r>
          </w:p>
        </w:tc>
        <w:tc>
          <w:tcPr>
            <w:tcW w:w="1143" w:type="dxa"/>
            <w:tcBorders>
              <w:top w:val="single" w:sz="4" w:space="0" w:color="auto"/>
              <w:left w:val="double" w:sz="4" w:space="0" w:color="auto"/>
              <w:bottom w:val="single" w:sz="4" w:space="0" w:color="auto"/>
              <w:right w:val="single" w:sz="4" w:space="0" w:color="auto"/>
            </w:tcBorders>
            <w:shd w:val="clear" w:color="auto" w:fill="auto"/>
            <w:vAlign w:val="center"/>
          </w:tcPr>
          <w:p w:rsidR="006E0B7A" w:rsidRPr="00BA38DA" w:rsidRDefault="00A043A5" w:rsidP="0008781A">
            <w:pPr>
              <w:jc w:val="center"/>
              <w:rPr>
                <w:sz w:val="20"/>
                <w:szCs w:val="20"/>
              </w:rPr>
            </w:pPr>
            <w:r>
              <w:rPr>
                <w:sz w:val="20"/>
                <w:szCs w:val="20"/>
              </w:rPr>
              <w:t>54.8</w:t>
            </w:r>
          </w:p>
        </w:tc>
        <w:tc>
          <w:tcPr>
            <w:tcW w:w="1143" w:type="dxa"/>
            <w:tcBorders>
              <w:top w:val="single" w:sz="4" w:space="0" w:color="auto"/>
              <w:left w:val="single" w:sz="4" w:space="0" w:color="auto"/>
              <w:bottom w:val="single" w:sz="4" w:space="0" w:color="auto"/>
              <w:right w:val="double" w:sz="4" w:space="0" w:color="auto"/>
            </w:tcBorders>
            <w:shd w:val="clear" w:color="auto" w:fill="auto"/>
            <w:vAlign w:val="center"/>
          </w:tcPr>
          <w:p w:rsidR="006E0B7A" w:rsidRPr="00BA38DA" w:rsidRDefault="00A043A5" w:rsidP="0008781A">
            <w:pPr>
              <w:jc w:val="center"/>
              <w:rPr>
                <w:sz w:val="20"/>
                <w:szCs w:val="20"/>
              </w:rPr>
            </w:pPr>
            <w:r>
              <w:rPr>
                <w:sz w:val="20"/>
                <w:szCs w:val="20"/>
              </w:rPr>
              <w:t>55.6</w:t>
            </w:r>
          </w:p>
        </w:tc>
      </w:tr>
      <w:tr w:rsidR="001645E2" w:rsidRPr="00BA38DA" w:rsidTr="001645E2">
        <w:trPr>
          <w:trHeight w:val="504"/>
          <w:jc w:val="center"/>
        </w:trPr>
        <w:tc>
          <w:tcPr>
            <w:tcW w:w="5236" w:type="dxa"/>
            <w:gridSpan w:val="3"/>
            <w:tcBorders>
              <w:top w:val="single" w:sz="4" w:space="0" w:color="auto"/>
              <w:left w:val="double" w:sz="4" w:space="0" w:color="auto"/>
              <w:bottom w:val="double" w:sz="4" w:space="0" w:color="auto"/>
              <w:right w:val="double" w:sz="4" w:space="0" w:color="auto"/>
            </w:tcBorders>
            <w:shd w:val="clear" w:color="auto" w:fill="auto"/>
            <w:vAlign w:val="center"/>
          </w:tcPr>
          <w:p w:rsidR="001645E2" w:rsidRPr="00BA38DA" w:rsidRDefault="001645E2" w:rsidP="0071561A">
            <w:pPr>
              <w:jc w:val="left"/>
              <w:rPr>
                <w:sz w:val="20"/>
                <w:szCs w:val="20"/>
              </w:rPr>
            </w:pPr>
            <w:r w:rsidRPr="00BA38DA">
              <w:rPr>
                <w:sz w:val="20"/>
                <w:szCs w:val="20"/>
              </w:rPr>
              <w:t>Mean Absolute Percentage Error</w:t>
            </w:r>
          </w:p>
        </w:tc>
        <w:tc>
          <w:tcPr>
            <w:tcW w:w="1142" w:type="dxa"/>
            <w:tcBorders>
              <w:left w:val="double" w:sz="4" w:space="0" w:color="auto"/>
              <w:bottom w:val="double" w:sz="4" w:space="0" w:color="auto"/>
              <w:right w:val="single" w:sz="4" w:space="0" w:color="auto"/>
            </w:tcBorders>
            <w:shd w:val="clear" w:color="auto" w:fill="auto"/>
            <w:vAlign w:val="center"/>
          </w:tcPr>
          <w:p w:rsidR="001645E2" w:rsidRPr="00BA38DA" w:rsidRDefault="00247DF7" w:rsidP="003B1A0B">
            <w:pPr>
              <w:jc w:val="center"/>
              <w:rPr>
                <w:sz w:val="20"/>
                <w:szCs w:val="20"/>
              </w:rPr>
            </w:pPr>
            <w:r>
              <w:rPr>
                <w:sz w:val="20"/>
                <w:szCs w:val="20"/>
              </w:rPr>
              <w:t xml:space="preserve">  </w:t>
            </w:r>
            <w:r w:rsidR="00A043A5">
              <w:rPr>
                <w:sz w:val="20"/>
                <w:szCs w:val="20"/>
              </w:rPr>
              <w:t>10.7</w:t>
            </w:r>
            <w:r w:rsidR="001645E2">
              <w:rPr>
                <w:sz w:val="20"/>
                <w:szCs w:val="20"/>
              </w:rPr>
              <w:t>%</w:t>
            </w:r>
          </w:p>
        </w:tc>
        <w:tc>
          <w:tcPr>
            <w:tcW w:w="1143" w:type="dxa"/>
            <w:tcBorders>
              <w:left w:val="single" w:sz="4" w:space="0" w:color="auto"/>
              <w:bottom w:val="double" w:sz="4" w:space="0" w:color="auto"/>
              <w:right w:val="double" w:sz="4" w:space="0" w:color="auto"/>
            </w:tcBorders>
            <w:shd w:val="clear" w:color="auto" w:fill="auto"/>
            <w:vAlign w:val="center"/>
          </w:tcPr>
          <w:p w:rsidR="001645E2" w:rsidRPr="00BA38DA" w:rsidRDefault="00247DF7" w:rsidP="003B1A0B">
            <w:pPr>
              <w:jc w:val="center"/>
              <w:rPr>
                <w:sz w:val="20"/>
                <w:szCs w:val="20"/>
              </w:rPr>
            </w:pPr>
            <w:r>
              <w:rPr>
                <w:sz w:val="20"/>
                <w:szCs w:val="20"/>
              </w:rPr>
              <w:t xml:space="preserve">  </w:t>
            </w:r>
            <w:r w:rsidR="00A043A5">
              <w:rPr>
                <w:sz w:val="20"/>
                <w:szCs w:val="20"/>
              </w:rPr>
              <w:t>11.3</w:t>
            </w:r>
            <w:r w:rsidR="001645E2">
              <w:rPr>
                <w:sz w:val="20"/>
                <w:szCs w:val="20"/>
              </w:rPr>
              <w:t>%</w:t>
            </w:r>
          </w:p>
        </w:tc>
        <w:tc>
          <w:tcPr>
            <w:tcW w:w="1143" w:type="dxa"/>
            <w:tcBorders>
              <w:top w:val="single" w:sz="4" w:space="0" w:color="auto"/>
              <w:left w:val="double" w:sz="4" w:space="0" w:color="auto"/>
              <w:bottom w:val="double" w:sz="4" w:space="0" w:color="auto"/>
              <w:right w:val="single" w:sz="4" w:space="0" w:color="auto"/>
            </w:tcBorders>
            <w:shd w:val="clear" w:color="auto" w:fill="auto"/>
            <w:vAlign w:val="center"/>
          </w:tcPr>
          <w:p w:rsidR="001645E2" w:rsidRPr="00BA38DA" w:rsidRDefault="00247DF7" w:rsidP="0008781A">
            <w:pPr>
              <w:jc w:val="center"/>
              <w:rPr>
                <w:sz w:val="20"/>
                <w:szCs w:val="20"/>
              </w:rPr>
            </w:pPr>
            <w:r>
              <w:rPr>
                <w:sz w:val="20"/>
                <w:szCs w:val="20"/>
              </w:rPr>
              <w:t xml:space="preserve">  </w:t>
            </w:r>
            <w:r w:rsidR="00A043A5">
              <w:rPr>
                <w:sz w:val="20"/>
                <w:szCs w:val="20"/>
              </w:rPr>
              <w:t xml:space="preserve">  28.9</w:t>
            </w:r>
            <w:r w:rsidR="001645E2" w:rsidRPr="00BA38DA">
              <w:rPr>
                <w:sz w:val="20"/>
                <w:szCs w:val="20"/>
              </w:rPr>
              <w:t>%</w:t>
            </w:r>
          </w:p>
        </w:tc>
        <w:tc>
          <w:tcPr>
            <w:tcW w:w="1143" w:type="dxa"/>
            <w:tcBorders>
              <w:top w:val="single" w:sz="4" w:space="0" w:color="auto"/>
              <w:left w:val="single" w:sz="4" w:space="0" w:color="auto"/>
              <w:bottom w:val="double" w:sz="4" w:space="0" w:color="auto"/>
              <w:right w:val="double" w:sz="4" w:space="0" w:color="auto"/>
            </w:tcBorders>
            <w:shd w:val="clear" w:color="auto" w:fill="auto"/>
            <w:vAlign w:val="center"/>
          </w:tcPr>
          <w:p w:rsidR="001645E2" w:rsidRPr="00BA38DA" w:rsidRDefault="00A043A5" w:rsidP="0008781A">
            <w:pPr>
              <w:jc w:val="center"/>
              <w:rPr>
                <w:sz w:val="20"/>
                <w:szCs w:val="20"/>
              </w:rPr>
            </w:pPr>
            <w:r>
              <w:rPr>
                <w:sz w:val="20"/>
                <w:szCs w:val="20"/>
              </w:rPr>
              <w:t>30.2</w:t>
            </w:r>
            <w:r w:rsidR="00247DF7">
              <w:rPr>
                <w:sz w:val="20"/>
                <w:szCs w:val="20"/>
              </w:rPr>
              <w:t>%</w:t>
            </w:r>
          </w:p>
        </w:tc>
        <w:tc>
          <w:tcPr>
            <w:tcW w:w="1143" w:type="dxa"/>
            <w:tcBorders>
              <w:top w:val="single" w:sz="4" w:space="0" w:color="auto"/>
              <w:left w:val="double" w:sz="4" w:space="0" w:color="auto"/>
              <w:bottom w:val="double" w:sz="4" w:space="0" w:color="auto"/>
              <w:right w:val="single" w:sz="4" w:space="0" w:color="auto"/>
            </w:tcBorders>
            <w:shd w:val="clear" w:color="auto" w:fill="auto"/>
            <w:vAlign w:val="center"/>
          </w:tcPr>
          <w:p w:rsidR="001645E2" w:rsidRPr="00BA38DA" w:rsidRDefault="001645E2" w:rsidP="0008781A">
            <w:pPr>
              <w:jc w:val="center"/>
              <w:rPr>
                <w:sz w:val="20"/>
                <w:szCs w:val="20"/>
              </w:rPr>
            </w:pPr>
            <w:r w:rsidRPr="00BA38DA">
              <w:rPr>
                <w:sz w:val="20"/>
                <w:szCs w:val="20"/>
              </w:rPr>
              <w:t xml:space="preserve"> </w:t>
            </w:r>
            <w:r w:rsidR="00930E8F">
              <w:rPr>
                <w:sz w:val="20"/>
                <w:szCs w:val="20"/>
              </w:rPr>
              <w:t xml:space="preserve">  </w:t>
            </w:r>
            <w:r w:rsidR="00A043A5">
              <w:rPr>
                <w:sz w:val="20"/>
                <w:szCs w:val="20"/>
              </w:rPr>
              <w:t xml:space="preserve"> 36.2</w:t>
            </w:r>
            <w:r w:rsidRPr="00BA38DA">
              <w:rPr>
                <w:sz w:val="20"/>
                <w:szCs w:val="20"/>
              </w:rPr>
              <w:t>%</w:t>
            </w:r>
          </w:p>
        </w:tc>
        <w:tc>
          <w:tcPr>
            <w:tcW w:w="1143" w:type="dxa"/>
            <w:tcBorders>
              <w:top w:val="single" w:sz="4" w:space="0" w:color="auto"/>
              <w:left w:val="single" w:sz="4" w:space="0" w:color="auto"/>
              <w:bottom w:val="double" w:sz="4" w:space="0" w:color="auto"/>
              <w:right w:val="double" w:sz="4" w:space="0" w:color="auto"/>
            </w:tcBorders>
            <w:shd w:val="clear" w:color="auto" w:fill="auto"/>
            <w:vAlign w:val="center"/>
          </w:tcPr>
          <w:p w:rsidR="001645E2" w:rsidRPr="00BA38DA" w:rsidRDefault="00930E8F" w:rsidP="0008781A">
            <w:pPr>
              <w:jc w:val="center"/>
              <w:rPr>
                <w:sz w:val="20"/>
                <w:szCs w:val="20"/>
              </w:rPr>
            </w:pPr>
            <w:r>
              <w:rPr>
                <w:sz w:val="20"/>
                <w:szCs w:val="20"/>
              </w:rPr>
              <w:t xml:space="preserve">  </w:t>
            </w:r>
            <w:r w:rsidR="00B30F4A">
              <w:rPr>
                <w:sz w:val="20"/>
                <w:szCs w:val="20"/>
              </w:rPr>
              <w:t>36.7</w:t>
            </w:r>
            <w:r>
              <w:rPr>
                <w:sz w:val="20"/>
                <w:szCs w:val="20"/>
              </w:rPr>
              <w:t>%</w:t>
            </w:r>
          </w:p>
        </w:tc>
      </w:tr>
    </w:tbl>
    <w:p w:rsidR="00D0668A" w:rsidRPr="00741482" w:rsidRDefault="00D0668A" w:rsidP="00C4765D">
      <w:pPr>
        <w:spacing w:after="120" w:line="276" w:lineRule="auto"/>
        <w:rPr>
          <w:sz w:val="20"/>
          <w:szCs w:val="20"/>
        </w:rPr>
      </w:pPr>
    </w:p>
    <w:sectPr w:rsidR="00D0668A" w:rsidRPr="00741482" w:rsidSect="00C4765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36A" w:rsidRDefault="00B2636A" w:rsidP="0036752B">
      <w:r>
        <w:separator/>
      </w:r>
    </w:p>
  </w:endnote>
  <w:endnote w:type="continuationSeparator" w:id="0">
    <w:p w:rsidR="00B2636A" w:rsidRDefault="00B2636A" w:rsidP="0036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otham">
    <w:altName w:val="Gotham"/>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6A" w:rsidRPr="00AB3B48" w:rsidRDefault="00B2636A" w:rsidP="00AB3B48">
    <w:pPr>
      <w:pStyle w:val="Footer"/>
      <w:jc w:val="center"/>
      <w:rPr>
        <w:rFonts w:ascii="Times New Roman" w:hAnsi="Times New Roman"/>
        <w:sz w:val="24"/>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6A" w:rsidRPr="00AB3B48" w:rsidRDefault="00B2636A" w:rsidP="00AB3B48">
    <w:pPr>
      <w:pStyle w:val="Footer"/>
      <w:jc w:val="center"/>
      <w:rPr>
        <w:rFonts w:ascii="Times New Roman" w:hAnsi="Times New Roman"/>
        <w:sz w:val="24"/>
        <w:szCs w:val="24"/>
        <w:lang w:val="en-US"/>
      </w:rPr>
    </w:pPr>
    <w:r w:rsidRPr="00AB3B48">
      <w:rPr>
        <w:rFonts w:ascii="Times New Roman" w:hAnsi="Times New Roman"/>
        <w:sz w:val="24"/>
        <w:szCs w:val="24"/>
      </w:rPr>
      <w:fldChar w:fldCharType="begin"/>
    </w:r>
    <w:r w:rsidRPr="00AB3B48">
      <w:rPr>
        <w:rFonts w:ascii="Times New Roman" w:hAnsi="Times New Roman"/>
        <w:sz w:val="24"/>
        <w:szCs w:val="24"/>
      </w:rPr>
      <w:instrText xml:space="preserve"> PAGE   \* MERGEFORMAT </w:instrText>
    </w:r>
    <w:r w:rsidRPr="00AB3B48">
      <w:rPr>
        <w:rFonts w:ascii="Times New Roman" w:hAnsi="Times New Roman"/>
        <w:sz w:val="24"/>
        <w:szCs w:val="24"/>
      </w:rPr>
      <w:fldChar w:fldCharType="separate"/>
    </w:r>
    <w:r w:rsidR="006E416B">
      <w:rPr>
        <w:rFonts w:ascii="Times New Roman" w:hAnsi="Times New Roman"/>
        <w:noProof/>
        <w:sz w:val="24"/>
        <w:szCs w:val="24"/>
      </w:rPr>
      <w:t>57</w:t>
    </w:r>
    <w:r w:rsidRPr="00AB3B48">
      <w:rPr>
        <w:rFonts w:ascii="Times New Roman" w:hAnsi="Times New Roman"/>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36A" w:rsidRPr="00AB3B48" w:rsidRDefault="00B2636A" w:rsidP="00AB3B48">
    <w:pPr>
      <w:pStyle w:val="Footer"/>
      <w:jc w:val="center"/>
      <w:rPr>
        <w:rFonts w:ascii="Times New Roman" w:hAnsi="Times New Roman"/>
        <w:sz w:val="24"/>
        <w:szCs w:val="24"/>
        <w:lang w:val="en-US"/>
      </w:rPr>
    </w:pPr>
    <w:r w:rsidRPr="00AB3B48">
      <w:rPr>
        <w:rFonts w:ascii="Times New Roman" w:hAnsi="Times New Roman"/>
        <w:sz w:val="24"/>
        <w:szCs w:val="24"/>
      </w:rPr>
      <w:fldChar w:fldCharType="begin"/>
    </w:r>
    <w:r w:rsidRPr="00AB3B48">
      <w:rPr>
        <w:rFonts w:ascii="Times New Roman" w:hAnsi="Times New Roman"/>
        <w:sz w:val="24"/>
        <w:szCs w:val="24"/>
      </w:rPr>
      <w:instrText xml:space="preserve"> PAGE   \* MERGEFORMAT </w:instrText>
    </w:r>
    <w:r w:rsidRPr="00AB3B48">
      <w:rPr>
        <w:rFonts w:ascii="Times New Roman" w:hAnsi="Times New Roman"/>
        <w:sz w:val="24"/>
        <w:szCs w:val="24"/>
      </w:rPr>
      <w:fldChar w:fldCharType="separate"/>
    </w:r>
    <w:r w:rsidR="006E416B">
      <w:rPr>
        <w:rFonts w:ascii="Times New Roman" w:hAnsi="Times New Roman"/>
        <w:noProof/>
        <w:sz w:val="24"/>
        <w:szCs w:val="24"/>
      </w:rPr>
      <w:t>59</w:t>
    </w:r>
    <w:r w:rsidRPr="00AB3B48">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36A" w:rsidRDefault="00B2636A" w:rsidP="0036752B">
      <w:r>
        <w:separator/>
      </w:r>
    </w:p>
  </w:footnote>
  <w:footnote w:type="continuationSeparator" w:id="0">
    <w:p w:rsidR="00B2636A" w:rsidRDefault="00B2636A" w:rsidP="0036752B">
      <w:r>
        <w:continuationSeparator/>
      </w:r>
    </w:p>
  </w:footnote>
  <w:footnote w:id="1">
    <w:p w:rsidR="00B2636A" w:rsidRPr="00176637" w:rsidRDefault="00B2636A" w:rsidP="00176637">
      <w:pPr>
        <w:rPr>
          <w:sz w:val="20"/>
          <w:szCs w:val="20"/>
        </w:rPr>
      </w:pPr>
      <w:r w:rsidRPr="00887124">
        <w:rPr>
          <w:rStyle w:val="FootnoteReference"/>
          <w:sz w:val="20"/>
          <w:szCs w:val="20"/>
        </w:rPr>
        <w:footnoteRef/>
      </w:r>
      <w:r w:rsidRPr="00A55C05">
        <w:t xml:space="preserve"> </w:t>
      </w:r>
      <w:r w:rsidRPr="00A55C05">
        <w:rPr>
          <w:sz w:val="20"/>
          <w:szCs w:val="20"/>
        </w:rPr>
        <w:t>To put things in context within the broader literature on accommodating non-normal coefficients, note that the second latent segmentation approach is equivalent to a non-parametric approach in which all random coefficients are assumed to have the same number of nodal points, with the number of nodal points being equal to the number of latent segments. The nodal points correspond to the segment-specific values (for each coefficient) in the latent segmentation set-up, and the probability masses at these nodal points for each individual correspond to the segment membership probabil</w:t>
      </w:r>
      <w:r>
        <w:rPr>
          <w:sz w:val="20"/>
          <w:szCs w:val="20"/>
        </w:rPr>
        <w:t>ities for that individual</w:t>
      </w:r>
      <w:r w:rsidRPr="00A55C05">
        <w:rPr>
          <w:sz w:val="20"/>
          <w:szCs w:val="20"/>
        </w:rPr>
        <w:t xml:space="preserve">. This latent segmentation set-up is a restrictive version of a more general non-parametric specification in which the number of nodal points is allowed to vary across coefficients and both the nodal points and probability masses are separately estimated for each coefficient (see, for example, Bastin </w:t>
      </w:r>
      <w:r w:rsidRPr="00A55C05">
        <w:rPr>
          <w:i/>
          <w:sz w:val="20"/>
          <w:szCs w:val="20"/>
        </w:rPr>
        <w:t>et al.</w:t>
      </w:r>
      <w:r w:rsidRPr="00A55C05">
        <w:rPr>
          <w:sz w:val="20"/>
          <w:szCs w:val="20"/>
        </w:rPr>
        <w:t>, 2010). However, this general non-parametric approach is seldom used because consistency is achieved only in very large samples and parameter estimates generally have high variance (</w:t>
      </w:r>
      <w:proofErr w:type="spellStart"/>
      <w:r w:rsidRPr="00FD7934">
        <w:rPr>
          <w:sz w:val="20"/>
          <w:szCs w:val="20"/>
        </w:rPr>
        <w:t>Mittelhammer</w:t>
      </w:r>
      <w:proofErr w:type="spellEnd"/>
      <w:r w:rsidRPr="00A55C05">
        <w:rPr>
          <w:sz w:val="20"/>
          <w:szCs w:val="20"/>
        </w:rPr>
        <w:t xml:space="preserve"> and Judge, 2011).  On the other hand, a continuous distribution offers substantial efficiency in the number of mixing parameters. In this regard, the paper by Bhat and Sidharthan (2012) is of particular note because it enables a non-normal (skew) continuous distribution to be used. However, their approach still enforces a unimodal distribution for the coefficients. The finite discrete mixture of </w:t>
      </w:r>
      <w:proofErr w:type="spellStart"/>
      <w:r w:rsidRPr="00A55C05">
        <w:rPr>
          <w:sz w:val="20"/>
          <w:szCs w:val="20"/>
        </w:rPr>
        <w:t>normals</w:t>
      </w:r>
      <w:proofErr w:type="spellEnd"/>
      <w:r w:rsidRPr="00A55C05">
        <w:rPr>
          <w:sz w:val="20"/>
          <w:szCs w:val="20"/>
        </w:rPr>
        <w:t xml:space="preserve"> (FDMN) is a good hybrid semi-parametric approach that combines the flexibility of th</w:t>
      </w:r>
      <w:r>
        <w:rPr>
          <w:sz w:val="20"/>
          <w:szCs w:val="20"/>
        </w:rPr>
        <w:t>e discrete mixture distribution</w:t>
      </w:r>
      <w:r w:rsidRPr="00A55C05">
        <w:rPr>
          <w:sz w:val="20"/>
          <w:szCs w:val="20"/>
        </w:rPr>
        <w:t xml:space="preserve"> with the efficiency advantage of the continuous distributions. It is by far the most widely used semi-parametric approach in the statistical and econometric literature because of th</w:t>
      </w:r>
      <w:r>
        <w:rPr>
          <w:sz w:val="20"/>
          <w:szCs w:val="20"/>
        </w:rPr>
        <w:t>is</w:t>
      </w:r>
      <w:r w:rsidRPr="00A55C05">
        <w:rPr>
          <w:sz w:val="20"/>
          <w:szCs w:val="20"/>
        </w:rPr>
        <w:t xml:space="preserve"> good balance between flexibility and efficiency (see </w:t>
      </w:r>
      <w:proofErr w:type="spellStart"/>
      <w:r w:rsidRPr="00A55C05">
        <w:rPr>
          <w:sz w:val="20"/>
          <w:szCs w:val="20"/>
        </w:rPr>
        <w:t>Geweke</w:t>
      </w:r>
      <w:proofErr w:type="spellEnd"/>
      <w:r w:rsidRPr="00A55C05">
        <w:rPr>
          <w:sz w:val="20"/>
          <w:szCs w:val="20"/>
        </w:rPr>
        <w:t xml:space="preserve"> and Keane, 1999, </w:t>
      </w:r>
      <w:proofErr w:type="spellStart"/>
      <w:r w:rsidRPr="00FD7934">
        <w:rPr>
          <w:sz w:val="20"/>
          <w:szCs w:val="20"/>
        </w:rPr>
        <w:t>Frühwirth-Schnatter</w:t>
      </w:r>
      <w:proofErr w:type="spellEnd"/>
      <w:r w:rsidRPr="00A55C05">
        <w:rPr>
          <w:sz w:val="20"/>
          <w:szCs w:val="20"/>
        </w:rPr>
        <w:t xml:space="preserve">, 2011, and Ferdous </w:t>
      </w:r>
      <w:r w:rsidRPr="00A55C05">
        <w:rPr>
          <w:i/>
          <w:sz w:val="20"/>
          <w:szCs w:val="20"/>
        </w:rPr>
        <w:t>et al.</w:t>
      </w:r>
      <w:r w:rsidRPr="00A55C05">
        <w:rPr>
          <w:sz w:val="20"/>
          <w:szCs w:val="20"/>
        </w:rPr>
        <w:t>, 2011).</w:t>
      </w:r>
      <w:r w:rsidRPr="001D5532">
        <w:rPr>
          <w:sz w:val="20"/>
          <w:szCs w:val="20"/>
        </w:rPr>
        <w:t xml:space="preserve"> </w:t>
      </w:r>
    </w:p>
  </w:footnote>
  <w:footnote w:id="2">
    <w:p w:rsidR="00B2636A" w:rsidRPr="001E7ACC" w:rsidRDefault="00B2636A">
      <w:pPr>
        <w:pStyle w:val="FootnoteText"/>
        <w:rPr>
          <w:rFonts w:ascii="Times New Roman" w:hAnsi="Times New Roman"/>
          <w:lang w:val="en-US"/>
        </w:rPr>
      </w:pPr>
      <w:r w:rsidRPr="001E7ACC">
        <w:rPr>
          <w:rStyle w:val="FootnoteReference"/>
          <w:rFonts w:ascii="Times New Roman" w:hAnsi="Times New Roman"/>
        </w:rPr>
        <w:footnoteRef/>
      </w:r>
      <w:r w:rsidRPr="001E7ACC">
        <w:rPr>
          <w:rFonts w:ascii="Times New Roman" w:hAnsi="Times New Roman"/>
        </w:rPr>
        <w:t xml:space="preserve"> </w:t>
      </w:r>
      <w:r w:rsidRPr="001E7ACC">
        <w:rPr>
          <w:rFonts w:ascii="Times New Roman" w:hAnsi="Times New Roman"/>
          <w:lang w:val="en-US"/>
        </w:rPr>
        <w:t xml:space="preserve">Though we will refer to the alternatives for consumption as “goods” in this section, it is important to note that the consumption alternatives can also refer to consumption of different types of activities or, as in the empirical analysis of the current paper, to “consumption” of different destination regions for leisure trips. </w:t>
      </w:r>
    </w:p>
  </w:footnote>
  <w:footnote w:id="3">
    <w:p w:rsidR="00B2636A" w:rsidRPr="002E578F" w:rsidRDefault="00B2636A" w:rsidP="00887124">
      <w:pPr>
        <w:pStyle w:val="FootnoteText"/>
        <w:spacing w:after="60"/>
        <w:rPr>
          <w:rFonts w:ascii="Times New Roman" w:hAnsi="Times New Roman"/>
          <w:lang w:val="en-US"/>
        </w:rPr>
      </w:pPr>
      <w:r w:rsidRPr="002E578F">
        <w:rPr>
          <w:rStyle w:val="FootnoteReference"/>
          <w:rFonts w:ascii="Times New Roman" w:hAnsi="Times New Roman"/>
        </w:rPr>
        <w:footnoteRef/>
      </w:r>
      <w:r w:rsidRPr="002E578F">
        <w:rPr>
          <w:rFonts w:ascii="Times New Roman" w:hAnsi="Times New Roman"/>
        </w:rPr>
        <w:t xml:space="preserve"> </w:t>
      </w:r>
      <w:r w:rsidRPr="002E578F">
        <w:rPr>
          <w:rFonts w:ascii="Times New Roman" w:hAnsi="Times New Roman"/>
          <w:szCs w:val="24"/>
        </w:rPr>
        <w:t xml:space="preserve">As clearly indicated earlier, the constant coefficients for the first alternative are set to zero in every segment </w:t>
      </w:r>
      <w:r w:rsidRPr="002E578F">
        <w:rPr>
          <w:rFonts w:ascii="Times New Roman" w:hAnsi="Times New Roman"/>
          <w:i/>
          <w:szCs w:val="24"/>
        </w:rPr>
        <w:t>g</w:t>
      </w:r>
      <w:r w:rsidRPr="002E578F">
        <w:rPr>
          <w:rFonts w:ascii="Times New Roman" w:hAnsi="Times New Roman"/>
          <w:szCs w:val="24"/>
        </w:rPr>
        <w:t xml:space="preserve"> (</w:t>
      </w:r>
      <w:r w:rsidRPr="002E578F">
        <w:rPr>
          <w:rFonts w:ascii="Times New Roman" w:hAnsi="Times New Roman"/>
          <w:i/>
          <w:szCs w:val="24"/>
        </w:rPr>
        <w:t>g</w:t>
      </w:r>
      <w:r w:rsidRPr="002E578F">
        <w:rPr>
          <w:rFonts w:ascii="Times New Roman" w:hAnsi="Times New Roman"/>
          <w:szCs w:val="24"/>
        </w:rPr>
        <w:t xml:space="preserve"> = 1, 2, …, </w:t>
      </w:r>
      <w:r w:rsidRPr="002E578F">
        <w:rPr>
          <w:rFonts w:ascii="Times New Roman" w:hAnsi="Times New Roman"/>
          <w:i/>
          <w:szCs w:val="24"/>
        </w:rPr>
        <w:t>G</w:t>
      </w:r>
      <w:r w:rsidRPr="002E578F">
        <w:rPr>
          <w:rFonts w:ascii="Times New Roman" w:hAnsi="Times New Roman"/>
          <w:szCs w:val="24"/>
        </w:rPr>
        <w:t>) for identification</w:t>
      </w:r>
      <w:r>
        <w:rPr>
          <w:rFonts w:ascii="Times New Roman" w:hAnsi="Times New Roman"/>
          <w:szCs w:val="24"/>
          <w:lang w:val="en-US"/>
        </w:rPr>
        <w:t>.</w:t>
      </w:r>
    </w:p>
  </w:footnote>
  <w:footnote w:id="4">
    <w:p w:rsidR="00B2636A" w:rsidRPr="002E578F" w:rsidRDefault="00B2636A">
      <w:pPr>
        <w:pStyle w:val="FootnoteText"/>
        <w:rPr>
          <w:rFonts w:ascii="Times New Roman" w:hAnsi="Times New Roman"/>
          <w:lang w:val="en-US"/>
        </w:rPr>
      </w:pPr>
      <w:r w:rsidRPr="002E578F">
        <w:rPr>
          <w:rStyle w:val="FootnoteReference"/>
          <w:rFonts w:ascii="Times New Roman" w:hAnsi="Times New Roman"/>
        </w:rPr>
        <w:footnoteRef/>
      </w:r>
      <w:r w:rsidRPr="002E578F">
        <w:rPr>
          <w:rFonts w:ascii="Times New Roman" w:hAnsi="Times New Roman"/>
        </w:rPr>
        <w:t xml:space="preserve"> </w:t>
      </w:r>
      <w:r w:rsidRPr="002E578F">
        <w:rPr>
          <w:rFonts w:ascii="Times New Roman" w:hAnsi="Times New Roman"/>
          <w:szCs w:val="24"/>
        </w:rPr>
        <w:t xml:space="preserve">Of course, the labeling restriction discussed above, which we use in the simulation experiments in the current paper, is only one of several possible restrictions to identify the model, Thus, in our empirical analysis, where we do not use constants in the baseline utilities of the alternatives (for reasons discussed in the empirical section), we implement </w:t>
      </w:r>
      <w:r w:rsidRPr="002E578F">
        <w:rPr>
          <w:rFonts w:ascii="Times New Roman" w:hAnsi="Times New Roman"/>
          <w:szCs w:val="24"/>
          <w:lang w:val="en-US"/>
        </w:rPr>
        <w:t xml:space="preserve">another version of </w:t>
      </w:r>
      <w:r w:rsidRPr="002E578F">
        <w:rPr>
          <w:rFonts w:ascii="Times New Roman" w:hAnsi="Times New Roman"/>
          <w:szCs w:val="24"/>
        </w:rPr>
        <w:t>the labeling restriction by requiring that the constant in the first segment in the segment membership model has a maintained value of zero, and there is a descending order of magnitudes of the constants for the other segments in the segment membership model.</w:t>
      </w:r>
    </w:p>
  </w:footnote>
  <w:footnote w:id="5">
    <w:p w:rsidR="00B2636A" w:rsidRPr="00451361" w:rsidRDefault="00B2636A" w:rsidP="00887124">
      <w:pPr>
        <w:pStyle w:val="FootnoteText"/>
        <w:spacing w:after="60"/>
        <w:rPr>
          <w:rFonts w:ascii="Times New Roman" w:hAnsi="Times New Roman"/>
          <w:lang w:val="en-US"/>
        </w:rPr>
      </w:pPr>
      <w:r w:rsidRPr="00451361">
        <w:rPr>
          <w:rStyle w:val="FootnoteReference"/>
          <w:rFonts w:ascii="Times New Roman" w:hAnsi="Times New Roman"/>
        </w:rPr>
        <w:footnoteRef/>
      </w:r>
      <w:r>
        <w:rPr>
          <w:rFonts w:ascii="Times New Roman" w:hAnsi="Times New Roman"/>
          <w:lang w:val="en-US"/>
        </w:rPr>
        <w:t xml:space="preserve"> </w:t>
      </w:r>
      <w:r w:rsidRPr="00451361">
        <w:rPr>
          <w:rFonts w:ascii="Times New Roman" w:hAnsi="Times New Roman"/>
          <w:lang w:val="en-US"/>
        </w:rPr>
        <w:t>N</w:t>
      </w:r>
      <w:proofErr w:type="spellStart"/>
      <w:r w:rsidRPr="00451361">
        <w:rPr>
          <w:rFonts w:ascii="Times New Roman" w:hAnsi="Times New Roman"/>
          <w:szCs w:val="24"/>
        </w:rPr>
        <w:t>ote</w:t>
      </w:r>
      <w:proofErr w:type="spellEnd"/>
      <w:r w:rsidRPr="00451361">
        <w:rPr>
          <w:rFonts w:ascii="Times New Roman" w:hAnsi="Times New Roman"/>
          <w:szCs w:val="24"/>
        </w:rPr>
        <w:t xml:space="preserve"> that in the current case, we use only the analytic approximation for the cumulative standard multivariate normal distribution embedded in the MACML; however, we will continue to refer to the approach as MACML for ease in presentation and also because the composite marginal likelihood (CML) inference approach subsumes the maximum likelihood (ML) inference approach used here as a special case</w:t>
      </w:r>
      <w:r w:rsidRPr="00451361">
        <w:rPr>
          <w:rFonts w:ascii="Times New Roman" w:hAnsi="Times New Roman"/>
          <w:szCs w:val="24"/>
          <w:lang w:val="en-US"/>
        </w:rPr>
        <w:t>.</w:t>
      </w:r>
    </w:p>
  </w:footnote>
  <w:footnote w:id="6">
    <w:p w:rsidR="00B2636A" w:rsidRPr="00887124" w:rsidRDefault="00B2636A" w:rsidP="00887124">
      <w:pPr>
        <w:pStyle w:val="ListParagraph"/>
        <w:spacing w:after="0" w:line="240" w:lineRule="auto"/>
        <w:ind w:left="0"/>
        <w:jc w:val="both"/>
        <w:rPr>
          <w:rFonts w:ascii="Times New Roman" w:hAnsi="Times New Roman"/>
          <w:sz w:val="20"/>
          <w:szCs w:val="20"/>
        </w:rPr>
      </w:pPr>
      <w:r w:rsidRPr="00887124">
        <w:rPr>
          <w:rStyle w:val="FootnoteReference"/>
          <w:rFonts w:ascii="Times New Roman" w:hAnsi="Times New Roman"/>
          <w:sz w:val="20"/>
          <w:szCs w:val="20"/>
        </w:rPr>
        <w:footnoteRef/>
      </w:r>
      <w:r>
        <w:rPr>
          <w:rFonts w:ascii="Times New Roman" w:hAnsi="Times New Roman"/>
          <w:sz w:val="20"/>
          <w:szCs w:val="20"/>
        </w:rPr>
        <w:t xml:space="preserve"> </w:t>
      </w:r>
      <w:r w:rsidRPr="00253A97">
        <w:rPr>
          <w:rFonts w:ascii="Times New Roman" w:hAnsi="Times New Roman"/>
          <w:sz w:val="20"/>
          <w:szCs w:val="20"/>
        </w:rPr>
        <w:t>Previous research in latent segmentation (see</w:t>
      </w:r>
      <w:r>
        <w:rPr>
          <w:rFonts w:ascii="Times New Roman" w:hAnsi="Times New Roman"/>
          <w:sz w:val="20"/>
          <w:szCs w:val="20"/>
        </w:rPr>
        <w:t>, for example,</w:t>
      </w:r>
      <w:r w:rsidRPr="00253A97">
        <w:rPr>
          <w:rFonts w:ascii="Times New Roman" w:hAnsi="Times New Roman"/>
          <w:sz w:val="20"/>
          <w:szCs w:val="20"/>
        </w:rPr>
        <w:t xml:space="preserve"> Bhat, 1997 and </w:t>
      </w:r>
      <w:proofErr w:type="spellStart"/>
      <w:r w:rsidRPr="00253A97">
        <w:rPr>
          <w:rFonts w:ascii="Times New Roman" w:hAnsi="Times New Roman"/>
          <w:sz w:val="20"/>
          <w:szCs w:val="20"/>
        </w:rPr>
        <w:t>Sobhani</w:t>
      </w:r>
      <w:proofErr w:type="spellEnd"/>
      <w:r w:rsidRPr="00253A97">
        <w:rPr>
          <w:rFonts w:ascii="Times New Roman" w:hAnsi="Times New Roman"/>
          <w:sz w:val="20"/>
          <w:szCs w:val="20"/>
        </w:rPr>
        <w:t xml:space="preserve"> </w:t>
      </w:r>
      <w:r w:rsidRPr="00253A97">
        <w:rPr>
          <w:rFonts w:ascii="Times New Roman" w:hAnsi="Times New Roman"/>
          <w:i/>
          <w:sz w:val="20"/>
          <w:szCs w:val="20"/>
        </w:rPr>
        <w:t>et al.</w:t>
      </w:r>
      <w:r w:rsidRPr="00253A97">
        <w:rPr>
          <w:rFonts w:ascii="Times New Roman" w:hAnsi="Times New Roman"/>
          <w:sz w:val="20"/>
          <w:szCs w:val="20"/>
        </w:rPr>
        <w:t xml:space="preserve">, 2013) has highlighted several estimation </w:t>
      </w:r>
      <w:r>
        <w:rPr>
          <w:rFonts w:ascii="Times New Roman" w:hAnsi="Times New Roman"/>
          <w:sz w:val="20"/>
          <w:szCs w:val="20"/>
        </w:rPr>
        <w:t>challenges in terms of stability and convergence. M</w:t>
      </w:r>
      <w:r w:rsidRPr="00253A97">
        <w:rPr>
          <w:rFonts w:ascii="Times New Roman" w:hAnsi="Times New Roman"/>
          <w:sz w:val="20"/>
          <w:szCs w:val="20"/>
        </w:rPr>
        <w:t xml:space="preserve">ost of these studies </w:t>
      </w:r>
      <w:r>
        <w:rPr>
          <w:rFonts w:ascii="Times New Roman" w:hAnsi="Times New Roman"/>
          <w:sz w:val="20"/>
          <w:szCs w:val="20"/>
        </w:rPr>
        <w:t xml:space="preserve">recommend </w:t>
      </w:r>
      <w:r w:rsidRPr="00253A97">
        <w:rPr>
          <w:rFonts w:ascii="Times New Roman" w:hAnsi="Times New Roman"/>
          <w:sz w:val="20"/>
          <w:szCs w:val="20"/>
        </w:rPr>
        <w:t xml:space="preserve">the Expectation Maximization (EM) method to find good initial values to start the full information likelihood function iterations. However, the EM method also leads to long estimation times. In this paper, to obtain good start values as well as minimize estimation time, we implemented the following steps to estimate a model with S segments, with the parameters at the end of each step serving as the initial start values for the iterations associated with the subsequent step. In particular, we first estimated an MDCP model with only a single vector of constants in the baseline utilities of the alternatives (that is, we estimated a constants-only model as though there were only one latent segment). Second, we used the constants from the first step as initial values for the baseline utility constants  in the first segment, made a random perturbation of these values by increasing or decreasing these values between 5% to 10% for the baseline utility constants in the remaining </w:t>
      </w:r>
      <w:r w:rsidRPr="00253A97">
        <w:rPr>
          <w:rFonts w:ascii="Times New Roman" w:hAnsi="Times New Roman"/>
          <w:i/>
          <w:sz w:val="20"/>
          <w:szCs w:val="20"/>
        </w:rPr>
        <w:t>S</w:t>
      </w:r>
      <w:r w:rsidRPr="00253A97">
        <w:rPr>
          <w:rFonts w:ascii="Times New Roman" w:hAnsi="Times New Roman"/>
          <w:sz w:val="20"/>
          <w:szCs w:val="20"/>
        </w:rPr>
        <w:t>-1 segments, used a constants-only specification for the segment membership probabilities</w:t>
      </w:r>
      <w:r>
        <w:rPr>
          <w:rFonts w:ascii="Times New Roman" w:hAnsi="Times New Roman"/>
          <w:sz w:val="20"/>
          <w:szCs w:val="20"/>
        </w:rPr>
        <w:t xml:space="preserve"> with the constant for the first segment constrained to zero, and the other constants perturbed from zero in a way that adheres to the labeling restriction as discussed at the top of Section 4.3</w:t>
      </w:r>
      <w:r w:rsidRPr="00253A97">
        <w:rPr>
          <w:rFonts w:ascii="Times New Roman" w:hAnsi="Times New Roman"/>
          <w:sz w:val="20"/>
          <w:szCs w:val="20"/>
        </w:rPr>
        <w:t xml:space="preserve">, and estimated a latent segmentation MDCP model (with only constants and no random parameters). Third, we used the results of the previous step as a starting point and added exogenous variables to the segment membership model to get a good segment membership specification. Fourth, we introduced exogenous variables in the baseline utilities of the MDCP-specific models for each segment to obtain a good latent segmentation model simultaneously with a refined segment membership model specification. Finally, we estimated the FDMN version of the model, allowing randomness in the parameters. The entire process was also aided and speeded up by the fact that we coded our own analytic gradient function. </w:t>
      </w:r>
    </w:p>
  </w:footnote>
  <w:footnote w:id="7">
    <w:p w:rsidR="00B2636A" w:rsidRPr="00DA633E" w:rsidRDefault="00B2636A" w:rsidP="00966971">
      <w:pPr>
        <w:pStyle w:val="FootnoteText"/>
        <w:rPr>
          <w:rFonts w:ascii="Times New Roman" w:hAnsi="Times New Roman"/>
        </w:rPr>
      </w:pPr>
      <w:r w:rsidRPr="00DA633E">
        <w:rPr>
          <w:rStyle w:val="FootnoteReference"/>
          <w:rFonts w:ascii="Times New Roman" w:hAnsi="Times New Roman"/>
        </w:rPr>
        <w:footnoteRef/>
      </w:r>
      <w:r w:rsidRPr="00DA633E">
        <w:rPr>
          <w:rFonts w:ascii="Times New Roman" w:hAnsi="Times New Roman"/>
        </w:rPr>
        <w:t xml:space="preserve"> </w:t>
      </w:r>
      <w:r w:rsidRPr="00DA633E">
        <w:rPr>
          <w:rFonts w:ascii="Times New Roman" w:hAnsi="Times New Roman"/>
        </w:rPr>
        <w:t xml:space="preserve">We use the general presentation convention that the lower </w:t>
      </w:r>
      <w:proofErr w:type="spellStart"/>
      <w:r w:rsidRPr="00DA633E">
        <w:rPr>
          <w:rFonts w:ascii="Times New Roman" w:hAnsi="Times New Roman"/>
        </w:rPr>
        <w:t>Cholesky</w:t>
      </w:r>
      <w:proofErr w:type="spellEnd"/>
      <w:r w:rsidRPr="00DA633E">
        <w:rPr>
          <w:rFonts w:ascii="Times New Roman" w:hAnsi="Times New Roman"/>
        </w:rPr>
        <w:t xml:space="preserve"> matrix of a covariance matrix with a row/column with all zero values (that is, corresponding to a fixed parameter) is obtained by stripping out that row/column from the covariance matrix, obtaining the lower </w:t>
      </w:r>
      <w:proofErr w:type="spellStart"/>
      <w:r w:rsidRPr="00DA633E">
        <w:rPr>
          <w:rFonts w:ascii="Times New Roman" w:hAnsi="Times New Roman"/>
        </w:rPr>
        <w:t>Cholesky</w:t>
      </w:r>
      <w:proofErr w:type="spellEnd"/>
      <w:r w:rsidRPr="00DA633E">
        <w:rPr>
          <w:rFonts w:ascii="Times New Roman" w:hAnsi="Times New Roman"/>
        </w:rPr>
        <w:t xml:space="preserve"> matrix for the remaining sub-matrix, and then adding a row/column of zero values to the resulting lower </w:t>
      </w:r>
      <w:proofErr w:type="spellStart"/>
      <w:r w:rsidRPr="00DA633E">
        <w:rPr>
          <w:rFonts w:ascii="Times New Roman" w:hAnsi="Times New Roman"/>
        </w:rPr>
        <w:t>Cholesky</w:t>
      </w:r>
      <w:proofErr w:type="spellEnd"/>
      <w:r w:rsidRPr="00DA633E">
        <w:rPr>
          <w:rFonts w:ascii="Times New Roman" w:hAnsi="Times New Roman"/>
        </w:rPr>
        <w:t xml:space="preserve"> matrix.</w:t>
      </w:r>
    </w:p>
  </w:footnote>
  <w:footnote w:id="8">
    <w:p w:rsidR="00B2636A" w:rsidRPr="00046372" w:rsidRDefault="00B2636A" w:rsidP="00363D20">
      <w:pPr>
        <w:pStyle w:val="FootnoteText"/>
        <w:rPr>
          <w:rFonts w:ascii="Times New Roman" w:hAnsi="Times New Roman"/>
        </w:rPr>
      </w:pPr>
      <w:r w:rsidRPr="00046372">
        <w:rPr>
          <w:rStyle w:val="FootnoteReference"/>
          <w:rFonts w:ascii="Times New Roman" w:hAnsi="Times New Roman"/>
        </w:rPr>
        <w:footnoteRef/>
      </w:r>
      <w:r w:rsidRPr="00046372">
        <w:rPr>
          <w:rFonts w:ascii="Times New Roman" w:hAnsi="Times New Roman"/>
        </w:rPr>
        <w:t xml:space="preserve"> </w:t>
      </w:r>
      <w:r w:rsidRPr="00D0065F">
        <w:rPr>
          <w:rFonts w:ascii="Times New Roman" w:hAnsi="Times New Roman"/>
        </w:rPr>
        <w:t xml:space="preserve">In case a true parameter value is zero, the APB is computed by taking the </w:t>
      </w:r>
      <w:r>
        <w:rPr>
          <w:rFonts w:ascii="Times New Roman" w:hAnsi="Times New Roman"/>
        </w:rPr>
        <w:t>difference of the mean estimate</w:t>
      </w:r>
      <w:r>
        <w:rPr>
          <w:rFonts w:ascii="Times New Roman" w:hAnsi="Times New Roman"/>
          <w:lang w:val="en-US"/>
        </w:rPr>
        <w:t xml:space="preserve"> </w:t>
      </w:r>
      <w:r w:rsidRPr="00D0065F">
        <w:rPr>
          <w:rFonts w:ascii="Times New Roman" w:hAnsi="Times New Roman"/>
        </w:rPr>
        <w:t xml:space="preserve">from the true value (= 0), dividing this difference by the value of 1 in the </w:t>
      </w:r>
      <w:r>
        <w:rPr>
          <w:rFonts w:ascii="Times New Roman" w:hAnsi="Times New Roman"/>
        </w:rPr>
        <w:t>denominator, and multiplying by</w:t>
      </w:r>
      <w:r>
        <w:rPr>
          <w:rFonts w:ascii="Times New Roman" w:hAnsi="Times New Roman"/>
          <w:lang w:val="en-US"/>
        </w:rPr>
        <w:t xml:space="preserve"> </w:t>
      </w:r>
      <w:r w:rsidRPr="00D0065F">
        <w:rPr>
          <w:rFonts w:ascii="Times New Roman" w:hAnsi="Times New Roman"/>
        </w:rPr>
        <w:t>100.</w:t>
      </w:r>
    </w:p>
  </w:footnote>
  <w:footnote w:id="9">
    <w:p w:rsidR="00B2636A" w:rsidRPr="00C03633" w:rsidRDefault="00B2636A" w:rsidP="00EA5F5B">
      <w:pPr>
        <w:pStyle w:val="FootnoteText"/>
        <w:rPr>
          <w:rFonts w:ascii="Times New Roman" w:hAnsi="Times New Roman"/>
          <w:lang w:val="en-US"/>
        </w:rPr>
      </w:pPr>
      <w:r w:rsidRPr="00C03633">
        <w:rPr>
          <w:rStyle w:val="FootnoteReference"/>
          <w:rFonts w:ascii="Times New Roman" w:hAnsi="Times New Roman"/>
        </w:rPr>
        <w:footnoteRef/>
      </w:r>
      <w:r>
        <w:rPr>
          <w:rFonts w:ascii="Times New Roman" w:hAnsi="Times New Roman"/>
          <w:lang w:val="en-US"/>
        </w:rPr>
        <w:t>As with all the earlier MDC leisure studies</w:t>
      </w:r>
      <w:r w:rsidRPr="00C03633">
        <w:rPr>
          <w:rFonts w:ascii="Times New Roman" w:hAnsi="Times New Roman"/>
          <w:lang w:val="en-US"/>
        </w:rPr>
        <w:t xml:space="preserve">, </w:t>
      </w:r>
      <w:r>
        <w:rPr>
          <w:rFonts w:ascii="Times New Roman" w:hAnsi="Times New Roman"/>
          <w:lang w:val="en-US"/>
        </w:rPr>
        <w:t xml:space="preserve">this study too </w:t>
      </w:r>
      <w:r w:rsidRPr="00C03633">
        <w:rPr>
          <w:rFonts w:ascii="Times New Roman" w:hAnsi="Times New Roman"/>
          <w:lang w:val="en-US"/>
        </w:rPr>
        <w:t>focus</w:t>
      </w:r>
      <w:r>
        <w:rPr>
          <w:rFonts w:ascii="Times New Roman" w:hAnsi="Times New Roman"/>
          <w:lang w:val="en-US"/>
        </w:rPr>
        <w:t>es</w:t>
      </w:r>
      <w:r w:rsidRPr="00C03633">
        <w:rPr>
          <w:rFonts w:ascii="Times New Roman" w:hAnsi="Times New Roman"/>
          <w:lang w:val="en-US"/>
        </w:rPr>
        <w:t xml:space="preserve"> on the count of the n</w:t>
      </w:r>
      <w:r>
        <w:rPr>
          <w:rFonts w:ascii="Times New Roman" w:hAnsi="Times New Roman"/>
          <w:lang w:val="en-US"/>
        </w:rPr>
        <w:t>umber of times each leisure</w:t>
      </w:r>
      <w:r w:rsidRPr="00C03633">
        <w:rPr>
          <w:rFonts w:ascii="Times New Roman" w:hAnsi="Times New Roman"/>
          <w:lang w:val="en-US"/>
        </w:rPr>
        <w:t xml:space="preserve"> destination is visited. Thus, the “continuous” quantity used is actually a count</w:t>
      </w:r>
      <w:r>
        <w:rPr>
          <w:rFonts w:ascii="Times New Roman" w:hAnsi="Times New Roman"/>
          <w:lang w:val="en-US"/>
        </w:rPr>
        <w:t xml:space="preserve"> variable</w:t>
      </w:r>
      <w:r w:rsidRPr="00C03633">
        <w:rPr>
          <w:rFonts w:ascii="Times New Roman" w:hAnsi="Times New Roman"/>
          <w:lang w:val="en-US"/>
        </w:rPr>
        <w:t>, as opposed</w:t>
      </w:r>
      <w:r>
        <w:rPr>
          <w:rFonts w:ascii="Times New Roman" w:hAnsi="Times New Roman"/>
          <w:lang w:val="en-US"/>
        </w:rPr>
        <w:t xml:space="preserve"> to a truly continuous </w:t>
      </w:r>
      <w:r w:rsidRPr="00C03633">
        <w:rPr>
          <w:rFonts w:ascii="Times New Roman" w:hAnsi="Times New Roman"/>
          <w:lang w:val="en-US"/>
        </w:rPr>
        <w:t xml:space="preserve">measure as required by the theoretical model. </w:t>
      </w:r>
      <w:proofErr w:type="gramStart"/>
      <w:r>
        <w:rPr>
          <w:rFonts w:ascii="Times New Roman" w:hAnsi="Times New Roman"/>
          <w:lang w:val="en-US"/>
        </w:rPr>
        <w:t xml:space="preserve">But, as demonstrated by </w:t>
      </w:r>
      <w:r w:rsidRPr="00C03633">
        <w:rPr>
          <w:rFonts w:ascii="Times New Roman" w:hAnsi="Times New Roman"/>
          <w:lang w:val="en-US"/>
        </w:rPr>
        <w:t xml:space="preserve">von </w:t>
      </w:r>
      <w:proofErr w:type="spellStart"/>
      <w:r w:rsidRPr="00C03633">
        <w:rPr>
          <w:rFonts w:ascii="Times New Roman" w:hAnsi="Times New Roman"/>
          <w:lang w:val="en-US"/>
        </w:rPr>
        <w:t>Haefen</w:t>
      </w:r>
      <w:proofErr w:type="spellEnd"/>
      <w:r w:rsidRPr="00C03633">
        <w:rPr>
          <w:rFonts w:ascii="Times New Roman" w:hAnsi="Times New Roman"/>
          <w:lang w:val="en-US"/>
        </w:rPr>
        <w:t xml:space="preserve"> and Phaneuf</w:t>
      </w:r>
      <w:r>
        <w:rPr>
          <w:rFonts w:ascii="Times New Roman" w:hAnsi="Times New Roman"/>
          <w:lang w:val="en-US"/>
        </w:rPr>
        <w:t xml:space="preserve"> (2003), </w:t>
      </w:r>
      <w:r w:rsidRPr="00C03633">
        <w:rPr>
          <w:rFonts w:ascii="Times New Roman" w:hAnsi="Times New Roman"/>
          <w:lang w:val="en-US"/>
        </w:rPr>
        <w:t>treating the integer count</w:t>
      </w:r>
      <w:r>
        <w:rPr>
          <w:rFonts w:ascii="Times New Roman" w:hAnsi="Times New Roman"/>
          <w:lang w:val="en-US"/>
        </w:rPr>
        <w:t xml:space="preserve"> of trips as a continuous variable</w:t>
      </w:r>
      <w:r w:rsidRPr="00C03633">
        <w:rPr>
          <w:rFonts w:ascii="Times New Roman" w:hAnsi="Times New Roman"/>
          <w:lang w:val="en-US"/>
        </w:rPr>
        <w:t xml:space="preserve"> (within an MDC framework) do</w:t>
      </w:r>
      <w:r>
        <w:rPr>
          <w:rFonts w:ascii="Times New Roman" w:hAnsi="Times New Roman"/>
          <w:lang w:val="en-US"/>
        </w:rPr>
        <w:t>es not lead to substantial bias in the results or the behavioral implications.</w:t>
      </w:r>
      <w:proofErr w:type="gramEnd"/>
      <w:r>
        <w:rPr>
          <w:rFonts w:ascii="Times New Roman" w:hAnsi="Times New Roman"/>
          <w:lang w:val="en-US"/>
        </w:rPr>
        <w:t xml:space="preserve"> This forms the basis for the use of the MDC framework in earlier studies, as well as in the current study, of leisure destination choices over a period of time.</w:t>
      </w:r>
      <w:r w:rsidRPr="00C03633">
        <w:rPr>
          <w:rFonts w:ascii="Times New Roman" w:hAnsi="Times New Roman"/>
          <w:lang w:val="en-US"/>
        </w:rPr>
        <w:t xml:space="preserve"> </w:t>
      </w:r>
      <w:r>
        <w:rPr>
          <w:rFonts w:ascii="Times New Roman" w:hAnsi="Times New Roman"/>
          <w:lang w:val="en-US"/>
        </w:rPr>
        <w:t xml:space="preserve">Similarly, as in earlier studies, the budget in the MDC formulation is the total number of leisure trips made over a given time period. This budget is “allocated” to the different possible discrete leisure destination locations. While a more reasonable approach would be to allocate a money budget, the operationalization of this alternative approach is extremely difficult because of the many assumptions that need to be made regarding monetary costs of participation per trip. Besides, a more practical problem is that expenditure information is rarely obtained in travel surveys. On the other hand, the number of trips to each destination is readily available from a sample of individuals in a survey, and the </w:t>
      </w:r>
      <w:proofErr w:type="gramStart"/>
      <w:r>
        <w:rPr>
          <w:rFonts w:ascii="Times New Roman" w:hAnsi="Times New Roman"/>
          <w:lang w:val="en-US"/>
        </w:rPr>
        <w:t>total trips (or “budget”) is</w:t>
      </w:r>
      <w:proofErr w:type="gramEnd"/>
      <w:r>
        <w:rPr>
          <w:rFonts w:ascii="Times New Roman" w:hAnsi="Times New Roman"/>
          <w:lang w:val="en-US"/>
        </w:rPr>
        <w:t xml:space="preserve"> readily obtained by aggregating across the possible destination locations. A related issue in the use of total trips as the “budget” is that the MDC models of leisure destination choice focus on the count of trips to each destination, given the total number of leisure trips during a specified period. In forecasting mode, the latter “budget quantity” is itself predicted in an earlier “trip generation” step, including the choice of making no leisure trips at all. </w:t>
      </w:r>
    </w:p>
  </w:footnote>
  <w:footnote w:id="10">
    <w:p w:rsidR="00B2636A" w:rsidRPr="00A504DC" w:rsidRDefault="00B2636A" w:rsidP="008A4C9D">
      <w:pPr>
        <w:pStyle w:val="FootnoteText"/>
        <w:rPr>
          <w:rFonts w:ascii="Times New Roman" w:hAnsi="Times New Roman"/>
          <w:lang w:val="en-US"/>
        </w:rPr>
      </w:pPr>
      <w:r w:rsidRPr="00A504DC">
        <w:rPr>
          <w:rStyle w:val="FootnoteReference"/>
          <w:rFonts w:ascii="Times New Roman" w:hAnsi="Times New Roman"/>
        </w:rPr>
        <w:footnoteRef/>
      </w:r>
      <w:r w:rsidRPr="00A504DC">
        <w:rPr>
          <w:rFonts w:ascii="Times New Roman" w:hAnsi="Times New Roman"/>
        </w:rPr>
        <w:t xml:space="preserve"> </w:t>
      </w:r>
      <w:r w:rsidRPr="00A504DC">
        <w:rPr>
          <w:rFonts w:ascii="Times New Roman" w:hAnsi="Times New Roman"/>
          <w:lang w:val="en-US"/>
        </w:rPr>
        <w:t xml:space="preserve">We do not introduce the land-cover percentages themselves directly in the baseline preference because these percentages do not vary across individuals in the sample. Thus, </w:t>
      </w:r>
      <w:r w:rsidRPr="00A504DC">
        <w:rPr>
          <w:rFonts w:ascii="Times New Roman" w:hAnsi="Times New Roman"/>
          <w:szCs w:val="24"/>
        </w:rPr>
        <w:t xml:space="preserve">destination </w:t>
      </w:r>
      <w:r w:rsidRPr="00A504DC">
        <w:rPr>
          <w:rFonts w:ascii="Times New Roman" w:hAnsi="Times New Roman"/>
          <w:szCs w:val="24"/>
          <w:lang w:val="en-US"/>
        </w:rPr>
        <w:t xml:space="preserve">region </w:t>
      </w:r>
      <w:r w:rsidRPr="00A504DC">
        <w:rPr>
          <w:rFonts w:ascii="Times New Roman" w:hAnsi="Times New Roman"/>
          <w:szCs w:val="24"/>
        </w:rPr>
        <w:t xml:space="preserve">land-cover </w:t>
      </w:r>
      <w:r w:rsidRPr="00A504DC">
        <w:rPr>
          <w:rFonts w:ascii="Times New Roman" w:hAnsi="Times New Roman"/>
          <w:szCs w:val="24"/>
          <w:lang w:val="en-US"/>
        </w:rPr>
        <w:t xml:space="preserve">percentages </w:t>
      </w:r>
      <w:r w:rsidRPr="00A504DC">
        <w:rPr>
          <w:rFonts w:ascii="Times New Roman" w:hAnsi="Times New Roman"/>
          <w:szCs w:val="24"/>
        </w:rPr>
        <w:t xml:space="preserve">by themselves do not provide adequate variation to estimate parameters (because there are only </w:t>
      </w:r>
      <w:r w:rsidRPr="00A504DC">
        <w:rPr>
          <w:rFonts w:ascii="Times New Roman" w:hAnsi="Times New Roman"/>
          <w:szCs w:val="24"/>
          <w:lang w:val="en-US"/>
        </w:rPr>
        <w:t>16</w:t>
      </w:r>
      <w:r w:rsidRPr="00A504DC">
        <w:rPr>
          <w:rFonts w:ascii="Times New Roman" w:hAnsi="Times New Roman"/>
          <w:szCs w:val="24"/>
        </w:rPr>
        <w:t xml:space="preserve"> destination </w:t>
      </w:r>
      <w:r w:rsidRPr="00A504DC">
        <w:rPr>
          <w:rFonts w:ascii="Times New Roman" w:hAnsi="Times New Roman"/>
          <w:szCs w:val="24"/>
          <w:lang w:val="en-US"/>
        </w:rPr>
        <w:t xml:space="preserve">regions). But, by </w:t>
      </w:r>
      <w:proofErr w:type="gramStart"/>
      <w:r w:rsidRPr="00A504DC">
        <w:rPr>
          <w:rFonts w:ascii="Times New Roman" w:hAnsi="Times New Roman"/>
          <w:szCs w:val="24"/>
          <w:lang w:val="en-US"/>
        </w:rPr>
        <w:t>interacting</w:t>
      </w:r>
      <w:proofErr w:type="gramEnd"/>
      <w:r w:rsidRPr="00A504DC">
        <w:rPr>
          <w:rFonts w:ascii="Times New Roman" w:hAnsi="Times New Roman"/>
          <w:szCs w:val="24"/>
          <w:lang w:val="en-US"/>
        </w:rPr>
        <w:t xml:space="preserve"> these land cover percentages with individual-specific travel times to each region, we obtain rich variation across individuals in the resulting accessibility measures.</w:t>
      </w:r>
    </w:p>
  </w:footnote>
  <w:footnote w:id="11">
    <w:p w:rsidR="00B2636A" w:rsidRPr="00C1199F" w:rsidRDefault="00B2636A">
      <w:pPr>
        <w:pStyle w:val="FootnoteText"/>
        <w:rPr>
          <w:lang w:val="en-US"/>
        </w:rPr>
      </w:pPr>
      <w:r w:rsidRPr="00887124">
        <w:rPr>
          <w:rStyle w:val="FootnoteReference"/>
          <w:rFonts w:ascii="Times New Roman" w:hAnsi="Times New Roman"/>
        </w:rPr>
        <w:footnoteRef/>
      </w:r>
      <w:r w:rsidRPr="00887124">
        <w:rPr>
          <w:rFonts w:ascii="Times New Roman" w:hAnsi="Times New Roman"/>
        </w:rPr>
        <w:t xml:space="preserve"> </w:t>
      </w:r>
      <w:r w:rsidRPr="00D51F02">
        <w:rPr>
          <w:rFonts w:ascii="Times New Roman" w:hAnsi="Times New Roman"/>
        </w:rPr>
        <w:t xml:space="preserve">Many measures have been suggested in the literature to evaluate model fit, especially in the context of the number of segments in latent segmentation models. These include the </w:t>
      </w:r>
      <w:proofErr w:type="spellStart"/>
      <w:r w:rsidRPr="00D51F02">
        <w:rPr>
          <w:rFonts w:ascii="Times New Roman" w:hAnsi="Times New Roman"/>
        </w:rPr>
        <w:t>Akaike</w:t>
      </w:r>
      <w:proofErr w:type="spellEnd"/>
      <w:r w:rsidRPr="00D51F02">
        <w:rPr>
          <w:rFonts w:ascii="Times New Roman" w:hAnsi="Times New Roman"/>
        </w:rPr>
        <w:t xml:space="preserve"> Information Criterion (AIC), the BIC, and many variants of both of these </w:t>
      </w:r>
      <w:r>
        <w:rPr>
          <w:rFonts w:ascii="Times New Roman" w:hAnsi="Times New Roman"/>
        </w:rPr>
        <w:t>(see Fonseca, 2010</w:t>
      </w:r>
      <w:r w:rsidRPr="00D51F02">
        <w:rPr>
          <w:rFonts w:ascii="Times New Roman" w:hAnsi="Times New Roman"/>
        </w:rPr>
        <w:t xml:space="preserve"> for a listing and description of these information criteria). In general, the criteria based on the AIC tend to favor complex models with many segments as the sample size increases, leading to potential </w:t>
      </w:r>
      <w:proofErr w:type="spellStart"/>
      <w:r w:rsidRPr="00D51F02">
        <w:rPr>
          <w:rFonts w:ascii="Times New Roman" w:hAnsi="Times New Roman"/>
        </w:rPr>
        <w:t>overfit</w:t>
      </w:r>
      <w:proofErr w:type="spellEnd"/>
      <w:r w:rsidRPr="00D51F02">
        <w:rPr>
          <w:rFonts w:ascii="Times New Roman" w:hAnsi="Times New Roman"/>
        </w:rPr>
        <w:t>. On the other hand, the criteria based on the BI</w:t>
      </w:r>
      <w:r>
        <w:rPr>
          <w:rFonts w:ascii="Times New Roman" w:hAnsi="Times New Roman"/>
        </w:rPr>
        <w:t>C</w:t>
      </w:r>
      <w:r w:rsidRPr="00D51F02">
        <w:rPr>
          <w:rFonts w:ascii="Times New Roman" w:hAnsi="Times New Roman"/>
        </w:rPr>
        <w:t xml:space="preserve"> tend to favor simpler models, with an adjustment for sample size (such as the ln</w:t>
      </w:r>
      <w:r w:rsidRPr="00D51F02">
        <w:rPr>
          <w:rFonts w:ascii="Times New Roman" w:hAnsi="Times New Roman"/>
          <w:i/>
        </w:rPr>
        <w:t>(N</w:t>
      </w:r>
      <w:r w:rsidRPr="00D51F02">
        <w:rPr>
          <w:rFonts w:ascii="Times New Roman" w:hAnsi="Times New Roman"/>
        </w:rPr>
        <w:t xml:space="preserve">) appearing in Equation (21)), </w:t>
      </w:r>
      <w:r>
        <w:rPr>
          <w:rFonts w:ascii="Times New Roman" w:hAnsi="Times New Roman"/>
        </w:rPr>
        <w:t>to avoid</w:t>
      </w:r>
      <w:r w:rsidRPr="00D51F02">
        <w:rPr>
          <w:rFonts w:ascii="Times New Roman" w:hAnsi="Times New Roman"/>
        </w:rPr>
        <w:t xml:space="preserve"> </w:t>
      </w:r>
      <w:proofErr w:type="spellStart"/>
      <w:r w:rsidRPr="00D51F02">
        <w:rPr>
          <w:rFonts w:ascii="Times New Roman" w:hAnsi="Times New Roman"/>
        </w:rPr>
        <w:t>overfit</w:t>
      </w:r>
      <w:proofErr w:type="spellEnd"/>
      <w:r w:rsidRPr="00D51F02">
        <w:rPr>
          <w:rFonts w:ascii="Times New Roman" w:hAnsi="Times New Roman"/>
        </w:rPr>
        <w:t xml:space="preserve">. More simply speaking, the BIC-based measures demand a higher strength of evidence to add complexity than do the AIC-based measures, and thus the BIC-based measures favor more parsimonious models with fewer segments than do the AIC-based measures (see Neath and Cavanaugh, 2012). In the context of latent segmentation models, where the number of parameters explodes as the number of segments increases, parsimony is a much desired property from an interpretation and simplicity perspective. Thus, </w:t>
      </w:r>
      <w:r>
        <w:rPr>
          <w:rFonts w:ascii="Times New Roman" w:hAnsi="Times New Roman"/>
        </w:rPr>
        <w:t xml:space="preserve">most latent segment models adopt the BIC as the model selection </w:t>
      </w:r>
      <w:r w:rsidRPr="00D51F02">
        <w:rPr>
          <w:rFonts w:ascii="Times New Roman" w:hAnsi="Times New Roman"/>
        </w:rPr>
        <w:t>crite</w:t>
      </w:r>
      <w:r>
        <w:rPr>
          <w:rFonts w:ascii="Times New Roman" w:hAnsi="Times New Roman"/>
        </w:rPr>
        <w:t>rion</w:t>
      </w:r>
      <w:r w:rsidRPr="00D51F02">
        <w:rPr>
          <w:rFonts w:ascii="Times New Roman" w:hAnsi="Times New Roman"/>
        </w:rPr>
        <w:t xml:space="preserve">, as we </w:t>
      </w:r>
      <w:r>
        <w:rPr>
          <w:rFonts w:ascii="Times New Roman" w:hAnsi="Times New Roman"/>
        </w:rPr>
        <w:t xml:space="preserve">also </w:t>
      </w:r>
      <w:r w:rsidRPr="00D51F02">
        <w:rPr>
          <w:rFonts w:ascii="Times New Roman" w:hAnsi="Times New Roman"/>
        </w:rPr>
        <w:t>do in the current paper.</w:t>
      </w:r>
    </w:p>
  </w:footnote>
  <w:footnote w:id="12">
    <w:p w:rsidR="00B2636A" w:rsidRPr="0021433B" w:rsidRDefault="00B2636A">
      <w:pPr>
        <w:pStyle w:val="FootnoteText"/>
        <w:rPr>
          <w:lang w:val="en-US"/>
        </w:rPr>
      </w:pPr>
      <w:r w:rsidRPr="00F4037C">
        <w:rPr>
          <w:rStyle w:val="FootnoteReference"/>
          <w:rFonts w:ascii="Times New Roman" w:hAnsi="Times New Roman"/>
        </w:rPr>
        <w:footnoteRef/>
      </w:r>
      <w:r w:rsidRPr="00F4037C">
        <w:rPr>
          <w:rFonts w:ascii="Times New Roman" w:hAnsi="Times New Roman"/>
          <w:szCs w:val="24"/>
          <w:lang w:val="en-US"/>
        </w:rPr>
        <w:t xml:space="preserve"> </w:t>
      </w:r>
      <w:proofErr w:type="spellStart"/>
      <w:r w:rsidRPr="00A87962">
        <w:rPr>
          <w:rFonts w:ascii="Times New Roman" w:hAnsi="Times New Roman"/>
          <w:szCs w:val="24"/>
          <w:lang w:val="en-US"/>
        </w:rPr>
        <w:t>T</w:t>
      </w:r>
      <w:r w:rsidRPr="00A87962">
        <w:rPr>
          <w:rFonts w:ascii="Times New Roman" w:hAnsi="Times New Roman"/>
          <w:szCs w:val="24"/>
        </w:rPr>
        <w:t>o</w:t>
      </w:r>
      <w:proofErr w:type="spellEnd"/>
      <w:r w:rsidRPr="00A87962">
        <w:rPr>
          <w:rFonts w:ascii="Times New Roman" w:hAnsi="Times New Roman"/>
          <w:szCs w:val="24"/>
        </w:rPr>
        <w:t xml:space="preserve"> be sure, in this part of the analysis, we did not just consider random coefficients on the </w:t>
      </w:r>
      <w:r w:rsidRPr="00A87962">
        <w:rPr>
          <w:rFonts w:ascii="Times New Roman" w:hAnsi="Times New Roman"/>
          <w:szCs w:val="24"/>
          <w:lang w:val="en-US"/>
        </w:rPr>
        <w:t xml:space="preserve">variables in the baseline utility function, but </w:t>
      </w:r>
      <w:r w:rsidRPr="00A87962">
        <w:rPr>
          <w:rFonts w:ascii="Times New Roman" w:hAnsi="Times New Roman"/>
          <w:szCs w:val="24"/>
        </w:rPr>
        <w:t xml:space="preserve">also </w:t>
      </w:r>
      <w:r w:rsidRPr="00A87962">
        <w:rPr>
          <w:rFonts w:ascii="Times New Roman" w:hAnsi="Times New Roman"/>
          <w:szCs w:val="24"/>
          <w:lang w:val="en-US"/>
        </w:rPr>
        <w:t>tested</w:t>
      </w:r>
      <w:r w:rsidRPr="00A87962">
        <w:rPr>
          <w:rFonts w:ascii="Times New Roman" w:hAnsi="Times New Roman"/>
          <w:szCs w:val="24"/>
        </w:rPr>
        <w:t xml:space="preserve"> demographic variable interactions with the variables to obtain a RC-MDCP model that </w:t>
      </w:r>
      <w:r w:rsidRPr="00A87962">
        <w:rPr>
          <w:rFonts w:ascii="Times New Roman" w:hAnsi="Times New Roman"/>
          <w:szCs w:val="24"/>
          <w:lang w:val="en-US"/>
        </w:rPr>
        <w:t xml:space="preserve">accommodates </w:t>
      </w:r>
      <w:r w:rsidRPr="00A87962">
        <w:rPr>
          <w:rFonts w:ascii="Times New Roman" w:hAnsi="Times New Roman"/>
          <w:szCs w:val="24"/>
        </w:rPr>
        <w:t xml:space="preserve">systematic heterogeneity </w:t>
      </w:r>
      <w:r>
        <w:rPr>
          <w:rFonts w:ascii="Times New Roman" w:hAnsi="Times New Roman"/>
          <w:szCs w:val="24"/>
          <w:lang w:val="en-US"/>
        </w:rPr>
        <w:t>(when</w:t>
      </w:r>
      <w:r w:rsidRPr="00A87962">
        <w:rPr>
          <w:rFonts w:ascii="Times New Roman" w:hAnsi="Times New Roman"/>
          <w:szCs w:val="24"/>
          <w:lang w:val="en-US"/>
        </w:rPr>
        <w:t xml:space="preserve"> found statistically significant) </w:t>
      </w:r>
      <w:r w:rsidRPr="00A87962">
        <w:rPr>
          <w:rFonts w:ascii="Times New Roman" w:hAnsi="Times New Roman"/>
          <w:szCs w:val="24"/>
        </w:rPr>
        <w:t>in the coefficients</w:t>
      </w:r>
      <w:r w:rsidRPr="00A87962">
        <w:rPr>
          <w:rFonts w:ascii="Times New Roman" w:hAnsi="Times New Roman"/>
          <w:szCs w:val="24"/>
          <w:lang w:val="en-US"/>
        </w:rPr>
        <w:t>. This RC-MDCP specification is a much more appropriate “strawman” to compare with the proposed FDMN-MDCP model than a pure random coefficients specification that does not consider these interactions.</w:t>
      </w:r>
      <w:r>
        <w:rPr>
          <w:szCs w:val="24"/>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1A850FF1"/>
    <w:multiLevelType w:val="hybridMultilevel"/>
    <w:tmpl w:val="FD9CD52C"/>
    <w:lvl w:ilvl="0" w:tplc="C1F433F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30AE50FC"/>
    <w:multiLevelType w:val="multilevel"/>
    <w:tmpl w:val="148C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07397"/>
    <w:multiLevelType w:val="hybridMultilevel"/>
    <w:tmpl w:val="E620F0AC"/>
    <w:lvl w:ilvl="0" w:tplc="760C3E2E">
      <w:start w:val="2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517B19"/>
    <w:multiLevelType w:val="hybridMultilevel"/>
    <w:tmpl w:val="97DC6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435F06"/>
    <w:multiLevelType w:val="hybridMultilevel"/>
    <w:tmpl w:val="6854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785999"/>
    <w:multiLevelType w:val="multilevel"/>
    <w:tmpl w:val="12C8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9C3768"/>
    <w:multiLevelType w:val="hybridMultilevel"/>
    <w:tmpl w:val="429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9A40D7"/>
    <w:multiLevelType w:val="hybridMultilevel"/>
    <w:tmpl w:val="6F5A588E"/>
    <w:lvl w:ilvl="0" w:tplc="4C54C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5"/>
  </w:num>
  <w:num w:numId="5">
    <w:abstractNumId w:val="3"/>
  </w:num>
  <w:num w:numId="6">
    <w:abstractNumId w:val="0"/>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activeWritingStyle w:appName="MSWord" w:lang="es-CL" w:vendorID="64" w:dllVersion="131078" w:nlCheck="1" w:checkStyle="1"/>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52B"/>
    <w:rsid w:val="00000D90"/>
    <w:rsid w:val="00000EA8"/>
    <w:rsid w:val="0000126E"/>
    <w:rsid w:val="000016EC"/>
    <w:rsid w:val="00001BBA"/>
    <w:rsid w:val="000020DC"/>
    <w:rsid w:val="0000215C"/>
    <w:rsid w:val="000026B3"/>
    <w:rsid w:val="000031AB"/>
    <w:rsid w:val="00004163"/>
    <w:rsid w:val="000042F0"/>
    <w:rsid w:val="00005104"/>
    <w:rsid w:val="000066AF"/>
    <w:rsid w:val="00006905"/>
    <w:rsid w:val="0000738A"/>
    <w:rsid w:val="00007571"/>
    <w:rsid w:val="00007850"/>
    <w:rsid w:val="00007927"/>
    <w:rsid w:val="0001029B"/>
    <w:rsid w:val="0001438E"/>
    <w:rsid w:val="00014B4F"/>
    <w:rsid w:val="00014C27"/>
    <w:rsid w:val="000159D2"/>
    <w:rsid w:val="0001631E"/>
    <w:rsid w:val="00016367"/>
    <w:rsid w:val="00016CEC"/>
    <w:rsid w:val="00017198"/>
    <w:rsid w:val="00017213"/>
    <w:rsid w:val="000173D2"/>
    <w:rsid w:val="00020283"/>
    <w:rsid w:val="00020E9F"/>
    <w:rsid w:val="00021DD2"/>
    <w:rsid w:val="000225E9"/>
    <w:rsid w:val="00022A27"/>
    <w:rsid w:val="00023558"/>
    <w:rsid w:val="000236EE"/>
    <w:rsid w:val="00026D18"/>
    <w:rsid w:val="0002745E"/>
    <w:rsid w:val="00027AF8"/>
    <w:rsid w:val="00027C2B"/>
    <w:rsid w:val="00031240"/>
    <w:rsid w:val="0003204D"/>
    <w:rsid w:val="00032FC3"/>
    <w:rsid w:val="000338CA"/>
    <w:rsid w:val="00034E6D"/>
    <w:rsid w:val="00034EDB"/>
    <w:rsid w:val="00035471"/>
    <w:rsid w:val="00035A99"/>
    <w:rsid w:val="000363F0"/>
    <w:rsid w:val="00036850"/>
    <w:rsid w:val="00036DA8"/>
    <w:rsid w:val="000371C6"/>
    <w:rsid w:val="0003723C"/>
    <w:rsid w:val="00037C9E"/>
    <w:rsid w:val="00037D16"/>
    <w:rsid w:val="00037FAF"/>
    <w:rsid w:val="000400CF"/>
    <w:rsid w:val="00040590"/>
    <w:rsid w:val="00040D3A"/>
    <w:rsid w:val="00040DDD"/>
    <w:rsid w:val="00041DBE"/>
    <w:rsid w:val="00042539"/>
    <w:rsid w:val="00042947"/>
    <w:rsid w:val="00042D4B"/>
    <w:rsid w:val="000433BA"/>
    <w:rsid w:val="000438DD"/>
    <w:rsid w:val="0004464F"/>
    <w:rsid w:val="000448F7"/>
    <w:rsid w:val="000453B3"/>
    <w:rsid w:val="000454AF"/>
    <w:rsid w:val="00046372"/>
    <w:rsid w:val="0004637E"/>
    <w:rsid w:val="000463B7"/>
    <w:rsid w:val="00046AD5"/>
    <w:rsid w:val="00046E95"/>
    <w:rsid w:val="00047AE1"/>
    <w:rsid w:val="00050B46"/>
    <w:rsid w:val="0005343C"/>
    <w:rsid w:val="0005347C"/>
    <w:rsid w:val="000579F6"/>
    <w:rsid w:val="00057E33"/>
    <w:rsid w:val="00061A23"/>
    <w:rsid w:val="000620EB"/>
    <w:rsid w:val="0006210D"/>
    <w:rsid w:val="000626F3"/>
    <w:rsid w:val="00062734"/>
    <w:rsid w:val="00062A17"/>
    <w:rsid w:val="00063622"/>
    <w:rsid w:val="0006380A"/>
    <w:rsid w:val="00063B65"/>
    <w:rsid w:val="00063E3E"/>
    <w:rsid w:val="00063F0A"/>
    <w:rsid w:val="00064A61"/>
    <w:rsid w:val="000669FE"/>
    <w:rsid w:val="00066EFC"/>
    <w:rsid w:val="000672F2"/>
    <w:rsid w:val="000701B3"/>
    <w:rsid w:val="00070583"/>
    <w:rsid w:val="000709E1"/>
    <w:rsid w:val="000711F1"/>
    <w:rsid w:val="00072441"/>
    <w:rsid w:val="00072847"/>
    <w:rsid w:val="000732D3"/>
    <w:rsid w:val="0007331A"/>
    <w:rsid w:val="00073562"/>
    <w:rsid w:val="00073A36"/>
    <w:rsid w:val="00073B79"/>
    <w:rsid w:val="00073FF4"/>
    <w:rsid w:val="00074A9D"/>
    <w:rsid w:val="00074E14"/>
    <w:rsid w:val="00075464"/>
    <w:rsid w:val="00076269"/>
    <w:rsid w:val="0007646A"/>
    <w:rsid w:val="00076C34"/>
    <w:rsid w:val="00076F49"/>
    <w:rsid w:val="000770BE"/>
    <w:rsid w:val="00077117"/>
    <w:rsid w:val="00077E66"/>
    <w:rsid w:val="000800F4"/>
    <w:rsid w:val="000803AE"/>
    <w:rsid w:val="000805EA"/>
    <w:rsid w:val="0008078A"/>
    <w:rsid w:val="0008105F"/>
    <w:rsid w:val="000817E8"/>
    <w:rsid w:val="00081D93"/>
    <w:rsid w:val="0008331C"/>
    <w:rsid w:val="00083FAB"/>
    <w:rsid w:val="0008656E"/>
    <w:rsid w:val="00086602"/>
    <w:rsid w:val="0008781A"/>
    <w:rsid w:val="00087DE5"/>
    <w:rsid w:val="00090545"/>
    <w:rsid w:val="0009133F"/>
    <w:rsid w:val="00091596"/>
    <w:rsid w:val="00091A62"/>
    <w:rsid w:val="0009258E"/>
    <w:rsid w:val="00092BD9"/>
    <w:rsid w:val="00092E30"/>
    <w:rsid w:val="00093013"/>
    <w:rsid w:val="00093815"/>
    <w:rsid w:val="000939EB"/>
    <w:rsid w:val="00093A78"/>
    <w:rsid w:val="00094BB4"/>
    <w:rsid w:val="0009524E"/>
    <w:rsid w:val="00095714"/>
    <w:rsid w:val="0009619B"/>
    <w:rsid w:val="00096D8B"/>
    <w:rsid w:val="00097894"/>
    <w:rsid w:val="00097E86"/>
    <w:rsid w:val="000A09B8"/>
    <w:rsid w:val="000A0FD7"/>
    <w:rsid w:val="000A1B24"/>
    <w:rsid w:val="000A26E4"/>
    <w:rsid w:val="000A2803"/>
    <w:rsid w:val="000A3896"/>
    <w:rsid w:val="000A3E96"/>
    <w:rsid w:val="000A4027"/>
    <w:rsid w:val="000A59B4"/>
    <w:rsid w:val="000A5C1E"/>
    <w:rsid w:val="000A6160"/>
    <w:rsid w:val="000A6A41"/>
    <w:rsid w:val="000A73FE"/>
    <w:rsid w:val="000A7613"/>
    <w:rsid w:val="000A7B3A"/>
    <w:rsid w:val="000B06DF"/>
    <w:rsid w:val="000B0896"/>
    <w:rsid w:val="000B16D0"/>
    <w:rsid w:val="000B2AEC"/>
    <w:rsid w:val="000B2C0C"/>
    <w:rsid w:val="000B2CC0"/>
    <w:rsid w:val="000B331B"/>
    <w:rsid w:val="000B33C5"/>
    <w:rsid w:val="000B3CC0"/>
    <w:rsid w:val="000B4054"/>
    <w:rsid w:val="000B64EB"/>
    <w:rsid w:val="000B6629"/>
    <w:rsid w:val="000B67DB"/>
    <w:rsid w:val="000B6CEE"/>
    <w:rsid w:val="000B6FF8"/>
    <w:rsid w:val="000B73C6"/>
    <w:rsid w:val="000B746B"/>
    <w:rsid w:val="000C1E46"/>
    <w:rsid w:val="000C1EBE"/>
    <w:rsid w:val="000C2816"/>
    <w:rsid w:val="000C332C"/>
    <w:rsid w:val="000C3BFE"/>
    <w:rsid w:val="000C3F3A"/>
    <w:rsid w:val="000C3FB1"/>
    <w:rsid w:val="000C43C4"/>
    <w:rsid w:val="000C596B"/>
    <w:rsid w:val="000C5BB0"/>
    <w:rsid w:val="000C65A3"/>
    <w:rsid w:val="000D04CF"/>
    <w:rsid w:val="000D07B8"/>
    <w:rsid w:val="000D0CAA"/>
    <w:rsid w:val="000D2068"/>
    <w:rsid w:val="000D23AC"/>
    <w:rsid w:val="000D3578"/>
    <w:rsid w:val="000D4140"/>
    <w:rsid w:val="000D420D"/>
    <w:rsid w:val="000D4367"/>
    <w:rsid w:val="000D4613"/>
    <w:rsid w:val="000D4F15"/>
    <w:rsid w:val="000D4FAB"/>
    <w:rsid w:val="000D50A3"/>
    <w:rsid w:val="000D5417"/>
    <w:rsid w:val="000D5BFC"/>
    <w:rsid w:val="000D69AF"/>
    <w:rsid w:val="000D6D57"/>
    <w:rsid w:val="000D6F63"/>
    <w:rsid w:val="000D73AE"/>
    <w:rsid w:val="000D7753"/>
    <w:rsid w:val="000D78E1"/>
    <w:rsid w:val="000E021E"/>
    <w:rsid w:val="000E1662"/>
    <w:rsid w:val="000E180A"/>
    <w:rsid w:val="000E1EF5"/>
    <w:rsid w:val="000E1FAA"/>
    <w:rsid w:val="000E2F9B"/>
    <w:rsid w:val="000E3763"/>
    <w:rsid w:val="000E408C"/>
    <w:rsid w:val="000E4A0A"/>
    <w:rsid w:val="000E59BF"/>
    <w:rsid w:val="000E6503"/>
    <w:rsid w:val="000E67F3"/>
    <w:rsid w:val="000E68EB"/>
    <w:rsid w:val="000E70E2"/>
    <w:rsid w:val="000E735F"/>
    <w:rsid w:val="000E794E"/>
    <w:rsid w:val="000E7ACD"/>
    <w:rsid w:val="000F0073"/>
    <w:rsid w:val="000F015A"/>
    <w:rsid w:val="000F0E63"/>
    <w:rsid w:val="000F0FFD"/>
    <w:rsid w:val="000F1E63"/>
    <w:rsid w:val="000F2F36"/>
    <w:rsid w:val="000F30FE"/>
    <w:rsid w:val="000F31FE"/>
    <w:rsid w:val="000F369F"/>
    <w:rsid w:val="000F419D"/>
    <w:rsid w:val="000F47D8"/>
    <w:rsid w:val="000F534C"/>
    <w:rsid w:val="000F619F"/>
    <w:rsid w:val="000F65E8"/>
    <w:rsid w:val="000F78BE"/>
    <w:rsid w:val="000F7C05"/>
    <w:rsid w:val="000F7E85"/>
    <w:rsid w:val="00100B66"/>
    <w:rsid w:val="001038B8"/>
    <w:rsid w:val="00103DEF"/>
    <w:rsid w:val="001041FD"/>
    <w:rsid w:val="00106271"/>
    <w:rsid w:val="001105F7"/>
    <w:rsid w:val="00110C68"/>
    <w:rsid w:val="001110CE"/>
    <w:rsid w:val="00111333"/>
    <w:rsid w:val="001122F6"/>
    <w:rsid w:val="00112ADA"/>
    <w:rsid w:val="00112DCD"/>
    <w:rsid w:val="001132D1"/>
    <w:rsid w:val="0011330D"/>
    <w:rsid w:val="00113536"/>
    <w:rsid w:val="00113788"/>
    <w:rsid w:val="00113EFB"/>
    <w:rsid w:val="001141CD"/>
    <w:rsid w:val="00114C37"/>
    <w:rsid w:val="00115C06"/>
    <w:rsid w:val="0011629A"/>
    <w:rsid w:val="00116571"/>
    <w:rsid w:val="00116E3D"/>
    <w:rsid w:val="001178D0"/>
    <w:rsid w:val="00117F03"/>
    <w:rsid w:val="00121104"/>
    <w:rsid w:val="00121418"/>
    <w:rsid w:val="00121675"/>
    <w:rsid w:val="00121800"/>
    <w:rsid w:val="00121B5C"/>
    <w:rsid w:val="00123634"/>
    <w:rsid w:val="001242AE"/>
    <w:rsid w:val="001246BD"/>
    <w:rsid w:val="0012477B"/>
    <w:rsid w:val="0012522B"/>
    <w:rsid w:val="00125D47"/>
    <w:rsid w:val="00126002"/>
    <w:rsid w:val="001278D9"/>
    <w:rsid w:val="001304F1"/>
    <w:rsid w:val="0013098A"/>
    <w:rsid w:val="00131BD8"/>
    <w:rsid w:val="0013295B"/>
    <w:rsid w:val="00132C0B"/>
    <w:rsid w:val="001336EA"/>
    <w:rsid w:val="00133B5A"/>
    <w:rsid w:val="001366E9"/>
    <w:rsid w:val="00137709"/>
    <w:rsid w:val="00137D65"/>
    <w:rsid w:val="00140594"/>
    <w:rsid w:val="00140A05"/>
    <w:rsid w:val="00141DDB"/>
    <w:rsid w:val="00142594"/>
    <w:rsid w:val="00145B56"/>
    <w:rsid w:val="0014616B"/>
    <w:rsid w:val="00146D29"/>
    <w:rsid w:val="00147365"/>
    <w:rsid w:val="00147652"/>
    <w:rsid w:val="00150379"/>
    <w:rsid w:val="001506B7"/>
    <w:rsid w:val="0015137C"/>
    <w:rsid w:val="0015158F"/>
    <w:rsid w:val="001515F7"/>
    <w:rsid w:val="00152205"/>
    <w:rsid w:val="0015269C"/>
    <w:rsid w:val="0015427A"/>
    <w:rsid w:val="00155527"/>
    <w:rsid w:val="001558B3"/>
    <w:rsid w:val="00155DCA"/>
    <w:rsid w:val="00155FBA"/>
    <w:rsid w:val="00156A0C"/>
    <w:rsid w:val="0015754B"/>
    <w:rsid w:val="00160142"/>
    <w:rsid w:val="00160429"/>
    <w:rsid w:val="0016067C"/>
    <w:rsid w:val="00161178"/>
    <w:rsid w:val="0016218E"/>
    <w:rsid w:val="001626D1"/>
    <w:rsid w:val="00162909"/>
    <w:rsid w:val="0016354E"/>
    <w:rsid w:val="001645E2"/>
    <w:rsid w:val="001645F4"/>
    <w:rsid w:val="00164D79"/>
    <w:rsid w:val="001660FE"/>
    <w:rsid w:val="00166389"/>
    <w:rsid w:val="00166B4C"/>
    <w:rsid w:val="00170A5F"/>
    <w:rsid w:val="00170D0A"/>
    <w:rsid w:val="00171BA6"/>
    <w:rsid w:val="00172AFF"/>
    <w:rsid w:val="00172C82"/>
    <w:rsid w:val="001743EE"/>
    <w:rsid w:val="0017460D"/>
    <w:rsid w:val="00174A99"/>
    <w:rsid w:val="00175DD0"/>
    <w:rsid w:val="00176632"/>
    <w:rsid w:val="00176637"/>
    <w:rsid w:val="00177524"/>
    <w:rsid w:val="00177723"/>
    <w:rsid w:val="00177D60"/>
    <w:rsid w:val="00180161"/>
    <w:rsid w:val="001804B7"/>
    <w:rsid w:val="00181206"/>
    <w:rsid w:val="0018126B"/>
    <w:rsid w:val="001817EE"/>
    <w:rsid w:val="00181853"/>
    <w:rsid w:val="00181D27"/>
    <w:rsid w:val="00182DB0"/>
    <w:rsid w:val="001838B8"/>
    <w:rsid w:val="00183B67"/>
    <w:rsid w:val="00184040"/>
    <w:rsid w:val="00184D3B"/>
    <w:rsid w:val="00184DFD"/>
    <w:rsid w:val="00186DA0"/>
    <w:rsid w:val="00186DD8"/>
    <w:rsid w:val="0018749F"/>
    <w:rsid w:val="00190BB9"/>
    <w:rsid w:val="00190E52"/>
    <w:rsid w:val="00190FA4"/>
    <w:rsid w:val="001917EF"/>
    <w:rsid w:val="001924F1"/>
    <w:rsid w:val="00192674"/>
    <w:rsid w:val="00192803"/>
    <w:rsid w:val="00194167"/>
    <w:rsid w:val="001941C2"/>
    <w:rsid w:val="00196174"/>
    <w:rsid w:val="0019628A"/>
    <w:rsid w:val="00196A9E"/>
    <w:rsid w:val="001974C7"/>
    <w:rsid w:val="00197880"/>
    <w:rsid w:val="00197985"/>
    <w:rsid w:val="001A0E76"/>
    <w:rsid w:val="001A1907"/>
    <w:rsid w:val="001A2783"/>
    <w:rsid w:val="001A2F0B"/>
    <w:rsid w:val="001A32F9"/>
    <w:rsid w:val="001A3436"/>
    <w:rsid w:val="001A3AAA"/>
    <w:rsid w:val="001A56AD"/>
    <w:rsid w:val="001A61B6"/>
    <w:rsid w:val="001A64F1"/>
    <w:rsid w:val="001A674C"/>
    <w:rsid w:val="001A6FEB"/>
    <w:rsid w:val="001B16EC"/>
    <w:rsid w:val="001B16F8"/>
    <w:rsid w:val="001B1C63"/>
    <w:rsid w:val="001B2A36"/>
    <w:rsid w:val="001B2CA2"/>
    <w:rsid w:val="001B3098"/>
    <w:rsid w:val="001B3146"/>
    <w:rsid w:val="001B364C"/>
    <w:rsid w:val="001B37D6"/>
    <w:rsid w:val="001B3F5B"/>
    <w:rsid w:val="001B45C3"/>
    <w:rsid w:val="001B66BC"/>
    <w:rsid w:val="001B7277"/>
    <w:rsid w:val="001C08F8"/>
    <w:rsid w:val="001C0C26"/>
    <w:rsid w:val="001C0D1D"/>
    <w:rsid w:val="001C151B"/>
    <w:rsid w:val="001C1593"/>
    <w:rsid w:val="001C1A11"/>
    <w:rsid w:val="001C21FF"/>
    <w:rsid w:val="001C26F3"/>
    <w:rsid w:val="001C272D"/>
    <w:rsid w:val="001C444F"/>
    <w:rsid w:val="001C6BF5"/>
    <w:rsid w:val="001C6EA0"/>
    <w:rsid w:val="001C74FA"/>
    <w:rsid w:val="001D124D"/>
    <w:rsid w:val="001D1316"/>
    <w:rsid w:val="001D1CB3"/>
    <w:rsid w:val="001D2B9C"/>
    <w:rsid w:val="001D2EB1"/>
    <w:rsid w:val="001D35C9"/>
    <w:rsid w:val="001D4FAD"/>
    <w:rsid w:val="001D4FE5"/>
    <w:rsid w:val="001D5295"/>
    <w:rsid w:val="001D5532"/>
    <w:rsid w:val="001D5747"/>
    <w:rsid w:val="001D667D"/>
    <w:rsid w:val="001D7CFD"/>
    <w:rsid w:val="001E02A0"/>
    <w:rsid w:val="001E0607"/>
    <w:rsid w:val="001E37F6"/>
    <w:rsid w:val="001E38FD"/>
    <w:rsid w:val="001E4D73"/>
    <w:rsid w:val="001E50FF"/>
    <w:rsid w:val="001E5946"/>
    <w:rsid w:val="001E7ACC"/>
    <w:rsid w:val="001E7CDA"/>
    <w:rsid w:val="001E7D72"/>
    <w:rsid w:val="001F01FF"/>
    <w:rsid w:val="001F029E"/>
    <w:rsid w:val="001F04A8"/>
    <w:rsid w:val="001F0CE8"/>
    <w:rsid w:val="001F1C2E"/>
    <w:rsid w:val="001F2CA0"/>
    <w:rsid w:val="001F3EE1"/>
    <w:rsid w:val="001F46DC"/>
    <w:rsid w:val="001F4C4F"/>
    <w:rsid w:val="001F4EFA"/>
    <w:rsid w:val="001F52D6"/>
    <w:rsid w:val="001F6A7D"/>
    <w:rsid w:val="001F6AFF"/>
    <w:rsid w:val="001F779D"/>
    <w:rsid w:val="001F7D4F"/>
    <w:rsid w:val="00200114"/>
    <w:rsid w:val="002004CB"/>
    <w:rsid w:val="00200783"/>
    <w:rsid w:val="00200E5B"/>
    <w:rsid w:val="0020119C"/>
    <w:rsid w:val="00202816"/>
    <w:rsid w:val="002029C2"/>
    <w:rsid w:val="002039D6"/>
    <w:rsid w:val="00203BA4"/>
    <w:rsid w:val="00205303"/>
    <w:rsid w:val="0020569F"/>
    <w:rsid w:val="00205739"/>
    <w:rsid w:val="002066A4"/>
    <w:rsid w:val="00206BFB"/>
    <w:rsid w:val="00206ED2"/>
    <w:rsid w:val="002107EC"/>
    <w:rsid w:val="002117B5"/>
    <w:rsid w:val="00211E01"/>
    <w:rsid w:val="00211F1F"/>
    <w:rsid w:val="00212995"/>
    <w:rsid w:val="00213135"/>
    <w:rsid w:val="0021433B"/>
    <w:rsid w:val="002148C4"/>
    <w:rsid w:val="00214B15"/>
    <w:rsid w:val="002159D1"/>
    <w:rsid w:val="00215BA4"/>
    <w:rsid w:val="00217453"/>
    <w:rsid w:val="0021781C"/>
    <w:rsid w:val="00217D2F"/>
    <w:rsid w:val="00221444"/>
    <w:rsid w:val="00221BDB"/>
    <w:rsid w:val="002220A4"/>
    <w:rsid w:val="0022215C"/>
    <w:rsid w:val="002228B5"/>
    <w:rsid w:val="00224067"/>
    <w:rsid w:val="002257CF"/>
    <w:rsid w:val="00225D4C"/>
    <w:rsid w:val="002260B0"/>
    <w:rsid w:val="00226CA2"/>
    <w:rsid w:val="00227715"/>
    <w:rsid w:val="0022774E"/>
    <w:rsid w:val="002277E0"/>
    <w:rsid w:val="00227AEC"/>
    <w:rsid w:val="00227F72"/>
    <w:rsid w:val="00231612"/>
    <w:rsid w:val="00231874"/>
    <w:rsid w:val="002318D8"/>
    <w:rsid w:val="00231B40"/>
    <w:rsid w:val="00233747"/>
    <w:rsid w:val="00235240"/>
    <w:rsid w:val="0023572A"/>
    <w:rsid w:val="00235887"/>
    <w:rsid w:val="00235971"/>
    <w:rsid w:val="00236518"/>
    <w:rsid w:val="00236A4C"/>
    <w:rsid w:val="002400D3"/>
    <w:rsid w:val="00240A47"/>
    <w:rsid w:val="00240C04"/>
    <w:rsid w:val="002411B1"/>
    <w:rsid w:val="00242ACF"/>
    <w:rsid w:val="00242BFF"/>
    <w:rsid w:val="002433B5"/>
    <w:rsid w:val="00243542"/>
    <w:rsid w:val="00244BA3"/>
    <w:rsid w:val="00244DAE"/>
    <w:rsid w:val="00245807"/>
    <w:rsid w:val="002461B3"/>
    <w:rsid w:val="00246AE4"/>
    <w:rsid w:val="0024744E"/>
    <w:rsid w:val="00247B45"/>
    <w:rsid w:val="00247DF7"/>
    <w:rsid w:val="00250B3F"/>
    <w:rsid w:val="0025120C"/>
    <w:rsid w:val="00251B84"/>
    <w:rsid w:val="002521B7"/>
    <w:rsid w:val="00253112"/>
    <w:rsid w:val="002532BD"/>
    <w:rsid w:val="00253424"/>
    <w:rsid w:val="0025394D"/>
    <w:rsid w:val="00253A97"/>
    <w:rsid w:val="002542D3"/>
    <w:rsid w:val="00254618"/>
    <w:rsid w:val="00254695"/>
    <w:rsid w:val="00256E62"/>
    <w:rsid w:val="00256E6A"/>
    <w:rsid w:val="00257106"/>
    <w:rsid w:val="002610D3"/>
    <w:rsid w:val="002616F2"/>
    <w:rsid w:val="00261E08"/>
    <w:rsid w:val="00262545"/>
    <w:rsid w:val="00262671"/>
    <w:rsid w:val="002631EC"/>
    <w:rsid w:val="00263466"/>
    <w:rsid w:val="00263A41"/>
    <w:rsid w:val="00263C3F"/>
    <w:rsid w:val="0026427B"/>
    <w:rsid w:val="00264EE4"/>
    <w:rsid w:val="00265393"/>
    <w:rsid w:val="002664A1"/>
    <w:rsid w:val="0026668E"/>
    <w:rsid w:val="00270357"/>
    <w:rsid w:val="00270711"/>
    <w:rsid w:val="00271708"/>
    <w:rsid w:val="00271A6D"/>
    <w:rsid w:val="00272BF7"/>
    <w:rsid w:val="002730CB"/>
    <w:rsid w:val="00273C76"/>
    <w:rsid w:val="00274224"/>
    <w:rsid w:val="00274700"/>
    <w:rsid w:val="0027607E"/>
    <w:rsid w:val="00276142"/>
    <w:rsid w:val="0027615C"/>
    <w:rsid w:val="00277E97"/>
    <w:rsid w:val="00277FC8"/>
    <w:rsid w:val="0028003C"/>
    <w:rsid w:val="002801A2"/>
    <w:rsid w:val="002804A3"/>
    <w:rsid w:val="00280589"/>
    <w:rsid w:val="002813B9"/>
    <w:rsid w:val="00281B60"/>
    <w:rsid w:val="00281D1A"/>
    <w:rsid w:val="0028225D"/>
    <w:rsid w:val="0028245D"/>
    <w:rsid w:val="002825E0"/>
    <w:rsid w:val="002850AF"/>
    <w:rsid w:val="00285458"/>
    <w:rsid w:val="0028556C"/>
    <w:rsid w:val="00286456"/>
    <w:rsid w:val="00286A2F"/>
    <w:rsid w:val="00287189"/>
    <w:rsid w:val="002875EE"/>
    <w:rsid w:val="0028761D"/>
    <w:rsid w:val="00287AFA"/>
    <w:rsid w:val="0029094E"/>
    <w:rsid w:val="002911D7"/>
    <w:rsid w:val="002914D6"/>
    <w:rsid w:val="00292894"/>
    <w:rsid w:val="00293F81"/>
    <w:rsid w:val="00294AC2"/>
    <w:rsid w:val="00294B4F"/>
    <w:rsid w:val="00295701"/>
    <w:rsid w:val="00295746"/>
    <w:rsid w:val="00295AEA"/>
    <w:rsid w:val="00296229"/>
    <w:rsid w:val="00296375"/>
    <w:rsid w:val="002970EE"/>
    <w:rsid w:val="002977E2"/>
    <w:rsid w:val="00297B42"/>
    <w:rsid w:val="002A01C7"/>
    <w:rsid w:val="002A0511"/>
    <w:rsid w:val="002A0569"/>
    <w:rsid w:val="002A1900"/>
    <w:rsid w:val="002A1AC5"/>
    <w:rsid w:val="002A216F"/>
    <w:rsid w:val="002A23CE"/>
    <w:rsid w:val="002A2812"/>
    <w:rsid w:val="002A2E7E"/>
    <w:rsid w:val="002A2F2A"/>
    <w:rsid w:val="002A363E"/>
    <w:rsid w:val="002A3927"/>
    <w:rsid w:val="002A462C"/>
    <w:rsid w:val="002A4CAC"/>
    <w:rsid w:val="002A50F9"/>
    <w:rsid w:val="002B08E7"/>
    <w:rsid w:val="002B0A48"/>
    <w:rsid w:val="002B0E88"/>
    <w:rsid w:val="002B0F07"/>
    <w:rsid w:val="002B3AA0"/>
    <w:rsid w:val="002B542B"/>
    <w:rsid w:val="002B61CC"/>
    <w:rsid w:val="002B6B78"/>
    <w:rsid w:val="002B7685"/>
    <w:rsid w:val="002C0778"/>
    <w:rsid w:val="002C0CA9"/>
    <w:rsid w:val="002C1683"/>
    <w:rsid w:val="002C2059"/>
    <w:rsid w:val="002C2531"/>
    <w:rsid w:val="002C269A"/>
    <w:rsid w:val="002C26FA"/>
    <w:rsid w:val="002C3C15"/>
    <w:rsid w:val="002C4088"/>
    <w:rsid w:val="002C50F6"/>
    <w:rsid w:val="002C700D"/>
    <w:rsid w:val="002C7059"/>
    <w:rsid w:val="002C7377"/>
    <w:rsid w:val="002D01AC"/>
    <w:rsid w:val="002D020C"/>
    <w:rsid w:val="002D0A2D"/>
    <w:rsid w:val="002D0B83"/>
    <w:rsid w:val="002D0DBA"/>
    <w:rsid w:val="002D1B19"/>
    <w:rsid w:val="002D298A"/>
    <w:rsid w:val="002D30CC"/>
    <w:rsid w:val="002D45DD"/>
    <w:rsid w:val="002D7544"/>
    <w:rsid w:val="002D7765"/>
    <w:rsid w:val="002E1C84"/>
    <w:rsid w:val="002E23F7"/>
    <w:rsid w:val="002E275D"/>
    <w:rsid w:val="002E284E"/>
    <w:rsid w:val="002E2EBF"/>
    <w:rsid w:val="002E33A8"/>
    <w:rsid w:val="002E4B9A"/>
    <w:rsid w:val="002E4E0A"/>
    <w:rsid w:val="002E578F"/>
    <w:rsid w:val="002E597C"/>
    <w:rsid w:val="002E6BF9"/>
    <w:rsid w:val="002E6CF0"/>
    <w:rsid w:val="002E6F3B"/>
    <w:rsid w:val="002E77ED"/>
    <w:rsid w:val="002E781D"/>
    <w:rsid w:val="002F0975"/>
    <w:rsid w:val="002F1857"/>
    <w:rsid w:val="002F2CA8"/>
    <w:rsid w:val="002F3156"/>
    <w:rsid w:val="002F44AC"/>
    <w:rsid w:val="002F463A"/>
    <w:rsid w:val="002F514D"/>
    <w:rsid w:val="002F52ED"/>
    <w:rsid w:val="002F552A"/>
    <w:rsid w:val="002F5A3C"/>
    <w:rsid w:val="002F6197"/>
    <w:rsid w:val="002F640E"/>
    <w:rsid w:val="002F6421"/>
    <w:rsid w:val="002F6817"/>
    <w:rsid w:val="002F72BE"/>
    <w:rsid w:val="00300484"/>
    <w:rsid w:val="00302361"/>
    <w:rsid w:val="0030246C"/>
    <w:rsid w:val="00302673"/>
    <w:rsid w:val="00302B64"/>
    <w:rsid w:val="00304D74"/>
    <w:rsid w:val="00305C44"/>
    <w:rsid w:val="00306157"/>
    <w:rsid w:val="00306556"/>
    <w:rsid w:val="00307848"/>
    <w:rsid w:val="003100B8"/>
    <w:rsid w:val="00310C1C"/>
    <w:rsid w:val="00310D5F"/>
    <w:rsid w:val="00312F46"/>
    <w:rsid w:val="0031352F"/>
    <w:rsid w:val="003139C4"/>
    <w:rsid w:val="00313C38"/>
    <w:rsid w:val="0031467F"/>
    <w:rsid w:val="003148CB"/>
    <w:rsid w:val="00314C89"/>
    <w:rsid w:val="003154C2"/>
    <w:rsid w:val="003159D6"/>
    <w:rsid w:val="00315B3D"/>
    <w:rsid w:val="00316350"/>
    <w:rsid w:val="003169E4"/>
    <w:rsid w:val="00317575"/>
    <w:rsid w:val="00320167"/>
    <w:rsid w:val="00320DF9"/>
    <w:rsid w:val="00320EB3"/>
    <w:rsid w:val="003213A6"/>
    <w:rsid w:val="003218F4"/>
    <w:rsid w:val="00321AE4"/>
    <w:rsid w:val="00321E62"/>
    <w:rsid w:val="00322EE6"/>
    <w:rsid w:val="00323317"/>
    <w:rsid w:val="003236DC"/>
    <w:rsid w:val="003240E2"/>
    <w:rsid w:val="0032449F"/>
    <w:rsid w:val="003245DC"/>
    <w:rsid w:val="00325303"/>
    <w:rsid w:val="00325841"/>
    <w:rsid w:val="0032611E"/>
    <w:rsid w:val="00326225"/>
    <w:rsid w:val="0032667E"/>
    <w:rsid w:val="00326C07"/>
    <w:rsid w:val="00327296"/>
    <w:rsid w:val="0032747D"/>
    <w:rsid w:val="003274E3"/>
    <w:rsid w:val="00327B4B"/>
    <w:rsid w:val="003302D8"/>
    <w:rsid w:val="00330C9A"/>
    <w:rsid w:val="00331A41"/>
    <w:rsid w:val="00331EE5"/>
    <w:rsid w:val="00332C33"/>
    <w:rsid w:val="00332D2D"/>
    <w:rsid w:val="00334049"/>
    <w:rsid w:val="003357E1"/>
    <w:rsid w:val="0033616D"/>
    <w:rsid w:val="00336518"/>
    <w:rsid w:val="00336BD8"/>
    <w:rsid w:val="00336F86"/>
    <w:rsid w:val="00337139"/>
    <w:rsid w:val="00341167"/>
    <w:rsid w:val="003411F7"/>
    <w:rsid w:val="003427F6"/>
    <w:rsid w:val="00342CFB"/>
    <w:rsid w:val="00342F21"/>
    <w:rsid w:val="003433EF"/>
    <w:rsid w:val="00344324"/>
    <w:rsid w:val="0034473C"/>
    <w:rsid w:val="00345AD8"/>
    <w:rsid w:val="00346554"/>
    <w:rsid w:val="0034727F"/>
    <w:rsid w:val="00347A96"/>
    <w:rsid w:val="00350814"/>
    <w:rsid w:val="0035120A"/>
    <w:rsid w:val="00351BC6"/>
    <w:rsid w:val="00351FE8"/>
    <w:rsid w:val="00351FFB"/>
    <w:rsid w:val="003526DC"/>
    <w:rsid w:val="0035286B"/>
    <w:rsid w:val="00353677"/>
    <w:rsid w:val="00353FEA"/>
    <w:rsid w:val="00354D79"/>
    <w:rsid w:val="00354E30"/>
    <w:rsid w:val="00354E56"/>
    <w:rsid w:val="0035505E"/>
    <w:rsid w:val="003565F3"/>
    <w:rsid w:val="00356CB4"/>
    <w:rsid w:val="00357841"/>
    <w:rsid w:val="0035794E"/>
    <w:rsid w:val="00361742"/>
    <w:rsid w:val="00361AD1"/>
    <w:rsid w:val="00361B0A"/>
    <w:rsid w:val="0036235A"/>
    <w:rsid w:val="00362806"/>
    <w:rsid w:val="0036295B"/>
    <w:rsid w:val="00362BF2"/>
    <w:rsid w:val="003635DA"/>
    <w:rsid w:val="00363D20"/>
    <w:rsid w:val="0036415B"/>
    <w:rsid w:val="003644B5"/>
    <w:rsid w:val="003653E6"/>
    <w:rsid w:val="00366075"/>
    <w:rsid w:val="00366592"/>
    <w:rsid w:val="0036752B"/>
    <w:rsid w:val="00367B42"/>
    <w:rsid w:val="00371DB8"/>
    <w:rsid w:val="0037213D"/>
    <w:rsid w:val="003730E0"/>
    <w:rsid w:val="003743FE"/>
    <w:rsid w:val="00375307"/>
    <w:rsid w:val="00375A3A"/>
    <w:rsid w:val="0038049E"/>
    <w:rsid w:val="003805F1"/>
    <w:rsid w:val="003807CE"/>
    <w:rsid w:val="00380C00"/>
    <w:rsid w:val="00380FFE"/>
    <w:rsid w:val="00381876"/>
    <w:rsid w:val="003818D9"/>
    <w:rsid w:val="003820AA"/>
    <w:rsid w:val="0038279D"/>
    <w:rsid w:val="003830B4"/>
    <w:rsid w:val="003830D2"/>
    <w:rsid w:val="00383802"/>
    <w:rsid w:val="003852DE"/>
    <w:rsid w:val="0038581D"/>
    <w:rsid w:val="003866A4"/>
    <w:rsid w:val="003867A0"/>
    <w:rsid w:val="00386CC9"/>
    <w:rsid w:val="00386DDC"/>
    <w:rsid w:val="00386E9E"/>
    <w:rsid w:val="0038732B"/>
    <w:rsid w:val="00387817"/>
    <w:rsid w:val="0038786E"/>
    <w:rsid w:val="00387AB3"/>
    <w:rsid w:val="0039028A"/>
    <w:rsid w:val="00390481"/>
    <w:rsid w:val="00390E55"/>
    <w:rsid w:val="0039168E"/>
    <w:rsid w:val="00391711"/>
    <w:rsid w:val="00391D5F"/>
    <w:rsid w:val="003931A3"/>
    <w:rsid w:val="00393349"/>
    <w:rsid w:val="00393A6C"/>
    <w:rsid w:val="00394D29"/>
    <w:rsid w:val="0039518D"/>
    <w:rsid w:val="00395EE9"/>
    <w:rsid w:val="00396890"/>
    <w:rsid w:val="003A0405"/>
    <w:rsid w:val="003A0682"/>
    <w:rsid w:val="003A0879"/>
    <w:rsid w:val="003A1135"/>
    <w:rsid w:val="003A1E9C"/>
    <w:rsid w:val="003A2175"/>
    <w:rsid w:val="003A279D"/>
    <w:rsid w:val="003A325F"/>
    <w:rsid w:val="003A4C8B"/>
    <w:rsid w:val="003A5312"/>
    <w:rsid w:val="003A58BC"/>
    <w:rsid w:val="003A6E4E"/>
    <w:rsid w:val="003A7018"/>
    <w:rsid w:val="003A7673"/>
    <w:rsid w:val="003A77E2"/>
    <w:rsid w:val="003A7A13"/>
    <w:rsid w:val="003A7B62"/>
    <w:rsid w:val="003B0370"/>
    <w:rsid w:val="003B06AE"/>
    <w:rsid w:val="003B10CE"/>
    <w:rsid w:val="003B118B"/>
    <w:rsid w:val="003B13E8"/>
    <w:rsid w:val="003B1A0B"/>
    <w:rsid w:val="003B3894"/>
    <w:rsid w:val="003B3ABD"/>
    <w:rsid w:val="003B44E1"/>
    <w:rsid w:val="003B4897"/>
    <w:rsid w:val="003B49FB"/>
    <w:rsid w:val="003B4E8C"/>
    <w:rsid w:val="003B51DC"/>
    <w:rsid w:val="003B5B61"/>
    <w:rsid w:val="003B6251"/>
    <w:rsid w:val="003B67AF"/>
    <w:rsid w:val="003B6F15"/>
    <w:rsid w:val="003B7943"/>
    <w:rsid w:val="003B7EA1"/>
    <w:rsid w:val="003C065A"/>
    <w:rsid w:val="003C0903"/>
    <w:rsid w:val="003C1F2B"/>
    <w:rsid w:val="003C2D6A"/>
    <w:rsid w:val="003C3732"/>
    <w:rsid w:val="003C4057"/>
    <w:rsid w:val="003C4500"/>
    <w:rsid w:val="003C4C4D"/>
    <w:rsid w:val="003C58F9"/>
    <w:rsid w:val="003C61FA"/>
    <w:rsid w:val="003C6BC4"/>
    <w:rsid w:val="003C7819"/>
    <w:rsid w:val="003D009B"/>
    <w:rsid w:val="003D04E3"/>
    <w:rsid w:val="003D14DF"/>
    <w:rsid w:val="003D1A0A"/>
    <w:rsid w:val="003D2308"/>
    <w:rsid w:val="003D2316"/>
    <w:rsid w:val="003D2FF5"/>
    <w:rsid w:val="003D3C1B"/>
    <w:rsid w:val="003D462C"/>
    <w:rsid w:val="003D5D64"/>
    <w:rsid w:val="003E099F"/>
    <w:rsid w:val="003E1285"/>
    <w:rsid w:val="003E1937"/>
    <w:rsid w:val="003E2260"/>
    <w:rsid w:val="003E2440"/>
    <w:rsid w:val="003E32AD"/>
    <w:rsid w:val="003E5169"/>
    <w:rsid w:val="003E67D9"/>
    <w:rsid w:val="003E752C"/>
    <w:rsid w:val="003F0A6E"/>
    <w:rsid w:val="003F15CE"/>
    <w:rsid w:val="003F1694"/>
    <w:rsid w:val="003F1AC7"/>
    <w:rsid w:val="003F1B28"/>
    <w:rsid w:val="003F29CA"/>
    <w:rsid w:val="003F33A0"/>
    <w:rsid w:val="003F37BD"/>
    <w:rsid w:val="003F39AE"/>
    <w:rsid w:val="003F46FF"/>
    <w:rsid w:val="003F6EE6"/>
    <w:rsid w:val="003F6F0C"/>
    <w:rsid w:val="003F7228"/>
    <w:rsid w:val="003F78A5"/>
    <w:rsid w:val="003F7F47"/>
    <w:rsid w:val="00400956"/>
    <w:rsid w:val="004010F7"/>
    <w:rsid w:val="004013A1"/>
    <w:rsid w:val="0040141D"/>
    <w:rsid w:val="00401D02"/>
    <w:rsid w:val="004025E5"/>
    <w:rsid w:val="004026D7"/>
    <w:rsid w:val="0040412B"/>
    <w:rsid w:val="004049C5"/>
    <w:rsid w:val="00404DE8"/>
    <w:rsid w:val="00405918"/>
    <w:rsid w:val="004059C6"/>
    <w:rsid w:val="00406526"/>
    <w:rsid w:val="00407CAB"/>
    <w:rsid w:val="00407EA7"/>
    <w:rsid w:val="0041077E"/>
    <w:rsid w:val="00410F8F"/>
    <w:rsid w:val="0041105F"/>
    <w:rsid w:val="0041143D"/>
    <w:rsid w:val="00413496"/>
    <w:rsid w:val="00413833"/>
    <w:rsid w:val="00413E43"/>
    <w:rsid w:val="00414E31"/>
    <w:rsid w:val="004152F6"/>
    <w:rsid w:val="00415762"/>
    <w:rsid w:val="00416849"/>
    <w:rsid w:val="0041704A"/>
    <w:rsid w:val="004174C6"/>
    <w:rsid w:val="00417776"/>
    <w:rsid w:val="00417F18"/>
    <w:rsid w:val="00421195"/>
    <w:rsid w:val="004214A5"/>
    <w:rsid w:val="00422496"/>
    <w:rsid w:val="004233C7"/>
    <w:rsid w:val="00423752"/>
    <w:rsid w:val="00424D47"/>
    <w:rsid w:val="004252FC"/>
    <w:rsid w:val="0042548C"/>
    <w:rsid w:val="00425E10"/>
    <w:rsid w:val="004273EC"/>
    <w:rsid w:val="0042795B"/>
    <w:rsid w:val="00427A0F"/>
    <w:rsid w:val="00430DCA"/>
    <w:rsid w:val="00430FE5"/>
    <w:rsid w:val="00431897"/>
    <w:rsid w:val="00431DD4"/>
    <w:rsid w:val="0043320D"/>
    <w:rsid w:val="00433608"/>
    <w:rsid w:val="00433768"/>
    <w:rsid w:val="00433873"/>
    <w:rsid w:val="00433D4F"/>
    <w:rsid w:val="00434029"/>
    <w:rsid w:val="00434F7D"/>
    <w:rsid w:val="004360A3"/>
    <w:rsid w:val="00437AF1"/>
    <w:rsid w:val="00437D01"/>
    <w:rsid w:val="00440A94"/>
    <w:rsid w:val="00440FBE"/>
    <w:rsid w:val="00441B23"/>
    <w:rsid w:val="0044215D"/>
    <w:rsid w:val="00443230"/>
    <w:rsid w:val="00443832"/>
    <w:rsid w:val="004443B5"/>
    <w:rsid w:val="00445FE6"/>
    <w:rsid w:val="00447997"/>
    <w:rsid w:val="00447E44"/>
    <w:rsid w:val="00450194"/>
    <w:rsid w:val="00450380"/>
    <w:rsid w:val="0045043F"/>
    <w:rsid w:val="00451361"/>
    <w:rsid w:val="004553DF"/>
    <w:rsid w:val="00456A31"/>
    <w:rsid w:val="00456AA9"/>
    <w:rsid w:val="00456E3C"/>
    <w:rsid w:val="00457017"/>
    <w:rsid w:val="00457F46"/>
    <w:rsid w:val="0046063B"/>
    <w:rsid w:val="00460D57"/>
    <w:rsid w:val="004621B2"/>
    <w:rsid w:val="00462946"/>
    <w:rsid w:val="00462B41"/>
    <w:rsid w:val="004631D3"/>
    <w:rsid w:val="00463A7C"/>
    <w:rsid w:val="0046480D"/>
    <w:rsid w:val="004662DB"/>
    <w:rsid w:val="004666ED"/>
    <w:rsid w:val="00466D2D"/>
    <w:rsid w:val="00467072"/>
    <w:rsid w:val="004704F0"/>
    <w:rsid w:val="00470EE9"/>
    <w:rsid w:val="0047271F"/>
    <w:rsid w:val="00472D7B"/>
    <w:rsid w:val="00472DC8"/>
    <w:rsid w:val="00473705"/>
    <w:rsid w:val="00473781"/>
    <w:rsid w:val="004746C0"/>
    <w:rsid w:val="00475990"/>
    <w:rsid w:val="004760EC"/>
    <w:rsid w:val="0047689C"/>
    <w:rsid w:val="00476B18"/>
    <w:rsid w:val="00476CC6"/>
    <w:rsid w:val="004770BD"/>
    <w:rsid w:val="00480387"/>
    <w:rsid w:val="00481DCA"/>
    <w:rsid w:val="00481E23"/>
    <w:rsid w:val="004821FB"/>
    <w:rsid w:val="00482F45"/>
    <w:rsid w:val="00483A1D"/>
    <w:rsid w:val="004846FC"/>
    <w:rsid w:val="00484E09"/>
    <w:rsid w:val="0048585C"/>
    <w:rsid w:val="00485A6E"/>
    <w:rsid w:val="00485AE6"/>
    <w:rsid w:val="00485B1F"/>
    <w:rsid w:val="00487949"/>
    <w:rsid w:val="00487D86"/>
    <w:rsid w:val="00491300"/>
    <w:rsid w:val="00492612"/>
    <w:rsid w:val="00492E8B"/>
    <w:rsid w:val="00493066"/>
    <w:rsid w:val="00494362"/>
    <w:rsid w:val="00494416"/>
    <w:rsid w:val="00494B53"/>
    <w:rsid w:val="00495CD6"/>
    <w:rsid w:val="00496BF9"/>
    <w:rsid w:val="00496C60"/>
    <w:rsid w:val="004A07EF"/>
    <w:rsid w:val="004A0AD6"/>
    <w:rsid w:val="004A1061"/>
    <w:rsid w:val="004A1087"/>
    <w:rsid w:val="004A17B6"/>
    <w:rsid w:val="004A2F1A"/>
    <w:rsid w:val="004A397D"/>
    <w:rsid w:val="004A4B45"/>
    <w:rsid w:val="004A5906"/>
    <w:rsid w:val="004A5B10"/>
    <w:rsid w:val="004A65D2"/>
    <w:rsid w:val="004A6EEA"/>
    <w:rsid w:val="004A73BE"/>
    <w:rsid w:val="004A7BB0"/>
    <w:rsid w:val="004A7D79"/>
    <w:rsid w:val="004B0CF0"/>
    <w:rsid w:val="004B0E1E"/>
    <w:rsid w:val="004B0E4A"/>
    <w:rsid w:val="004B1E47"/>
    <w:rsid w:val="004B3AFF"/>
    <w:rsid w:val="004B3C0F"/>
    <w:rsid w:val="004B4392"/>
    <w:rsid w:val="004B4B0A"/>
    <w:rsid w:val="004B5B23"/>
    <w:rsid w:val="004B67D1"/>
    <w:rsid w:val="004B7551"/>
    <w:rsid w:val="004C2487"/>
    <w:rsid w:val="004C24D1"/>
    <w:rsid w:val="004C33F4"/>
    <w:rsid w:val="004C4DE1"/>
    <w:rsid w:val="004C5B89"/>
    <w:rsid w:val="004C66AF"/>
    <w:rsid w:val="004C673E"/>
    <w:rsid w:val="004C67E0"/>
    <w:rsid w:val="004C6A42"/>
    <w:rsid w:val="004C6D7A"/>
    <w:rsid w:val="004C723A"/>
    <w:rsid w:val="004C7635"/>
    <w:rsid w:val="004D2327"/>
    <w:rsid w:val="004D2E9A"/>
    <w:rsid w:val="004D3DCE"/>
    <w:rsid w:val="004D4012"/>
    <w:rsid w:val="004D4345"/>
    <w:rsid w:val="004D4EC9"/>
    <w:rsid w:val="004D4F15"/>
    <w:rsid w:val="004D4FB7"/>
    <w:rsid w:val="004D5A45"/>
    <w:rsid w:val="004D71B9"/>
    <w:rsid w:val="004E0AAC"/>
    <w:rsid w:val="004E0AC2"/>
    <w:rsid w:val="004E16CB"/>
    <w:rsid w:val="004E22C6"/>
    <w:rsid w:val="004E29EA"/>
    <w:rsid w:val="004E2B07"/>
    <w:rsid w:val="004E2FDC"/>
    <w:rsid w:val="004E3D82"/>
    <w:rsid w:val="004E3EA2"/>
    <w:rsid w:val="004E4DEF"/>
    <w:rsid w:val="004E5596"/>
    <w:rsid w:val="004E5AB7"/>
    <w:rsid w:val="004E5ADC"/>
    <w:rsid w:val="004E5F05"/>
    <w:rsid w:val="004E6150"/>
    <w:rsid w:val="004E6CC4"/>
    <w:rsid w:val="004E6CD6"/>
    <w:rsid w:val="004E72FD"/>
    <w:rsid w:val="004E7366"/>
    <w:rsid w:val="004E7EAB"/>
    <w:rsid w:val="004F028F"/>
    <w:rsid w:val="004F125A"/>
    <w:rsid w:val="004F2520"/>
    <w:rsid w:val="004F2754"/>
    <w:rsid w:val="004F27A0"/>
    <w:rsid w:val="004F2852"/>
    <w:rsid w:val="004F2B7B"/>
    <w:rsid w:val="004F307C"/>
    <w:rsid w:val="004F3728"/>
    <w:rsid w:val="004F3C81"/>
    <w:rsid w:val="004F432A"/>
    <w:rsid w:val="004F4876"/>
    <w:rsid w:val="004F48C4"/>
    <w:rsid w:val="004F4BC2"/>
    <w:rsid w:val="004F53A6"/>
    <w:rsid w:val="004F61D5"/>
    <w:rsid w:val="004F69F9"/>
    <w:rsid w:val="004F6B71"/>
    <w:rsid w:val="0050088C"/>
    <w:rsid w:val="00501238"/>
    <w:rsid w:val="00502D1A"/>
    <w:rsid w:val="00503B84"/>
    <w:rsid w:val="00504727"/>
    <w:rsid w:val="00505110"/>
    <w:rsid w:val="005062D2"/>
    <w:rsid w:val="005100B3"/>
    <w:rsid w:val="0051097C"/>
    <w:rsid w:val="00510FC6"/>
    <w:rsid w:val="0051228C"/>
    <w:rsid w:val="005123F5"/>
    <w:rsid w:val="00512F00"/>
    <w:rsid w:val="00514697"/>
    <w:rsid w:val="00514A1A"/>
    <w:rsid w:val="0051500F"/>
    <w:rsid w:val="0051597C"/>
    <w:rsid w:val="00516123"/>
    <w:rsid w:val="00516CE3"/>
    <w:rsid w:val="0051753C"/>
    <w:rsid w:val="005177EE"/>
    <w:rsid w:val="00517BB7"/>
    <w:rsid w:val="00521609"/>
    <w:rsid w:val="005217BF"/>
    <w:rsid w:val="005230BC"/>
    <w:rsid w:val="005231F5"/>
    <w:rsid w:val="005247C0"/>
    <w:rsid w:val="00525807"/>
    <w:rsid w:val="00526E03"/>
    <w:rsid w:val="005272E4"/>
    <w:rsid w:val="0052794D"/>
    <w:rsid w:val="00530A99"/>
    <w:rsid w:val="0053211E"/>
    <w:rsid w:val="00532F61"/>
    <w:rsid w:val="005347DE"/>
    <w:rsid w:val="005348A5"/>
    <w:rsid w:val="00534907"/>
    <w:rsid w:val="005355CE"/>
    <w:rsid w:val="00537535"/>
    <w:rsid w:val="00537A94"/>
    <w:rsid w:val="0054195E"/>
    <w:rsid w:val="00541E6E"/>
    <w:rsid w:val="005424B3"/>
    <w:rsid w:val="00542F10"/>
    <w:rsid w:val="00544A2E"/>
    <w:rsid w:val="00544CAE"/>
    <w:rsid w:val="00546425"/>
    <w:rsid w:val="005464DB"/>
    <w:rsid w:val="00546B43"/>
    <w:rsid w:val="00547B0F"/>
    <w:rsid w:val="00550C45"/>
    <w:rsid w:val="005511B2"/>
    <w:rsid w:val="0055151B"/>
    <w:rsid w:val="0055152E"/>
    <w:rsid w:val="00552523"/>
    <w:rsid w:val="00552698"/>
    <w:rsid w:val="00552C39"/>
    <w:rsid w:val="005534D8"/>
    <w:rsid w:val="00553D25"/>
    <w:rsid w:val="00554DB3"/>
    <w:rsid w:val="00554F7E"/>
    <w:rsid w:val="005556F2"/>
    <w:rsid w:val="00555BCB"/>
    <w:rsid w:val="00555C30"/>
    <w:rsid w:val="00556228"/>
    <w:rsid w:val="005567E1"/>
    <w:rsid w:val="00557674"/>
    <w:rsid w:val="00557B7C"/>
    <w:rsid w:val="00560888"/>
    <w:rsid w:val="00561E9F"/>
    <w:rsid w:val="005623A8"/>
    <w:rsid w:val="00562596"/>
    <w:rsid w:val="00563259"/>
    <w:rsid w:val="00563BB0"/>
    <w:rsid w:val="00564039"/>
    <w:rsid w:val="00564314"/>
    <w:rsid w:val="005644A7"/>
    <w:rsid w:val="005644B8"/>
    <w:rsid w:val="00564884"/>
    <w:rsid w:val="00564CB6"/>
    <w:rsid w:val="00564FBD"/>
    <w:rsid w:val="005654F4"/>
    <w:rsid w:val="0056622B"/>
    <w:rsid w:val="00570727"/>
    <w:rsid w:val="0057091D"/>
    <w:rsid w:val="00570A97"/>
    <w:rsid w:val="00573749"/>
    <w:rsid w:val="005745FA"/>
    <w:rsid w:val="00574CAD"/>
    <w:rsid w:val="0057510E"/>
    <w:rsid w:val="00575CD1"/>
    <w:rsid w:val="00576B3A"/>
    <w:rsid w:val="00576B82"/>
    <w:rsid w:val="00576F7E"/>
    <w:rsid w:val="0057731A"/>
    <w:rsid w:val="00580B3A"/>
    <w:rsid w:val="00580BAA"/>
    <w:rsid w:val="005827DC"/>
    <w:rsid w:val="00582F97"/>
    <w:rsid w:val="005831DF"/>
    <w:rsid w:val="00583778"/>
    <w:rsid w:val="005847DC"/>
    <w:rsid w:val="00584872"/>
    <w:rsid w:val="00585470"/>
    <w:rsid w:val="0058590F"/>
    <w:rsid w:val="005868E5"/>
    <w:rsid w:val="00586CF4"/>
    <w:rsid w:val="00587AC5"/>
    <w:rsid w:val="00587D3B"/>
    <w:rsid w:val="00587EE7"/>
    <w:rsid w:val="0059058E"/>
    <w:rsid w:val="005906DD"/>
    <w:rsid w:val="00590E8C"/>
    <w:rsid w:val="005915B3"/>
    <w:rsid w:val="00591C57"/>
    <w:rsid w:val="0059218F"/>
    <w:rsid w:val="00593867"/>
    <w:rsid w:val="00593CC3"/>
    <w:rsid w:val="00594E35"/>
    <w:rsid w:val="005954D6"/>
    <w:rsid w:val="0059783F"/>
    <w:rsid w:val="00597E20"/>
    <w:rsid w:val="005A03E4"/>
    <w:rsid w:val="005A10B1"/>
    <w:rsid w:val="005A19AB"/>
    <w:rsid w:val="005A1E4E"/>
    <w:rsid w:val="005A1EBC"/>
    <w:rsid w:val="005A1ED7"/>
    <w:rsid w:val="005A1FDC"/>
    <w:rsid w:val="005A209D"/>
    <w:rsid w:val="005A3138"/>
    <w:rsid w:val="005A3865"/>
    <w:rsid w:val="005A389D"/>
    <w:rsid w:val="005A4A9B"/>
    <w:rsid w:val="005A5675"/>
    <w:rsid w:val="005A57ED"/>
    <w:rsid w:val="005A6376"/>
    <w:rsid w:val="005A7E2E"/>
    <w:rsid w:val="005B2A16"/>
    <w:rsid w:val="005B2C4C"/>
    <w:rsid w:val="005B2CFA"/>
    <w:rsid w:val="005B3122"/>
    <w:rsid w:val="005B3EAE"/>
    <w:rsid w:val="005B4A28"/>
    <w:rsid w:val="005B4AEA"/>
    <w:rsid w:val="005B4D1F"/>
    <w:rsid w:val="005B53A5"/>
    <w:rsid w:val="005B647D"/>
    <w:rsid w:val="005B6672"/>
    <w:rsid w:val="005B66AE"/>
    <w:rsid w:val="005B69BE"/>
    <w:rsid w:val="005B6AC1"/>
    <w:rsid w:val="005B772F"/>
    <w:rsid w:val="005C0077"/>
    <w:rsid w:val="005C070F"/>
    <w:rsid w:val="005C0AC4"/>
    <w:rsid w:val="005C1227"/>
    <w:rsid w:val="005C151B"/>
    <w:rsid w:val="005C2902"/>
    <w:rsid w:val="005C3968"/>
    <w:rsid w:val="005C6178"/>
    <w:rsid w:val="005C6EA3"/>
    <w:rsid w:val="005C6F5B"/>
    <w:rsid w:val="005C766F"/>
    <w:rsid w:val="005C7787"/>
    <w:rsid w:val="005D0497"/>
    <w:rsid w:val="005D1D9F"/>
    <w:rsid w:val="005D1FF5"/>
    <w:rsid w:val="005D2477"/>
    <w:rsid w:val="005D2D43"/>
    <w:rsid w:val="005D30C8"/>
    <w:rsid w:val="005D3ADD"/>
    <w:rsid w:val="005D41A5"/>
    <w:rsid w:val="005D41DD"/>
    <w:rsid w:val="005D444B"/>
    <w:rsid w:val="005D4981"/>
    <w:rsid w:val="005D4B58"/>
    <w:rsid w:val="005D6118"/>
    <w:rsid w:val="005D62DA"/>
    <w:rsid w:val="005D64AA"/>
    <w:rsid w:val="005D6CD7"/>
    <w:rsid w:val="005D706C"/>
    <w:rsid w:val="005D7209"/>
    <w:rsid w:val="005D7981"/>
    <w:rsid w:val="005D7D4C"/>
    <w:rsid w:val="005E06A0"/>
    <w:rsid w:val="005E0A29"/>
    <w:rsid w:val="005E10E7"/>
    <w:rsid w:val="005E214D"/>
    <w:rsid w:val="005E2179"/>
    <w:rsid w:val="005E2AB7"/>
    <w:rsid w:val="005E3183"/>
    <w:rsid w:val="005E39FE"/>
    <w:rsid w:val="005E45E0"/>
    <w:rsid w:val="005E5140"/>
    <w:rsid w:val="005E566B"/>
    <w:rsid w:val="005E69A0"/>
    <w:rsid w:val="005E6CB3"/>
    <w:rsid w:val="005E6D8E"/>
    <w:rsid w:val="005E6DEF"/>
    <w:rsid w:val="005E6F9D"/>
    <w:rsid w:val="005E6FF1"/>
    <w:rsid w:val="005E7BC0"/>
    <w:rsid w:val="005F0A5B"/>
    <w:rsid w:val="005F15D9"/>
    <w:rsid w:val="005F1AE0"/>
    <w:rsid w:val="005F1D89"/>
    <w:rsid w:val="005F2262"/>
    <w:rsid w:val="005F25ED"/>
    <w:rsid w:val="005F2689"/>
    <w:rsid w:val="005F276B"/>
    <w:rsid w:val="005F2DAD"/>
    <w:rsid w:val="005F3303"/>
    <w:rsid w:val="005F43A8"/>
    <w:rsid w:val="005F4B18"/>
    <w:rsid w:val="005F4BDF"/>
    <w:rsid w:val="005F4C05"/>
    <w:rsid w:val="005F4F7E"/>
    <w:rsid w:val="005F4FE1"/>
    <w:rsid w:val="005F5CCE"/>
    <w:rsid w:val="005F62E6"/>
    <w:rsid w:val="005F69C2"/>
    <w:rsid w:val="005F6A0A"/>
    <w:rsid w:val="005F7218"/>
    <w:rsid w:val="00600305"/>
    <w:rsid w:val="00600528"/>
    <w:rsid w:val="00600623"/>
    <w:rsid w:val="0060129A"/>
    <w:rsid w:val="0060130F"/>
    <w:rsid w:val="00601A4B"/>
    <w:rsid w:val="006020FB"/>
    <w:rsid w:val="00602566"/>
    <w:rsid w:val="006026BC"/>
    <w:rsid w:val="00602F26"/>
    <w:rsid w:val="00603274"/>
    <w:rsid w:val="00603BF9"/>
    <w:rsid w:val="00604010"/>
    <w:rsid w:val="00604172"/>
    <w:rsid w:val="006052D1"/>
    <w:rsid w:val="00606621"/>
    <w:rsid w:val="00606CC6"/>
    <w:rsid w:val="00606F0C"/>
    <w:rsid w:val="0061038C"/>
    <w:rsid w:val="006103E3"/>
    <w:rsid w:val="006112FE"/>
    <w:rsid w:val="006114A3"/>
    <w:rsid w:val="006115C3"/>
    <w:rsid w:val="006119B2"/>
    <w:rsid w:val="00612147"/>
    <w:rsid w:val="0061252F"/>
    <w:rsid w:val="00612D19"/>
    <w:rsid w:val="0061369E"/>
    <w:rsid w:val="0061472E"/>
    <w:rsid w:val="0061477E"/>
    <w:rsid w:val="00616B71"/>
    <w:rsid w:val="00620135"/>
    <w:rsid w:val="00620AF2"/>
    <w:rsid w:val="00620C93"/>
    <w:rsid w:val="00621872"/>
    <w:rsid w:val="006218A4"/>
    <w:rsid w:val="00622859"/>
    <w:rsid w:val="00622B68"/>
    <w:rsid w:val="00623D5F"/>
    <w:rsid w:val="00624A76"/>
    <w:rsid w:val="00624EC4"/>
    <w:rsid w:val="006254D6"/>
    <w:rsid w:val="00625668"/>
    <w:rsid w:val="006258E6"/>
    <w:rsid w:val="00626664"/>
    <w:rsid w:val="00626917"/>
    <w:rsid w:val="0062765D"/>
    <w:rsid w:val="00630C10"/>
    <w:rsid w:val="00631002"/>
    <w:rsid w:val="00631135"/>
    <w:rsid w:val="00631EC6"/>
    <w:rsid w:val="00632165"/>
    <w:rsid w:val="00632DBB"/>
    <w:rsid w:val="00632E40"/>
    <w:rsid w:val="00633586"/>
    <w:rsid w:val="0063552A"/>
    <w:rsid w:val="00635769"/>
    <w:rsid w:val="00635A57"/>
    <w:rsid w:val="006362BA"/>
    <w:rsid w:val="0063699C"/>
    <w:rsid w:val="00636A55"/>
    <w:rsid w:val="00636B42"/>
    <w:rsid w:val="00636F38"/>
    <w:rsid w:val="00637174"/>
    <w:rsid w:val="00637C60"/>
    <w:rsid w:val="00640153"/>
    <w:rsid w:val="006404EB"/>
    <w:rsid w:val="00640E4A"/>
    <w:rsid w:val="00641D8F"/>
    <w:rsid w:val="006421B9"/>
    <w:rsid w:val="00642560"/>
    <w:rsid w:val="00642E0D"/>
    <w:rsid w:val="006439B9"/>
    <w:rsid w:val="00643C55"/>
    <w:rsid w:val="00644494"/>
    <w:rsid w:val="00644C1A"/>
    <w:rsid w:val="00646747"/>
    <w:rsid w:val="00646B73"/>
    <w:rsid w:val="00646F58"/>
    <w:rsid w:val="006472EC"/>
    <w:rsid w:val="006512D0"/>
    <w:rsid w:val="00651731"/>
    <w:rsid w:val="00652794"/>
    <w:rsid w:val="00652B91"/>
    <w:rsid w:val="00652DA0"/>
    <w:rsid w:val="00653AD7"/>
    <w:rsid w:val="00655A18"/>
    <w:rsid w:val="00657488"/>
    <w:rsid w:val="006616A4"/>
    <w:rsid w:val="00661F9D"/>
    <w:rsid w:val="00663AAD"/>
    <w:rsid w:val="00665C89"/>
    <w:rsid w:val="00665CFB"/>
    <w:rsid w:val="0066732B"/>
    <w:rsid w:val="00671023"/>
    <w:rsid w:val="0067118F"/>
    <w:rsid w:val="00671BA1"/>
    <w:rsid w:val="0067468D"/>
    <w:rsid w:val="0067484E"/>
    <w:rsid w:val="00674877"/>
    <w:rsid w:val="00675368"/>
    <w:rsid w:val="006753F3"/>
    <w:rsid w:val="006756CC"/>
    <w:rsid w:val="006762C8"/>
    <w:rsid w:val="00676AB2"/>
    <w:rsid w:val="00677870"/>
    <w:rsid w:val="00677912"/>
    <w:rsid w:val="00677E53"/>
    <w:rsid w:val="00677E83"/>
    <w:rsid w:val="006800E6"/>
    <w:rsid w:val="00680FDD"/>
    <w:rsid w:val="006810BC"/>
    <w:rsid w:val="00681125"/>
    <w:rsid w:val="00681895"/>
    <w:rsid w:val="00681E90"/>
    <w:rsid w:val="006823A0"/>
    <w:rsid w:val="0068339F"/>
    <w:rsid w:val="0068368F"/>
    <w:rsid w:val="00683B0F"/>
    <w:rsid w:val="00683EF1"/>
    <w:rsid w:val="00683F43"/>
    <w:rsid w:val="00684F60"/>
    <w:rsid w:val="00686D24"/>
    <w:rsid w:val="006870A6"/>
    <w:rsid w:val="0068791A"/>
    <w:rsid w:val="00687920"/>
    <w:rsid w:val="00690F12"/>
    <w:rsid w:val="00691708"/>
    <w:rsid w:val="00691D4D"/>
    <w:rsid w:val="006920DF"/>
    <w:rsid w:val="00692C7F"/>
    <w:rsid w:val="006950CB"/>
    <w:rsid w:val="0069522D"/>
    <w:rsid w:val="0069544A"/>
    <w:rsid w:val="00695866"/>
    <w:rsid w:val="006958FC"/>
    <w:rsid w:val="006960BA"/>
    <w:rsid w:val="00697250"/>
    <w:rsid w:val="006977C6"/>
    <w:rsid w:val="006A02B1"/>
    <w:rsid w:val="006A0AD6"/>
    <w:rsid w:val="006A0BA9"/>
    <w:rsid w:val="006A0F4B"/>
    <w:rsid w:val="006A1B93"/>
    <w:rsid w:val="006A2FF0"/>
    <w:rsid w:val="006A4C3C"/>
    <w:rsid w:val="006A7454"/>
    <w:rsid w:val="006A7F92"/>
    <w:rsid w:val="006B07A3"/>
    <w:rsid w:val="006B0BB7"/>
    <w:rsid w:val="006B0C36"/>
    <w:rsid w:val="006B2113"/>
    <w:rsid w:val="006B2164"/>
    <w:rsid w:val="006B21DB"/>
    <w:rsid w:val="006B399B"/>
    <w:rsid w:val="006B45F3"/>
    <w:rsid w:val="006B4C62"/>
    <w:rsid w:val="006B556B"/>
    <w:rsid w:val="006B6283"/>
    <w:rsid w:val="006C00E4"/>
    <w:rsid w:val="006C040A"/>
    <w:rsid w:val="006C26DC"/>
    <w:rsid w:val="006C32FD"/>
    <w:rsid w:val="006C3548"/>
    <w:rsid w:val="006C4312"/>
    <w:rsid w:val="006C475B"/>
    <w:rsid w:val="006C4E24"/>
    <w:rsid w:val="006C519B"/>
    <w:rsid w:val="006C5561"/>
    <w:rsid w:val="006C5889"/>
    <w:rsid w:val="006C60C2"/>
    <w:rsid w:val="006C60E2"/>
    <w:rsid w:val="006C69DE"/>
    <w:rsid w:val="006C74CE"/>
    <w:rsid w:val="006D014F"/>
    <w:rsid w:val="006D025E"/>
    <w:rsid w:val="006D16A8"/>
    <w:rsid w:val="006D4B19"/>
    <w:rsid w:val="006D4DD8"/>
    <w:rsid w:val="006D4FB1"/>
    <w:rsid w:val="006D6167"/>
    <w:rsid w:val="006D7430"/>
    <w:rsid w:val="006D7C84"/>
    <w:rsid w:val="006E0B7A"/>
    <w:rsid w:val="006E214D"/>
    <w:rsid w:val="006E32C3"/>
    <w:rsid w:val="006E416B"/>
    <w:rsid w:val="006E4C06"/>
    <w:rsid w:val="006E5137"/>
    <w:rsid w:val="006E5409"/>
    <w:rsid w:val="006E5D16"/>
    <w:rsid w:val="006E61B2"/>
    <w:rsid w:val="006F134C"/>
    <w:rsid w:val="006F16DB"/>
    <w:rsid w:val="006F2550"/>
    <w:rsid w:val="006F38BA"/>
    <w:rsid w:val="006F489E"/>
    <w:rsid w:val="006F49BF"/>
    <w:rsid w:val="006F6BFB"/>
    <w:rsid w:val="006F6FA2"/>
    <w:rsid w:val="006F755C"/>
    <w:rsid w:val="00702F22"/>
    <w:rsid w:val="0070370C"/>
    <w:rsid w:val="00703CA8"/>
    <w:rsid w:val="0070472E"/>
    <w:rsid w:val="007059F8"/>
    <w:rsid w:val="00705DE3"/>
    <w:rsid w:val="0070643A"/>
    <w:rsid w:val="00706809"/>
    <w:rsid w:val="00707DB4"/>
    <w:rsid w:val="007109C6"/>
    <w:rsid w:val="00710C11"/>
    <w:rsid w:val="00711160"/>
    <w:rsid w:val="007126EE"/>
    <w:rsid w:val="0071280D"/>
    <w:rsid w:val="00713400"/>
    <w:rsid w:val="007135DA"/>
    <w:rsid w:val="007149D4"/>
    <w:rsid w:val="0071561A"/>
    <w:rsid w:val="00715F2E"/>
    <w:rsid w:val="00716AB9"/>
    <w:rsid w:val="007176F2"/>
    <w:rsid w:val="00717CBC"/>
    <w:rsid w:val="0072007F"/>
    <w:rsid w:val="007201C3"/>
    <w:rsid w:val="00721044"/>
    <w:rsid w:val="007221FE"/>
    <w:rsid w:val="00724756"/>
    <w:rsid w:val="00724E9A"/>
    <w:rsid w:val="007250D3"/>
    <w:rsid w:val="007253DA"/>
    <w:rsid w:val="00725EDA"/>
    <w:rsid w:val="0072617C"/>
    <w:rsid w:val="00726FDF"/>
    <w:rsid w:val="00726FED"/>
    <w:rsid w:val="0073176F"/>
    <w:rsid w:val="00731946"/>
    <w:rsid w:val="00732875"/>
    <w:rsid w:val="00732921"/>
    <w:rsid w:val="00733980"/>
    <w:rsid w:val="00733E0E"/>
    <w:rsid w:val="00734176"/>
    <w:rsid w:val="00734959"/>
    <w:rsid w:val="0073540A"/>
    <w:rsid w:val="00735D91"/>
    <w:rsid w:val="0073600B"/>
    <w:rsid w:val="0073652A"/>
    <w:rsid w:val="0073763F"/>
    <w:rsid w:val="00740C1E"/>
    <w:rsid w:val="00741482"/>
    <w:rsid w:val="00741F6C"/>
    <w:rsid w:val="007420D9"/>
    <w:rsid w:val="0074212B"/>
    <w:rsid w:val="0074228B"/>
    <w:rsid w:val="0074237A"/>
    <w:rsid w:val="00742426"/>
    <w:rsid w:val="007424CB"/>
    <w:rsid w:val="00742885"/>
    <w:rsid w:val="00744671"/>
    <w:rsid w:val="007460B5"/>
    <w:rsid w:val="0074662D"/>
    <w:rsid w:val="00746FBD"/>
    <w:rsid w:val="00747F28"/>
    <w:rsid w:val="00750662"/>
    <w:rsid w:val="00752F0F"/>
    <w:rsid w:val="007530EA"/>
    <w:rsid w:val="00753C3D"/>
    <w:rsid w:val="00753D7C"/>
    <w:rsid w:val="007605CE"/>
    <w:rsid w:val="0076103E"/>
    <w:rsid w:val="0076108A"/>
    <w:rsid w:val="0076131A"/>
    <w:rsid w:val="00761B08"/>
    <w:rsid w:val="00761B34"/>
    <w:rsid w:val="00761D8C"/>
    <w:rsid w:val="007633A7"/>
    <w:rsid w:val="007635C7"/>
    <w:rsid w:val="007636B6"/>
    <w:rsid w:val="00765415"/>
    <w:rsid w:val="00766A5A"/>
    <w:rsid w:val="00766C99"/>
    <w:rsid w:val="00767083"/>
    <w:rsid w:val="0077087C"/>
    <w:rsid w:val="007710F2"/>
    <w:rsid w:val="007716C1"/>
    <w:rsid w:val="00772431"/>
    <w:rsid w:val="007724A4"/>
    <w:rsid w:val="00772DA3"/>
    <w:rsid w:val="0077302A"/>
    <w:rsid w:val="00773FBB"/>
    <w:rsid w:val="0077440E"/>
    <w:rsid w:val="00774A1F"/>
    <w:rsid w:val="007765D1"/>
    <w:rsid w:val="00776825"/>
    <w:rsid w:val="00776EEF"/>
    <w:rsid w:val="00777414"/>
    <w:rsid w:val="00777DE9"/>
    <w:rsid w:val="00781343"/>
    <w:rsid w:val="00781BEA"/>
    <w:rsid w:val="00781F89"/>
    <w:rsid w:val="00782C79"/>
    <w:rsid w:val="00783A76"/>
    <w:rsid w:val="00783E03"/>
    <w:rsid w:val="00783ED3"/>
    <w:rsid w:val="007859FA"/>
    <w:rsid w:val="00785CBF"/>
    <w:rsid w:val="00785D78"/>
    <w:rsid w:val="007861EF"/>
    <w:rsid w:val="007864B8"/>
    <w:rsid w:val="00786770"/>
    <w:rsid w:val="00787171"/>
    <w:rsid w:val="00787C0D"/>
    <w:rsid w:val="00790197"/>
    <w:rsid w:val="00790739"/>
    <w:rsid w:val="00791C73"/>
    <w:rsid w:val="00792419"/>
    <w:rsid w:val="007933C6"/>
    <w:rsid w:val="007952FE"/>
    <w:rsid w:val="007953CE"/>
    <w:rsid w:val="00795A5D"/>
    <w:rsid w:val="0079691A"/>
    <w:rsid w:val="00796986"/>
    <w:rsid w:val="00796D0B"/>
    <w:rsid w:val="007973D1"/>
    <w:rsid w:val="00797B9B"/>
    <w:rsid w:val="007A04D2"/>
    <w:rsid w:val="007A0D5B"/>
    <w:rsid w:val="007A119B"/>
    <w:rsid w:val="007A12D1"/>
    <w:rsid w:val="007A34AA"/>
    <w:rsid w:val="007A37F1"/>
    <w:rsid w:val="007A461A"/>
    <w:rsid w:val="007A49A0"/>
    <w:rsid w:val="007A4CBC"/>
    <w:rsid w:val="007A4EC9"/>
    <w:rsid w:val="007A5134"/>
    <w:rsid w:val="007A5414"/>
    <w:rsid w:val="007A6BC3"/>
    <w:rsid w:val="007A7B9A"/>
    <w:rsid w:val="007A7CBE"/>
    <w:rsid w:val="007B0C67"/>
    <w:rsid w:val="007B2088"/>
    <w:rsid w:val="007B20DA"/>
    <w:rsid w:val="007B28B1"/>
    <w:rsid w:val="007B2E82"/>
    <w:rsid w:val="007B3150"/>
    <w:rsid w:val="007B33EB"/>
    <w:rsid w:val="007B4049"/>
    <w:rsid w:val="007B4C5C"/>
    <w:rsid w:val="007B4ED0"/>
    <w:rsid w:val="007B53E6"/>
    <w:rsid w:val="007B5CA5"/>
    <w:rsid w:val="007B7010"/>
    <w:rsid w:val="007B7B0D"/>
    <w:rsid w:val="007C013E"/>
    <w:rsid w:val="007C084D"/>
    <w:rsid w:val="007C0BAC"/>
    <w:rsid w:val="007C14FC"/>
    <w:rsid w:val="007C1E76"/>
    <w:rsid w:val="007C39C0"/>
    <w:rsid w:val="007C3A36"/>
    <w:rsid w:val="007C3F01"/>
    <w:rsid w:val="007C4580"/>
    <w:rsid w:val="007C69CB"/>
    <w:rsid w:val="007C717F"/>
    <w:rsid w:val="007C7444"/>
    <w:rsid w:val="007C78B2"/>
    <w:rsid w:val="007C795B"/>
    <w:rsid w:val="007D1D40"/>
    <w:rsid w:val="007D2074"/>
    <w:rsid w:val="007D2AE0"/>
    <w:rsid w:val="007D303C"/>
    <w:rsid w:val="007D319A"/>
    <w:rsid w:val="007D3692"/>
    <w:rsid w:val="007D39F1"/>
    <w:rsid w:val="007D3AE5"/>
    <w:rsid w:val="007D3B48"/>
    <w:rsid w:val="007D3DB0"/>
    <w:rsid w:val="007D459C"/>
    <w:rsid w:val="007D4633"/>
    <w:rsid w:val="007D4697"/>
    <w:rsid w:val="007D4E78"/>
    <w:rsid w:val="007D4EFC"/>
    <w:rsid w:val="007D51BC"/>
    <w:rsid w:val="007D5D7D"/>
    <w:rsid w:val="007D691E"/>
    <w:rsid w:val="007D696C"/>
    <w:rsid w:val="007D6E8D"/>
    <w:rsid w:val="007D6F64"/>
    <w:rsid w:val="007E0007"/>
    <w:rsid w:val="007E1AE3"/>
    <w:rsid w:val="007E2953"/>
    <w:rsid w:val="007E2B1D"/>
    <w:rsid w:val="007E4F0C"/>
    <w:rsid w:val="007E5AA2"/>
    <w:rsid w:val="007E5B7E"/>
    <w:rsid w:val="007E69BF"/>
    <w:rsid w:val="007E6A9C"/>
    <w:rsid w:val="007E790F"/>
    <w:rsid w:val="007F0E30"/>
    <w:rsid w:val="007F2CAF"/>
    <w:rsid w:val="007F3581"/>
    <w:rsid w:val="007F3E15"/>
    <w:rsid w:val="007F4456"/>
    <w:rsid w:val="007F4A05"/>
    <w:rsid w:val="007F4BC3"/>
    <w:rsid w:val="007F4D34"/>
    <w:rsid w:val="007F582F"/>
    <w:rsid w:val="007F5D3C"/>
    <w:rsid w:val="007F6811"/>
    <w:rsid w:val="007F78AE"/>
    <w:rsid w:val="007F79C5"/>
    <w:rsid w:val="007F7CE1"/>
    <w:rsid w:val="00800263"/>
    <w:rsid w:val="008004ED"/>
    <w:rsid w:val="00800504"/>
    <w:rsid w:val="008009A8"/>
    <w:rsid w:val="00800D0D"/>
    <w:rsid w:val="00801C9E"/>
    <w:rsid w:val="00801D99"/>
    <w:rsid w:val="0080234C"/>
    <w:rsid w:val="0080302E"/>
    <w:rsid w:val="00803454"/>
    <w:rsid w:val="008041F6"/>
    <w:rsid w:val="00804F85"/>
    <w:rsid w:val="00805360"/>
    <w:rsid w:val="008058F5"/>
    <w:rsid w:val="008065C2"/>
    <w:rsid w:val="008069F1"/>
    <w:rsid w:val="00807D3E"/>
    <w:rsid w:val="00810C56"/>
    <w:rsid w:val="00811547"/>
    <w:rsid w:val="0081188F"/>
    <w:rsid w:val="00813A00"/>
    <w:rsid w:val="00815221"/>
    <w:rsid w:val="008156B3"/>
    <w:rsid w:val="008160DE"/>
    <w:rsid w:val="00817337"/>
    <w:rsid w:val="00817AEE"/>
    <w:rsid w:val="008204EC"/>
    <w:rsid w:val="00820E88"/>
    <w:rsid w:val="00821518"/>
    <w:rsid w:val="00822066"/>
    <w:rsid w:val="00822E19"/>
    <w:rsid w:val="008235D2"/>
    <w:rsid w:val="008237D5"/>
    <w:rsid w:val="0082436D"/>
    <w:rsid w:val="008255CA"/>
    <w:rsid w:val="00825B4A"/>
    <w:rsid w:val="00825B4C"/>
    <w:rsid w:val="00825E27"/>
    <w:rsid w:val="008300DC"/>
    <w:rsid w:val="008305A4"/>
    <w:rsid w:val="00830A03"/>
    <w:rsid w:val="00831B54"/>
    <w:rsid w:val="00831C24"/>
    <w:rsid w:val="008325CC"/>
    <w:rsid w:val="0083295F"/>
    <w:rsid w:val="00833021"/>
    <w:rsid w:val="00834F13"/>
    <w:rsid w:val="008357C5"/>
    <w:rsid w:val="00835912"/>
    <w:rsid w:val="00835CD5"/>
    <w:rsid w:val="0083608E"/>
    <w:rsid w:val="008368E5"/>
    <w:rsid w:val="0083696E"/>
    <w:rsid w:val="00836FEA"/>
    <w:rsid w:val="008407AD"/>
    <w:rsid w:val="00841944"/>
    <w:rsid w:val="008419E3"/>
    <w:rsid w:val="00841B2D"/>
    <w:rsid w:val="00841CA2"/>
    <w:rsid w:val="008421F3"/>
    <w:rsid w:val="008435A2"/>
    <w:rsid w:val="00843906"/>
    <w:rsid w:val="00843998"/>
    <w:rsid w:val="00845901"/>
    <w:rsid w:val="00845D5F"/>
    <w:rsid w:val="00846368"/>
    <w:rsid w:val="0084751D"/>
    <w:rsid w:val="00847A3E"/>
    <w:rsid w:val="00850216"/>
    <w:rsid w:val="008507C4"/>
    <w:rsid w:val="008519D6"/>
    <w:rsid w:val="008521F6"/>
    <w:rsid w:val="00852758"/>
    <w:rsid w:val="00852D83"/>
    <w:rsid w:val="00853489"/>
    <w:rsid w:val="00853D1F"/>
    <w:rsid w:val="00853EA4"/>
    <w:rsid w:val="0085532C"/>
    <w:rsid w:val="00855694"/>
    <w:rsid w:val="008562F9"/>
    <w:rsid w:val="00856D3A"/>
    <w:rsid w:val="00856FBD"/>
    <w:rsid w:val="00860DEA"/>
    <w:rsid w:val="00861044"/>
    <w:rsid w:val="00861BB6"/>
    <w:rsid w:val="00861FCB"/>
    <w:rsid w:val="00862440"/>
    <w:rsid w:val="0086267C"/>
    <w:rsid w:val="0086291C"/>
    <w:rsid w:val="00862E82"/>
    <w:rsid w:val="00863A6C"/>
    <w:rsid w:val="00864051"/>
    <w:rsid w:val="00864835"/>
    <w:rsid w:val="00865852"/>
    <w:rsid w:val="00865C15"/>
    <w:rsid w:val="00865F03"/>
    <w:rsid w:val="0086620A"/>
    <w:rsid w:val="00866A61"/>
    <w:rsid w:val="00866DBD"/>
    <w:rsid w:val="008670DC"/>
    <w:rsid w:val="00870068"/>
    <w:rsid w:val="008705BD"/>
    <w:rsid w:val="00870762"/>
    <w:rsid w:val="00870AFC"/>
    <w:rsid w:val="008713E6"/>
    <w:rsid w:val="00871D8B"/>
    <w:rsid w:val="0087371E"/>
    <w:rsid w:val="008748F5"/>
    <w:rsid w:val="0087557E"/>
    <w:rsid w:val="0087561D"/>
    <w:rsid w:val="00876A89"/>
    <w:rsid w:val="00876D0D"/>
    <w:rsid w:val="00877C6F"/>
    <w:rsid w:val="00877D94"/>
    <w:rsid w:val="00880875"/>
    <w:rsid w:val="00882D62"/>
    <w:rsid w:val="00883474"/>
    <w:rsid w:val="008844EB"/>
    <w:rsid w:val="008847F9"/>
    <w:rsid w:val="00884D45"/>
    <w:rsid w:val="008852EA"/>
    <w:rsid w:val="00885B28"/>
    <w:rsid w:val="00885E5D"/>
    <w:rsid w:val="008861C1"/>
    <w:rsid w:val="008867B3"/>
    <w:rsid w:val="00886F0D"/>
    <w:rsid w:val="00887124"/>
    <w:rsid w:val="008872FE"/>
    <w:rsid w:val="008903F0"/>
    <w:rsid w:val="00890F90"/>
    <w:rsid w:val="00892588"/>
    <w:rsid w:val="00892CE6"/>
    <w:rsid w:val="00893457"/>
    <w:rsid w:val="00893F08"/>
    <w:rsid w:val="00894FCA"/>
    <w:rsid w:val="00895A1E"/>
    <w:rsid w:val="00895FE1"/>
    <w:rsid w:val="008A051B"/>
    <w:rsid w:val="008A1984"/>
    <w:rsid w:val="008A1C11"/>
    <w:rsid w:val="008A2505"/>
    <w:rsid w:val="008A2B50"/>
    <w:rsid w:val="008A2FFE"/>
    <w:rsid w:val="008A3860"/>
    <w:rsid w:val="008A4C9D"/>
    <w:rsid w:val="008A5560"/>
    <w:rsid w:val="008A597D"/>
    <w:rsid w:val="008A5F6C"/>
    <w:rsid w:val="008A6BE0"/>
    <w:rsid w:val="008A6DA8"/>
    <w:rsid w:val="008A7618"/>
    <w:rsid w:val="008A7E1E"/>
    <w:rsid w:val="008A7EF8"/>
    <w:rsid w:val="008B1C22"/>
    <w:rsid w:val="008B1E86"/>
    <w:rsid w:val="008B20FB"/>
    <w:rsid w:val="008B236B"/>
    <w:rsid w:val="008B2AEE"/>
    <w:rsid w:val="008B31C1"/>
    <w:rsid w:val="008B3F89"/>
    <w:rsid w:val="008B3FCC"/>
    <w:rsid w:val="008B4767"/>
    <w:rsid w:val="008B497B"/>
    <w:rsid w:val="008B5EBD"/>
    <w:rsid w:val="008B7512"/>
    <w:rsid w:val="008B7991"/>
    <w:rsid w:val="008B7DB9"/>
    <w:rsid w:val="008C131D"/>
    <w:rsid w:val="008C18A8"/>
    <w:rsid w:val="008C3A5B"/>
    <w:rsid w:val="008C3C00"/>
    <w:rsid w:val="008C4067"/>
    <w:rsid w:val="008C47D4"/>
    <w:rsid w:val="008C5192"/>
    <w:rsid w:val="008C56AE"/>
    <w:rsid w:val="008C5881"/>
    <w:rsid w:val="008C6379"/>
    <w:rsid w:val="008C641A"/>
    <w:rsid w:val="008C751C"/>
    <w:rsid w:val="008C77F4"/>
    <w:rsid w:val="008D00AE"/>
    <w:rsid w:val="008D017A"/>
    <w:rsid w:val="008D07F7"/>
    <w:rsid w:val="008D16DD"/>
    <w:rsid w:val="008D1B6B"/>
    <w:rsid w:val="008D1B8C"/>
    <w:rsid w:val="008D1FD9"/>
    <w:rsid w:val="008D2217"/>
    <w:rsid w:val="008D23AC"/>
    <w:rsid w:val="008D262C"/>
    <w:rsid w:val="008D3ABC"/>
    <w:rsid w:val="008D4399"/>
    <w:rsid w:val="008D4C21"/>
    <w:rsid w:val="008D5DFC"/>
    <w:rsid w:val="008D5F4B"/>
    <w:rsid w:val="008D6752"/>
    <w:rsid w:val="008D71D5"/>
    <w:rsid w:val="008E07A2"/>
    <w:rsid w:val="008E32DC"/>
    <w:rsid w:val="008E357A"/>
    <w:rsid w:val="008E478E"/>
    <w:rsid w:val="008E5C3A"/>
    <w:rsid w:val="008E642F"/>
    <w:rsid w:val="008E76AA"/>
    <w:rsid w:val="008F122C"/>
    <w:rsid w:val="008F1C54"/>
    <w:rsid w:val="008F218D"/>
    <w:rsid w:val="008F21A5"/>
    <w:rsid w:val="008F23F4"/>
    <w:rsid w:val="008F3611"/>
    <w:rsid w:val="008F3FED"/>
    <w:rsid w:val="008F5081"/>
    <w:rsid w:val="008F52F5"/>
    <w:rsid w:val="008F5A32"/>
    <w:rsid w:val="009002D4"/>
    <w:rsid w:val="00900D77"/>
    <w:rsid w:val="009016B8"/>
    <w:rsid w:val="00901ABD"/>
    <w:rsid w:val="00901D29"/>
    <w:rsid w:val="00901DE6"/>
    <w:rsid w:val="009026F7"/>
    <w:rsid w:val="00902BE4"/>
    <w:rsid w:val="00902C23"/>
    <w:rsid w:val="0090311F"/>
    <w:rsid w:val="009043D6"/>
    <w:rsid w:val="0090442A"/>
    <w:rsid w:val="009044EF"/>
    <w:rsid w:val="00904987"/>
    <w:rsid w:val="00904ABE"/>
    <w:rsid w:val="009053A2"/>
    <w:rsid w:val="009057F6"/>
    <w:rsid w:val="0090595C"/>
    <w:rsid w:val="009063B8"/>
    <w:rsid w:val="009063DE"/>
    <w:rsid w:val="0091045B"/>
    <w:rsid w:val="00911593"/>
    <w:rsid w:val="00911996"/>
    <w:rsid w:val="009129DF"/>
    <w:rsid w:val="00912A8E"/>
    <w:rsid w:val="00912B1A"/>
    <w:rsid w:val="0091309E"/>
    <w:rsid w:val="00914AEA"/>
    <w:rsid w:val="00915A72"/>
    <w:rsid w:val="00915AD3"/>
    <w:rsid w:val="00915B34"/>
    <w:rsid w:val="00916302"/>
    <w:rsid w:val="009170D1"/>
    <w:rsid w:val="00917E61"/>
    <w:rsid w:val="0092163A"/>
    <w:rsid w:val="009217CB"/>
    <w:rsid w:val="00922BC1"/>
    <w:rsid w:val="009230B5"/>
    <w:rsid w:val="0092522E"/>
    <w:rsid w:val="009253A1"/>
    <w:rsid w:val="00926B66"/>
    <w:rsid w:val="00927637"/>
    <w:rsid w:val="00930E8F"/>
    <w:rsid w:val="00931987"/>
    <w:rsid w:val="00934645"/>
    <w:rsid w:val="0093494C"/>
    <w:rsid w:val="0093511D"/>
    <w:rsid w:val="0093617C"/>
    <w:rsid w:val="00936A2A"/>
    <w:rsid w:val="009370C2"/>
    <w:rsid w:val="009400E8"/>
    <w:rsid w:val="00940408"/>
    <w:rsid w:val="009405E4"/>
    <w:rsid w:val="0094072E"/>
    <w:rsid w:val="00941175"/>
    <w:rsid w:val="009422B7"/>
    <w:rsid w:val="009424F9"/>
    <w:rsid w:val="00942642"/>
    <w:rsid w:val="009439E3"/>
    <w:rsid w:val="00943AC8"/>
    <w:rsid w:val="00943AE6"/>
    <w:rsid w:val="00943BFB"/>
    <w:rsid w:val="00943C70"/>
    <w:rsid w:val="00944EDE"/>
    <w:rsid w:val="009457BE"/>
    <w:rsid w:val="009467F4"/>
    <w:rsid w:val="00947696"/>
    <w:rsid w:val="009476C7"/>
    <w:rsid w:val="00947E9B"/>
    <w:rsid w:val="00951026"/>
    <w:rsid w:val="00951243"/>
    <w:rsid w:val="00952B6C"/>
    <w:rsid w:val="00952E27"/>
    <w:rsid w:val="00953D3A"/>
    <w:rsid w:val="009545F7"/>
    <w:rsid w:val="00956E46"/>
    <w:rsid w:val="0095721D"/>
    <w:rsid w:val="0095796B"/>
    <w:rsid w:val="00957A5F"/>
    <w:rsid w:val="00957E32"/>
    <w:rsid w:val="00960282"/>
    <w:rsid w:val="009606D0"/>
    <w:rsid w:val="0096151D"/>
    <w:rsid w:val="009615E3"/>
    <w:rsid w:val="00961A67"/>
    <w:rsid w:val="00962D5C"/>
    <w:rsid w:val="009631DE"/>
    <w:rsid w:val="0096348B"/>
    <w:rsid w:val="00963D54"/>
    <w:rsid w:val="0096450E"/>
    <w:rsid w:val="00964D4F"/>
    <w:rsid w:val="009651B9"/>
    <w:rsid w:val="009651BB"/>
    <w:rsid w:val="00965AE2"/>
    <w:rsid w:val="00966971"/>
    <w:rsid w:val="00966B26"/>
    <w:rsid w:val="009703B8"/>
    <w:rsid w:val="009707DF"/>
    <w:rsid w:val="00971536"/>
    <w:rsid w:val="00971CA7"/>
    <w:rsid w:val="00971F56"/>
    <w:rsid w:val="00972321"/>
    <w:rsid w:val="00972F3C"/>
    <w:rsid w:val="009733A5"/>
    <w:rsid w:val="0097354E"/>
    <w:rsid w:val="00973FA9"/>
    <w:rsid w:val="009748CB"/>
    <w:rsid w:val="00976258"/>
    <w:rsid w:val="0097711B"/>
    <w:rsid w:val="0098011B"/>
    <w:rsid w:val="00981E47"/>
    <w:rsid w:val="0098326D"/>
    <w:rsid w:val="00984B7D"/>
    <w:rsid w:val="00985169"/>
    <w:rsid w:val="0098614B"/>
    <w:rsid w:val="009864EF"/>
    <w:rsid w:val="00986B71"/>
    <w:rsid w:val="009871CC"/>
    <w:rsid w:val="0099060C"/>
    <w:rsid w:val="0099062E"/>
    <w:rsid w:val="00990B83"/>
    <w:rsid w:val="0099104C"/>
    <w:rsid w:val="00991A4D"/>
    <w:rsid w:val="009924E4"/>
    <w:rsid w:val="009925AD"/>
    <w:rsid w:val="00992708"/>
    <w:rsid w:val="0099294D"/>
    <w:rsid w:val="00992AD1"/>
    <w:rsid w:val="00992B7B"/>
    <w:rsid w:val="00992BE1"/>
    <w:rsid w:val="009934D9"/>
    <w:rsid w:val="009938E6"/>
    <w:rsid w:val="00993C7F"/>
    <w:rsid w:val="009953CA"/>
    <w:rsid w:val="0099615C"/>
    <w:rsid w:val="009966EF"/>
    <w:rsid w:val="009970E3"/>
    <w:rsid w:val="0099728A"/>
    <w:rsid w:val="00997BDB"/>
    <w:rsid w:val="009A052F"/>
    <w:rsid w:val="009A0A45"/>
    <w:rsid w:val="009A0BF8"/>
    <w:rsid w:val="009A0D15"/>
    <w:rsid w:val="009A0EFD"/>
    <w:rsid w:val="009A1FC7"/>
    <w:rsid w:val="009A2E3F"/>
    <w:rsid w:val="009A39D4"/>
    <w:rsid w:val="009A3CFD"/>
    <w:rsid w:val="009A41E6"/>
    <w:rsid w:val="009A4244"/>
    <w:rsid w:val="009A4835"/>
    <w:rsid w:val="009A522D"/>
    <w:rsid w:val="009A5CA1"/>
    <w:rsid w:val="009A61CC"/>
    <w:rsid w:val="009A6848"/>
    <w:rsid w:val="009B0AFC"/>
    <w:rsid w:val="009B1B32"/>
    <w:rsid w:val="009B2063"/>
    <w:rsid w:val="009B30BE"/>
    <w:rsid w:val="009B3279"/>
    <w:rsid w:val="009B45BA"/>
    <w:rsid w:val="009B46C2"/>
    <w:rsid w:val="009B5881"/>
    <w:rsid w:val="009B65E7"/>
    <w:rsid w:val="009C09E0"/>
    <w:rsid w:val="009C12B8"/>
    <w:rsid w:val="009C16CF"/>
    <w:rsid w:val="009C329D"/>
    <w:rsid w:val="009C4B3F"/>
    <w:rsid w:val="009C5492"/>
    <w:rsid w:val="009C56E7"/>
    <w:rsid w:val="009C72FF"/>
    <w:rsid w:val="009C7873"/>
    <w:rsid w:val="009C7D43"/>
    <w:rsid w:val="009D0487"/>
    <w:rsid w:val="009D0C4B"/>
    <w:rsid w:val="009D1515"/>
    <w:rsid w:val="009D229F"/>
    <w:rsid w:val="009D2399"/>
    <w:rsid w:val="009D38EA"/>
    <w:rsid w:val="009D47D8"/>
    <w:rsid w:val="009D5178"/>
    <w:rsid w:val="009D56C0"/>
    <w:rsid w:val="009D5BD8"/>
    <w:rsid w:val="009D73A9"/>
    <w:rsid w:val="009D761F"/>
    <w:rsid w:val="009E0BEA"/>
    <w:rsid w:val="009E0D4B"/>
    <w:rsid w:val="009E108D"/>
    <w:rsid w:val="009E1E0D"/>
    <w:rsid w:val="009E2AB8"/>
    <w:rsid w:val="009E3372"/>
    <w:rsid w:val="009E3D40"/>
    <w:rsid w:val="009E4378"/>
    <w:rsid w:val="009E49F3"/>
    <w:rsid w:val="009E4DF7"/>
    <w:rsid w:val="009E57A9"/>
    <w:rsid w:val="009E5C72"/>
    <w:rsid w:val="009E6273"/>
    <w:rsid w:val="009E6D70"/>
    <w:rsid w:val="009E6F9D"/>
    <w:rsid w:val="009E786C"/>
    <w:rsid w:val="009E7FCC"/>
    <w:rsid w:val="009F0149"/>
    <w:rsid w:val="009F0AB0"/>
    <w:rsid w:val="009F0C24"/>
    <w:rsid w:val="009F0D10"/>
    <w:rsid w:val="009F0EBC"/>
    <w:rsid w:val="009F0FAA"/>
    <w:rsid w:val="009F3427"/>
    <w:rsid w:val="009F3D52"/>
    <w:rsid w:val="009F4085"/>
    <w:rsid w:val="009F43A7"/>
    <w:rsid w:val="009F535A"/>
    <w:rsid w:val="009F7EC9"/>
    <w:rsid w:val="00A00650"/>
    <w:rsid w:val="00A00F9F"/>
    <w:rsid w:val="00A03A9D"/>
    <w:rsid w:val="00A03F89"/>
    <w:rsid w:val="00A03FEB"/>
    <w:rsid w:val="00A043A5"/>
    <w:rsid w:val="00A04469"/>
    <w:rsid w:val="00A04578"/>
    <w:rsid w:val="00A053FC"/>
    <w:rsid w:val="00A05F9F"/>
    <w:rsid w:val="00A066B5"/>
    <w:rsid w:val="00A06DAE"/>
    <w:rsid w:val="00A07B2D"/>
    <w:rsid w:val="00A10327"/>
    <w:rsid w:val="00A10459"/>
    <w:rsid w:val="00A106B4"/>
    <w:rsid w:val="00A10A70"/>
    <w:rsid w:val="00A10C8A"/>
    <w:rsid w:val="00A11DF3"/>
    <w:rsid w:val="00A12085"/>
    <w:rsid w:val="00A12CE3"/>
    <w:rsid w:val="00A12D3C"/>
    <w:rsid w:val="00A13491"/>
    <w:rsid w:val="00A1410D"/>
    <w:rsid w:val="00A145F7"/>
    <w:rsid w:val="00A150A3"/>
    <w:rsid w:val="00A15531"/>
    <w:rsid w:val="00A1585F"/>
    <w:rsid w:val="00A15AF8"/>
    <w:rsid w:val="00A16164"/>
    <w:rsid w:val="00A16ABC"/>
    <w:rsid w:val="00A16DA0"/>
    <w:rsid w:val="00A17000"/>
    <w:rsid w:val="00A17D9B"/>
    <w:rsid w:val="00A200BB"/>
    <w:rsid w:val="00A207CA"/>
    <w:rsid w:val="00A20841"/>
    <w:rsid w:val="00A21C45"/>
    <w:rsid w:val="00A225CF"/>
    <w:rsid w:val="00A22C25"/>
    <w:rsid w:val="00A22D4C"/>
    <w:rsid w:val="00A23790"/>
    <w:rsid w:val="00A24833"/>
    <w:rsid w:val="00A24F86"/>
    <w:rsid w:val="00A258ED"/>
    <w:rsid w:val="00A25B76"/>
    <w:rsid w:val="00A26696"/>
    <w:rsid w:val="00A27201"/>
    <w:rsid w:val="00A27403"/>
    <w:rsid w:val="00A30247"/>
    <w:rsid w:val="00A315EE"/>
    <w:rsid w:val="00A3201F"/>
    <w:rsid w:val="00A32690"/>
    <w:rsid w:val="00A328EF"/>
    <w:rsid w:val="00A32E70"/>
    <w:rsid w:val="00A3418D"/>
    <w:rsid w:val="00A34F29"/>
    <w:rsid w:val="00A35491"/>
    <w:rsid w:val="00A357BD"/>
    <w:rsid w:val="00A35BFD"/>
    <w:rsid w:val="00A35D9B"/>
    <w:rsid w:val="00A35E9A"/>
    <w:rsid w:val="00A36A54"/>
    <w:rsid w:val="00A3723F"/>
    <w:rsid w:val="00A3732E"/>
    <w:rsid w:val="00A37CCA"/>
    <w:rsid w:val="00A37DD9"/>
    <w:rsid w:val="00A412E2"/>
    <w:rsid w:val="00A4309E"/>
    <w:rsid w:val="00A43422"/>
    <w:rsid w:val="00A4371F"/>
    <w:rsid w:val="00A43867"/>
    <w:rsid w:val="00A43A3B"/>
    <w:rsid w:val="00A44258"/>
    <w:rsid w:val="00A44708"/>
    <w:rsid w:val="00A455E8"/>
    <w:rsid w:val="00A45623"/>
    <w:rsid w:val="00A45FDC"/>
    <w:rsid w:val="00A4632E"/>
    <w:rsid w:val="00A46346"/>
    <w:rsid w:val="00A47197"/>
    <w:rsid w:val="00A504DC"/>
    <w:rsid w:val="00A51439"/>
    <w:rsid w:val="00A5180F"/>
    <w:rsid w:val="00A51E4B"/>
    <w:rsid w:val="00A52999"/>
    <w:rsid w:val="00A52D49"/>
    <w:rsid w:val="00A545A5"/>
    <w:rsid w:val="00A5523F"/>
    <w:rsid w:val="00A5524C"/>
    <w:rsid w:val="00A55C05"/>
    <w:rsid w:val="00A55F73"/>
    <w:rsid w:val="00A56518"/>
    <w:rsid w:val="00A56ED6"/>
    <w:rsid w:val="00A574BA"/>
    <w:rsid w:val="00A575AB"/>
    <w:rsid w:val="00A57D6B"/>
    <w:rsid w:val="00A6118D"/>
    <w:rsid w:val="00A626FE"/>
    <w:rsid w:val="00A63A0F"/>
    <w:rsid w:val="00A6413A"/>
    <w:rsid w:val="00A64540"/>
    <w:rsid w:val="00A64E48"/>
    <w:rsid w:val="00A668E7"/>
    <w:rsid w:val="00A66CDA"/>
    <w:rsid w:val="00A66FBB"/>
    <w:rsid w:val="00A671C5"/>
    <w:rsid w:val="00A67368"/>
    <w:rsid w:val="00A674B0"/>
    <w:rsid w:val="00A70EF4"/>
    <w:rsid w:val="00A71851"/>
    <w:rsid w:val="00A7279B"/>
    <w:rsid w:val="00A72838"/>
    <w:rsid w:val="00A72AFB"/>
    <w:rsid w:val="00A73582"/>
    <w:rsid w:val="00A73E24"/>
    <w:rsid w:val="00A742F3"/>
    <w:rsid w:val="00A7436A"/>
    <w:rsid w:val="00A74684"/>
    <w:rsid w:val="00A74DEC"/>
    <w:rsid w:val="00A76BCB"/>
    <w:rsid w:val="00A774AF"/>
    <w:rsid w:val="00A80570"/>
    <w:rsid w:val="00A812C8"/>
    <w:rsid w:val="00A82545"/>
    <w:rsid w:val="00A82594"/>
    <w:rsid w:val="00A826DC"/>
    <w:rsid w:val="00A82D26"/>
    <w:rsid w:val="00A83089"/>
    <w:rsid w:val="00A847DE"/>
    <w:rsid w:val="00A8541B"/>
    <w:rsid w:val="00A857A5"/>
    <w:rsid w:val="00A86993"/>
    <w:rsid w:val="00A8777B"/>
    <w:rsid w:val="00A87962"/>
    <w:rsid w:val="00A87CE4"/>
    <w:rsid w:val="00A906B5"/>
    <w:rsid w:val="00A91991"/>
    <w:rsid w:val="00A9209F"/>
    <w:rsid w:val="00A923BA"/>
    <w:rsid w:val="00A931A6"/>
    <w:rsid w:val="00A935F8"/>
    <w:rsid w:val="00A95173"/>
    <w:rsid w:val="00A959BD"/>
    <w:rsid w:val="00A961E5"/>
    <w:rsid w:val="00A97017"/>
    <w:rsid w:val="00A97526"/>
    <w:rsid w:val="00AA0B8B"/>
    <w:rsid w:val="00AA11A5"/>
    <w:rsid w:val="00AA27D0"/>
    <w:rsid w:val="00AA3858"/>
    <w:rsid w:val="00AA408E"/>
    <w:rsid w:val="00AA4F1D"/>
    <w:rsid w:val="00AA5264"/>
    <w:rsid w:val="00AA5AB9"/>
    <w:rsid w:val="00AA5C5C"/>
    <w:rsid w:val="00AA68FE"/>
    <w:rsid w:val="00AA6CE3"/>
    <w:rsid w:val="00AA6FD9"/>
    <w:rsid w:val="00AA750E"/>
    <w:rsid w:val="00AB033B"/>
    <w:rsid w:val="00AB0719"/>
    <w:rsid w:val="00AB07AA"/>
    <w:rsid w:val="00AB1486"/>
    <w:rsid w:val="00AB2809"/>
    <w:rsid w:val="00AB29A1"/>
    <w:rsid w:val="00AB2D6B"/>
    <w:rsid w:val="00AB322A"/>
    <w:rsid w:val="00AB3B48"/>
    <w:rsid w:val="00AB3CF7"/>
    <w:rsid w:val="00AB4A53"/>
    <w:rsid w:val="00AB4E1F"/>
    <w:rsid w:val="00AB4F4E"/>
    <w:rsid w:val="00AB4F92"/>
    <w:rsid w:val="00AB60B9"/>
    <w:rsid w:val="00AB6303"/>
    <w:rsid w:val="00AB6D08"/>
    <w:rsid w:val="00AB7904"/>
    <w:rsid w:val="00AB7970"/>
    <w:rsid w:val="00AB7EA8"/>
    <w:rsid w:val="00AC089D"/>
    <w:rsid w:val="00AC136E"/>
    <w:rsid w:val="00AC1ED6"/>
    <w:rsid w:val="00AC36CC"/>
    <w:rsid w:val="00AC3ECA"/>
    <w:rsid w:val="00AC5778"/>
    <w:rsid w:val="00AC7237"/>
    <w:rsid w:val="00AC74D4"/>
    <w:rsid w:val="00AD0087"/>
    <w:rsid w:val="00AD076E"/>
    <w:rsid w:val="00AD0BEE"/>
    <w:rsid w:val="00AD1AAC"/>
    <w:rsid w:val="00AD32D7"/>
    <w:rsid w:val="00AD3B94"/>
    <w:rsid w:val="00AD3F9D"/>
    <w:rsid w:val="00AD5965"/>
    <w:rsid w:val="00AD5B74"/>
    <w:rsid w:val="00AD66E2"/>
    <w:rsid w:val="00AD67AC"/>
    <w:rsid w:val="00AD7593"/>
    <w:rsid w:val="00AD7E09"/>
    <w:rsid w:val="00AD7E9A"/>
    <w:rsid w:val="00AE0315"/>
    <w:rsid w:val="00AE0E7D"/>
    <w:rsid w:val="00AE1125"/>
    <w:rsid w:val="00AE12BA"/>
    <w:rsid w:val="00AE3249"/>
    <w:rsid w:val="00AE36B7"/>
    <w:rsid w:val="00AE371A"/>
    <w:rsid w:val="00AE3ADA"/>
    <w:rsid w:val="00AE3D66"/>
    <w:rsid w:val="00AE3DBE"/>
    <w:rsid w:val="00AE4649"/>
    <w:rsid w:val="00AE4FA9"/>
    <w:rsid w:val="00AE60F2"/>
    <w:rsid w:val="00AE6519"/>
    <w:rsid w:val="00AE6C0B"/>
    <w:rsid w:val="00AE6D44"/>
    <w:rsid w:val="00AE7077"/>
    <w:rsid w:val="00AF0CDE"/>
    <w:rsid w:val="00AF2426"/>
    <w:rsid w:val="00AF2F39"/>
    <w:rsid w:val="00AF3B70"/>
    <w:rsid w:val="00AF5115"/>
    <w:rsid w:val="00AF6D82"/>
    <w:rsid w:val="00AF73E2"/>
    <w:rsid w:val="00AF76BD"/>
    <w:rsid w:val="00AF7A53"/>
    <w:rsid w:val="00B00517"/>
    <w:rsid w:val="00B0180D"/>
    <w:rsid w:val="00B02FA6"/>
    <w:rsid w:val="00B03873"/>
    <w:rsid w:val="00B05031"/>
    <w:rsid w:val="00B05731"/>
    <w:rsid w:val="00B05F98"/>
    <w:rsid w:val="00B113C4"/>
    <w:rsid w:val="00B11571"/>
    <w:rsid w:val="00B115BA"/>
    <w:rsid w:val="00B12319"/>
    <w:rsid w:val="00B125E0"/>
    <w:rsid w:val="00B1264F"/>
    <w:rsid w:val="00B128DC"/>
    <w:rsid w:val="00B12C8D"/>
    <w:rsid w:val="00B132AC"/>
    <w:rsid w:val="00B13DE1"/>
    <w:rsid w:val="00B1426F"/>
    <w:rsid w:val="00B1434E"/>
    <w:rsid w:val="00B1435A"/>
    <w:rsid w:val="00B154BC"/>
    <w:rsid w:val="00B178DE"/>
    <w:rsid w:val="00B17F08"/>
    <w:rsid w:val="00B2099B"/>
    <w:rsid w:val="00B211D0"/>
    <w:rsid w:val="00B22156"/>
    <w:rsid w:val="00B22356"/>
    <w:rsid w:val="00B22941"/>
    <w:rsid w:val="00B2306C"/>
    <w:rsid w:val="00B23335"/>
    <w:rsid w:val="00B233CA"/>
    <w:rsid w:val="00B233EC"/>
    <w:rsid w:val="00B23DA1"/>
    <w:rsid w:val="00B2406D"/>
    <w:rsid w:val="00B2541D"/>
    <w:rsid w:val="00B2636A"/>
    <w:rsid w:val="00B264C7"/>
    <w:rsid w:val="00B26708"/>
    <w:rsid w:val="00B26837"/>
    <w:rsid w:val="00B26B65"/>
    <w:rsid w:val="00B2779B"/>
    <w:rsid w:val="00B27BFC"/>
    <w:rsid w:val="00B30288"/>
    <w:rsid w:val="00B30598"/>
    <w:rsid w:val="00B30E8A"/>
    <w:rsid w:val="00B30F4A"/>
    <w:rsid w:val="00B31184"/>
    <w:rsid w:val="00B31499"/>
    <w:rsid w:val="00B31718"/>
    <w:rsid w:val="00B31A4F"/>
    <w:rsid w:val="00B32783"/>
    <w:rsid w:val="00B32F0F"/>
    <w:rsid w:val="00B330E6"/>
    <w:rsid w:val="00B33371"/>
    <w:rsid w:val="00B3379B"/>
    <w:rsid w:val="00B34071"/>
    <w:rsid w:val="00B355FE"/>
    <w:rsid w:val="00B35E3B"/>
    <w:rsid w:val="00B37AB9"/>
    <w:rsid w:val="00B40FA6"/>
    <w:rsid w:val="00B43706"/>
    <w:rsid w:val="00B438DF"/>
    <w:rsid w:val="00B43AD8"/>
    <w:rsid w:val="00B44A0A"/>
    <w:rsid w:val="00B44BB0"/>
    <w:rsid w:val="00B44E86"/>
    <w:rsid w:val="00B456BC"/>
    <w:rsid w:val="00B45DA3"/>
    <w:rsid w:val="00B47485"/>
    <w:rsid w:val="00B47974"/>
    <w:rsid w:val="00B505C9"/>
    <w:rsid w:val="00B51210"/>
    <w:rsid w:val="00B51B8B"/>
    <w:rsid w:val="00B53585"/>
    <w:rsid w:val="00B53AE4"/>
    <w:rsid w:val="00B53D3B"/>
    <w:rsid w:val="00B53E98"/>
    <w:rsid w:val="00B541BA"/>
    <w:rsid w:val="00B542BC"/>
    <w:rsid w:val="00B546F3"/>
    <w:rsid w:val="00B5562F"/>
    <w:rsid w:val="00B56C37"/>
    <w:rsid w:val="00B576F8"/>
    <w:rsid w:val="00B61A24"/>
    <w:rsid w:val="00B61F26"/>
    <w:rsid w:val="00B62242"/>
    <w:rsid w:val="00B63A5B"/>
    <w:rsid w:val="00B63BF4"/>
    <w:rsid w:val="00B646C0"/>
    <w:rsid w:val="00B6554D"/>
    <w:rsid w:val="00B657BC"/>
    <w:rsid w:val="00B65908"/>
    <w:rsid w:val="00B65933"/>
    <w:rsid w:val="00B66330"/>
    <w:rsid w:val="00B66DFB"/>
    <w:rsid w:val="00B672B5"/>
    <w:rsid w:val="00B67A52"/>
    <w:rsid w:val="00B7005F"/>
    <w:rsid w:val="00B706BA"/>
    <w:rsid w:val="00B71D75"/>
    <w:rsid w:val="00B7227D"/>
    <w:rsid w:val="00B72A05"/>
    <w:rsid w:val="00B731A2"/>
    <w:rsid w:val="00B73683"/>
    <w:rsid w:val="00B73CAD"/>
    <w:rsid w:val="00B74B32"/>
    <w:rsid w:val="00B74C28"/>
    <w:rsid w:val="00B752C2"/>
    <w:rsid w:val="00B754F4"/>
    <w:rsid w:val="00B7653E"/>
    <w:rsid w:val="00B765C2"/>
    <w:rsid w:val="00B775FC"/>
    <w:rsid w:val="00B80756"/>
    <w:rsid w:val="00B808B6"/>
    <w:rsid w:val="00B80B79"/>
    <w:rsid w:val="00B812BE"/>
    <w:rsid w:val="00B81377"/>
    <w:rsid w:val="00B81A7A"/>
    <w:rsid w:val="00B8328D"/>
    <w:rsid w:val="00B84384"/>
    <w:rsid w:val="00B84940"/>
    <w:rsid w:val="00B84FAB"/>
    <w:rsid w:val="00B85B79"/>
    <w:rsid w:val="00B85D84"/>
    <w:rsid w:val="00B85FE0"/>
    <w:rsid w:val="00B87421"/>
    <w:rsid w:val="00B87796"/>
    <w:rsid w:val="00B878A9"/>
    <w:rsid w:val="00B87BEA"/>
    <w:rsid w:val="00B87BFF"/>
    <w:rsid w:val="00B9017D"/>
    <w:rsid w:val="00B905D3"/>
    <w:rsid w:val="00B90933"/>
    <w:rsid w:val="00B90C06"/>
    <w:rsid w:val="00B90E06"/>
    <w:rsid w:val="00B90EB0"/>
    <w:rsid w:val="00B924BA"/>
    <w:rsid w:val="00B92B8F"/>
    <w:rsid w:val="00B93E71"/>
    <w:rsid w:val="00B94D6A"/>
    <w:rsid w:val="00B94EFC"/>
    <w:rsid w:val="00B951F3"/>
    <w:rsid w:val="00B9725E"/>
    <w:rsid w:val="00B97386"/>
    <w:rsid w:val="00B97842"/>
    <w:rsid w:val="00B97CE9"/>
    <w:rsid w:val="00BA018C"/>
    <w:rsid w:val="00BA0B92"/>
    <w:rsid w:val="00BA1429"/>
    <w:rsid w:val="00BA175C"/>
    <w:rsid w:val="00BA1CD7"/>
    <w:rsid w:val="00BA2351"/>
    <w:rsid w:val="00BA38DA"/>
    <w:rsid w:val="00BA62FB"/>
    <w:rsid w:val="00BA6C78"/>
    <w:rsid w:val="00BA7148"/>
    <w:rsid w:val="00BA7178"/>
    <w:rsid w:val="00BA73DC"/>
    <w:rsid w:val="00BA7A93"/>
    <w:rsid w:val="00BA7EDF"/>
    <w:rsid w:val="00BB008A"/>
    <w:rsid w:val="00BB027E"/>
    <w:rsid w:val="00BB0342"/>
    <w:rsid w:val="00BB2047"/>
    <w:rsid w:val="00BB2296"/>
    <w:rsid w:val="00BB31D7"/>
    <w:rsid w:val="00BB4AE0"/>
    <w:rsid w:val="00BB5136"/>
    <w:rsid w:val="00BB5FDF"/>
    <w:rsid w:val="00BB6A43"/>
    <w:rsid w:val="00BB7680"/>
    <w:rsid w:val="00BC07AE"/>
    <w:rsid w:val="00BC0C9B"/>
    <w:rsid w:val="00BC0DFD"/>
    <w:rsid w:val="00BC439F"/>
    <w:rsid w:val="00BC4679"/>
    <w:rsid w:val="00BC53A5"/>
    <w:rsid w:val="00BC5439"/>
    <w:rsid w:val="00BC5C2C"/>
    <w:rsid w:val="00BC60C1"/>
    <w:rsid w:val="00BC65FE"/>
    <w:rsid w:val="00BC6C0D"/>
    <w:rsid w:val="00BC6F30"/>
    <w:rsid w:val="00BC7DC4"/>
    <w:rsid w:val="00BD0487"/>
    <w:rsid w:val="00BD0A2A"/>
    <w:rsid w:val="00BD0DF6"/>
    <w:rsid w:val="00BD1399"/>
    <w:rsid w:val="00BD160C"/>
    <w:rsid w:val="00BD1823"/>
    <w:rsid w:val="00BD2967"/>
    <w:rsid w:val="00BD2DB3"/>
    <w:rsid w:val="00BD3DEE"/>
    <w:rsid w:val="00BD415D"/>
    <w:rsid w:val="00BD490C"/>
    <w:rsid w:val="00BD4AEB"/>
    <w:rsid w:val="00BD5237"/>
    <w:rsid w:val="00BD5374"/>
    <w:rsid w:val="00BD5871"/>
    <w:rsid w:val="00BD634F"/>
    <w:rsid w:val="00BD6523"/>
    <w:rsid w:val="00BD65AD"/>
    <w:rsid w:val="00BD65C1"/>
    <w:rsid w:val="00BD713C"/>
    <w:rsid w:val="00BD7577"/>
    <w:rsid w:val="00BD7AF4"/>
    <w:rsid w:val="00BE1197"/>
    <w:rsid w:val="00BE157D"/>
    <w:rsid w:val="00BE35F2"/>
    <w:rsid w:val="00BE3E22"/>
    <w:rsid w:val="00BE42C2"/>
    <w:rsid w:val="00BE4AEE"/>
    <w:rsid w:val="00BE4CEF"/>
    <w:rsid w:val="00BE4F79"/>
    <w:rsid w:val="00BE5AC6"/>
    <w:rsid w:val="00BE5C0C"/>
    <w:rsid w:val="00BE623D"/>
    <w:rsid w:val="00BE6E6A"/>
    <w:rsid w:val="00BE6F42"/>
    <w:rsid w:val="00BE75CB"/>
    <w:rsid w:val="00BE7F9E"/>
    <w:rsid w:val="00BF0602"/>
    <w:rsid w:val="00BF0BB5"/>
    <w:rsid w:val="00BF1762"/>
    <w:rsid w:val="00BF22E4"/>
    <w:rsid w:val="00BF35C3"/>
    <w:rsid w:val="00BF3C9B"/>
    <w:rsid w:val="00BF4A37"/>
    <w:rsid w:val="00BF4ACD"/>
    <w:rsid w:val="00BF4B48"/>
    <w:rsid w:val="00BF7AF1"/>
    <w:rsid w:val="00BF7B1A"/>
    <w:rsid w:val="00C00562"/>
    <w:rsid w:val="00C0060C"/>
    <w:rsid w:val="00C01DCD"/>
    <w:rsid w:val="00C02D88"/>
    <w:rsid w:val="00C03633"/>
    <w:rsid w:val="00C03860"/>
    <w:rsid w:val="00C04757"/>
    <w:rsid w:val="00C04EF2"/>
    <w:rsid w:val="00C05788"/>
    <w:rsid w:val="00C064F0"/>
    <w:rsid w:val="00C06B74"/>
    <w:rsid w:val="00C104B2"/>
    <w:rsid w:val="00C10D6C"/>
    <w:rsid w:val="00C11364"/>
    <w:rsid w:val="00C1199F"/>
    <w:rsid w:val="00C11F76"/>
    <w:rsid w:val="00C11F88"/>
    <w:rsid w:val="00C13080"/>
    <w:rsid w:val="00C13E45"/>
    <w:rsid w:val="00C1446D"/>
    <w:rsid w:val="00C158FD"/>
    <w:rsid w:val="00C15E9A"/>
    <w:rsid w:val="00C16156"/>
    <w:rsid w:val="00C16963"/>
    <w:rsid w:val="00C16B0A"/>
    <w:rsid w:val="00C2136A"/>
    <w:rsid w:val="00C2147C"/>
    <w:rsid w:val="00C2196B"/>
    <w:rsid w:val="00C21A23"/>
    <w:rsid w:val="00C22302"/>
    <w:rsid w:val="00C224EC"/>
    <w:rsid w:val="00C2378E"/>
    <w:rsid w:val="00C23F77"/>
    <w:rsid w:val="00C24099"/>
    <w:rsid w:val="00C24532"/>
    <w:rsid w:val="00C24875"/>
    <w:rsid w:val="00C258EC"/>
    <w:rsid w:val="00C25B53"/>
    <w:rsid w:val="00C26255"/>
    <w:rsid w:val="00C26BD2"/>
    <w:rsid w:val="00C27272"/>
    <w:rsid w:val="00C27386"/>
    <w:rsid w:val="00C31259"/>
    <w:rsid w:val="00C321F0"/>
    <w:rsid w:val="00C324FD"/>
    <w:rsid w:val="00C332A3"/>
    <w:rsid w:val="00C35015"/>
    <w:rsid w:val="00C355E0"/>
    <w:rsid w:val="00C37BDA"/>
    <w:rsid w:val="00C417AB"/>
    <w:rsid w:val="00C41FCF"/>
    <w:rsid w:val="00C4213E"/>
    <w:rsid w:val="00C42EFD"/>
    <w:rsid w:val="00C431CC"/>
    <w:rsid w:val="00C437E4"/>
    <w:rsid w:val="00C44747"/>
    <w:rsid w:val="00C469E9"/>
    <w:rsid w:val="00C46F6B"/>
    <w:rsid w:val="00C4730C"/>
    <w:rsid w:val="00C4765D"/>
    <w:rsid w:val="00C47E15"/>
    <w:rsid w:val="00C50CBD"/>
    <w:rsid w:val="00C51E89"/>
    <w:rsid w:val="00C54772"/>
    <w:rsid w:val="00C54FEC"/>
    <w:rsid w:val="00C5732E"/>
    <w:rsid w:val="00C604B7"/>
    <w:rsid w:val="00C612E6"/>
    <w:rsid w:val="00C62ABC"/>
    <w:rsid w:val="00C62B1A"/>
    <w:rsid w:val="00C62C0F"/>
    <w:rsid w:val="00C62FC9"/>
    <w:rsid w:val="00C636A7"/>
    <w:rsid w:val="00C6411F"/>
    <w:rsid w:val="00C64C9C"/>
    <w:rsid w:val="00C658C8"/>
    <w:rsid w:val="00C6590F"/>
    <w:rsid w:val="00C677A3"/>
    <w:rsid w:val="00C67A55"/>
    <w:rsid w:val="00C71874"/>
    <w:rsid w:val="00C719F4"/>
    <w:rsid w:val="00C71CB4"/>
    <w:rsid w:val="00C71DCF"/>
    <w:rsid w:val="00C7269D"/>
    <w:rsid w:val="00C72CA8"/>
    <w:rsid w:val="00C7324D"/>
    <w:rsid w:val="00C745BC"/>
    <w:rsid w:val="00C745D8"/>
    <w:rsid w:val="00C748B9"/>
    <w:rsid w:val="00C74A80"/>
    <w:rsid w:val="00C74E7C"/>
    <w:rsid w:val="00C755B6"/>
    <w:rsid w:val="00C75A05"/>
    <w:rsid w:val="00C762F3"/>
    <w:rsid w:val="00C76467"/>
    <w:rsid w:val="00C76494"/>
    <w:rsid w:val="00C76956"/>
    <w:rsid w:val="00C76C79"/>
    <w:rsid w:val="00C76D49"/>
    <w:rsid w:val="00C77214"/>
    <w:rsid w:val="00C80C94"/>
    <w:rsid w:val="00C812A4"/>
    <w:rsid w:val="00C816EC"/>
    <w:rsid w:val="00C82566"/>
    <w:rsid w:val="00C83113"/>
    <w:rsid w:val="00C83400"/>
    <w:rsid w:val="00C838AE"/>
    <w:rsid w:val="00C83D7E"/>
    <w:rsid w:val="00C84607"/>
    <w:rsid w:val="00C8574C"/>
    <w:rsid w:val="00C86899"/>
    <w:rsid w:val="00C86B30"/>
    <w:rsid w:val="00C8714B"/>
    <w:rsid w:val="00C87967"/>
    <w:rsid w:val="00C87FB9"/>
    <w:rsid w:val="00C9001E"/>
    <w:rsid w:val="00C90A8E"/>
    <w:rsid w:val="00C90A9F"/>
    <w:rsid w:val="00C926D2"/>
    <w:rsid w:val="00C929E2"/>
    <w:rsid w:val="00C93C2F"/>
    <w:rsid w:val="00C947B5"/>
    <w:rsid w:val="00C94D23"/>
    <w:rsid w:val="00C9557C"/>
    <w:rsid w:val="00C95606"/>
    <w:rsid w:val="00C964A9"/>
    <w:rsid w:val="00C96913"/>
    <w:rsid w:val="00C971F8"/>
    <w:rsid w:val="00C9764B"/>
    <w:rsid w:val="00C97B5C"/>
    <w:rsid w:val="00CA06C7"/>
    <w:rsid w:val="00CA07CE"/>
    <w:rsid w:val="00CA0999"/>
    <w:rsid w:val="00CA1114"/>
    <w:rsid w:val="00CA2873"/>
    <w:rsid w:val="00CA28B5"/>
    <w:rsid w:val="00CA45D3"/>
    <w:rsid w:val="00CA5167"/>
    <w:rsid w:val="00CA6567"/>
    <w:rsid w:val="00CA7954"/>
    <w:rsid w:val="00CA7EA6"/>
    <w:rsid w:val="00CB0435"/>
    <w:rsid w:val="00CB3B65"/>
    <w:rsid w:val="00CB50A9"/>
    <w:rsid w:val="00CB5E2F"/>
    <w:rsid w:val="00CB632A"/>
    <w:rsid w:val="00CB6C05"/>
    <w:rsid w:val="00CB7A89"/>
    <w:rsid w:val="00CB7F9D"/>
    <w:rsid w:val="00CC0C1D"/>
    <w:rsid w:val="00CC0E30"/>
    <w:rsid w:val="00CC1C14"/>
    <w:rsid w:val="00CC2013"/>
    <w:rsid w:val="00CC2D05"/>
    <w:rsid w:val="00CC36D8"/>
    <w:rsid w:val="00CC4583"/>
    <w:rsid w:val="00CC4AD6"/>
    <w:rsid w:val="00CC6ECF"/>
    <w:rsid w:val="00CC72C3"/>
    <w:rsid w:val="00CD0C26"/>
    <w:rsid w:val="00CD0D06"/>
    <w:rsid w:val="00CD0D07"/>
    <w:rsid w:val="00CD1CBD"/>
    <w:rsid w:val="00CD2B0D"/>
    <w:rsid w:val="00CD2CF0"/>
    <w:rsid w:val="00CD3640"/>
    <w:rsid w:val="00CD370E"/>
    <w:rsid w:val="00CD50C5"/>
    <w:rsid w:val="00CD53B0"/>
    <w:rsid w:val="00CD5A47"/>
    <w:rsid w:val="00CD5C0D"/>
    <w:rsid w:val="00CD70F7"/>
    <w:rsid w:val="00CD746E"/>
    <w:rsid w:val="00CE022E"/>
    <w:rsid w:val="00CE06D7"/>
    <w:rsid w:val="00CE0AF8"/>
    <w:rsid w:val="00CE0BD3"/>
    <w:rsid w:val="00CE0D26"/>
    <w:rsid w:val="00CE1660"/>
    <w:rsid w:val="00CE16C0"/>
    <w:rsid w:val="00CE1B37"/>
    <w:rsid w:val="00CE2617"/>
    <w:rsid w:val="00CE2D3C"/>
    <w:rsid w:val="00CE308A"/>
    <w:rsid w:val="00CE44D3"/>
    <w:rsid w:val="00CE44E6"/>
    <w:rsid w:val="00CE50CA"/>
    <w:rsid w:val="00CE5ECD"/>
    <w:rsid w:val="00CE658C"/>
    <w:rsid w:val="00CE6C9B"/>
    <w:rsid w:val="00CF0726"/>
    <w:rsid w:val="00CF0E30"/>
    <w:rsid w:val="00CF1C9F"/>
    <w:rsid w:val="00CF2656"/>
    <w:rsid w:val="00CF2C06"/>
    <w:rsid w:val="00CF2FF8"/>
    <w:rsid w:val="00CF3F6D"/>
    <w:rsid w:val="00CF3F8B"/>
    <w:rsid w:val="00CF441F"/>
    <w:rsid w:val="00CF5606"/>
    <w:rsid w:val="00CF60E7"/>
    <w:rsid w:val="00CF6644"/>
    <w:rsid w:val="00CF7D40"/>
    <w:rsid w:val="00D003AD"/>
    <w:rsid w:val="00D0047A"/>
    <w:rsid w:val="00D0065F"/>
    <w:rsid w:val="00D0305D"/>
    <w:rsid w:val="00D030E7"/>
    <w:rsid w:val="00D037C0"/>
    <w:rsid w:val="00D03C23"/>
    <w:rsid w:val="00D042DF"/>
    <w:rsid w:val="00D0437E"/>
    <w:rsid w:val="00D045C7"/>
    <w:rsid w:val="00D05088"/>
    <w:rsid w:val="00D0668A"/>
    <w:rsid w:val="00D06A04"/>
    <w:rsid w:val="00D06F3A"/>
    <w:rsid w:val="00D07369"/>
    <w:rsid w:val="00D075DD"/>
    <w:rsid w:val="00D109B8"/>
    <w:rsid w:val="00D1186C"/>
    <w:rsid w:val="00D13F1F"/>
    <w:rsid w:val="00D14308"/>
    <w:rsid w:val="00D1434B"/>
    <w:rsid w:val="00D15719"/>
    <w:rsid w:val="00D15D92"/>
    <w:rsid w:val="00D1695F"/>
    <w:rsid w:val="00D205C5"/>
    <w:rsid w:val="00D20E9D"/>
    <w:rsid w:val="00D2221C"/>
    <w:rsid w:val="00D23009"/>
    <w:rsid w:val="00D236E2"/>
    <w:rsid w:val="00D244C9"/>
    <w:rsid w:val="00D2463C"/>
    <w:rsid w:val="00D26041"/>
    <w:rsid w:val="00D26207"/>
    <w:rsid w:val="00D26564"/>
    <w:rsid w:val="00D30265"/>
    <w:rsid w:val="00D309DC"/>
    <w:rsid w:val="00D328C1"/>
    <w:rsid w:val="00D3389D"/>
    <w:rsid w:val="00D342CA"/>
    <w:rsid w:val="00D3474B"/>
    <w:rsid w:val="00D34F72"/>
    <w:rsid w:val="00D36927"/>
    <w:rsid w:val="00D370DF"/>
    <w:rsid w:val="00D406A3"/>
    <w:rsid w:val="00D41BAE"/>
    <w:rsid w:val="00D41EEE"/>
    <w:rsid w:val="00D4203A"/>
    <w:rsid w:val="00D424EB"/>
    <w:rsid w:val="00D4296A"/>
    <w:rsid w:val="00D43D0C"/>
    <w:rsid w:val="00D44C59"/>
    <w:rsid w:val="00D46D57"/>
    <w:rsid w:val="00D46FD7"/>
    <w:rsid w:val="00D472CD"/>
    <w:rsid w:val="00D47A2B"/>
    <w:rsid w:val="00D5063F"/>
    <w:rsid w:val="00D51753"/>
    <w:rsid w:val="00D51F02"/>
    <w:rsid w:val="00D541D6"/>
    <w:rsid w:val="00D5475C"/>
    <w:rsid w:val="00D55855"/>
    <w:rsid w:val="00D559F8"/>
    <w:rsid w:val="00D55AD9"/>
    <w:rsid w:val="00D56E0C"/>
    <w:rsid w:val="00D579A8"/>
    <w:rsid w:val="00D57FE4"/>
    <w:rsid w:val="00D60BE8"/>
    <w:rsid w:val="00D61259"/>
    <w:rsid w:val="00D62524"/>
    <w:rsid w:val="00D633AD"/>
    <w:rsid w:val="00D63403"/>
    <w:rsid w:val="00D63E4B"/>
    <w:rsid w:val="00D64D57"/>
    <w:rsid w:val="00D65E99"/>
    <w:rsid w:val="00D708C6"/>
    <w:rsid w:val="00D713DE"/>
    <w:rsid w:val="00D7543C"/>
    <w:rsid w:val="00D75BEA"/>
    <w:rsid w:val="00D75DA1"/>
    <w:rsid w:val="00D765A9"/>
    <w:rsid w:val="00D77750"/>
    <w:rsid w:val="00D777B7"/>
    <w:rsid w:val="00D77F51"/>
    <w:rsid w:val="00D811EB"/>
    <w:rsid w:val="00D830E5"/>
    <w:rsid w:val="00D835EE"/>
    <w:rsid w:val="00D84323"/>
    <w:rsid w:val="00D84799"/>
    <w:rsid w:val="00D84B99"/>
    <w:rsid w:val="00D84D29"/>
    <w:rsid w:val="00D85451"/>
    <w:rsid w:val="00D85B10"/>
    <w:rsid w:val="00D85E80"/>
    <w:rsid w:val="00D85E8C"/>
    <w:rsid w:val="00D8650C"/>
    <w:rsid w:val="00D865BF"/>
    <w:rsid w:val="00D86D23"/>
    <w:rsid w:val="00D918E9"/>
    <w:rsid w:val="00D91A55"/>
    <w:rsid w:val="00D91AEA"/>
    <w:rsid w:val="00D92F19"/>
    <w:rsid w:val="00D93B94"/>
    <w:rsid w:val="00D945B2"/>
    <w:rsid w:val="00D96A4A"/>
    <w:rsid w:val="00D974AA"/>
    <w:rsid w:val="00D977B0"/>
    <w:rsid w:val="00D97D4A"/>
    <w:rsid w:val="00DA04F2"/>
    <w:rsid w:val="00DA11C9"/>
    <w:rsid w:val="00DA281F"/>
    <w:rsid w:val="00DA2828"/>
    <w:rsid w:val="00DA2C10"/>
    <w:rsid w:val="00DA379B"/>
    <w:rsid w:val="00DA3A88"/>
    <w:rsid w:val="00DA4106"/>
    <w:rsid w:val="00DA4680"/>
    <w:rsid w:val="00DA4BD4"/>
    <w:rsid w:val="00DA633E"/>
    <w:rsid w:val="00DA71FF"/>
    <w:rsid w:val="00DA7DE9"/>
    <w:rsid w:val="00DB12D3"/>
    <w:rsid w:val="00DB1A80"/>
    <w:rsid w:val="00DB2B4B"/>
    <w:rsid w:val="00DB32F2"/>
    <w:rsid w:val="00DB5680"/>
    <w:rsid w:val="00DB57B2"/>
    <w:rsid w:val="00DB62B4"/>
    <w:rsid w:val="00DB6E15"/>
    <w:rsid w:val="00DB716C"/>
    <w:rsid w:val="00DB72BB"/>
    <w:rsid w:val="00DB7461"/>
    <w:rsid w:val="00DC09B4"/>
    <w:rsid w:val="00DC0A38"/>
    <w:rsid w:val="00DC1192"/>
    <w:rsid w:val="00DC1B99"/>
    <w:rsid w:val="00DC1CA4"/>
    <w:rsid w:val="00DC22B1"/>
    <w:rsid w:val="00DC29A9"/>
    <w:rsid w:val="00DC29E7"/>
    <w:rsid w:val="00DC2CA1"/>
    <w:rsid w:val="00DC4215"/>
    <w:rsid w:val="00DC4D45"/>
    <w:rsid w:val="00DC51CB"/>
    <w:rsid w:val="00DC51DF"/>
    <w:rsid w:val="00DC6969"/>
    <w:rsid w:val="00DC6EBB"/>
    <w:rsid w:val="00DC70F9"/>
    <w:rsid w:val="00DC7249"/>
    <w:rsid w:val="00DC7E67"/>
    <w:rsid w:val="00DD0648"/>
    <w:rsid w:val="00DD1128"/>
    <w:rsid w:val="00DD258D"/>
    <w:rsid w:val="00DD2F45"/>
    <w:rsid w:val="00DD5CFC"/>
    <w:rsid w:val="00DD65DC"/>
    <w:rsid w:val="00DD6E38"/>
    <w:rsid w:val="00DD7F54"/>
    <w:rsid w:val="00DE03A1"/>
    <w:rsid w:val="00DE08D7"/>
    <w:rsid w:val="00DE2733"/>
    <w:rsid w:val="00DE2FA9"/>
    <w:rsid w:val="00DE5B00"/>
    <w:rsid w:val="00DE6AEF"/>
    <w:rsid w:val="00DE6C8B"/>
    <w:rsid w:val="00DF0BD4"/>
    <w:rsid w:val="00DF0F1F"/>
    <w:rsid w:val="00DF0F61"/>
    <w:rsid w:val="00DF2812"/>
    <w:rsid w:val="00DF2B09"/>
    <w:rsid w:val="00DF2FAD"/>
    <w:rsid w:val="00DF39E8"/>
    <w:rsid w:val="00DF3DB2"/>
    <w:rsid w:val="00DF426F"/>
    <w:rsid w:val="00DF46BF"/>
    <w:rsid w:val="00DF667D"/>
    <w:rsid w:val="00DF679B"/>
    <w:rsid w:val="00DF6A1C"/>
    <w:rsid w:val="00DF79FA"/>
    <w:rsid w:val="00DF7AF6"/>
    <w:rsid w:val="00E00692"/>
    <w:rsid w:val="00E00977"/>
    <w:rsid w:val="00E00FFF"/>
    <w:rsid w:val="00E01371"/>
    <w:rsid w:val="00E02526"/>
    <w:rsid w:val="00E03A8C"/>
    <w:rsid w:val="00E03DE0"/>
    <w:rsid w:val="00E052E4"/>
    <w:rsid w:val="00E05A98"/>
    <w:rsid w:val="00E065FD"/>
    <w:rsid w:val="00E06E7D"/>
    <w:rsid w:val="00E071DE"/>
    <w:rsid w:val="00E074F7"/>
    <w:rsid w:val="00E10104"/>
    <w:rsid w:val="00E10627"/>
    <w:rsid w:val="00E10749"/>
    <w:rsid w:val="00E10EE6"/>
    <w:rsid w:val="00E1163A"/>
    <w:rsid w:val="00E12536"/>
    <w:rsid w:val="00E1272E"/>
    <w:rsid w:val="00E127BC"/>
    <w:rsid w:val="00E1319C"/>
    <w:rsid w:val="00E1442F"/>
    <w:rsid w:val="00E1471B"/>
    <w:rsid w:val="00E158EC"/>
    <w:rsid w:val="00E16632"/>
    <w:rsid w:val="00E16656"/>
    <w:rsid w:val="00E1793F"/>
    <w:rsid w:val="00E202E6"/>
    <w:rsid w:val="00E205B0"/>
    <w:rsid w:val="00E20778"/>
    <w:rsid w:val="00E209F2"/>
    <w:rsid w:val="00E2162B"/>
    <w:rsid w:val="00E2259B"/>
    <w:rsid w:val="00E22682"/>
    <w:rsid w:val="00E2288B"/>
    <w:rsid w:val="00E2364A"/>
    <w:rsid w:val="00E24E81"/>
    <w:rsid w:val="00E25825"/>
    <w:rsid w:val="00E259E3"/>
    <w:rsid w:val="00E26A3E"/>
    <w:rsid w:val="00E26D1E"/>
    <w:rsid w:val="00E26E68"/>
    <w:rsid w:val="00E279B3"/>
    <w:rsid w:val="00E30396"/>
    <w:rsid w:val="00E304CE"/>
    <w:rsid w:val="00E3079A"/>
    <w:rsid w:val="00E30D85"/>
    <w:rsid w:val="00E326B5"/>
    <w:rsid w:val="00E3290C"/>
    <w:rsid w:val="00E33C5A"/>
    <w:rsid w:val="00E3438E"/>
    <w:rsid w:val="00E344FA"/>
    <w:rsid w:val="00E348D6"/>
    <w:rsid w:val="00E34CC6"/>
    <w:rsid w:val="00E35102"/>
    <w:rsid w:val="00E358F9"/>
    <w:rsid w:val="00E35EAC"/>
    <w:rsid w:val="00E373FB"/>
    <w:rsid w:val="00E37439"/>
    <w:rsid w:val="00E37FAC"/>
    <w:rsid w:val="00E4098E"/>
    <w:rsid w:val="00E41AFD"/>
    <w:rsid w:val="00E41B9D"/>
    <w:rsid w:val="00E430C6"/>
    <w:rsid w:val="00E434AB"/>
    <w:rsid w:val="00E471F6"/>
    <w:rsid w:val="00E47CC8"/>
    <w:rsid w:val="00E47F5F"/>
    <w:rsid w:val="00E5006C"/>
    <w:rsid w:val="00E51F19"/>
    <w:rsid w:val="00E529D8"/>
    <w:rsid w:val="00E53163"/>
    <w:rsid w:val="00E5366B"/>
    <w:rsid w:val="00E5385C"/>
    <w:rsid w:val="00E53D89"/>
    <w:rsid w:val="00E53D8B"/>
    <w:rsid w:val="00E53F78"/>
    <w:rsid w:val="00E5438B"/>
    <w:rsid w:val="00E543F0"/>
    <w:rsid w:val="00E549AC"/>
    <w:rsid w:val="00E553BC"/>
    <w:rsid w:val="00E56108"/>
    <w:rsid w:val="00E566EF"/>
    <w:rsid w:val="00E56F53"/>
    <w:rsid w:val="00E570FF"/>
    <w:rsid w:val="00E57471"/>
    <w:rsid w:val="00E575B5"/>
    <w:rsid w:val="00E6334E"/>
    <w:rsid w:val="00E63697"/>
    <w:rsid w:val="00E64727"/>
    <w:rsid w:val="00E647B3"/>
    <w:rsid w:val="00E64FCE"/>
    <w:rsid w:val="00E65B6B"/>
    <w:rsid w:val="00E65BA8"/>
    <w:rsid w:val="00E662C8"/>
    <w:rsid w:val="00E66E1D"/>
    <w:rsid w:val="00E6713B"/>
    <w:rsid w:val="00E73127"/>
    <w:rsid w:val="00E731E4"/>
    <w:rsid w:val="00E743C6"/>
    <w:rsid w:val="00E748AA"/>
    <w:rsid w:val="00E74DF9"/>
    <w:rsid w:val="00E74EB0"/>
    <w:rsid w:val="00E75885"/>
    <w:rsid w:val="00E75D2A"/>
    <w:rsid w:val="00E7611B"/>
    <w:rsid w:val="00E763DF"/>
    <w:rsid w:val="00E76535"/>
    <w:rsid w:val="00E765DD"/>
    <w:rsid w:val="00E771AF"/>
    <w:rsid w:val="00E774FA"/>
    <w:rsid w:val="00E809E8"/>
    <w:rsid w:val="00E81837"/>
    <w:rsid w:val="00E81C86"/>
    <w:rsid w:val="00E8223D"/>
    <w:rsid w:val="00E82269"/>
    <w:rsid w:val="00E8298B"/>
    <w:rsid w:val="00E82CB1"/>
    <w:rsid w:val="00E82E0E"/>
    <w:rsid w:val="00E83354"/>
    <w:rsid w:val="00E835A4"/>
    <w:rsid w:val="00E84379"/>
    <w:rsid w:val="00E84E18"/>
    <w:rsid w:val="00E85379"/>
    <w:rsid w:val="00E87687"/>
    <w:rsid w:val="00E87837"/>
    <w:rsid w:val="00E879E9"/>
    <w:rsid w:val="00E900C0"/>
    <w:rsid w:val="00E9077B"/>
    <w:rsid w:val="00E90A1B"/>
    <w:rsid w:val="00E90E68"/>
    <w:rsid w:val="00E9142A"/>
    <w:rsid w:val="00E919D3"/>
    <w:rsid w:val="00E91D55"/>
    <w:rsid w:val="00E92939"/>
    <w:rsid w:val="00E936D6"/>
    <w:rsid w:val="00E93A9E"/>
    <w:rsid w:val="00E9511E"/>
    <w:rsid w:val="00E952DC"/>
    <w:rsid w:val="00E95885"/>
    <w:rsid w:val="00E9605C"/>
    <w:rsid w:val="00E9669A"/>
    <w:rsid w:val="00E97F50"/>
    <w:rsid w:val="00EA064F"/>
    <w:rsid w:val="00EA09F6"/>
    <w:rsid w:val="00EA0F23"/>
    <w:rsid w:val="00EA1252"/>
    <w:rsid w:val="00EA1744"/>
    <w:rsid w:val="00EA2357"/>
    <w:rsid w:val="00EA2A15"/>
    <w:rsid w:val="00EA2E7A"/>
    <w:rsid w:val="00EA3247"/>
    <w:rsid w:val="00EA4C17"/>
    <w:rsid w:val="00EA4EEC"/>
    <w:rsid w:val="00EA5F5B"/>
    <w:rsid w:val="00EA6036"/>
    <w:rsid w:val="00EA6CEF"/>
    <w:rsid w:val="00EB014E"/>
    <w:rsid w:val="00EB18A3"/>
    <w:rsid w:val="00EB18E7"/>
    <w:rsid w:val="00EB2769"/>
    <w:rsid w:val="00EB3AEF"/>
    <w:rsid w:val="00EB3B00"/>
    <w:rsid w:val="00EB3E1B"/>
    <w:rsid w:val="00EB449D"/>
    <w:rsid w:val="00EB4C9C"/>
    <w:rsid w:val="00EB51E8"/>
    <w:rsid w:val="00EB5839"/>
    <w:rsid w:val="00EB6008"/>
    <w:rsid w:val="00EC0809"/>
    <w:rsid w:val="00EC13C0"/>
    <w:rsid w:val="00EC29D3"/>
    <w:rsid w:val="00EC34F9"/>
    <w:rsid w:val="00EC3716"/>
    <w:rsid w:val="00EC459B"/>
    <w:rsid w:val="00EC6860"/>
    <w:rsid w:val="00EC6A93"/>
    <w:rsid w:val="00EC71C6"/>
    <w:rsid w:val="00EC7ACE"/>
    <w:rsid w:val="00ED02BD"/>
    <w:rsid w:val="00ED0560"/>
    <w:rsid w:val="00ED112B"/>
    <w:rsid w:val="00ED195C"/>
    <w:rsid w:val="00ED22F4"/>
    <w:rsid w:val="00ED24D2"/>
    <w:rsid w:val="00ED2F8D"/>
    <w:rsid w:val="00ED3998"/>
    <w:rsid w:val="00ED5518"/>
    <w:rsid w:val="00ED5659"/>
    <w:rsid w:val="00ED5A7B"/>
    <w:rsid w:val="00ED5B4A"/>
    <w:rsid w:val="00ED628C"/>
    <w:rsid w:val="00ED6505"/>
    <w:rsid w:val="00ED66CB"/>
    <w:rsid w:val="00ED6711"/>
    <w:rsid w:val="00ED6BDF"/>
    <w:rsid w:val="00ED769F"/>
    <w:rsid w:val="00ED7A8D"/>
    <w:rsid w:val="00EE018F"/>
    <w:rsid w:val="00EE0251"/>
    <w:rsid w:val="00EE0A48"/>
    <w:rsid w:val="00EE14E2"/>
    <w:rsid w:val="00EE1A9E"/>
    <w:rsid w:val="00EE3057"/>
    <w:rsid w:val="00EE4095"/>
    <w:rsid w:val="00EE4CC2"/>
    <w:rsid w:val="00EE51CA"/>
    <w:rsid w:val="00EE56B7"/>
    <w:rsid w:val="00EE7151"/>
    <w:rsid w:val="00EE730D"/>
    <w:rsid w:val="00EE74D5"/>
    <w:rsid w:val="00EE7DEE"/>
    <w:rsid w:val="00EF12FF"/>
    <w:rsid w:val="00EF236A"/>
    <w:rsid w:val="00EF2A0A"/>
    <w:rsid w:val="00EF2FB7"/>
    <w:rsid w:val="00EF3699"/>
    <w:rsid w:val="00EF3E46"/>
    <w:rsid w:val="00EF4C27"/>
    <w:rsid w:val="00EF5EA5"/>
    <w:rsid w:val="00EF658C"/>
    <w:rsid w:val="00EF6984"/>
    <w:rsid w:val="00EF6F7F"/>
    <w:rsid w:val="00EF7589"/>
    <w:rsid w:val="00EF7BD5"/>
    <w:rsid w:val="00EF7DC9"/>
    <w:rsid w:val="00EF7F99"/>
    <w:rsid w:val="00F005E0"/>
    <w:rsid w:val="00F00872"/>
    <w:rsid w:val="00F00E46"/>
    <w:rsid w:val="00F01A4F"/>
    <w:rsid w:val="00F02307"/>
    <w:rsid w:val="00F02A8F"/>
    <w:rsid w:val="00F02B5A"/>
    <w:rsid w:val="00F02E93"/>
    <w:rsid w:val="00F03CED"/>
    <w:rsid w:val="00F03FF9"/>
    <w:rsid w:val="00F04561"/>
    <w:rsid w:val="00F04DEE"/>
    <w:rsid w:val="00F052E7"/>
    <w:rsid w:val="00F05E90"/>
    <w:rsid w:val="00F06267"/>
    <w:rsid w:val="00F062BC"/>
    <w:rsid w:val="00F073DD"/>
    <w:rsid w:val="00F1013E"/>
    <w:rsid w:val="00F1084E"/>
    <w:rsid w:val="00F10A02"/>
    <w:rsid w:val="00F110D9"/>
    <w:rsid w:val="00F11508"/>
    <w:rsid w:val="00F1335E"/>
    <w:rsid w:val="00F15234"/>
    <w:rsid w:val="00F15DE0"/>
    <w:rsid w:val="00F16C40"/>
    <w:rsid w:val="00F1742B"/>
    <w:rsid w:val="00F2111C"/>
    <w:rsid w:val="00F2135A"/>
    <w:rsid w:val="00F21650"/>
    <w:rsid w:val="00F222CB"/>
    <w:rsid w:val="00F2246F"/>
    <w:rsid w:val="00F232DE"/>
    <w:rsid w:val="00F23740"/>
    <w:rsid w:val="00F26672"/>
    <w:rsid w:val="00F26C15"/>
    <w:rsid w:val="00F27F16"/>
    <w:rsid w:val="00F305A8"/>
    <w:rsid w:val="00F31905"/>
    <w:rsid w:val="00F3190C"/>
    <w:rsid w:val="00F31A04"/>
    <w:rsid w:val="00F32304"/>
    <w:rsid w:val="00F333D9"/>
    <w:rsid w:val="00F33984"/>
    <w:rsid w:val="00F33B24"/>
    <w:rsid w:val="00F33E49"/>
    <w:rsid w:val="00F34BE7"/>
    <w:rsid w:val="00F34E21"/>
    <w:rsid w:val="00F35702"/>
    <w:rsid w:val="00F3588B"/>
    <w:rsid w:val="00F35A22"/>
    <w:rsid w:val="00F35AD1"/>
    <w:rsid w:val="00F37ECE"/>
    <w:rsid w:val="00F4037C"/>
    <w:rsid w:val="00F40EE2"/>
    <w:rsid w:val="00F41AF3"/>
    <w:rsid w:val="00F41C9E"/>
    <w:rsid w:val="00F423DB"/>
    <w:rsid w:val="00F42BE9"/>
    <w:rsid w:val="00F42FEB"/>
    <w:rsid w:val="00F43745"/>
    <w:rsid w:val="00F44B0D"/>
    <w:rsid w:val="00F44DB6"/>
    <w:rsid w:val="00F45E3C"/>
    <w:rsid w:val="00F4680A"/>
    <w:rsid w:val="00F47122"/>
    <w:rsid w:val="00F47280"/>
    <w:rsid w:val="00F4731A"/>
    <w:rsid w:val="00F47882"/>
    <w:rsid w:val="00F47A2B"/>
    <w:rsid w:val="00F47CCF"/>
    <w:rsid w:val="00F47F74"/>
    <w:rsid w:val="00F500F9"/>
    <w:rsid w:val="00F50913"/>
    <w:rsid w:val="00F51D28"/>
    <w:rsid w:val="00F52399"/>
    <w:rsid w:val="00F530F4"/>
    <w:rsid w:val="00F53502"/>
    <w:rsid w:val="00F55084"/>
    <w:rsid w:val="00F555D8"/>
    <w:rsid w:val="00F56288"/>
    <w:rsid w:val="00F56661"/>
    <w:rsid w:val="00F60770"/>
    <w:rsid w:val="00F60A22"/>
    <w:rsid w:val="00F618AF"/>
    <w:rsid w:val="00F618B3"/>
    <w:rsid w:val="00F63B74"/>
    <w:rsid w:val="00F63D13"/>
    <w:rsid w:val="00F6425C"/>
    <w:rsid w:val="00F642B4"/>
    <w:rsid w:val="00F64586"/>
    <w:rsid w:val="00F64AF3"/>
    <w:rsid w:val="00F652AB"/>
    <w:rsid w:val="00F66677"/>
    <w:rsid w:val="00F66EB9"/>
    <w:rsid w:val="00F675CB"/>
    <w:rsid w:val="00F679DC"/>
    <w:rsid w:val="00F70118"/>
    <w:rsid w:val="00F70530"/>
    <w:rsid w:val="00F70576"/>
    <w:rsid w:val="00F70798"/>
    <w:rsid w:val="00F716CC"/>
    <w:rsid w:val="00F71C11"/>
    <w:rsid w:val="00F71DED"/>
    <w:rsid w:val="00F72A59"/>
    <w:rsid w:val="00F72C4A"/>
    <w:rsid w:val="00F72CFD"/>
    <w:rsid w:val="00F72D8B"/>
    <w:rsid w:val="00F72FF4"/>
    <w:rsid w:val="00F73BD3"/>
    <w:rsid w:val="00F73EF9"/>
    <w:rsid w:val="00F73F4C"/>
    <w:rsid w:val="00F743FE"/>
    <w:rsid w:val="00F74559"/>
    <w:rsid w:val="00F7474F"/>
    <w:rsid w:val="00F748AD"/>
    <w:rsid w:val="00F74C57"/>
    <w:rsid w:val="00F750B6"/>
    <w:rsid w:val="00F760FA"/>
    <w:rsid w:val="00F761DB"/>
    <w:rsid w:val="00F76E06"/>
    <w:rsid w:val="00F77176"/>
    <w:rsid w:val="00F776A0"/>
    <w:rsid w:val="00F77702"/>
    <w:rsid w:val="00F804D1"/>
    <w:rsid w:val="00F805DE"/>
    <w:rsid w:val="00F80946"/>
    <w:rsid w:val="00F8242C"/>
    <w:rsid w:val="00F82999"/>
    <w:rsid w:val="00F85689"/>
    <w:rsid w:val="00F85B8F"/>
    <w:rsid w:val="00F8612C"/>
    <w:rsid w:val="00F8647B"/>
    <w:rsid w:val="00F864C5"/>
    <w:rsid w:val="00F86F51"/>
    <w:rsid w:val="00F87E19"/>
    <w:rsid w:val="00F900E0"/>
    <w:rsid w:val="00F901E7"/>
    <w:rsid w:val="00F90809"/>
    <w:rsid w:val="00F91AD2"/>
    <w:rsid w:val="00F91E33"/>
    <w:rsid w:val="00F91F12"/>
    <w:rsid w:val="00F92489"/>
    <w:rsid w:val="00F928C7"/>
    <w:rsid w:val="00F9362E"/>
    <w:rsid w:val="00F936E5"/>
    <w:rsid w:val="00F93FB8"/>
    <w:rsid w:val="00F96202"/>
    <w:rsid w:val="00F96DB1"/>
    <w:rsid w:val="00F97234"/>
    <w:rsid w:val="00FA04BB"/>
    <w:rsid w:val="00FA0A85"/>
    <w:rsid w:val="00FA13D0"/>
    <w:rsid w:val="00FA1785"/>
    <w:rsid w:val="00FA1BA2"/>
    <w:rsid w:val="00FA27FE"/>
    <w:rsid w:val="00FA31EB"/>
    <w:rsid w:val="00FA4459"/>
    <w:rsid w:val="00FA47C8"/>
    <w:rsid w:val="00FA49DE"/>
    <w:rsid w:val="00FA4B45"/>
    <w:rsid w:val="00FA50B0"/>
    <w:rsid w:val="00FA5A9F"/>
    <w:rsid w:val="00FA6B67"/>
    <w:rsid w:val="00FA7228"/>
    <w:rsid w:val="00FB03EE"/>
    <w:rsid w:val="00FB12BE"/>
    <w:rsid w:val="00FB188A"/>
    <w:rsid w:val="00FB211A"/>
    <w:rsid w:val="00FB2145"/>
    <w:rsid w:val="00FB2A75"/>
    <w:rsid w:val="00FB2BBE"/>
    <w:rsid w:val="00FB3633"/>
    <w:rsid w:val="00FB37B5"/>
    <w:rsid w:val="00FB3E55"/>
    <w:rsid w:val="00FB50D7"/>
    <w:rsid w:val="00FB5AD0"/>
    <w:rsid w:val="00FC0C03"/>
    <w:rsid w:val="00FC38A7"/>
    <w:rsid w:val="00FC3E9B"/>
    <w:rsid w:val="00FC4697"/>
    <w:rsid w:val="00FC49AE"/>
    <w:rsid w:val="00FC52DC"/>
    <w:rsid w:val="00FC549F"/>
    <w:rsid w:val="00FC590F"/>
    <w:rsid w:val="00FC6E35"/>
    <w:rsid w:val="00FC72FE"/>
    <w:rsid w:val="00FD2C89"/>
    <w:rsid w:val="00FD2F45"/>
    <w:rsid w:val="00FD3333"/>
    <w:rsid w:val="00FD3A65"/>
    <w:rsid w:val="00FD53C4"/>
    <w:rsid w:val="00FD5560"/>
    <w:rsid w:val="00FD7934"/>
    <w:rsid w:val="00FD7B95"/>
    <w:rsid w:val="00FE0B6E"/>
    <w:rsid w:val="00FE13D9"/>
    <w:rsid w:val="00FE269A"/>
    <w:rsid w:val="00FE2854"/>
    <w:rsid w:val="00FE2C4E"/>
    <w:rsid w:val="00FE30ED"/>
    <w:rsid w:val="00FE3395"/>
    <w:rsid w:val="00FE39B9"/>
    <w:rsid w:val="00FE3F02"/>
    <w:rsid w:val="00FE4A6E"/>
    <w:rsid w:val="00FE4EF9"/>
    <w:rsid w:val="00FE62B0"/>
    <w:rsid w:val="00FE64BB"/>
    <w:rsid w:val="00FE68D8"/>
    <w:rsid w:val="00FE6EF3"/>
    <w:rsid w:val="00FE7EE9"/>
    <w:rsid w:val="00FF0C53"/>
    <w:rsid w:val="00FF222D"/>
    <w:rsid w:val="00FF286B"/>
    <w:rsid w:val="00FF2DF3"/>
    <w:rsid w:val="00FF2EB7"/>
    <w:rsid w:val="00FF3F60"/>
    <w:rsid w:val="00FF41EE"/>
    <w:rsid w:val="00FF4574"/>
    <w:rsid w:val="00FF5CD7"/>
    <w:rsid w:val="00FF65B8"/>
    <w:rsid w:val="00FF6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A4B"/>
    <w:pPr>
      <w:jc w:val="both"/>
    </w:pPr>
    <w:rPr>
      <w:rFonts w:ascii="Times New Roman" w:hAnsi="Times New Roman"/>
      <w:sz w:val="24"/>
      <w:szCs w:val="22"/>
    </w:rPr>
  </w:style>
  <w:style w:type="paragraph" w:styleId="Heading1">
    <w:name w:val="heading 1"/>
    <w:basedOn w:val="Normal"/>
    <w:next w:val="Normal"/>
    <w:link w:val="Heading1Char"/>
    <w:uiPriority w:val="99"/>
    <w:qFormat/>
    <w:locked/>
    <w:rsid w:val="00601A4B"/>
    <w:pPr>
      <w:keepNext/>
      <w:spacing w:before="240" w:after="60"/>
      <w:outlineLvl w:val="0"/>
    </w:pPr>
    <w:rPr>
      <w:rFonts w:ascii="Cambria" w:hAnsi="Cambria"/>
      <w:b/>
      <w:kern w:val="32"/>
      <w:sz w:val="32"/>
      <w:szCs w:val="20"/>
      <w:lang w:val="x-none" w:eastAsia="x-none"/>
    </w:rPr>
  </w:style>
  <w:style w:type="paragraph" w:styleId="Heading2">
    <w:name w:val="heading 2"/>
    <w:basedOn w:val="Normal"/>
    <w:next w:val="Normal"/>
    <w:link w:val="Heading2Char"/>
    <w:uiPriority w:val="99"/>
    <w:qFormat/>
    <w:locked/>
    <w:rsid w:val="00807D3E"/>
    <w:pPr>
      <w:keepNext/>
      <w:keepLines/>
      <w:spacing w:before="200"/>
      <w:jc w:val="left"/>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semiHidden/>
    <w:unhideWhenUsed/>
    <w:qFormat/>
    <w:locked/>
    <w:rsid w:val="00554F7E"/>
    <w:pPr>
      <w:keepNext/>
      <w:spacing w:before="240" w:after="60"/>
      <w:outlineLvl w:val="3"/>
    </w:pPr>
    <w:rPr>
      <w:rFonts w:ascii="Calibri" w:eastAsia="Times New Roman"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1A4B"/>
    <w:rPr>
      <w:rFonts w:ascii="Cambria" w:hAnsi="Cambria" w:cs="Times New Roman"/>
      <w:b/>
      <w:kern w:val="32"/>
      <w:sz w:val="32"/>
    </w:rPr>
  </w:style>
  <w:style w:type="character" w:customStyle="1" w:styleId="Heading2Char">
    <w:name w:val="Heading 2 Char"/>
    <w:link w:val="Heading2"/>
    <w:uiPriority w:val="99"/>
    <w:locked/>
    <w:rsid w:val="00807D3E"/>
    <w:rPr>
      <w:rFonts w:ascii="Cambria" w:hAnsi="Cambria" w:cs="Times New Roman"/>
      <w:b/>
      <w:bCs/>
      <w:color w:val="4F81BD"/>
      <w:sz w:val="26"/>
      <w:szCs w:val="26"/>
    </w:rPr>
  </w:style>
  <w:style w:type="character" w:customStyle="1" w:styleId="FootnoteTextChar">
    <w:name w:val="Footnote Text Char"/>
    <w:uiPriority w:val="99"/>
    <w:locked/>
    <w:rsid w:val="0036752B"/>
    <w:rPr>
      <w:rFonts w:ascii="Calibri" w:hAnsi="Calibri"/>
      <w:sz w:val="20"/>
    </w:rPr>
  </w:style>
  <w:style w:type="paragraph" w:styleId="FootnoteText">
    <w:name w:val="footnote text"/>
    <w:basedOn w:val="Normal"/>
    <w:link w:val="FootnoteTextChar1"/>
    <w:uiPriority w:val="99"/>
    <w:rsid w:val="0036752B"/>
    <w:rPr>
      <w:rFonts w:ascii="Calibri" w:hAnsi="Calibri"/>
      <w:sz w:val="20"/>
      <w:szCs w:val="20"/>
      <w:lang w:val="x-none" w:eastAsia="x-none"/>
    </w:rPr>
  </w:style>
  <w:style w:type="character" w:customStyle="1" w:styleId="FootnoteTextChar1">
    <w:name w:val="Footnote Text Char1"/>
    <w:link w:val="FootnoteText"/>
    <w:uiPriority w:val="99"/>
    <w:locked/>
    <w:rsid w:val="008B7991"/>
    <w:rPr>
      <w:rFonts w:cs="Times New Roman"/>
      <w:sz w:val="20"/>
    </w:rPr>
  </w:style>
  <w:style w:type="character" w:customStyle="1" w:styleId="HeaderChar">
    <w:name w:val="Header Char"/>
    <w:uiPriority w:val="99"/>
    <w:locked/>
    <w:rsid w:val="0036752B"/>
    <w:rPr>
      <w:rFonts w:ascii="Calibri" w:hAnsi="Calibri"/>
    </w:rPr>
  </w:style>
  <w:style w:type="paragraph" w:styleId="Header">
    <w:name w:val="header"/>
    <w:basedOn w:val="Normal"/>
    <w:link w:val="HeaderChar1"/>
    <w:uiPriority w:val="99"/>
    <w:rsid w:val="0036752B"/>
    <w:pPr>
      <w:tabs>
        <w:tab w:val="center" w:pos="4680"/>
        <w:tab w:val="right" w:pos="9360"/>
      </w:tabs>
    </w:pPr>
    <w:rPr>
      <w:rFonts w:ascii="Calibri" w:hAnsi="Calibri"/>
      <w:sz w:val="20"/>
      <w:szCs w:val="20"/>
      <w:lang w:val="x-none" w:eastAsia="x-none"/>
    </w:rPr>
  </w:style>
  <w:style w:type="character" w:customStyle="1" w:styleId="HeaderChar1">
    <w:name w:val="Header Char1"/>
    <w:link w:val="Header"/>
    <w:uiPriority w:val="99"/>
    <w:locked/>
    <w:rsid w:val="008B7991"/>
    <w:rPr>
      <w:rFonts w:cs="Times New Roman"/>
    </w:rPr>
  </w:style>
  <w:style w:type="character" w:customStyle="1" w:styleId="FooterChar">
    <w:name w:val="Footer Char"/>
    <w:uiPriority w:val="99"/>
    <w:locked/>
    <w:rsid w:val="0036752B"/>
    <w:rPr>
      <w:rFonts w:ascii="Calibri" w:hAnsi="Calibri"/>
    </w:rPr>
  </w:style>
  <w:style w:type="paragraph" w:styleId="Footer">
    <w:name w:val="footer"/>
    <w:basedOn w:val="Normal"/>
    <w:link w:val="FooterChar1"/>
    <w:uiPriority w:val="99"/>
    <w:rsid w:val="0036752B"/>
    <w:pPr>
      <w:tabs>
        <w:tab w:val="center" w:pos="4680"/>
        <w:tab w:val="right" w:pos="9360"/>
      </w:tabs>
    </w:pPr>
    <w:rPr>
      <w:rFonts w:ascii="Calibri" w:hAnsi="Calibri"/>
      <w:sz w:val="20"/>
      <w:szCs w:val="20"/>
      <w:lang w:val="x-none" w:eastAsia="x-none"/>
    </w:rPr>
  </w:style>
  <w:style w:type="character" w:customStyle="1" w:styleId="FooterChar1">
    <w:name w:val="Footer Char1"/>
    <w:link w:val="Footer"/>
    <w:uiPriority w:val="99"/>
    <w:locked/>
    <w:rsid w:val="008B7991"/>
    <w:rPr>
      <w:rFonts w:cs="Times New Roman"/>
    </w:rPr>
  </w:style>
  <w:style w:type="character" w:customStyle="1" w:styleId="BalloonTextChar">
    <w:name w:val="Balloon Text Char"/>
    <w:uiPriority w:val="99"/>
    <w:semiHidden/>
    <w:locked/>
    <w:rsid w:val="0036752B"/>
    <w:rPr>
      <w:rFonts w:ascii="Tahoma" w:hAnsi="Tahoma"/>
      <w:sz w:val="16"/>
    </w:rPr>
  </w:style>
  <w:style w:type="paragraph" w:styleId="BalloonText">
    <w:name w:val="Balloon Text"/>
    <w:basedOn w:val="Normal"/>
    <w:link w:val="BalloonTextChar1"/>
    <w:uiPriority w:val="99"/>
    <w:semiHidden/>
    <w:rsid w:val="0036752B"/>
    <w:rPr>
      <w:sz w:val="2"/>
      <w:szCs w:val="20"/>
      <w:lang w:val="x-none" w:eastAsia="x-none"/>
    </w:rPr>
  </w:style>
  <w:style w:type="character" w:customStyle="1" w:styleId="BalloonTextChar1">
    <w:name w:val="Balloon Text Char1"/>
    <w:link w:val="BalloonText"/>
    <w:uiPriority w:val="99"/>
    <w:semiHidden/>
    <w:locked/>
    <w:rsid w:val="008B7991"/>
    <w:rPr>
      <w:rFonts w:ascii="Times New Roman" w:hAnsi="Times New Roman" w:cs="Times New Roman"/>
      <w:sz w:val="2"/>
    </w:rPr>
  </w:style>
  <w:style w:type="character" w:customStyle="1" w:styleId="BodyTextChar">
    <w:name w:val="Body Text Char"/>
    <w:uiPriority w:val="99"/>
    <w:semiHidden/>
    <w:locked/>
    <w:rsid w:val="0036752B"/>
    <w:rPr>
      <w:rFonts w:ascii="Times New Roman" w:hAnsi="Times New Roman"/>
      <w:sz w:val="24"/>
    </w:rPr>
  </w:style>
  <w:style w:type="paragraph" w:styleId="BodyText">
    <w:name w:val="Body Text"/>
    <w:basedOn w:val="Normal"/>
    <w:link w:val="BodyTextChar1"/>
    <w:uiPriority w:val="99"/>
    <w:semiHidden/>
    <w:rsid w:val="0036752B"/>
    <w:pPr>
      <w:spacing w:before="100" w:beforeAutospacing="1" w:after="100" w:afterAutospacing="1"/>
    </w:pPr>
    <w:rPr>
      <w:rFonts w:ascii="Calibri" w:hAnsi="Calibri"/>
      <w:sz w:val="20"/>
      <w:szCs w:val="20"/>
      <w:lang w:val="x-none" w:eastAsia="x-none"/>
    </w:rPr>
  </w:style>
  <w:style w:type="character" w:customStyle="1" w:styleId="BodyTextChar1">
    <w:name w:val="Body Text Char1"/>
    <w:link w:val="BodyText"/>
    <w:uiPriority w:val="99"/>
    <w:semiHidden/>
    <w:locked/>
    <w:rsid w:val="008B7991"/>
    <w:rPr>
      <w:rFonts w:cs="Times New Roman"/>
    </w:rPr>
  </w:style>
  <w:style w:type="character" w:styleId="FootnoteReference">
    <w:name w:val="footnote reference"/>
    <w:uiPriority w:val="99"/>
    <w:semiHidden/>
    <w:rsid w:val="0036752B"/>
    <w:rPr>
      <w:rFonts w:cs="Times New Roman"/>
      <w:vertAlign w:val="superscript"/>
    </w:rPr>
  </w:style>
  <w:style w:type="character" w:styleId="Hyperlink">
    <w:name w:val="Hyperlink"/>
    <w:uiPriority w:val="99"/>
    <w:rsid w:val="006D4FB1"/>
    <w:rPr>
      <w:rFonts w:ascii="Times New Roman" w:hAnsi="Times New Roman" w:cs="Times New Roman"/>
      <w:color w:val="0000FF"/>
      <w:u w:val="single"/>
    </w:rPr>
  </w:style>
  <w:style w:type="character" w:styleId="Strong">
    <w:name w:val="Strong"/>
    <w:uiPriority w:val="99"/>
    <w:qFormat/>
    <w:rsid w:val="006D4FB1"/>
    <w:rPr>
      <w:rFonts w:cs="Times New Roman"/>
      <w:b/>
    </w:rPr>
  </w:style>
  <w:style w:type="character" w:customStyle="1" w:styleId="referencetext">
    <w:name w:val="referencetext"/>
    <w:uiPriority w:val="99"/>
    <w:rsid w:val="006D4FB1"/>
  </w:style>
  <w:style w:type="paragraph" w:styleId="NormalWeb">
    <w:name w:val="Normal (Web)"/>
    <w:basedOn w:val="Normal"/>
    <w:uiPriority w:val="99"/>
    <w:rsid w:val="006D4FB1"/>
    <w:pPr>
      <w:spacing w:before="100" w:beforeAutospacing="1" w:after="100" w:afterAutospacing="1"/>
    </w:pPr>
    <w:rPr>
      <w:rFonts w:eastAsia="MS Mincho"/>
      <w:szCs w:val="24"/>
      <w:lang w:eastAsia="ja-JP"/>
    </w:rPr>
  </w:style>
  <w:style w:type="character" w:styleId="Emphasis">
    <w:name w:val="Emphasis"/>
    <w:uiPriority w:val="99"/>
    <w:qFormat/>
    <w:locked/>
    <w:rsid w:val="00601A4B"/>
    <w:rPr>
      <w:rFonts w:cs="Times New Roman"/>
      <w:i/>
    </w:rPr>
  </w:style>
  <w:style w:type="paragraph" w:customStyle="1" w:styleId="Default">
    <w:name w:val="Default"/>
    <w:link w:val="DefaultChar"/>
    <w:rsid w:val="00807D3E"/>
    <w:pPr>
      <w:autoSpaceDE w:val="0"/>
      <w:autoSpaceDN w:val="0"/>
      <w:adjustRightInd w:val="0"/>
    </w:pPr>
    <w:rPr>
      <w:rFonts w:ascii="Gotham" w:eastAsia="Times New Roman" w:hAnsi="Gotham" w:cs="Gotham"/>
      <w:color w:val="000000"/>
      <w:sz w:val="24"/>
      <w:szCs w:val="24"/>
    </w:rPr>
  </w:style>
  <w:style w:type="paragraph" w:styleId="ListParagraph">
    <w:name w:val="List Paragraph"/>
    <w:basedOn w:val="Normal"/>
    <w:uiPriority w:val="34"/>
    <w:qFormat/>
    <w:rsid w:val="00807D3E"/>
    <w:pPr>
      <w:spacing w:after="200" w:line="276" w:lineRule="auto"/>
      <w:ind w:left="720"/>
      <w:contextualSpacing/>
      <w:jc w:val="left"/>
    </w:pPr>
    <w:rPr>
      <w:rFonts w:ascii="Calibri" w:hAnsi="Calibri"/>
      <w:sz w:val="22"/>
    </w:rPr>
  </w:style>
  <w:style w:type="character" w:customStyle="1" w:styleId="CharChar3">
    <w:name w:val="Char Char3"/>
    <w:uiPriority w:val="99"/>
    <w:semiHidden/>
    <w:rsid w:val="00177524"/>
    <w:rPr>
      <w:rFonts w:cs="Times New Roman"/>
      <w:sz w:val="20"/>
      <w:szCs w:val="20"/>
    </w:rPr>
  </w:style>
  <w:style w:type="paragraph" w:customStyle="1" w:styleId="CM3">
    <w:name w:val="CM3"/>
    <w:basedOn w:val="Default"/>
    <w:next w:val="Default"/>
    <w:rsid w:val="00177524"/>
    <w:pPr>
      <w:widowControl w:val="0"/>
      <w:spacing w:line="568" w:lineRule="atLeast"/>
    </w:pPr>
    <w:rPr>
      <w:rFonts w:ascii="Times New Roman" w:eastAsia="Calibri" w:hAnsi="Times New Roman" w:cs="Times New Roman"/>
      <w:color w:val="auto"/>
    </w:rPr>
  </w:style>
  <w:style w:type="character" w:customStyle="1" w:styleId="Heading4Char">
    <w:name w:val="Heading 4 Char"/>
    <w:link w:val="Heading4"/>
    <w:uiPriority w:val="9"/>
    <w:semiHidden/>
    <w:rsid w:val="00554F7E"/>
    <w:rPr>
      <w:rFonts w:ascii="Calibri" w:eastAsia="Times New Roman" w:hAnsi="Calibri" w:cs="Times New Roman"/>
      <w:b/>
      <w:bCs/>
      <w:sz w:val="28"/>
      <w:szCs w:val="28"/>
    </w:rPr>
  </w:style>
  <w:style w:type="character" w:customStyle="1" w:styleId="DefaultChar">
    <w:name w:val="Default Char"/>
    <w:link w:val="Default"/>
    <w:locked/>
    <w:rsid w:val="005E39FE"/>
    <w:rPr>
      <w:rFonts w:ascii="Gotham" w:eastAsia="Times New Roman" w:hAnsi="Gotham" w:cs="Gotham"/>
      <w:color w:val="000000"/>
      <w:sz w:val="24"/>
      <w:szCs w:val="24"/>
    </w:rPr>
  </w:style>
  <w:style w:type="character" w:customStyle="1" w:styleId="googqs-tidbit1">
    <w:name w:val="goog_qs-tidbit1"/>
    <w:rsid w:val="002411B1"/>
    <w:rPr>
      <w:vanish w:val="0"/>
      <w:webHidden w:val="0"/>
      <w:specVanish w:val="0"/>
    </w:rPr>
  </w:style>
  <w:style w:type="character" w:customStyle="1" w:styleId="apple-converted-space">
    <w:name w:val="apple-converted-space"/>
    <w:rsid w:val="00BD713C"/>
  </w:style>
  <w:style w:type="paragraph" w:customStyle="1" w:styleId="FirstLevelHeading">
    <w:name w:val="First Level Heading"/>
    <w:basedOn w:val="ListParagraph"/>
    <w:link w:val="FirstLevelHeadingChar"/>
    <w:uiPriority w:val="99"/>
    <w:rsid w:val="00B61F26"/>
    <w:pPr>
      <w:spacing w:after="0" w:line="360" w:lineRule="auto"/>
      <w:ind w:left="360" w:hanging="360"/>
      <w:jc w:val="both"/>
    </w:pPr>
    <w:rPr>
      <w:rFonts w:ascii="Times New Roman" w:eastAsia="Times New Roman" w:hAnsi="Times New Roman"/>
      <w:b/>
      <w:sz w:val="20"/>
      <w:szCs w:val="20"/>
      <w:lang w:val="x-none" w:eastAsia="x-none"/>
    </w:rPr>
  </w:style>
  <w:style w:type="character" w:customStyle="1" w:styleId="FirstLevelHeadingChar">
    <w:name w:val="First Level Heading Char"/>
    <w:link w:val="FirstLevelHeading"/>
    <w:uiPriority w:val="99"/>
    <w:locked/>
    <w:rsid w:val="00B61F26"/>
    <w:rPr>
      <w:rFonts w:ascii="Times New Roman" w:eastAsia="Times New Roman" w:hAnsi="Times New Roman"/>
      <w:b/>
      <w:lang w:val="x-none" w:eastAsia="x-none"/>
    </w:rPr>
  </w:style>
  <w:style w:type="character" w:styleId="CommentReference">
    <w:name w:val="annotation reference"/>
    <w:basedOn w:val="DefaultParagraphFont"/>
    <w:uiPriority w:val="99"/>
    <w:semiHidden/>
    <w:unhideWhenUsed/>
    <w:rsid w:val="00DA633E"/>
    <w:rPr>
      <w:sz w:val="16"/>
      <w:szCs w:val="16"/>
    </w:rPr>
  </w:style>
  <w:style w:type="paragraph" w:styleId="CommentText">
    <w:name w:val="annotation text"/>
    <w:basedOn w:val="Normal"/>
    <w:link w:val="CommentTextChar"/>
    <w:uiPriority w:val="99"/>
    <w:semiHidden/>
    <w:unhideWhenUsed/>
    <w:rsid w:val="00DA633E"/>
    <w:rPr>
      <w:sz w:val="20"/>
      <w:szCs w:val="20"/>
    </w:rPr>
  </w:style>
  <w:style w:type="character" w:customStyle="1" w:styleId="CommentTextChar">
    <w:name w:val="Comment Text Char"/>
    <w:basedOn w:val="DefaultParagraphFont"/>
    <w:link w:val="CommentText"/>
    <w:uiPriority w:val="99"/>
    <w:semiHidden/>
    <w:rsid w:val="00DA633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A633E"/>
    <w:rPr>
      <w:b/>
      <w:bCs/>
    </w:rPr>
  </w:style>
  <w:style w:type="character" w:customStyle="1" w:styleId="CommentSubjectChar">
    <w:name w:val="Comment Subject Char"/>
    <w:basedOn w:val="CommentTextChar"/>
    <w:link w:val="CommentSubject"/>
    <w:uiPriority w:val="99"/>
    <w:semiHidden/>
    <w:rsid w:val="00DA633E"/>
    <w:rPr>
      <w:rFonts w:ascii="Times New Roman" w:hAnsi="Times New Roman"/>
      <w:b/>
      <w:bCs/>
    </w:rPr>
  </w:style>
  <w:style w:type="paragraph" w:styleId="Revision">
    <w:name w:val="Revision"/>
    <w:hidden/>
    <w:uiPriority w:val="99"/>
    <w:semiHidden/>
    <w:rsid w:val="00DA633E"/>
    <w:rPr>
      <w:rFonts w:ascii="Times New Roman" w:hAnsi="Times New Roman"/>
      <w:sz w:val="24"/>
      <w:szCs w:val="22"/>
    </w:rPr>
  </w:style>
  <w:style w:type="table" w:styleId="TableGrid">
    <w:name w:val="Table Grid"/>
    <w:basedOn w:val="TableNormal"/>
    <w:locked/>
    <w:rsid w:val="00635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aliases w:val="t"/>
    <w:basedOn w:val="Normal"/>
    <w:link w:val="textChar"/>
    <w:rsid w:val="00C8574C"/>
    <w:pPr>
      <w:overflowPunct w:val="0"/>
      <w:autoSpaceDE w:val="0"/>
      <w:autoSpaceDN w:val="0"/>
      <w:adjustRightInd w:val="0"/>
      <w:spacing w:line="480" w:lineRule="atLeast"/>
      <w:ind w:firstLine="720"/>
    </w:pPr>
    <w:rPr>
      <w:rFonts w:ascii="Times" w:eastAsia="Times New Roman" w:hAnsi="Times"/>
      <w:szCs w:val="20"/>
    </w:rPr>
  </w:style>
  <w:style w:type="character" w:customStyle="1" w:styleId="textChar">
    <w:name w:val="text Char"/>
    <w:aliases w:val="t Char"/>
    <w:basedOn w:val="DefaultParagraphFont"/>
    <w:link w:val="text"/>
    <w:rsid w:val="00C8574C"/>
    <w:rPr>
      <w:rFonts w:ascii="Times" w:eastAsia="Times New Roman" w:hAnsi="Times"/>
      <w:sz w:val="24"/>
    </w:rPr>
  </w:style>
  <w:style w:type="paragraph" w:styleId="BodyTextIndent">
    <w:name w:val="Body Text Indent"/>
    <w:basedOn w:val="Normal"/>
    <w:link w:val="BodyTextIndentChar"/>
    <w:uiPriority w:val="99"/>
    <w:semiHidden/>
    <w:unhideWhenUsed/>
    <w:rsid w:val="00963D54"/>
    <w:pPr>
      <w:spacing w:after="120"/>
      <w:ind w:left="360"/>
    </w:pPr>
  </w:style>
  <w:style w:type="character" w:customStyle="1" w:styleId="BodyTextIndentChar">
    <w:name w:val="Body Text Indent Char"/>
    <w:basedOn w:val="DefaultParagraphFont"/>
    <w:link w:val="BodyTextIndent"/>
    <w:uiPriority w:val="99"/>
    <w:semiHidden/>
    <w:rsid w:val="00963D54"/>
    <w:rPr>
      <w:rFonts w:ascii="Times New Roman" w:hAnsi="Times New Roman"/>
      <w:sz w:val="24"/>
      <w:szCs w:val="22"/>
    </w:rPr>
  </w:style>
  <w:style w:type="character" w:styleId="PlaceholderText">
    <w:name w:val="Placeholder Text"/>
    <w:basedOn w:val="DefaultParagraphFont"/>
    <w:uiPriority w:val="99"/>
    <w:semiHidden/>
    <w:rsid w:val="00CE44E6"/>
    <w:rPr>
      <w:color w:val="808080"/>
    </w:rPr>
  </w:style>
  <w:style w:type="paragraph" w:styleId="Title">
    <w:name w:val="Title"/>
    <w:basedOn w:val="Normal"/>
    <w:link w:val="TitleChar"/>
    <w:qFormat/>
    <w:locked/>
    <w:rsid w:val="00D0668A"/>
    <w:pPr>
      <w:jc w:val="center"/>
    </w:pPr>
    <w:rPr>
      <w:rFonts w:eastAsia="Times New Roman"/>
      <w:b/>
      <w:bCs/>
      <w:szCs w:val="24"/>
    </w:rPr>
  </w:style>
  <w:style w:type="character" w:customStyle="1" w:styleId="TitleChar">
    <w:name w:val="Title Char"/>
    <w:basedOn w:val="DefaultParagraphFont"/>
    <w:link w:val="Title"/>
    <w:rsid w:val="00D0668A"/>
    <w:rPr>
      <w:rFonts w:ascii="Times New Roman" w:eastAsia="Times New Roman" w:hAnsi="Times New Roman"/>
      <w:b/>
      <w:bCs/>
      <w:sz w:val="24"/>
      <w:szCs w:val="24"/>
    </w:rPr>
  </w:style>
  <w:style w:type="paragraph" w:styleId="EndnoteText">
    <w:name w:val="endnote text"/>
    <w:basedOn w:val="Normal"/>
    <w:link w:val="EndnoteTextChar"/>
    <w:uiPriority w:val="99"/>
    <w:semiHidden/>
    <w:unhideWhenUsed/>
    <w:rsid w:val="00C90A8E"/>
    <w:rPr>
      <w:sz w:val="20"/>
      <w:szCs w:val="20"/>
    </w:rPr>
  </w:style>
  <w:style w:type="character" w:customStyle="1" w:styleId="EndnoteTextChar">
    <w:name w:val="Endnote Text Char"/>
    <w:basedOn w:val="DefaultParagraphFont"/>
    <w:link w:val="EndnoteText"/>
    <w:uiPriority w:val="99"/>
    <w:semiHidden/>
    <w:rsid w:val="00C90A8E"/>
    <w:rPr>
      <w:rFonts w:ascii="Times New Roman" w:hAnsi="Times New Roman"/>
    </w:rPr>
  </w:style>
  <w:style w:type="character" w:styleId="EndnoteReference">
    <w:name w:val="endnote reference"/>
    <w:basedOn w:val="DefaultParagraphFont"/>
    <w:uiPriority w:val="99"/>
    <w:semiHidden/>
    <w:unhideWhenUsed/>
    <w:rsid w:val="00C90A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A4B"/>
    <w:pPr>
      <w:jc w:val="both"/>
    </w:pPr>
    <w:rPr>
      <w:rFonts w:ascii="Times New Roman" w:hAnsi="Times New Roman"/>
      <w:sz w:val="24"/>
      <w:szCs w:val="22"/>
    </w:rPr>
  </w:style>
  <w:style w:type="paragraph" w:styleId="Heading1">
    <w:name w:val="heading 1"/>
    <w:basedOn w:val="Normal"/>
    <w:next w:val="Normal"/>
    <w:link w:val="Heading1Char"/>
    <w:uiPriority w:val="99"/>
    <w:qFormat/>
    <w:locked/>
    <w:rsid w:val="00601A4B"/>
    <w:pPr>
      <w:keepNext/>
      <w:spacing w:before="240" w:after="60"/>
      <w:outlineLvl w:val="0"/>
    </w:pPr>
    <w:rPr>
      <w:rFonts w:ascii="Cambria" w:hAnsi="Cambria"/>
      <w:b/>
      <w:kern w:val="32"/>
      <w:sz w:val="32"/>
      <w:szCs w:val="20"/>
      <w:lang w:val="x-none" w:eastAsia="x-none"/>
    </w:rPr>
  </w:style>
  <w:style w:type="paragraph" w:styleId="Heading2">
    <w:name w:val="heading 2"/>
    <w:basedOn w:val="Normal"/>
    <w:next w:val="Normal"/>
    <w:link w:val="Heading2Char"/>
    <w:uiPriority w:val="99"/>
    <w:qFormat/>
    <w:locked/>
    <w:rsid w:val="00807D3E"/>
    <w:pPr>
      <w:keepNext/>
      <w:keepLines/>
      <w:spacing w:before="200"/>
      <w:jc w:val="left"/>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semiHidden/>
    <w:unhideWhenUsed/>
    <w:qFormat/>
    <w:locked/>
    <w:rsid w:val="00554F7E"/>
    <w:pPr>
      <w:keepNext/>
      <w:spacing w:before="240" w:after="60"/>
      <w:outlineLvl w:val="3"/>
    </w:pPr>
    <w:rPr>
      <w:rFonts w:ascii="Calibri" w:eastAsia="Times New Roman"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1A4B"/>
    <w:rPr>
      <w:rFonts w:ascii="Cambria" w:hAnsi="Cambria" w:cs="Times New Roman"/>
      <w:b/>
      <w:kern w:val="32"/>
      <w:sz w:val="32"/>
    </w:rPr>
  </w:style>
  <w:style w:type="character" w:customStyle="1" w:styleId="Heading2Char">
    <w:name w:val="Heading 2 Char"/>
    <w:link w:val="Heading2"/>
    <w:uiPriority w:val="99"/>
    <w:locked/>
    <w:rsid w:val="00807D3E"/>
    <w:rPr>
      <w:rFonts w:ascii="Cambria" w:hAnsi="Cambria" w:cs="Times New Roman"/>
      <w:b/>
      <w:bCs/>
      <w:color w:val="4F81BD"/>
      <w:sz w:val="26"/>
      <w:szCs w:val="26"/>
    </w:rPr>
  </w:style>
  <w:style w:type="character" w:customStyle="1" w:styleId="FootnoteTextChar">
    <w:name w:val="Footnote Text Char"/>
    <w:uiPriority w:val="99"/>
    <w:locked/>
    <w:rsid w:val="0036752B"/>
    <w:rPr>
      <w:rFonts w:ascii="Calibri" w:hAnsi="Calibri"/>
      <w:sz w:val="20"/>
    </w:rPr>
  </w:style>
  <w:style w:type="paragraph" w:styleId="FootnoteText">
    <w:name w:val="footnote text"/>
    <w:basedOn w:val="Normal"/>
    <w:link w:val="FootnoteTextChar1"/>
    <w:uiPriority w:val="99"/>
    <w:rsid w:val="0036752B"/>
    <w:rPr>
      <w:rFonts w:ascii="Calibri" w:hAnsi="Calibri"/>
      <w:sz w:val="20"/>
      <w:szCs w:val="20"/>
      <w:lang w:val="x-none" w:eastAsia="x-none"/>
    </w:rPr>
  </w:style>
  <w:style w:type="character" w:customStyle="1" w:styleId="FootnoteTextChar1">
    <w:name w:val="Footnote Text Char1"/>
    <w:link w:val="FootnoteText"/>
    <w:uiPriority w:val="99"/>
    <w:locked/>
    <w:rsid w:val="008B7991"/>
    <w:rPr>
      <w:rFonts w:cs="Times New Roman"/>
      <w:sz w:val="20"/>
    </w:rPr>
  </w:style>
  <w:style w:type="character" w:customStyle="1" w:styleId="HeaderChar">
    <w:name w:val="Header Char"/>
    <w:uiPriority w:val="99"/>
    <w:locked/>
    <w:rsid w:val="0036752B"/>
    <w:rPr>
      <w:rFonts w:ascii="Calibri" w:hAnsi="Calibri"/>
    </w:rPr>
  </w:style>
  <w:style w:type="paragraph" w:styleId="Header">
    <w:name w:val="header"/>
    <w:basedOn w:val="Normal"/>
    <w:link w:val="HeaderChar1"/>
    <w:uiPriority w:val="99"/>
    <w:rsid w:val="0036752B"/>
    <w:pPr>
      <w:tabs>
        <w:tab w:val="center" w:pos="4680"/>
        <w:tab w:val="right" w:pos="9360"/>
      </w:tabs>
    </w:pPr>
    <w:rPr>
      <w:rFonts w:ascii="Calibri" w:hAnsi="Calibri"/>
      <w:sz w:val="20"/>
      <w:szCs w:val="20"/>
      <w:lang w:val="x-none" w:eastAsia="x-none"/>
    </w:rPr>
  </w:style>
  <w:style w:type="character" w:customStyle="1" w:styleId="HeaderChar1">
    <w:name w:val="Header Char1"/>
    <w:link w:val="Header"/>
    <w:uiPriority w:val="99"/>
    <w:locked/>
    <w:rsid w:val="008B7991"/>
    <w:rPr>
      <w:rFonts w:cs="Times New Roman"/>
    </w:rPr>
  </w:style>
  <w:style w:type="character" w:customStyle="1" w:styleId="FooterChar">
    <w:name w:val="Footer Char"/>
    <w:uiPriority w:val="99"/>
    <w:locked/>
    <w:rsid w:val="0036752B"/>
    <w:rPr>
      <w:rFonts w:ascii="Calibri" w:hAnsi="Calibri"/>
    </w:rPr>
  </w:style>
  <w:style w:type="paragraph" w:styleId="Footer">
    <w:name w:val="footer"/>
    <w:basedOn w:val="Normal"/>
    <w:link w:val="FooterChar1"/>
    <w:uiPriority w:val="99"/>
    <w:rsid w:val="0036752B"/>
    <w:pPr>
      <w:tabs>
        <w:tab w:val="center" w:pos="4680"/>
        <w:tab w:val="right" w:pos="9360"/>
      </w:tabs>
    </w:pPr>
    <w:rPr>
      <w:rFonts w:ascii="Calibri" w:hAnsi="Calibri"/>
      <w:sz w:val="20"/>
      <w:szCs w:val="20"/>
      <w:lang w:val="x-none" w:eastAsia="x-none"/>
    </w:rPr>
  </w:style>
  <w:style w:type="character" w:customStyle="1" w:styleId="FooterChar1">
    <w:name w:val="Footer Char1"/>
    <w:link w:val="Footer"/>
    <w:uiPriority w:val="99"/>
    <w:locked/>
    <w:rsid w:val="008B7991"/>
    <w:rPr>
      <w:rFonts w:cs="Times New Roman"/>
    </w:rPr>
  </w:style>
  <w:style w:type="character" w:customStyle="1" w:styleId="BalloonTextChar">
    <w:name w:val="Balloon Text Char"/>
    <w:uiPriority w:val="99"/>
    <w:semiHidden/>
    <w:locked/>
    <w:rsid w:val="0036752B"/>
    <w:rPr>
      <w:rFonts w:ascii="Tahoma" w:hAnsi="Tahoma"/>
      <w:sz w:val="16"/>
    </w:rPr>
  </w:style>
  <w:style w:type="paragraph" w:styleId="BalloonText">
    <w:name w:val="Balloon Text"/>
    <w:basedOn w:val="Normal"/>
    <w:link w:val="BalloonTextChar1"/>
    <w:uiPriority w:val="99"/>
    <w:semiHidden/>
    <w:rsid w:val="0036752B"/>
    <w:rPr>
      <w:sz w:val="2"/>
      <w:szCs w:val="20"/>
      <w:lang w:val="x-none" w:eastAsia="x-none"/>
    </w:rPr>
  </w:style>
  <w:style w:type="character" w:customStyle="1" w:styleId="BalloonTextChar1">
    <w:name w:val="Balloon Text Char1"/>
    <w:link w:val="BalloonText"/>
    <w:uiPriority w:val="99"/>
    <w:semiHidden/>
    <w:locked/>
    <w:rsid w:val="008B7991"/>
    <w:rPr>
      <w:rFonts w:ascii="Times New Roman" w:hAnsi="Times New Roman" w:cs="Times New Roman"/>
      <w:sz w:val="2"/>
    </w:rPr>
  </w:style>
  <w:style w:type="character" w:customStyle="1" w:styleId="BodyTextChar">
    <w:name w:val="Body Text Char"/>
    <w:uiPriority w:val="99"/>
    <w:semiHidden/>
    <w:locked/>
    <w:rsid w:val="0036752B"/>
    <w:rPr>
      <w:rFonts w:ascii="Times New Roman" w:hAnsi="Times New Roman"/>
      <w:sz w:val="24"/>
    </w:rPr>
  </w:style>
  <w:style w:type="paragraph" w:styleId="BodyText">
    <w:name w:val="Body Text"/>
    <w:basedOn w:val="Normal"/>
    <w:link w:val="BodyTextChar1"/>
    <w:uiPriority w:val="99"/>
    <w:semiHidden/>
    <w:rsid w:val="0036752B"/>
    <w:pPr>
      <w:spacing w:before="100" w:beforeAutospacing="1" w:after="100" w:afterAutospacing="1"/>
    </w:pPr>
    <w:rPr>
      <w:rFonts w:ascii="Calibri" w:hAnsi="Calibri"/>
      <w:sz w:val="20"/>
      <w:szCs w:val="20"/>
      <w:lang w:val="x-none" w:eastAsia="x-none"/>
    </w:rPr>
  </w:style>
  <w:style w:type="character" w:customStyle="1" w:styleId="BodyTextChar1">
    <w:name w:val="Body Text Char1"/>
    <w:link w:val="BodyText"/>
    <w:uiPriority w:val="99"/>
    <w:semiHidden/>
    <w:locked/>
    <w:rsid w:val="008B7991"/>
    <w:rPr>
      <w:rFonts w:cs="Times New Roman"/>
    </w:rPr>
  </w:style>
  <w:style w:type="character" w:styleId="FootnoteReference">
    <w:name w:val="footnote reference"/>
    <w:uiPriority w:val="99"/>
    <w:semiHidden/>
    <w:rsid w:val="0036752B"/>
    <w:rPr>
      <w:rFonts w:cs="Times New Roman"/>
      <w:vertAlign w:val="superscript"/>
    </w:rPr>
  </w:style>
  <w:style w:type="character" w:styleId="Hyperlink">
    <w:name w:val="Hyperlink"/>
    <w:uiPriority w:val="99"/>
    <w:rsid w:val="006D4FB1"/>
    <w:rPr>
      <w:rFonts w:ascii="Times New Roman" w:hAnsi="Times New Roman" w:cs="Times New Roman"/>
      <w:color w:val="0000FF"/>
      <w:u w:val="single"/>
    </w:rPr>
  </w:style>
  <w:style w:type="character" w:styleId="Strong">
    <w:name w:val="Strong"/>
    <w:uiPriority w:val="99"/>
    <w:qFormat/>
    <w:rsid w:val="006D4FB1"/>
    <w:rPr>
      <w:rFonts w:cs="Times New Roman"/>
      <w:b/>
    </w:rPr>
  </w:style>
  <w:style w:type="character" w:customStyle="1" w:styleId="referencetext">
    <w:name w:val="referencetext"/>
    <w:uiPriority w:val="99"/>
    <w:rsid w:val="006D4FB1"/>
  </w:style>
  <w:style w:type="paragraph" w:styleId="NormalWeb">
    <w:name w:val="Normal (Web)"/>
    <w:basedOn w:val="Normal"/>
    <w:uiPriority w:val="99"/>
    <w:rsid w:val="006D4FB1"/>
    <w:pPr>
      <w:spacing w:before="100" w:beforeAutospacing="1" w:after="100" w:afterAutospacing="1"/>
    </w:pPr>
    <w:rPr>
      <w:rFonts w:eastAsia="MS Mincho"/>
      <w:szCs w:val="24"/>
      <w:lang w:eastAsia="ja-JP"/>
    </w:rPr>
  </w:style>
  <w:style w:type="character" w:styleId="Emphasis">
    <w:name w:val="Emphasis"/>
    <w:uiPriority w:val="99"/>
    <w:qFormat/>
    <w:locked/>
    <w:rsid w:val="00601A4B"/>
    <w:rPr>
      <w:rFonts w:cs="Times New Roman"/>
      <w:i/>
    </w:rPr>
  </w:style>
  <w:style w:type="paragraph" w:customStyle="1" w:styleId="Default">
    <w:name w:val="Default"/>
    <w:link w:val="DefaultChar"/>
    <w:rsid w:val="00807D3E"/>
    <w:pPr>
      <w:autoSpaceDE w:val="0"/>
      <w:autoSpaceDN w:val="0"/>
      <w:adjustRightInd w:val="0"/>
    </w:pPr>
    <w:rPr>
      <w:rFonts w:ascii="Gotham" w:eastAsia="Times New Roman" w:hAnsi="Gotham" w:cs="Gotham"/>
      <w:color w:val="000000"/>
      <w:sz w:val="24"/>
      <w:szCs w:val="24"/>
    </w:rPr>
  </w:style>
  <w:style w:type="paragraph" w:styleId="ListParagraph">
    <w:name w:val="List Paragraph"/>
    <w:basedOn w:val="Normal"/>
    <w:uiPriority w:val="34"/>
    <w:qFormat/>
    <w:rsid w:val="00807D3E"/>
    <w:pPr>
      <w:spacing w:after="200" w:line="276" w:lineRule="auto"/>
      <w:ind w:left="720"/>
      <w:contextualSpacing/>
      <w:jc w:val="left"/>
    </w:pPr>
    <w:rPr>
      <w:rFonts w:ascii="Calibri" w:hAnsi="Calibri"/>
      <w:sz w:val="22"/>
    </w:rPr>
  </w:style>
  <w:style w:type="character" w:customStyle="1" w:styleId="CharChar3">
    <w:name w:val="Char Char3"/>
    <w:uiPriority w:val="99"/>
    <w:semiHidden/>
    <w:rsid w:val="00177524"/>
    <w:rPr>
      <w:rFonts w:cs="Times New Roman"/>
      <w:sz w:val="20"/>
      <w:szCs w:val="20"/>
    </w:rPr>
  </w:style>
  <w:style w:type="paragraph" w:customStyle="1" w:styleId="CM3">
    <w:name w:val="CM3"/>
    <w:basedOn w:val="Default"/>
    <w:next w:val="Default"/>
    <w:rsid w:val="00177524"/>
    <w:pPr>
      <w:widowControl w:val="0"/>
      <w:spacing w:line="568" w:lineRule="atLeast"/>
    </w:pPr>
    <w:rPr>
      <w:rFonts w:ascii="Times New Roman" w:eastAsia="Calibri" w:hAnsi="Times New Roman" w:cs="Times New Roman"/>
      <w:color w:val="auto"/>
    </w:rPr>
  </w:style>
  <w:style w:type="character" w:customStyle="1" w:styleId="Heading4Char">
    <w:name w:val="Heading 4 Char"/>
    <w:link w:val="Heading4"/>
    <w:uiPriority w:val="9"/>
    <w:semiHidden/>
    <w:rsid w:val="00554F7E"/>
    <w:rPr>
      <w:rFonts w:ascii="Calibri" w:eastAsia="Times New Roman" w:hAnsi="Calibri" w:cs="Times New Roman"/>
      <w:b/>
      <w:bCs/>
      <w:sz w:val="28"/>
      <w:szCs w:val="28"/>
    </w:rPr>
  </w:style>
  <w:style w:type="character" w:customStyle="1" w:styleId="DefaultChar">
    <w:name w:val="Default Char"/>
    <w:link w:val="Default"/>
    <w:locked/>
    <w:rsid w:val="005E39FE"/>
    <w:rPr>
      <w:rFonts w:ascii="Gotham" w:eastAsia="Times New Roman" w:hAnsi="Gotham" w:cs="Gotham"/>
      <w:color w:val="000000"/>
      <w:sz w:val="24"/>
      <w:szCs w:val="24"/>
    </w:rPr>
  </w:style>
  <w:style w:type="character" w:customStyle="1" w:styleId="googqs-tidbit1">
    <w:name w:val="goog_qs-tidbit1"/>
    <w:rsid w:val="002411B1"/>
    <w:rPr>
      <w:vanish w:val="0"/>
      <w:webHidden w:val="0"/>
      <w:specVanish w:val="0"/>
    </w:rPr>
  </w:style>
  <w:style w:type="character" w:customStyle="1" w:styleId="apple-converted-space">
    <w:name w:val="apple-converted-space"/>
    <w:rsid w:val="00BD713C"/>
  </w:style>
  <w:style w:type="paragraph" w:customStyle="1" w:styleId="FirstLevelHeading">
    <w:name w:val="First Level Heading"/>
    <w:basedOn w:val="ListParagraph"/>
    <w:link w:val="FirstLevelHeadingChar"/>
    <w:uiPriority w:val="99"/>
    <w:rsid w:val="00B61F26"/>
    <w:pPr>
      <w:spacing w:after="0" w:line="360" w:lineRule="auto"/>
      <w:ind w:left="360" w:hanging="360"/>
      <w:jc w:val="both"/>
    </w:pPr>
    <w:rPr>
      <w:rFonts w:ascii="Times New Roman" w:eastAsia="Times New Roman" w:hAnsi="Times New Roman"/>
      <w:b/>
      <w:sz w:val="20"/>
      <w:szCs w:val="20"/>
      <w:lang w:val="x-none" w:eastAsia="x-none"/>
    </w:rPr>
  </w:style>
  <w:style w:type="character" w:customStyle="1" w:styleId="FirstLevelHeadingChar">
    <w:name w:val="First Level Heading Char"/>
    <w:link w:val="FirstLevelHeading"/>
    <w:uiPriority w:val="99"/>
    <w:locked/>
    <w:rsid w:val="00B61F26"/>
    <w:rPr>
      <w:rFonts w:ascii="Times New Roman" w:eastAsia="Times New Roman" w:hAnsi="Times New Roman"/>
      <w:b/>
      <w:lang w:val="x-none" w:eastAsia="x-none"/>
    </w:rPr>
  </w:style>
  <w:style w:type="character" w:styleId="CommentReference">
    <w:name w:val="annotation reference"/>
    <w:basedOn w:val="DefaultParagraphFont"/>
    <w:uiPriority w:val="99"/>
    <w:semiHidden/>
    <w:unhideWhenUsed/>
    <w:rsid w:val="00DA633E"/>
    <w:rPr>
      <w:sz w:val="16"/>
      <w:szCs w:val="16"/>
    </w:rPr>
  </w:style>
  <w:style w:type="paragraph" w:styleId="CommentText">
    <w:name w:val="annotation text"/>
    <w:basedOn w:val="Normal"/>
    <w:link w:val="CommentTextChar"/>
    <w:uiPriority w:val="99"/>
    <w:semiHidden/>
    <w:unhideWhenUsed/>
    <w:rsid w:val="00DA633E"/>
    <w:rPr>
      <w:sz w:val="20"/>
      <w:szCs w:val="20"/>
    </w:rPr>
  </w:style>
  <w:style w:type="character" w:customStyle="1" w:styleId="CommentTextChar">
    <w:name w:val="Comment Text Char"/>
    <w:basedOn w:val="DefaultParagraphFont"/>
    <w:link w:val="CommentText"/>
    <w:uiPriority w:val="99"/>
    <w:semiHidden/>
    <w:rsid w:val="00DA633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A633E"/>
    <w:rPr>
      <w:b/>
      <w:bCs/>
    </w:rPr>
  </w:style>
  <w:style w:type="character" w:customStyle="1" w:styleId="CommentSubjectChar">
    <w:name w:val="Comment Subject Char"/>
    <w:basedOn w:val="CommentTextChar"/>
    <w:link w:val="CommentSubject"/>
    <w:uiPriority w:val="99"/>
    <w:semiHidden/>
    <w:rsid w:val="00DA633E"/>
    <w:rPr>
      <w:rFonts w:ascii="Times New Roman" w:hAnsi="Times New Roman"/>
      <w:b/>
      <w:bCs/>
    </w:rPr>
  </w:style>
  <w:style w:type="paragraph" w:styleId="Revision">
    <w:name w:val="Revision"/>
    <w:hidden/>
    <w:uiPriority w:val="99"/>
    <w:semiHidden/>
    <w:rsid w:val="00DA633E"/>
    <w:rPr>
      <w:rFonts w:ascii="Times New Roman" w:hAnsi="Times New Roman"/>
      <w:sz w:val="24"/>
      <w:szCs w:val="22"/>
    </w:rPr>
  </w:style>
  <w:style w:type="table" w:styleId="TableGrid">
    <w:name w:val="Table Grid"/>
    <w:basedOn w:val="TableNormal"/>
    <w:locked/>
    <w:rsid w:val="00635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aliases w:val="t"/>
    <w:basedOn w:val="Normal"/>
    <w:link w:val="textChar"/>
    <w:rsid w:val="00C8574C"/>
    <w:pPr>
      <w:overflowPunct w:val="0"/>
      <w:autoSpaceDE w:val="0"/>
      <w:autoSpaceDN w:val="0"/>
      <w:adjustRightInd w:val="0"/>
      <w:spacing w:line="480" w:lineRule="atLeast"/>
      <w:ind w:firstLine="720"/>
    </w:pPr>
    <w:rPr>
      <w:rFonts w:ascii="Times" w:eastAsia="Times New Roman" w:hAnsi="Times"/>
      <w:szCs w:val="20"/>
    </w:rPr>
  </w:style>
  <w:style w:type="character" w:customStyle="1" w:styleId="textChar">
    <w:name w:val="text Char"/>
    <w:aliases w:val="t Char"/>
    <w:basedOn w:val="DefaultParagraphFont"/>
    <w:link w:val="text"/>
    <w:rsid w:val="00C8574C"/>
    <w:rPr>
      <w:rFonts w:ascii="Times" w:eastAsia="Times New Roman" w:hAnsi="Times"/>
      <w:sz w:val="24"/>
    </w:rPr>
  </w:style>
  <w:style w:type="paragraph" w:styleId="BodyTextIndent">
    <w:name w:val="Body Text Indent"/>
    <w:basedOn w:val="Normal"/>
    <w:link w:val="BodyTextIndentChar"/>
    <w:uiPriority w:val="99"/>
    <w:semiHidden/>
    <w:unhideWhenUsed/>
    <w:rsid w:val="00963D54"/>
    <w:pPr>
      <w:spacing w:after="120"/>
      <w:ind w:left="360"/>
    </w:pPr>
  </w:style>
  <w:style w:type="character" w:customStyle="1" w:styleId="BodyTextIndentChar">
    <w:name w:val="Body Text Indent Char"/>
    <w:basedOn w:val="DefaultParagraphFont"/>
    <w:link w:val="BodyTextIndent"/>
    <w:uiPriority w:val="99"/>
    <w:semiHidden/>
    <w:rsid w:val="00963D54"/>
    <w:rPr>
      <w:rFonts w:ascii="Times New Roman" w:hAnsi="Times New Roman"/>
      <w:sz w:val="24"/>
      <w:szCs w:val="22"/>
    </w:rPr>
  </w:style>
  <w:style w:type="character" w:styleId="PlaceholderText">
    <w:name w:val="Placeholder Text"/>
    <w:basedOn w:val="DefaultParagraphFont"/>
    <w:uiPriority w:val="99"/>
    <w:semiHidden/>
    <w:rsid w:val="00CE44E6"/>
    <w:rPr>
      <w:color w:val="808080"/>
    </w:rPr>
  </w:style>
  <w:style w:type="paragraph" w:styleId="Title">
    <w:name w:val="Title"/>
    <w:basedOn w:val="Normal"/>
    <w:link w:val="TitleChar"/>
    <w:qFormat/>
    <w:locked/>
    <w:rsid w:val="00D0668A"/>
    <w:pPr>
      <w:jc w:val="center"/>
    </w:pPr>
    <w:rPr>
      <w:rFonts w:eastAsia="Times New Roman"/>
      <w:b/>
      <w:bCs/>
      <w:szCs w:val="24"/>
    </w:rPr>
  </w:style>
  <w:style w:type="character" w:customStyle="1" w:styleId="TitleChar">
    <w:name w:val="Title Char"/>
    <w:basedOn w:val="DefaultParagraphFont"/>
    <w:link w:val="Title"/>
    <w:rsid w:val="00D0668A"/>
    <w:rPr>
      <w:rFonts w:ascii="Times New Roman" w:eastAsia="Times New Roman" w:hAnsi="Times New Roman"/>
      <w:b/>
      <w:bCs/>
      <w:sz w:val="24"/>
      <w:szCs w:val="24"/>
    </w:rPr>
  </w:style>
  <w:style w:type="paragraph" w:styleId="EndnoteText">
    <w:name w:val="endnote text"/>
    <w:basedOn w:val="Normal"/>
    <w:link w:val="EndnoteTextChar"/>
    <w:uiPriority w:val="99"/>
    <w:semiHidden/>
    <w:unhideWhenUsed/>
    <w:rsid w:val="00C90A8E"/>
    <w:rPr>
      <w:sz w:val="20"/>
      <w:szCs w:val="20"/>
    </w:rPr>
  </w:style>
  <w:style w:type="character" w:customStyle="1" w:styleId="EndnoteTextChar">
    <w:name w:val="Endnote Text Char"/>
    <w:basedOn w:val="DefaultParagraphFont"/>
    <w:link w:val="EndnoteText"/>
    <w:uiPriority w:val="99"/>
    <w:semiHidden/>
    <w:rsid w:val="00C90A8E"/>
    <w:rPr>
      <w:rFonts w:ascii="Times New Roman" w:hAnsi="Times New Roman"/>
    </w:rPr>
  </w:style>
  <w:style w:type="character" w:styleId="EndnoteReference">
    <w:name w:val="endnote reference"/>
    <w:basedOn w:val="DefaultParagraphFont"/>
    <w:uiPriority w:val="99"/>
    <w:semiHidden/>
    <w:unhideWhenUsed/>
    <w:rsid w:val="00C90A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7319">
      <w:bodyDiv w:val="1"/>
      <w:marLeft w:val="0"/>
      <w:marRight w:val="0"/>
      <w:marTop w:val="0"/>
      <w:marBottom w:val="0"/>
      <w:divBdr>
        <w:top w:val="none" w:sz="0" w:space="0" w:color="auto"/>
        <w:left w:val="none" w:sz="0" w:space="0" w:color="auto"/>
        <w:bottom w:val="none" w:sz="0" w:space="0" w:color="auto"/>
        <w:right w:val="none" w:sz="0" w:space="0" w:color="auto"/>
      </w:divBdr>
    </w:div>
    <w:div w:id="37559481">
      <w:bodyDiv w:val="1"/>
      <w:marLeft w:val="0"/>
      <w:marRight w:val="0"/>
      <w:marTop w:val="0"/>
      <w:marBottom w:val="0"/>
      <w:divBdr>
        <w:top w:val="none" w:sz="0" w:space="0" w:color="auto"/>
        <w:left w:val="none" w:sz="0" w:space="0" w:color="auto"/>
        <w:bottom w:val="none" w:sz="0" w:space="0" w:color="auto"/>
        <w:right w:val="none" w:sz="0" w:space="0" w:color="auto"/>
      </w:divBdr>
    </w:div>
    <w:div w:id="46804729">
      <w:marLeft w:val="0"/>
      <w:marRight w:val="0"/>
      <w:marTop w:val="0"/>
      <w:marBottom w:val="0"/>
      <w:divBdr>
        <w:top w:val="none" w:sz="0" w:space="0" w:color="auto"/>
        <w:left w:val="none" w:sz="0" w:space="0" w:color="auto"/>
        <w:bottom w:val="none" w:sz="0" w:space="0" w:color="auto"/>
        <w:right w:val="none" w:sz="0" w:space="0" w:color="auto"/>
      </w:divBdr>
    </w:div>
    <w:div w:id="46804730">
      <w:marLeft w:val="0"/>
      <w:marRight w:val="0"/>
      <w:marTop w:val="0"/>
      <w:marBottom w:val="0"/>
      <w:divBdr>
        <w:top w:val="none" w:sz="0" w:space="0" w:color="auto"/>
        <w:left w:val="none" w:sz="0" w:space="0" w:color="auto"/>
        <w:bottom w:val="none" w:sz="0" w:space="0" w:color="auto"/>
        <w:right w:val="none" w:sz="0" w:space="0" w:color="auto"/>
      </w:divBdr>
    </w:div>
    <w:div w:id="46804731">
      <w:marLeft w:val="0"/>
      <w:marRight w:val="0"/>
      <w:marTop w:val="0"/>
      <w:marBottom w:val="0"/>
      <w:divBdr>
        <w:top w:val="none" w:sz="0" w:space="0" w:color="auto"/>
        <w:left w:val="none" w:sz="0" w:space="0" w:color="auto"/>
        <w:bottom w:val="none" w:sz="0" w:space="0" w:color="auto"/>
        <w:right w:val="none" w:sz="0" w:space="0" w:color="auto"/>
      </w:divBdr>
    </w:div>
    <w:div w:id="46804732">
      <w:marLeft w:val="0"/>
      <w:marRight w:val="0"/>
      <w:marTop w:val="0"/>
      <w:marBottom w:val="0"/>
      <w:divBdr>
        <w:top w:val="none" w:sz="0" w:space="0" w:color="auto"/>
        <w:left w:val="none" w:sz="0" w:space="0" w:color="auto"/>
        <w:bottom w:val="none" w:sz="0" w:space="0" w:color="auto"/>
        <w:right w:val="none" w:sz="0" w:space="0" w:color="auto"/>
      </w:divBdr>
    </w:div>
    <w:div w:id="46804733">
      <w:marLeft w:val="0"/>
      <w:marRight w:val="0"/>
      <w:marTop w:val="0"/>
      <w:marBottom w:val="0"/>
      <w:divBdr>
        <w:top w:val="none" w:sz="0" w:space="0" w:color="auto"/>
        <w:left w:val="none" w:sz="0" w:space="0" w:color="auto"/>
        <w:bottom w:val="none" w:sz="0" w:space="0" w:color="auto"/>
        <w:right w:val="none" w:sz="0" w:space="0" w:color="auto"/>
      </w:divBdr>
    </w:div>
    <w:div w:id="46804734">
      <w:marLeft w:val="0"/>
      <w:marRight w:val="0"/>
      <w:marTop w:val="0"/>
      <w:marBottom w:val="0"/>
      <w:divBdr>
        <w:top w:val="none" w:sz="0" w:space="0" w:color="auto"/>
        <w:left w:val="none" w:sz="0" w:space="0" w:color="auto"/>
        <w:bottom w:val="none" w:sz="0" w:space="0" w:color="auto"/>
        <w:right w:val="none" w:sz="0" w:space="0" w:color="auto"/>
      </w:divBdr>
    </w:div>
    <w:div w:id="46804735">
      <w:marLeft w:val="0"/>
      <w:marRight w:val="0"/>
      <w:marTop w:val="0"/>
      <w:marBottom w:val="0"/>
      <w:divBdr>
        <w:top w:val="none" w:sz="0" w:space="0" w:color="auto"/>
        <w:left w:val="none" w:sz="0" w:space="0" w:color="auto"/>
        <w:bottom w:val="none" w:sz="0" w:space="0" w:color="auto"/>
        <w:right w:val="none" w:sz="0" w:space="0" w:color="auto"/>
      </w:divBdr>
    </w:div>
    <w:div w:id="46804736">
      <w:marLeft w:val="0"/>
      <w:marRight w:val="0"/>
      <w:marTop w:val="0"/>
      <w:marBottom w:val="0"/>
      <w:divBdr>
        <w:top w:val="none" w:sz="0" w:space="0" w:color="auto"/>
        <w:left w:val="none" w:sz="0" w:space="0" w:color="auto"/>
        <w:bottom w:val="none" w:sz="0" w:space="0" w:color="auto"/>
        <w:right w:val="none" w:sz="0" w:space="0" w:color="auto"/>
      </w:divBdr>
    </w:div>
    <w:div w:id="51543039">
      <w:bodyDiv w:val="1"/>
      <w:marLeft w:val="0"/>
      <w:marRight w:val="0"/>
      <w:marTop w:val="0"/>
      <w:marBottom w:val="0"/>
      <w:divBdr>
        <w:top w:val="none" w:sz="0" w:space="0" w:color="auto"/>
        <w:left w:val="none" w:sz="0" w:space="0" w:color="auto"/>
        <w:bottom w:val="none" w:sz="0" w:space="0" w:color="auto"/>
        <w:right w:val="none" w:sz="0" w:space="0" w:color="auto"/>
      </w:divBdr>
      <w:divsChild>
        <w:div w:id="515273803">
          <w:marLeft w:val="0"/>
          <w:marRight w:val="0"/>
          <w:marTop w:val="0"/>
          <w:marBottom w:val="0"/>
          <w:divBdr>
            <w:top w:val="none" w:sz="0" w:space="0" w:color="auto"/>
            <w:left w:val="none" w:sz="0" w:space="0" w:color="auto"/>
            <w:bottom w:val="none" w:sz="0" w:space="0" w:color="auto"/>
            <w:right w:val="none" w:sz="0" w:space="0" w:color="auto"/>
          </w:divBdr>
          <w:divsChild>
            <w:div w:id="474421544">
              <w:marLeft w:val="0"/>
              <w:marRight w:val="0"/>
              <w:marTop w:val="0"/>
              <w:marBottom w:val="0"/>
              <w:divBdr>
                <w:top w:val="none" w:sz="0" w:space="0" w:color="auto"/>
                <w:left w:val="none" w:sz="0" w:space="0" w:color="auto"/>
                <w:bottom w:val="none" w:sz="0" w:space="0" w:color="auto"/>
                <w:right w:val="none" w:sz="0" w:space="0" w:color="auto"/>
              </w:divBdr>
              <w:divsChild>
                <w:div w:id="1263106701">
                  <w:marLeft w:val="0"/>
                  <w:marRight w:val="0"/>
                  <w:marTop w:val="0"/>
                  <w:marBottom w:val="0"/>
                  <w:divBdr>
                    <w:top w:val="none" w:sz="0" w:space="0" w:color="auto"/>
                    <w:left w:val="none" w:sz="0" w:space="0" w:color="auto"/>
                    <w:bottom w:val="none" w:sz="0" w:space="0" w:color="auto"/>
                    <w:right w:val="none" w:sz="0" w:space="0" w:color="auto"/>
                  </w:divBdr>
                  <w:divsChild>
                    <w:div w:id="939313">
                      <w:marLeft w:val="0"/>
                      <w:marRight w:val="0"/>
                      <w:marTop w:val="0"/>
                      <w:marBottom w:val="0"/>
                      <w:divBdr>
                        <w:top w:val="none" w:sz="0" w:space="0" w:color="auto"/>
                        <w:left w:val="none" w:sz="0" w:space="0" w:color="auto"/>
                        <w:bottom w:val="none" w:sz="0" w:space="0" w:color="auto"/>
                        <w:right w:val="none" w:sz="0" w:space="0" w:color="auto"/>
                      </w:divBdr>
                      <w:divsChild>
                        <w:div w:id="527371892">
                          <w:marLeft w:val="0"/>
                          <w:marRight w:val="0"/>
                          <w:marTop w:val="0"/>
                          <w:marBottom w:val="0"/>
                          <w:divBdr>
                            <w:top w:val="none" w:sz="0" w:space="0" w:color="auto"/>
                            <w:left w:val="none" w:sz="0" w:space="0" w:color="auto"/>
                            <w:bottom w:val="none" w:sz="0" w:space="0" w:color="auto"/>
                            <w:right w:val="none" w:sz="0" w:space="0" w:color="auto"/>
                          </w:divBdr>
                          <w:divsChild>
                            <w:div w:id="1164660469">
                              <w:marLeft w:val="0"/>
                              <w:marRight w:val="0"/>
                              <w:marTop w:val="0"/>
                              <w:marBottom w:val="0"/>
                              <w:divBdr>
                                <w:top w:val="none" w:sz="0" w:space="0" w:color="auto"/>
                                <w:left w:val="none" w:sz="0" w:space="0" w:color="auto"/>
                                <w:bottom w:val="none" w:sz="0" w:space="0" w:color="auto"/>
                                <w:right w:val="none" w:sz="0" w:space="0" w:color="auto"/>
                              </w:divBdr>
                              <w:divsChild>
                                <w:div w:id="1466313960">
                                  <w:marLeft w:val="0"/>
                                  <w:marRight w:val="0"/>
                                  <w:marTop w:val="0"/>
                                  <w:marBottom w:val="0"/>
                                  <w:divBdr>
                                    <w:top w:val="none" w:sz="0" w:space="0" w:color="auto"/>
                                    <w:left w:val="none" w:sz="0" w:space="0" w:color="auto"/>
                                    <w:bottom w:val="none" w:sz="0" w:space="0" w:color="auto"/>
                                    <w:right w:val="none" w:sz="0" w:space="0" w:color="auto"/>
                                  </w:divBdr>
                                  <w:divsChild>
                                    <w:div w:id="2033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84730">
      <w:bodyDiv w:val="1"/>
      <w:marLeft w:val="0"/>
      <w:marRight w:val="0"/>
      <w:marTop w:val="0"/>
      <w:marBottom w:val="0"/>
      <w:divBdr>
        <w:top w:val="none" w:sz="0" w:space="0" w:color="auto"/>
        <w:left w:val="none" w:sz="0" w:space="0" w:color="auto"/>
        <w:bottom w:val="none" w:sz="0" w:space="0" w:color="auto"/>
        <w:right w:val="none" w:sz="0" w:space="0" w:color="auto"/>
      </w:divBdr>
      <w:divsChild>
        <w:div w:id="1540703127">
          <w:marLeft w:val="0"/>
          <w:marRight w:val="0"/>
          <w:marTop w:val="0"/>
          <w:marBottom w:val="0"/>
          <w:divBdr>
            <w:top w:val="none" w:sz="0" w:space="0" w:color="auto"/>
            <w:left w:val="none" w:sz="0" w:space="0" w:color="auto"/>
            <w:bottom w:val="none" w:sz="0" w:space="0" w:color="auto"/>
            <w:right w:val="none" w:sz="0" w:space="0" w:color="auto"/>
          </w:divBdr>
        </w:div>
      </w:divsChild>
    </w:div>
    <w:div w:id="156770868">
      <w:bodyDiv w:val="1"/>
      <w:marLeft w:val="0"/>
      <w:marRight w:val="0"/>
      <w:marTop w:val="0"/>
      <w:marBottom w:val="0"/>
      <w:divBdr>
        <w:top w:val="none" w:sz="0" w:space="0" w:color="auto"/>
        <w:left w:val="none" w:sz="0" w:space="0" w:color="auto"/>
        <w:bottom w:val="none" w:sz="0" w:space="0" w:color="auto"/>
        <w:right w:val="none" w:sz="0" w:space="0" w:color="auto"/>
      </w:divBdr>
      <w:divsChild>
        <w:div w:id="1530995281">
          <w:marLeft w:val="0"/>
          <w:marRight w:val="0"/>
          <w:marTop w:val="0"/>
          <w:marBottom w:val="0"/>
          <w:divBdr>
            <w:top w:val="none" w:sz="0" w:space="0" w:color="auto"/>
            <w:left w:val="none" w:sz="0" w:space="0" w:color="auto"/>
            <w:bottom w:val="none" w:sz="0" w:space="0" w:color="auto"/>
            <w:right w:val="none" w:sz="0" w:space="0" w:color="auto"/>
          </w:divBdr>
          <w:divsChild>
            <w:div w:id="429814177">
              <w:marLeft w:val="0"/>
              <w:marRight w:val="0"/>
              <w:marTop w:val="0"/>
              <w:marBottom w:val="0"/>
              <w:divBdr>
                <w:top w:val="none" w:sz="0" w:space="0" w:color="auto"/>
                <w:left w:val="none" w:sz="0" w:space="0" w:color="auto"/>
                <w:bottom w:val="none" w:sz="0" w:space="0" w:color="auto"/>
                <w:right w:val="none" w:sz="0" w:space="0" w:color="auto"/>
              </w:divBdr>
              <w:divsChild>
                <w:div w:id="899629718">
                  <w:marLeft w:val="0"/>
                  <w:marRight w:val="0"/>
                  <w:marTop w:val="0"/>
                  <w:marBottom w:val="0"/>
                  <w:divBdr>
                    <w:top w:val="none" w:sz="0" w:space="0" w:color="auto"/>
                    <w:left w:val="none" w:sz="0" w:space="0" w:color="auto"/>
                    <w:bottom w:val="none" w:sz="0" w:space="0" w:color="auto"/>
                    <w:right w:val="none" w:sz="0" w:space="0" w:color="auto"/>
                  </w:divBdr>
                  <w:divsChild>
                    <w:div w:id="1559050809">
                      <w:marLeft w:val="0"/>
                      <w:marRight w:val="0"/>
                      <w:marTop w:val="0"/>
                      <w:marBottom w:val="0"/>
                      <w:divBdr>
                        <w:top w:val="none" w:sz="0" w:space="0" w:color="auto"/>
                        <w:left w:val="none" w:sz="0" w:space="0" w:color="auto"/>
                        <w:bottom w:val="none" w:sz="0" w:space="0" w:color="auto"/>
                        <w:right w:val="none" w:sz="0" w:space="0" w:color="auto"/>
                      </w:divBdr>
                      <w:divsChild>
                        <w:div w:id="46732031">
                          <w:marLeft w:val="0"/>
                          <w:marRight w:val="0"/>
                          <w:marTop w:val="0"/>
                          <w:marBottom w:val="0"/>
                          <w:divBdr>
                            <w:top w:val="none" w:sz="0" w:space="0" w:color="auto"/>
                            <w:left w:val="none" w:sz="0" w:space="0" w:color="auto"/>
                            <w:bottom w:val="none" w:sz="0" w:space="0" w:color="auto"/>
                            <w:right w:val="none" w:sz="0" w:space="0" w:color="auto"/>
                          </w:divBdr>
                          <w:divsChild>
                            <w:div w:id="5470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4778">
      <w:bodyDiv w:val="1"/>
      <w:marLeft w:val="0"/>
      <w:marRight w:val="0"/>
      <w:marTop w:val="0"/>
      <w:marBottom w:val="0"/>
      <w:divBdr>
        <w:top w:val="none" w:sz="0" w:space="0" w:color="auto"/>
        <w:left w:val="none" w:sz="0" w:space="0" w:color="auto"/>
        <w:bottom w:val="none" w:sz="0" w:space="0" w:color="auto"/>
        <w:right w:val="none" w:sz="0" w:space="0" w:color="auto"/>
      </w:divBdr>
    </w:div>
    <w:div w:id="174617315">
      <w:bodyDiv w:val="1"/>
      <w:marLeft w:val="0"/>
      <w:marRight w:val="0"/>
      <w:marTop w:val="0"/>
      <w:marBottom w:val="0"/>
      <w:divBdr>
        <w:top w:val="none" w:sz="0" w:space="0" w:color="auto"/>
        <w:left w:val="none" w:sz="0" w:space="0" w:color="auto"/>
        <w:bottom w:val="none" w:sz="0" w:space="0" w:color="auto"/>
        <w:right w:val="none" w:sz="0" w:space="0" w:color="auto"/>
      </w:divBdr>
    </w:div>
    <w:div w:id="181823446">
      <w:bodyDiv w:val="1"/>
      <w:marLeft w:val="0"/>
      <w:marRight w:val="0"/>
      <w:marTop w:val="0"/>
      <w:marBottom w:val="0"/>
      <w:divBdr>
        <w:top w:val="none" w:sz="0" w:space="0" w:color="auto"/>
        <w:left w:val="none" w:sz="0" w:space="0" w:color="auto"/>
        <w:bottom w:val="none" w:sz="0" w:space="0" w:color="auto"/>
        <w:right w:val="none" w:sz="0" w:space="0" w:color="auto"/>
      </w:divBdr>
    </w:div>
    <w:div w:id="345912281">
      <w:bodyDiv w:val="1"/>
      <w:marLeft w:val="0"/>
      <w:marRight w:val="0"/>
      <w:marTop w:val="0"/>
      <w:marBottom w:val="0"/>
      <w:divBdr>
        <w:top w:val="none" w:sz="0" w:space="0" w:color="auto"/>
        <w:left w:val="none" w:sz="0" w:space="0" w:color="auto"/>
        <w:bottom w:val="none" w:sz="0" w:space="0" w:color="auto"/>
        <w:right w:val="none" w:sz="0" w:space="0" w:color="auto"/>
      </w:divBdr>
    </w:div>
    <w:div w:id="394935247">
      <w:bodyDiv w:val="1"/>
      <w:marLeft w:val="0"/>
      <w:marRight w:val="0"/>
      <w:marTop w:val="0"/>
      <w:marBottom w:val="0"/>
      <w:divBdr>
        <w:top w:val="none" w:sz="0" w:space="0" w:color="auto"/>
        <w:left w:val="none" w:sz="0" w:space="0" w:color="auto"/>
        <w:bottom w:val="none" w:sz="0" w:space="0" w:color="auto"/>
        <w:right w:val="none" w:sz="0" w:space="0" w:color="auto"/>
      </w:divBdr>
      <w:divsChild>
        <w:div w:id="1087993785">
          <w:marLeft w:val="0"/>
          <w:marRight w:val="0"/>
          <w:marTop w:val="0"/>
          <w:marBottom w:val="0"/>
          <w:divBdr>
            <w:top w:val="none" w:sz="0" w:space="0" w:color="auto"/>
            <w:left w:val="none" w:sz="0" w:space="0" w:color="auto"/>
            <w:bottom w:val="none" w:sz="0" w:space="0" w:color="auto"/>
            <w:right w:val="none" w:sz="0" w:space="0" w:color="auto"/>
          </w:divBdr>
          <w:divsChild>
            <w:div w:id="1978533380">
              <w:marLeft w:val="0"/>
              <w:marRight w:val="0"/>
              <w:marTop w:val="0"/>
              <w:marBottom w:val="0"/>
              <w:divBdr>
                <w:top w:val="none" w:sz="0" w:space="0" w:color="auto"/>
                <w:left w:val="none" w:sz="0" w:space="0" w:color="auto"/>
                <w:bottom w:val="none" w:sz="0" w:space="0" w:color="auto"/>
                <w:right w:val="none" w:sz="0" w:space="0" w:color="auto"/>
              </w:divBdr>
              <w:divsChild>
                <w:div w:id="1755129368">
                  <w:marLeft w:val="0"/>
                  <w:marRight w:val="0"/>
                  <w:marTop w:val="0"/>
                  <w:marBottom w:val="0"/>
                  <w:divBdr>
                    <w:top w:val="none" w:sz="0" w:space="0" w:color="auto"/>
                    <w:left w:val="none" w:sz="0" w:space="0" w:color="auto"/>
                    <w:bottom w:val="none" w:sz="0" w:space="0" w:color="auto"/>
                    <w:right w:val="none" w:sz="0" w:space="0" w:color="auto"/>
                  </w:divBdr>
                  <w:divsChild>
                    <w:div w:id="1774783034">
                      <w:marLeft w:val="0"/>
                      <w:marRight w:val="0"/>
                      <w:marTop w:val="0"/>
                      <w:marBottom w:val="0"/>
                      <w:divBdr>
                        <w:top w:val="none" w:sz="0" w:space="0" w:color="auto"/>
                        <w:left w:val="none" w:sz="0" w:space="0" w:color="auto"/>
                        <w:bottom w:val="none" w:sz="0" w:space="0" w:color="auto"/>
                        <w:right w:val="none" w:sz="0" w:space="0" w:color="auto"/>
                      </w:divBdr>
                      <w:divsChild>
                        <w:div w:id="1364985839">
                          <w:marLeft w:val="0"/>
                          <w:marRight w:val="0"/>
                          <w:marTop w:val="0"/>
                          <w:marBottom w:val="0"/>
                          <w:divBdr>
                            <w:top w:val="none" w:sz="0" w:space="0" w:color="auto"/>
                            <w:left w:val="none" w:sz="0" w:space="0" w:color="auto"/>
                            <w:bottom w:val="none" w:sz="0" w:space="0" w:color="auto"/>
                            <w:right w:val="none" w:sz="0" w:space="0" w:color="auto"/>
                          </w:divBdr>
                          <w:divsChild>
                            <w:div w:id="1858956501">
                              <w:marLeft w:val="0"/>
                              <w:marRight w:val="0"/>
                              <w:marTop w:val="0"/>
                              <w:marBottom w:val="0"/>
                              <w:divBdr>
                                <w:top w:val="none" w:sz="0" w:space="0" w:color="auto"/>
                                <w:left w:val="none" w:sz="0" w:space="0" w:color="auto"/>
                                <w:bottom w:val="none" w:sz="0" w:space="0" w:color="auto"/>
                                <w:right w:val="none" w:sz="0" w:space="0" w:color="auto"/>
                              </w:divBdr>
                              <w:divsChild>
                                <w:div w:id="1103258147">
                                  <w:marLeft w:val="0"/>
                                  <w:marRight w:val="0"/>
                                  <w:marTop w:val="0"/>
                                  <w:marBottom w:val="0"/>
                                  <w:divBdr>
                                    <w:top w:val="none" w:sz="0" w:space="0" w:color="auto"/>
                                    <w:left w:val="none" w:sz="0" w:space="0" w:color="auto"/>
                                    <w:bottom w:val="none" w:sz="0" w:space="0" w:color="auto"/>
                                    <w:right w:val="none" w:sz="0" w:space="0" w:color="auto"/>
                                  </w:divBdr>
                                  <w:divsChild>
                                    <w:div w:id="7190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594841">
      <w:bodyDiv w:val="1"/>
      <w:marLeft w:val="0"/>
      <w:marRight w:val="0"/>
      <w:marTop w:val="0"/>
      <w:marBottom w:val="0"/>
      <w:divBdr>
        <w:top w:val="none" w:sz="0" w:space="0" w:color="auto"/>
        <w:left w:val="none" w:sz="0" w:space="0" w:color="auto"/>
        <w:bottom w:val="none" w:sz="0" w:space="0" w:color="auto"/>
        <w:right w:val="none" w:sz="0" w:space="0" w:color="auto"/>
      </w:divBdr>
    </w:div>
    <w:div w:id="523056360">
      <w:bodyDiv w:val="1"/>
      <w:marLeft w:val="0"/>
      <w:marRight w:val="0"/>
      <w:marTop w:val="0"/>
      <w:marBottom w:val="0"/>
      <w:divBdr>
        <w:top w:val="none" w:sz="0" w:space="0" w:color="auto"/>
        <w:left w:val="none" w:sz="0" w:space="0" w:color="auto"/>
        <w:bottom w:val="none" w:sz="0" w:space="0" w:color="auto"/>
        <w:right w:val="none" w:sz="0" w:space="0" w:color="auto"/>
      </w:divBdr>
      <w:divsChild>
        <w:div w:id="832643695">
          <w:marLeft w:val="0"/>
          <w:marRight w:val="0"/>
          <w:marTop w:val="0"/>
          <w:marBottom w:val="0"/>
          <w:divBdr>
            <w:top w:val="none" w:sz="0" w:space="0" w:color="auto"/>
            <w:left w:val="none" w:sz="0" w:space="0" w:color="auto"/>
            <w:bottom w:val="none" w:sz="0" w:space="0" w:color="auto"/>
            <w:right w:val="none" w:sz="0" w:space="0" w:color="auto"/>
          </w:divBdr>
        </w:div>
      </w:divsChild>
    </w:div>
    <w:div w:id="536240255">
      <w:bodyDiv w:val="1"/>
      <w:marLeft w:val="0"/>
      <w:marRight w:val="0"/>
      <w:marTop w:val="1695"/>
      <w:marBottom w:val="0"/>
      <w:divBdr>
        <w:top w:val="none" w:sz="0" w:space="0" w:color="auto"/>
        <w:left w:val="none" w:sz="0" w:space="0" w:color="auto"/>
        <w:bottom w:val="none" w:sz="0" w:space="0" w:color="auto"/>
        <w:right w:val="none" w:sz="0" w:space="0" w:color="auto"/>
      </w:divBdr>
      <w:divsChild>
        <w:div w:id="1678726824">
          <w:marLeft w:val="0"/>
          <w:marRight w:val="0"/>
          <w:marTop w:val="0"/>
          <w:marBottom w:val="0"/>
          <w:divBdr>
            <w:top w:val="none" w:sz="0" w:space="0" w:color="auto"/>
            <w:left w:val="none" w:sz="0" w:space="0" w:color="auto"/>
            <w:bottom w:val="none" w:sz="0" w:space="0" w:color="auto"/>
            <w:right w:val="none" w:sz="0" w:space="0" w:color="auto"/>
          </w:divBdr>
        </w:div>
      </w:divsChild>
    </w:div>
    <w:div w:id="720444449">
      <w:bodyDiv w:val="1"/>
      <w:marLeft w:val="0"/>
      <w:marRight w:val="0"/>
      <w:marTop w:val="0"/>
      <w:marBottom w:val="0"/>
      <w:divBdr>
        <w:top w:val="none" w:sz="0" w:space="0" w:color="auto"/>
        <w:left w:val="none" w:sz="0" w:space="0" w:color="auto"/>
        <w:bottom w:val="none" w:sz="0" w:space="0" w:color="auto"/>
        <w:right w:val="none" w:sz="0" w:space="0" w:color="auto"/>
      </w:divBdr>
    </w:div>
    <w:div w:id="855458373">
      <w:bodyDiv w:val="1"/>
      <w:marLeft w:val="0"/>
      <w:marRight w:val="0"/>
      <w:marTop w:val="0"/>
      <w:marBottom w:val="0"/>
      <w:divBdr>
        <w:top w:val="none" w:sz="0" w:space="0" w:color="auto"/>
        <w:left w:val="none" w:sz="0" w:space="0" w:color="auto"/>
        <w:bottom w:val="none" w:sz="0" w:space="0" w:color="auto"/>
        <w:right w:val="none" w:sz="0" w:space="0" w:color="auto"/>
      </w:divBdr>
    </w:div>
    <w:div w:id="926617578">
      <w:bodyDiv w:val="1"/>
      <w:marLeft w:val="0"/>
      <w:marRight w:val="0"/>
      <w:marTop w:val="0"/>
      <w:marBottom w:val="0"/>
      <w:divBdr>
        <w:top w:val="none" w:sz="0" w:space="0" w:color="auto"/>
        <w:left w:val="none" w:sz="0" w:space="0" w:color="auto"/>
        <w:bottom w:val="none" w:sz="0" w:space="0" w:color="auto"/>
        <w:right w:val="none" w:sz="0" w:space="0" w:color="auto"/>
      </w:divBdr>
    </w:div>
    <w:div w:id="1009602996">
      <w:bodyDiv w:val="1"/>
      <w:marLeft w:val="0"/>
      <w:marRight w:val="0"/>
      <w:marTop w:val="0"/>
      <w:marBottom w:val="0"/>
      <w:divBdr>
        <w:top w:val="none" w:sz="0" w:space="0" w:color="auto"/>
        <w:left w:val="none" w:sz="0" w:space="0" w:color="auto"/>
        <w:bottom w:val="none" w:sz="0" w:space="0" w:color="auto"/>
        <w:right w:val="none" w:sz="0" w:space="0" w:color="auto"/>
      </w:divBdr>
    </w:div>
    <w:div w:id="1061903801">
      <w:bodyDiv w:val="1"/>
      <w:marLeft w:val="0"/>
      <w:marRight w:val="0"/>
      <w:marTop w:val="0"/>
      <w:marBottom w:val="0"/>
      <w:divBdr>
        <w:top w:val="none" w:sz="0" w:space="0" w:color="auto"/>
        <w:left w:val="none" w:sz="0" w:space="0" w:color="auto"/>
        <w:bottom w:val="none" w:sz="0" w:space="0" w:color="auto"/>
        <w:right w:val="none" w:sz="0" w:space="0" w:color="auto"/>
      </w:divBdr>
    </w:div>
    <w:div w:id="1204518491">
      <w:bodyDiv w:val="1"/>
      <w:marLeft w:val="0"/>
      <w:marRight w:val="0"/>
      <w:marTop w:val="0"/>
      <w:marBottom w:val="0"/>
      <w:divBdr>
        <w:top w:val="none" w:sz="0" w:space="0" w:color="auto"/>
        <w:left w:val="none" w:sz="0" w:space="0" w:color="auto"/>
        <w:bottom w:val="none" w:sz="0" w:space="0" w:color="auto"/>
        <w:right w:val="none" w:sz="0" w:space="0" w:color="auto"/>
      </w:divBdr>
    </w:div>
    <w:div w:id="1232617998">
      <w:bodyDiv w:val="1"/>
      <w:marLeft w:val="0"/>
      <w:marRight w:val="0"/>
      <w:marTop w:val="0"/>
      <w:marBottom w:val="0"/>
      <w:divBdr>
        <w:top w:val="none" w:sz="0" w:space="0" w:color="auto"/>
        <w:left w:val="none" w:sz="0" w:space="0" w:color="auto"/>
        <w:bottom w:val="none" w:sz="0" w:space="0" w:color="auto"/>
        <w:right w:val="none" w:sz="0" w:space="0" w:color="auto"/>
      </w:divBdr>
    </w:div>
    <w:div w:id="1235629434">
      <w:bodyDiv w:val="1"/>
      <w:marLeft w:val="0"/>
      <w:marRight w:val="0"/>
      <w:marTop w:val="0"/>
      <w:marBottom w:val="0"/>
      <w:divBdr>
        <w:top w:val="none" w:sz="0" w:space="0" w:color="auto"/>
        <w:left w:val="none" w:sz="0" w:space="0" w:color="auto"/>
        <w:bottom w:val="none" w:sz="0" w:space="0" w:color="auto"/>
        <w:right w:val="none" w:sz="0" w:space="0" w:color="auto"/>
      </w:divBdr>
    </w:div>
    <w:div w:id="1262255064">
      <w:bodyDiv w:val="1"/>
      <w:marLeft w:val="0"/>
      <w:marRight w:val="0"/>
      <w:marTop w:val="0"/>
      <w:marBottom w:val="0"/>
      <w:divBdr>
        <w:top w:val="none" w:sz="0" w:space="0" w:color="auto"/>
        <w:left w:val="none" w:sz="0" w:space="0" w:color="auto"/>
        <w:bottom w:val="none" w:sz="0" w:space="0" w:color="auto"/>
        <w:right w:val="none" w:sz="0" w:space="0" w:color="auto"/>
      </w:divBdr>
    </w:div>
    <w:div w:id="1295133926">
      <w:bodyDiv w:val="1"/>
      <w:marLeft w:val="0"/>
      <w:marRight w:val="0"/>
      <w:marTop w:val="0"/>
      <w:marBottom w:val="0"/>
      <w:divBdr>
        <w:top w:val="none" w:sz="0" w:space="0" w:color="auto"/>
        <w:left w:val="none" w:sz="0" w:space="0" w:color="auto"/>
        <w:bottom w:val="none" w:sz="0" w:space="0" w:color="auto"/>
        <w:right w:val="none" w:sz="0" w:space="0" w:color="auto"/>
      </w:divBdr>
    </w:div>
    <w:div w:id="1361122622">
      <w:bodyDiv w:val="1"/>
      <w:marLeft w:val="0"/>
      <w:marRight w:val="0"/>
      <w:marTop w:val="0"/>
      <w:marBottom w:val="0"/>
      <w:divBdr>
        <w:top w:val="none" w:sz="0" w:space="0" w:color="auto"/>
        <w:left w:val="none" w:sz="0" w:space="0" w:color="auto"/>
        <w:bottom w:val="none" w:sz="0" w:space="0" w:color="auto"/>
        <w:right w:val="none" w:sz="0" w:space="0" w:color="auto"/>
      </w:divBdr>
    </w:div>
    <w:div w:id="1383023483">
      <w:bodyDiv w:val="1"/>
      <w:marLeft w:val="0"/>
      <w:marRight w:val="0"/>
      <w:marTop w:val="0"/>
      <w:marBottom w:val="0"/>
      <w:divBdr>
        <w:top w:val="none" w:sz="0" w:space="0" w:color="auto"/>
        <w:left w:val="none" w:sz="0" w:space="0" w:color="auto"/>
        <w:bottom w:val="none" w:sz="0" w:space="0" w:color="auto"/>
        <w:right w:val="none" w:sz="0" w:space="0" w:color="auto"/>
      </w:divBdr>
    </w:div>
    <w:div w:id="1443645105">
      <w:bodyDiv w:val="1"/>
      <w:marLeft w:val="0"/>
      <w:marRight w:val="0"/>
      <w:marTop w:val="0"/>
      <w:marBottom w:val="0"/>
      <w:divBdr>
        <w:top w:val="none" w:sz="0" w:space="0" w:color="auto"/>
        <w:left w:val="none" w:sz="0" w:space="0" w:color="auto"/>
        <w:bottom w:val="none" w:sz="0" w:space="0" w:color="auto"/>
        <w:right w:val="none" w:sz="0" w:space="0" w:color="auto"/>
      </w:divBdr>
    </w:div>
    <w:div w:id="1528829912">
      <w:bodyDiv w:val="1"/>
      <w:marLeft w:val="0"/>
      <w:marRight w:val="0"/>
      <w:marTop w:val="0"/>
      <w:marBottom w:val="0"/>
      <w:divBdr>
        <w:top w:val="none" w:sz="0" w:space="0" w:color="auto"/>
        <w:left w:val="none" w:sz="0" w:space="0" w:color="auto"/>
        <w:bottom w:val="none" w:sz="0" w:space="0" w:color="auto"/>
        <w:right w:val="none" w:sz="0" w:space="0" w:color="auto"/>
      </w:divBdr>
    </w:div>
    <w:div w:id="1536234748">
      <w:bodyDiv w:val="1"/>
      <w:marLeft w:val="0"/>
      <w:marRight w:val="0"/>
      <w:marTop w:val="0"/>
      <w:marBottom w:val="0"/>
      <w:divBdr>
        <w:top w:val="none" w:sz="0" w:space="0" w:color="auto"/>
        <w:left w:val="none" w:sz="0" w:space="0" w:color="auto"/>
        <w:bottom w:val="none" w:sz="0" w:space="0" w:color="auto"/>
        <w:right w:val="none" w:sz="0" w:space="0" w:color="auto"/>
      </w:divBdr>
    </w:div>
    <w:div w:id="1539275291">
      <w:bodyDiv w:val="1"/>
      <w:marLeft w:val="0"/>
      <w:marRight w:val="0"/>
      <w:marTop w:val="0"/>
      <w:marBottom w:val="0"/>
      <w:divBdr>
        <w:top w:val="none" w:sz="0" w:space="0" w:color="auto"/>
        <w:left w:val="none" w:sz="0" w:space="0" w:color="auto"/>
        <w:bottom w:val="none" w:sz="0" w:space="0" w:color="auto"/>
        <w:right w:val="none" w:sz="0" w:space="0" w:color="auto"/>
      </w:divBdr>
    </w:div>
    <w:div w:id="1641299643">
      <w:bodyDiv w:val="1"/>
      <w:marLeft w:val="0"/>
      <w:marRight w:val="0"/>
      <w:marTop w:val="0"/>
      <w:marBottom w:val="0"/>
      <w:divBdr>
        <w:top w:val="none" w:sz="0" w:space="0" w:color="auto"/>
        <w:left w:val="none" w:sz="0" w:space="0" w:color="auto"/>
        <w:bottom w:val="none" w:sz="0" w:space="0" w:color="auto"/>
        <w:right w:val="none" w:sz="0" w:space="0" w:color="auto"/>
      </w:divBdr>
    </w:div>
    <w:div w:id="1725175020">
      <w:bodyDiv w:val="1"/>
      <w:marLeft w:val="0"/>
      <w:marRight w:val="0"/>
      <w:marTop w:val="0"/>
      <w:marBottom w:val="0"/>
      <w:divBdr>
        <w:top w:val="none" w:sz="0" w:space="0" w:color="auto"/>
        <w:left w:val="none" w:sz="0" w:space="0" w:color="auto"/>
        <w:bottom w:val="none" w:sz="0" w:space="0" w:color="auto"/>
        <w:right w:val="none" w:sz="0" w:space="0" w:color="auto"/>
      </w:divBdr>
    </w:div>
    <w:div w:id="1735353607">
      <w:bodyDiv w:val="1"/>
      <w:marLeft w:val="0"/>
      <w:marRight w:val="0"/>
      <w:marTop w:val="0"/>
      <w:marBottom w:val="0"/>
      <w:divBdr>
        <w:top w:val="none" w:sz="0" w:space="0" w:color="auto"/>
        <w:left w:val="none" w:sz="0" w:space="0" w:color="auto"/>
        <w:bottom w:val="none" w:sz="0" w:space="0" w:color="auto"/>
        <w:right w:val="none" w:sz="0" w:space="0" w:color="auto"/>
      </w:divBdr>
    </w:div>
    <w:div w:id="1832721388">
      <w:bodyDiv w:val="1"/>
      <w:marLeft w:val="0"/>
      <w:marRight w:val="0"/>
      <w:marTop w:val="0"/>
      <w:marBottom w:val="0"/>
      <w:divBdr>
        <w:top w:val="none" w:sz="0" w:space="0" w:color="auto"/>
        <w:left w:val="none" w:sz="0" w:space="0" w:color="auto"/>
        <w:bottom w:val="none" w:sz="0" w:space="0" w:color="auto"/>
        <w:right w:val="none" w:sz="0" w:space="0" w:color="auto"/>
      </w:divBdr>
    </w:div>
    <w:div w:id="1902909027">
      <w:bodyDiv w:val="1"/>
      <w:marLeft w:val="0"/>
      <w:marRight w:val="0"/>
      <w:marTop w:val="0"/>
      <w:marBottom w:val="0"/>
      <w:divBdr>
        <w:top w:val="none" w:sz="0" w:space="0" w:color="auto"/>
        <w:left w:val="none" w:sz="0" w:space="0" w:color="auto"/>
        <w:bottom w:val="none" w:sz="0" w:space="0" w:color="auto"/>
        <w:right w:val="none" w:sz="0" w:space="0" w:color="auto"/>
      </w:divBdr>
    </w:div>
    <w:div w:id="1923293033">
      <w:bodyDiv w:val="1"/>
      <w:marLeft w:val="0"/>
      <w:marRight w:val="0"/>
      <w:marTop w:val="0"/>
      <w:marBottom w:val="0"/>
      <w:divBdr>
        <w:top w:val="none" w:sz="0" w:space="0" w:color="auto"/>
        <w:left w:val="none" w:sz="0" w:space="0" w:color="auto"/>
        <w:bottom w:val="none" w:sz="0" w:space="0" w:color="auto"/>
        <w:right w:val="none" w:sz="0" w:space="0" w:color="auto"/>
      </w:divBdr>
    </w:div>
    <w:div w:id="1998726640">
      <w:bodyDiv w:val="1"/>
      <w:marLeft w:val="0"/>
      <w:marRight w:val="0"/>
      <w:marTop w:val="0"/>
      <w:marBottom w:val="0"/>
      <w:divBdr>
        <w:top w:val="none" w:sz="0" w:space="0" w:color="auto"/>
        <w:left w:val="none" w:sz="0" w:space="0" w:color="auto"/>
        <w:bottom w:val="none" w:sz="0" w:space="0" w:color="auto"/>
        <w:right w:val="none" w:sz="0" w:space="0" w:color="auto"/>
      </w:divBdr>
    </w:div>
    <w:div w:id="209901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671" Type="http://schemas.openxmlformats.org/officeDocument/2006/relationships/oleObject" Target="embeddings/oleObject348.bin"/><Relationship Id="rId769" Type="http://schemas.openxmlformats.org/officeDocument/2006/relationships/hyperlink" Target="http://www.springerlink.com/content/?Author=Daniel+J.+Phaneuf" TargetMode="External"/><Relationship Id="rId21" Type="http://schemas.openxmlformats.org/officeDocument/2006/relationships/image" Target="media/image5.wmf"/><Relationship Id="rId324" Type="http://schemas.openxmlformats.org/officeDocument/2006/relationships/oleObject" Target="embeddings/oleObject164.bin"/><Relationship Id="rId531" Type="http://schemas.openxmlformats.org/officeDocument/2006/relationships/oleObject" Target="embeddings/oleObject274.bin"/><Relationship Id="rId629" Type="http://schemas.openxmlformats.org/officeDocument/2006/relationships/oleObject" Target="embeddings/oleObject326.bin"/><Relationship Id="rId170" Type="http://schemas.openxmlformats.org/officeDocument/2006/relationships/oleObject" Target="embeddings/oleObject86.bin"/><Relationship Id="rId836" Type="http://schemas.openxmlformats.org/officeDocument/2006/relationships/oleObject" Target="embeddings/oleObject430.bin"/><Relationship Id="rId268" Type="http://schemas.openxmlformats.org/officeDocument/2006/relationships/oleObject" Target="embeddings/oleObject136.bin"/><Relationship Id="rId475" Type="http://schemas.openxmlformats.org/officeDocument/2006/relationships/oleObject" Target="embeddings/oleObject246.bin"/><Relationship Id="rId682" Type="http://schemas.openxmlformats.org/officeDocument/2006/relationships/image" Target="media/image317.wmf"/><Relationship Id="rId903" Type="http://schemas.openxmlformats.org/officeDocument/2006/relationships/oleObject" Target="embeddings/oleObject472.bin"/><Relationship Id="rId32" Type="http://schemas.openxmlformats.org/officeDocument/2006/relationships/oleObject" Target="embeddings/oleObject10.bin"/><Relationship Id="rId128" Type="http://schemas.openxmlformats.org/officeDocument/2006/relationships/oleObject" Target="embeddings/oleObject62.bin"/><Relationship Id="rId335" Type="http://schemas.openxmlformats.org/officeDocument/2006/relationships/image" Target="media/image154.wmf"/><Relationship Id="rId542" Type="http://schemas.openxmlformats.org/officeDocument/2006/relationships/image" Target="media/image251.wmf"/><Relationship Id="rId181" Type="http://schemas.openxmlformats.org/officeDocument/2006/relationships/oleObject" Target="embeddings/oleObject92.bin"/><Relationship Id="rId402" Type="http://schemas.openxmlformats.org/officeDocument/2006/relationships/image" Target="media/image186.wmf"/><Relationship Id="rId847" Type="http://schemas.openxmlformats.org/officeDocument/2006/relationships/image" Target="media/image390.wmf"/><Relationship Id="rId279" Type="http://schemas.openxmlformats.org/officeDocument/2006/relationships/image" Target="media/image126.wmf"/><Relationship Id="rId486" Type="http://schemas.openxmlformats.org/officeDocument/2006/relationships/image" Target="media/image223.wmf"/><Relationship Id="rId693" Type="http://schemas.openxmlformats.org/officeDocument/2006/relationships/image" Target="media/image322.wmf"/><Relationship Id="rId707" Type="http://schemas.openxmlformats.org/officeDocument/2006/relationships/oleObject" Target="embeddings/oleObject367.bin"/><Relationship Id="rId914" Type="http://schemas.openxmlformats.org/officeDocument/2006/relationships/oleObject" Target="embeddings/oleObject483.bin"/><Relationship Id="rId43" Type="http://schemas.openxmlformats.org/officeDocument/2006/relationships/oleObject" Target="embeddings/oleObject16.bin"/><Relationship Id="rId139" Type="http://schemas.openxmlformats.org/officeDocument/2006/relationships/image" Target="media/image60.wmf"/><Relationship Id="rId346" Type="http://schemas.openxmlformats.org/officeDocument/2006/relationships/oleObject" Target="embeddings/oleObject175.bin"/><Relationship Id="rId553" Type="http://schemas.openxmlformats.org/officeDocument/2006/relationships/oleObject" Target="embeddings/oleObject285.bin"/><Relationship Id="rId760" Type="http://schemas.openxmlformats.org/officeDocument/2006/relationships/oleObject" Target="embeddings/oleObject397.bin"/><Relationship Id="rId192" Type="http://schemas.openxmlformats.org/officeDocument/2006/relationships/image" Target="media/image83.wmf"/><Relationship Id="rId206" Type="http://schemas.openxmlformats.org/officeDocument/2006/relationships/oleObject" Target="embeddings/oleObject105.bin"/><Relationship Id="rId413" Type="http://schemas.openxmlformats.org/officeDocument/2006/relationships/oleObject" Target="embeddings/oleObject211.bin"/><Relationship Id="rId858" Type="http://schemas.openxmlformats.org/officeDocument/2006/relationships/oleObject" Target="embeddings/oleObject441.bin"/><Relationship Id="rId497" Type="http://schemas.openxmlformats.org/officeDocument/2006/relationships/oleObject" Target="embeddings/oleObject257.bin"/><Relationship Id="rId620" Type="http://schemas.openxmlformats.org/officeDocument/2006/relationships/oleObject" Target="embeddings/oleObject319.bin"/><Relationship Id="rId718" Type="http://schemas.openxmlformats.org/officeDocument/2006/relationships/image" Target="media/image334.wmf"/><Relationship Id="rId925" Type="http://schemas.openxmlformats.org/officeDocument/2006/relationships/oleObject" Target="embeddings/oleObject494.bin"/><Relationship Id="rId357" Type="http://schemas.openxmlformats.org/officeDocument/2006/relationships/image" Target="media/image165.wmf"/><Relationship Id="rId54" Type="http://schemas.openxmlformats.org/officeDocument/2006/relationships/oleObject" Target="embeddings/oleObject22.bin"/><Relationship Id="rId217" Type="http://schemas.openxmlformats.org/officeDocument/2006/relationships/image" Target="media/image95.wmf"/><Relationship Id="rId564" Type="http://schemas.openxmlformats.org/officeDocument/2006/relationships/image" Target="media/image262.wmf"/><Relationship Id="rId771" Type="http://schemas.openxmlformats.org/officeDocument/2006/relationships/hyperlink" Target="http://www.springerlink.com/content/?Author=Jim+Herstine" TargetMode="External"/><Relationship Id="rId869" Type="http://schemas.openxmlformats.org/officeDocument/2006/relationships/image" Target="media/image401.wmf"/><Relationship Id="rId424" Type="http://schemas.openxmlformats.org/officeDocument/2006/relationships/image" Target="media/image194.wmf"/><Relationship Id="rId631" Type="http://schemas.openxmlformats.org/officeDocument/2006/relationships/oleObject" Target="embeddings/oleObject327.bin"/><Relationship Id="rId729" Type="http://schemas.openxmlformats.org/officeDocument/2006/relationships/oleObject" Target="embeddings/oleObject378.bin"/><Relationship Id="rId270" Type="http://schemas.openxmlformats.org/officeDocument/2006/relationships/oleObject" Target="embeddings/oleObject137.bin"/><Relationship Id="rId936" Type="http://schemas.openxmlformats.org/officeDocument/2006/relationships/oleObject" Target="embeddings/oleObject505.bin"/><Relationship Id="rId65" Type="http://schemas.openxmlformats.org/officeDocument/2006/relationships/oleObject" Target="embeddings/oleObject28.bin"/><Relationship Id="rId130" Type="http://schemas.openxmlformats.org/officeDocument/2006/relationships/oleObject" Target="embeddings/oleObject63.bin"/><Relationship Id="rId368" Type="http://schemas.openxmlformats.org/officeDocument/2006/relationships/oleObject" Target="embeddings/oleObject186.bin"/><Relationship Id="rId575" Type="http://schemas.openxmlformats.org/officeDocument/2006/relationships/oleObject" Target="embeddings/oleObject296.bin"/><Relationship Id="rId782" Type="http://schemas.openxmlformats.org/officeDocument/2006/relationships/image" Target="media/image358.wmf"/><Relationship Id="rId228" Type="http://schemas.openxmlformats.org/officeDocument/2006/relationships/oleObject" Target="embeddings/oleObject116.bin"/><Relationship Id="rId435" Type="http://schemas.openxmlformats.org/officeDocument/2006/relationships/oleObject" Target="embeddings/oleObject224.bin"/><Relationship Id="rId642" Type="http://schemas.openxmlformats.org/officeDocument/2006/relationships/oleObject" Target="embeddings/oleObject333.bin"/><Relationship Id="rId281" Type="http://schemas.openxmlformats.org/officeDocument/2006/relationships/image" Target="media/image127.wmf"/><Relationship Id="rId502" Type="http://schemas.openxmlformats.org/officeDocument/2006/relationships/image" Target="media/image231.wmf"/><Relationship Id="rId947" Type="http://schemas.openxmlformats.org/officeDocument/2006/relationships/image" Target="media/image410.wmf"/><Relationship Id="rId76" Type="http://schemas.openxmlformats.org/officeDocument/2006/relationships/image" Target="media/image30.wmf"/><Relationship Id="rId141" Type="http://schemas.openxmlformats.org/officeDocument/2006/relationships/oleObject" Target="embeddings/oleObject69.bin"/><Relationship Id="rId379" Type="http://schemas.openxmlformats.org/officeDocument/2006/relationships/image" Target="media/image175.wmf"/><Relationship Id="rId586" Type="http://schemas.openxmlformats.org/officeDocument/2006/relationships/image" Target="media/image273.wmf"/><Relationship Id="rId793" Type="http://schemas.openxmlformats.org/officeDocument/2006/relationships/oleObject" Target="embeddings/oleObject409.bin"/><Relationship Id="rId807" Type="http://schemas.openxmlformats.org/officeDocument/2006/relationships/oleObject" Target="embeddings/oleObject416.bin"/><Relationship Id="rId7" Type="http://schemas.openxmlformats.org/officeDocument/2006/relationships/footnotes" Target="footnotes.xml"/><Relationship Id="rId239" Type="http://schemas.openxmlformats.org/officeDocument/2006/relationships/image" Target="media/image106.wmf"/><Relationship Id="rId446" Type="http://schemas.openxmlformats.org/officeDocument/2006/relationships/image" Target="media/image205.wmf"/><Relationship Id="rId653" Type="http://schemas.openxmlformats.org/officeDocument/2006/relationships/oleObject" Target="embeddings/oleObject339.bin"/><Relationship Id="rId292" Type="http://schemas.openxmlformats.org/officeDocument/2006/relationships/oleObject" Target="embeddings/oleObject148.bin"/><Relationship Id="rId306" Type="http://schemas.openxmlformats.org/officeDocument/2006/relationships/oleObject" Target="embeddings/oleObject155.bin"/><Relationship Id="rId860" Type="http://schemas.openxmlformats.org/officeDocument/2006/relationships/oleObject" Target="embeddings/oleObject442.bin"/><Relationship Id="rId87" Type="http://schemas.openxmlformats.org/officeDocument/2006/relationships/oleObject" Target="embeddings/oleObject40.bin"/><Relationship Id="rId513" Type="http://schemas.openxmlformats.org/officeDocument/2006/relationships/oleObject" Target="embeddings/oleObject265.bin"/><Relationship Id="rId597" Type="http://schemas.openxmlformats.org/officeDocument/2006/relationships/oleObject" Target="embeddings/oleObject307.bin"/><Relationship Id="rId720" Type="http://schemas.openxmlformats.org/officeDocument/2006/relationships/image" Target="media/image335.wmf"/><Relationship Id="rId818" Type="http://schemas.openxmlformats.org/officeDocument/2006/relationships/image" Target="media/image376.wmf"/><Relationship Id="rId152" Type="http://schemas.openxmlformats.org/officeDocument/2006/relationships/oleObject" Target="embeddings/oleObject76.bin"/><Relationship Id="rId457" Type="http://schemas.openxmlformats.org/officeDocument/2006/relationships/oleObject" Target="embeddings/oleObject235.bin"/><Relationship Id="rId664" Type="http://schemas.openxmlformats.org/officeDocument/2006/relationships/image" Target="media/image308.wmf"/><Relationship Id="rId871" Type="http://schemas.openxmlformats.org/officeDocument/2006/relationships/image" Target="media/image402.wmf"/><Relationship Id="rId14" Type="http://schemas.openxmlformats.org/officeDocument/2006/relationships/oleObject" Target="embeddings/oleObject1.bin"/><Relationship Id="rId317" Type="http://schemas.openxmlformats.org/officeDocument/2006/relationships/image" Target="media/image145.wmf"/><Relationship Id="rId524" Type="http://schemas.openxmlformats.org/officeDocument/2006/relationships/image" Target="media/image242.wmf"/><Relationship Id="rId731" Type="http://schemas.openxmlformats.org/officeDocument/2006/relationships/oleObject" Target="embeddings/oleObject379.bin"/><Relationship Id="rId98" Type="http://schemas.openxmlformats.org/officeDocument/2006/relationships/image" Target="media/image41.wmf"/><Relationship Id="rId163" Type="http://schemas.openxmlformats.org/officeDocument/2006/relationships/image" Target="media/image69.wmf"/><Relationship Id="rId370" Type="http://schemas.openxmlformats.org/officeDocument/2006/relationships/image" Target="media/image171.wmf"/><Relationship Id="rId829" Type="http://schemas.openxmlformats.org/officeDocument/2006/relationships/image" Target="media/image381.wmf"/><Relationship Id="rId230" Type="http://schemas.openxmlformats.org/officeDocument/2006/relationships/oleObject" Target="embeddings/oleObject117.bin"/><Relationship Id="rId468" Type="http://schemas.openxmlformats.org/officeDocument/2006/relationships/image" Target="media/image215.wmf"/><Relationship Id="rId675" Type="http://schemas.openxmlformats.org/officeDocument/2006/relationships/oleObject" Target="embeddings/oleObject350.bin"/><Relationship Id="rId882" Type="http://schemas.openxmlformats.org/officeDocument/2006/relationships/oleObject" Target="embeddings/oleObject453.bin"/><Relationship Id="rId25" Type="http://schemas.openxmlformats.org/officeDocument/2006/relationships/image" Target="media/image7.wmf"/><Relationship Id="rId328" Type="http://schemas.openxmlformats.org/officeDocument/2006/relationships/oleObject" Target="embeddings/oleObject166.bin"/><Relationship Id="rId535" Type="http://schemas.openxmlformats.org/officeDocument/2006/relationships/oleObject" Target="embeddings/oleObject276.bin"/><Relationship Id="rId742" Type="http://schemas.openxmlformats.org/officeDocument/2006/relationships/image" Target="media/image344.wmf"/><Relationship Id="rId174" Type="http://schemas.openxmlformats.org/officeDocument/2006/relationships/oleObject" Target="embeddings/oleObject88.bin"/><Relationship Id="rId381" Type="http://schemas.openxmlformats.org/officeDocument/2006/relationships/image" Target="media/image176.wmf"/><Relationship Id="rId602" Type="http://schemas.openxmlformats.org/officeDocument/2006/relationships/image" Target="media/image281.wmf"/><Relationship Id="rId241" Type="http://schemas.openxmlformats.org/officeDocument/2006/relationships/image" Target="media/image107.wmf"/><Relationship Id="rId479" Type="http://schemas.openxmlformats.org/officeDocument/2006/relationships/oleObject" Target="embeddings/oleObject248.bin"/><Relationship Id="rId686" Type="http://schemas.openxmlformats.org/officeDocument/2006/relationships/oleObject" Target="embeddings/oleObject356.bin"/><Relationship Id="rId893" Type="http://schemas.openxmlformats.org/officeDocument/2006/relationships/oleObject" Target="embeddings/oleObject462.bin"/><Relationship Id="rId907" Type="http://schemas.openxmlformats.org/officeDocument/2006/relationships/oleObject" Target="embeddings/oleObject476.bin"/><Relationship Id="rId36" Type="http://schemas.openxmlformats.org/officeDocument/2006/relationships/image" Target="media/image12.wmf"/><Relationship Id="rId339" Type="http://schemas.openxmlformats.org/officeDocument/2006/relationships/image" Target="media/image156.wmf"/><Relationship Id="rId546" Type="http://schemas.openxmlformats.org/officeDocument/2006/relationships/image" Target="media/image253.wmf"/><Relationship Id="rId753" Type="http://schemas.openxmlformats.org/officeDocument/2006/relationships/oleObject" Target="embeddings/oleObject393.bin"/><Relationship Id="rId101" Type="http://schemas.openxmlformats.org/officeDocument/2006/relationships/oleObject" Target="embeddings/oleObject47.bin"/><Relationship Id="rId185" Type="http://schemas.openxmlformats.org/officeDocument/2006/relationships/oleObject" Target="embeddings/oleObject94.bin"/><Relationship Id="rId406" Type="http://schemas.openxmlformats.org/officeDocument/2006/relationships/image" Target="media/image188.wmf"/><Relationship Id="rId9" Type="http://schemas.openxmlformats.org/officeDocument/2006/relationships/hyperlink" Target="mailto:bhat@mail.utexas.edu" TargetMode="External"/><Relationship Id="rId210" Type="http://schemas.openxmlformats.org/officeDocument/2006/relationships/oleObject" Target="embeddings/oleObject107.bin"/><Relationship Id="rId392" Type="http://schemas.openxmlformats.org/officeDocument/2006/relationships/oleObject" Target="embeddings/oleObject199.bin"/><Relationship Id="rId448" Type="http://schemas.openxmlformats.org/officeDocument/2006/relationships/image" Target="media/image206.wmf"/><Relationship Id="rId613" Type="http://schemas.openxmlformats.org/officeDocument/2006/relationships/image" Target="media/image286.wmf"/><Relationship Id="rId655" Type="http://schemas.openxmlformats.org/officeDocument/2006/relationships/oleObject" Target="embeddings/oleObject340.bin"/><Relationship Id="rId697" Type="http://schemas.openxmlformats.org/officeDocument/2006/relationships/image" Target="media/image324.wmf"/><Relationship Id="rId820" Type="http://schemas.openxmlformats.org/officeDocument/2006/relationships/image" Target="media/image377.wmf"/><Relationship Id="rId862" Type="http://schemas.openxmlformats.org/officeDocument/2006/relationships/oleObject" Target="embeddings/oleObject443.bin"/><Relationship Id="rId918" Type="http://schemas.openxmlformats.org/officeDocument/2006/relationships/oleObject" Target="embeddings/oleObject487.bin"/><Relationship Id="rId252" Type="http://schemas.openxmlformats.org/officeDocument/2006/relationships/oleObject" Target="embeddings/oleObject128.bin"/><Relationship Id="rId294" Type="http://schemas.openxmlformats.org/officeDocument/2006/relationships/oleObject" Target="embeddings/oleObject149.bin"/><Relationship Id="rId308" Type="http://schemas.openxmlformats.org/officeDocument/2006/relationships/oleObject" Target="embeddings/oleObject156.bin"/><Relationship Id="rId515" Type="http://schemas.openxmlformats.org/officeDocument/2006/relationships/oleObject" Target="embeddings/oleObject266.bin"/><Relationship Id="rId722" Type="http://schemas.openxmlformats.org/officeDocument/2006/relationships/image" Target="media/image336.wmf"/><Relationship Id="rId47" Type="http://schemas.openxmlformats.org/officeDocument/2006/relationships/oleObject" Target="embeddings/oleObject18.bin"/><Relationship Id="rId89" Type="http://schemas.openxmlformats.org/officeDocument/2006/relationships/oleObject" Target="embeddings/oleObject41.bin"/><Relationship Id="rId112" Type="http://schemas.openxmlformats.org/officeDocument/2006/relationships/image" Target="media/image48.wmf"/><Relationship Id="rId154" Type="http://schemas.openxmlformats.org/officeDocument/2006/relationships/oleObject" Target="embeddings/oleObject77.bin"/><Relationship Id="rId361" Type="http://schemas.openxmlformats.org/officeDocument/2006/relationships/image" Target="media/image167.wmf"/><Relationship Id="rId557" Type="http://schemas.openxmlformats.org/officeDocument/2006/relationships/oleObject" Target="embeddings/oleObject287.bin"/><Relationship Id="rId599" Type="http://schemas.openxmlformats.org/officeDocument/2006/relationships/oleObject" Target="embeddings/oleObject308.bin"/><Relationship Id="rId764" Type="http://schemas.openxmlformats.org/officeDocument/2006/relationships/oleObject" Target="embeddings/oleObject399.bin"/><Relationship Id="rId196" Type="http://schemas.openxmlformats.org/officeDocument/2006/relationships/image" Target="media/image85.wmf"/><Relationship Id="rId417" Type="http://schemas.openxmlformats.org/officeDocument/2006/relationships/oleObject" Target="embeddings/oleObject213.bin"/><Relationship Id="rId459" Type="http://schemas.openxmlformats.org/officeDocument/2006/relationships/oleObject" Target="embeddings/oleObject236.bin"/><Relationship Id="rId624" Type="http://schemas.openxmlformats.org/officeDocument/2006/relationships/oleObject" Target="embeddings/oleObject321.bin"/><Relationship Id="rId666" Type="http://schemas.openxmlformats.org/officeDocument/2006/relationships/image" Target="media/image309.wmf"/><Relationship Id="rId831" Type="http://schemas.openxmlformats.org/officeDocument/2006/relationships/image" Target="media/image382.wmf"/><Relationship Id="rId873" Type="http://schemas.openxmlformats.org/officeDocument/2006/relationships/image" Target="media/image403.wmf"/><Relationship Id="rId16" Type="http://schemas.openxmlformats.org/officeDocument/2006/relationships/oleObject" Target="embeddings/oleObject2.bin"/><Relationship Id="rId221" Type="http://schemas.openxmlformats.org/officeDocument/2006/relationships/image" Target="media/image97.wmf"/><Relationship Id="rId263" Type="http://schemas.openxmlformats.org/officeDocument/2006/relationships/image" Target="media/image118.wmf"/><Relationship Id="rId319" Type="http://schemas.openxmlformats.org/officeDocument/2006/relationships/image" Target="media/image146.wmf"/><Relationship Id="rId470" Type="http://schemas.openxmlformats.org/officeDocument/2006/relationships/image" Target="media/image216.wmf"/><Relationship Id="rId526" Type="http://schemas.openxmlformats.org/officeDocument/2006/relationships/image" Target="media/image243.wmf"/><Relationship Id="rId929" Type="http://schemas.openxmlformats.org/officeDocument/2006/relationships/oleObject" Target="embeddings/oleObject498.bin"/><Relationship Id="rId58" Type="http://schemas.openxmlformats.org/officeDocument/2006/relationships/image" Target="media/image22.wmf"/><Relationship Id="rId123" Type="http://schemas.openxmlformats.org/officeDocument/2006/relationships/image" Target="media/image52.wmf"/><Relationship Id="rId330" Type="http://schemas.openxmlformats.org/officeDocument/2006/relationships/oleObject" Target="embeddings/oleObject167.bin"/><Relationship Id="rId568" Type="http://schemas.openxmlformats.org/officeDocument/2006/relationships/image" Target="media/image264.wmf"/><Relationship Id="rId733" Type="http://schemas.openxmlformats.org/officeDocument/2006/relationships/oleObject" Target="embeddings/oleObject380.bin"/><Relationship Id="rId775" Type="http://schemas.openxmlformats.org/officeDocument/2006/relationships/hyperlink" Target="http://www.springerlink.com/content/0924-6460/45/1/" TargetMode="External"/><Relationship Id="rId940" Type="http://schemas.openxmlformats.org/officeDocument/2006/relationships/oleObject" Target="embeddings/oleObject509.bin"/><Relationship Id="rId165" Type="http://schemas.openxmlformats.org/officeDocument/2006/relationships/image" Target="media/image70.wmf"/><Relationship Id="rId372" Type="http://schemas.openxmlformats.org/officeDocument/2006/relationships/oleObject" Target="embeddings/oleObject189.bin"/><Relationship Id="rId428" Type="http://schemas.openxmlformats.org/officeDocument/2006/relationships/image" Target="media/image196.wmf"/><Relationship Id="rId635" Type="http://schemas.openxmlformats.org/officeDocument/2006/relationships/oleObject" Target="embeddings/oleObject329.bin"/><Relationship Id="rId677" Type="http://schemas.openxmlformats.org/officeDocument/2006/relationships/oleObject" Target="embeddings/oleObject351.bin"/><Relationship Id="rId800" Type="http://schemas.openxmlformats.org/officeDocument/2006/relationships/image" Target="media/image367.wmf"/><Relationship Id="rId842" Type="http://schemas.openxmlformats.org/officeDocument/2006/relationships/oleObject" Target="embeddings/oleObject433.bin"/><Relationship Id="rId232" Type="http://schemas.openxmlformats.org/officeDocument/2006/relationships/oleObject" Target="embeddings/oleObject118.bin"/><Relationship Id="rId274" Type="http://schemas.openxmlformats.org/officeDocument/2006/relationships/oleObject" Target="embeddings/oleObject139.bin"/><Relationship Id="rId481" Type="http://schemas.openxmlformats.org/officeDocument/2006/relationships/oleObject" Target="embeddings/oleObject249.bin"/><Relationship Id="rId702" Type="http://schemas.openxmlformats.org/officeDocument/2006/relationships/image" Target="media/image326.wmf"/><Relationship Id="rId884" Type="http://schemas.openxmlformats.org/officeDocument/2006/relationships/oleObject" Target="embeddings/oleObject454.bin"/><Relationship Id="rId27" Type="http://schemas.openxmlformats.org/officeDocument/2006/relationships/image" Target="media/image8.wmf"/><Relationship Id="rId69" Type="http://schemas.openxmlformats.org/officeDocument/2006/relationships/oleObject" Target="embeddings/oleObject31.bin"/><Relationship Id="rId134" Type="http://schemas.openxmlformats.org/officeDocument/2006/relationships/oleObject" Target="embeddings/oleObject65.bin"/><Relationship Id="rId537" Type="http://schemas.openxmlformats.org/officeDocument/2006/relationships/oleObject" Target="embeddings/oleObject277.bin"/><Relationship Id="rId579" Type="http://schemas.openxmlformats.org/officeDocument/2006/relationships/oleObject" Target="embeddings/oleObject298.bin"/><Relationship Id="rId744" Type="http://schemas.openxmlformats.org/officeDocument/2006/relationships/image" Target="media/image345.wmf"/><Relationship Id="rId786" Type="http://schemas.openxmlformats.org/officeDocument/2006/relationships/image" Target="media/image360.wmf"/><Relationship Id="rId951" Type="http://schemas.openxmlformats.org/officeDocument/2006/relationships/oleObject" Target="embeddings/oleObject517.bin"/><Relationship Id="rId80" Type="http://schemas.openxmlformats.org/officeDocument/2006/relationships/image" Target="media/image32.wmf"/><Relationship Id="rId176" Type="http://schemas.openxmlformats.org/officeDocument/2006/relationships/oleObject" Target="embeddings/oleObject89.bin"/><Relationship Id="rId341" Type="http://schemas.openxmlformats.org/officeDocument/2006/relationships/image" Target="media/image157.wmf"/><Relationship Id="rId383" Type="http://schemas.openxmlformats.org/officeDocument/2006/relationships/image" Target="media/image177.wmf"/><Relationship Id="rId439" Type="http://schemas.openxmlformats.org/officeDocument/2006/relationships/oleObject" Target="embeddings/oleObject226.bin"/><Relationship Id="rId590" Type="http://schemas.openxmlformats.org/officeDocument/2006/relationships/image" Target="media/image275.wmf"/><Relationship Id="rId604" Type="http://schemas.openxmlformats.org/officeDocument/2006/relationships/image" Target="media/image282.wmf"/><Relationship Id="rId646" Type="http://schemas.openxmlformats.org/officeDocument/2006/relationships/image" Target="media/image299.wmf"/><Relationship Id="rId811" Type="http://schemas.openxmlformats.org/officeDocument/2006/relationships/oleObject" Target="embeddings/oleObject418.bin"/><Relationship Id="rId201" Type="http://schemas.openxmlformats.org/officeDocument/2006/relationships/image" Target="media/image87.wmf"/><Relationship Id="rId243" Type="http://schemas.openxmlformats.org/officeDocument/2006/relationships/image" Target="media/image108.wmf"/><Relationship Id="rId285" Type="http://schemas.openxmlformats.org/officeDocument/2006/relationships/image" Target="media/image129.wmf"/><Relationship Id="rId450" Type="http://schemas.openxmlformats.org/officeDocument/2006/relationships/image" Target="media/image207.wmf"/><Relationship Id="rId506" Type="http://schemas.openxmlformats.org/officeDocument/2006/relationships/image" Target="media/image233.wmf"/><Relationship Id="rId688" Type="http://schemas.openxmlformats.org/officeDocument/2006/relationships/oleObject" Target="embeddings/oleObject357.bin"/><Relationship Id="rId853" Type="http://schemas.openxmlformats.org/officeDocument/2006/relationships/image" Target="media/image393.wmf"/><Relationship Id="rId895" Type="http://schemas.openxmlformats.org/officeDocument/2006/relationships/oleObject" Target="embeddings/oleObject464.bin"/><Relationship Id="rId909" Type="http://schemas.openxmlformats.org/officeDocument/2006/relationships/oleObject" Target="embeddings/oleObject478.bin"/><Relationship Id="rId38" Type="http://schemas.openxmlformats.org/officeDocument/2006/relationships/image" Target="media/image13.wmf"/><Relationship Id="rId103" Type="http://schemas.openxmlformats.org/officeDocument/2006/relationships/oleObject" Target="embeddings/oleObject48.bin"/><Relationship Id="rId310" Type="http://schemas.openxmlformats.org/officeDocument/2006/relationships/oleObject" Target="embeddings/oleObject157.bin"/><Relationship Id="rId492" Type="http://schemas.openxmlformats.org/officeDocument/2006/relationships/image" Target="media/image226.wmf"/><Relationship Id="rId548" Type="http://schemas.openxmlformats.org/officeDocument/2006/relationships/image" Target="media/image254.wmf"/><Relationship Id="rId713" Type="http://schemas.openxmlformats.org/officeDocument/2006/relationships/oleObject" Target="embeddings/oleObject370.bin"/><Relationship Id="rId755" Type="http://schemas.openxmlformats.org/officeDocument/2006/relationships/oleObject" Target="embeddings/oleObject394.bin"/><Relationship Id="rId797" Type="http://schemas.openxmlformats.org/officeDocument/2006/relationships/oleObject" Target="embeddings/oleObject411.bin"/><Relationship Id="rId920" Type="http://schemas.openxmlformats.org/officeDocument/2006/relationships/oleObject" Target="embeddings/oleObject489.bin"/><Relationship Id="rId91" Type="http://schemas.openxmlformats.org/officeDocument/2006/relationships/oleObject" Target="embeddings/oleObject42.bin"/><Relationship Id="rId145" Type="http://schemas.openxmlformats.org/officeDocument/2006/relationships/oleObject" Target="embeddings/oleObject72.bin"/><Relationship Id="rId187" Type="http://schemas.openxmlformats.org/officeDocument/2006/relationships/oleObject" Target="embeddings/oleObject95.bin"/><Relationship Id="rId352" Type="http://schemas.openxmlformats.org/officeDocument/2006/relationships/oleObject" Target="embeddings/oleObject178.bin"/><Relationship Id="rId394" Type="http://schemas.openxmlformats.org/officeDocument/2006/relationships/image" Target="media/image182.wmf"/><Relationship Id="rId408" Type="http://schemas.openxmlformats.org/officeDocument/2006/relationships/image" Target="media/image189.wmf"/><Relationship Id="rId615" Type="http://schemas.openxmlformats.org/officeDocument/2006/relationships/image" Target="media/image287.wmf"/><Relationship Id="rId822" Type="http://schemas.openxmlformats.org/officeDocument/2006/relationships/image" Target="media/image378.wmf"/><Relationship Id="rId212" Type="http://schemas.openxmlformats.org/officeDocument/2006/relationships/oleObject" Target="embeddings/oleObject108.bin"/><Relationship Id="rId254" Type="http://schemas.openxmlformats.org/officeDocument/2006/relationships/oleObject" Target="embeddings/oleObject129.bin"/><Relationship Id="rId657" Type="http://schemas.openxmlformats.org/officeDocument/2006/relationships/oleObject" Target="embeddings/oleObject341.bin"/><Relationship Id="rId699" Type="http://schemas.openxmlformats.org/officeDocument/2006/relationships/oleObject" Target="embeddings/oleObject363.bin"/><Relationship Id="rId864" Type="http://schemas.openxmlformats.org/officeDocument/2006/relationships/oleObject" Target="embeddings/oleObject444.bin"/><Relationship Id="rId49" Type="http://schemas.openxmlformats.org/officeDocument/2006/relationships/oleObject" Target="embeddings/oleObject19.bin"/><Relationship Id="rId114" Type="http://schemas.openxmlformats.org/officeDocument/2006/relationships/image" Target="media/image49.wmf"/><Relationship Id="rId296" Type="http://schemas.openxmlformats.org/officeDocument/2006/relationships/oleObject" Target="embeddings/oleObject150.bin"/><Relationship Id="rId461" Type="http://schemas.openxmlformats.org/officeDocument/2006/relationships/oleObject" Target="embeddings/oleObject237.bin"/><Relationship Id="rId517" Type="http://schemas.openxmlformats.org/officeDocument/2006/relationships/oleObject" Target="embeddings/oleObject267.bin"/><Relationship Id="rId559" Type="http://schemas.openxmlformats.org/officeDocument/2006/relationships/oleObject" Target="embeddings/oleObject288.bin"/><Relationship Id="rId724" Type="http://schemas.openxmlformats.org/officeDocument/2006/relationships/image" Target="media/image337.wmf"/><Relationship Id="rId766" Type="http://schemas.openxmlformats.org/officeDocument/2006/relationships/oleObject" Target="embeddings/oleObject400.bin"/><Relationship Id="rId931" Type="http://schemas.openxmlformats.org/officeDocument/2006/relationships/oleObject" Target="embeddings/oleObject500.bin"/><Relationship Id="rId60" Type="http://schemas.openxmlformats.org/officeDocument/2006/relationships/image" Target="media/image23.wmf"/><Relationship Id="rId156" Type="http://schemas.openxmlformats.org/officeDocument/2006/relationships/image" Target="media/image66.wmf"/><Relationship Id="rId198" Type="http://schemas.openxmlformats.org/officeDocument/2006/relationships/image" Target="media/image86.wmf"/><Relationship Id="rId321" Type="http://schemas.openxmlformats.org/officeDocument/2006/relationships/image" Target="media/image147.wmf"/><Relationship Id="rId363" Type="http://schemas.openxmlformats.org/officeDocument/2006/relationships/image" Target="media/image168.wmf"/><Relationship Id="rId419" Type="http://schemas.openxmlformats.org/officeDocument/2006/relationships/oleObject" Target="embeddings/oleObject215.bin"/><Relationship Id="rId570" Type="http://schemas.openxmlformats.org/officeDocument/2006/relationships/image" Target="media/image265.wmf"/><Relationship Id="rId626" Type="http://schemas.openxmlformats.org/officeDocument/2006/relationships/oleObject" Target="embeddings/oleObject323.bin"/><Relationship Id="rId223" Type="http://schemas.openxmlformats.org/officeDocument/2006/relationships/image" Target="media/image98.wmf"/><Relationship Id="rId430" Type="http://schemas.openxmlformats.org/officeDocument/2006/relationships/image" Target="media/image197.wmf"/><Relationship Id="rId668" Type="http://schemas.openxmlformats.org/officeDocument/2006/relationships/image" Target="media/image310.wmf"/><Relationship Id="rId833" Type="http://schemas.openxmlformats.org/officeDocument/2006/relationships/image" Target="media/image383.wmf"/><Relationship Id="rId875" Type="http://schemas.openxmlformats.org/officeDocument/2006/relationships/image" Target="media/image404.wmf"/><Relationship Id="rId18" Type="http://schemas.openxmlformats.org/officeDocument/2006/relationships/oleObject" Target="embeddings/oleObject3.bin"/><Relationship Id="rId265" Type="http://schemas.openxmlformats.org/officeDocument/2006/relationships/image" Target="media/image119.wmf"/><Relationship Id="rId472" Type="http://schemas.openxmlformats.org/officeDocument/2006/relationships/oleObject" Target="embeddings/oleObject244.bin"/><Relationship Id="rId528" Type="http://schemas.openxmlformats.org/officeDocument/2006/relationships/image" Target="media/image244.wmf"/><Relationship Id="rId735" Type="http://schemas.openxmlformats.org/officeDocument/2006/relationships/image" Target="media/image342.wmf"/><Relationship Id="rId900" Type="http://schemas.openxmlformats.org/officeDocument/2006/relationships/oleObject" Target="embeddings/oleObject469.bin"/><Relationship Id="rId942" Type="http://schemas.openxmlformats.org/officeDocument/2006/relationships/oleObject" Target="embeddings/oleObject511.bin"/><Relationship Id="rId125" Type="http://schemas.openxmlformats.org/officeDocument/2006/relationships/image" Target="media/image53.wmf"/><Relationship Id="rId167" Type="http://schemas.openxmlformats.org/officeDocument/2006/relationships/image" Target="media/image71.wmf"/><Relationship Id="rId332" Type="http://schemas.openxmlformats.org/officeDocument/2006/relationships/oleObject" Target="embeddings/oleObject168.bin"/><Relationship Id="rId374" Type="http://schemas.openxmlformats.org/officeDocument/2006/relationships/oleObject" Target="embeddings/oleObject190.bin"/><Relationship Id="rId581" Type="http://schemas.openxmlformats.org/officeDocument/2006/relationships/oleObject" Target="embeddings/oleObject299.bin"/><Relationship Id="rId777" Type="http://schemas.openxmlformats.org/officeDocument/2006/relationships/hyperlink" Target="http://www.stats.govt.nz" TargetMode="External"/><Relationship Id="rId71" Type="http://schemas.openxmlformats.org/officeDocument/2006/relationships/oleObject" Target="embeddings/oleObject32.bin"/><Relationship Id="rId234" Type="http://schemas.openxmlformats.org/officeDocument/2006/relationships/oleObject" Target="embeddings/oleObject119.bin"/><Relationship Id="rId637" Type="http://schemas.openxmlformats.org/officeDocument/2006/relationships/oleObject" Target="embeddings/oleObject330.bin"/><Relationship Id="rId679" Type="http://schemas.openxmlformats.org/officeDocument/2006/relationships/oleObject" Target="embeddings/oleObject352.bin"/><Relationship Id="rId802" Type="http://schemas.openxmlformats.org/officeDocument/2006/relationships/image" Target="media/image368.wmf"/><Relationship Id="rId844" Type="http://schemas.openxmlformats.org/officeDocument/2006/relationships/oleObject" Target="embeddings/oleObject434.bin"/><Relationship Id="rId886" Type="http://schemas.openxmlformats.org/officeDocument/2006/relationships/oleObject" Target="embeddings/oleObject455.bin"/><Relationship Id="rId2" Type="http://schemas.openxmlformats.org/officeDocument/2006/relationships/numbering" Target="numbering.xml"/><Relationship Id="rId29" Type="http://schemas.openxmlformats.org/officeDocument/2006/relationships/image" Target="media/image9.wmf"/><Relationship Id="rId276" Type="http://schemas.openxmlformats.org/officeDocument/2006/relationships/oleObject" Target="embeddings/oleObject140.bin"/><Relationship Id="rId441" Type="http://schemas.openxmlformats.org/officeDocument/2006/relationships/oleObject" Target="embeddings/oleObject227.bin"/><Relationship Id="rId483" Type="http://schemas.openxmlformats.org/officeDocument/2006/relationships/oleObject" Target="embeddings/oleObject250.bin"/><Relationship Id="rId539" Type="http://schemas.openxmlformats.org/officeDocument/2006/relationships/oleObject" Target="embeddings/oleObject278.bin"/><Relationship Id="rId690" Type="http://schemas.openxmlformats.org/officeDocument/2006/relationships/oleObject" Target="embeddings/oleObject358.bin"/><Relationship Id="rId704" Type="http://schemas.openxmlformats.org/officeDocument/2006/relationships/image" Target="media/image327.wmf"/><Relationship Id="rId746" Type="http://schemas.openxmlformats.org/officeDocument/2006/relationships/oleObject" Target="embeddings/oleObject389.bin"/><Relationship Id="rId911" Type="http://schemas.openxmlformats.org/officeDocument/2006/relationships/oleObject" Target="embeddings/oleObject480.bin"/><Relationship Id="rId40" Type="http://schemas.openxmlformats.org/officeDocument/2006/relationships/image" Target="media/image14.wmf"/><Relationship Id="rId136" Type="http://schemas.openxmlformats.org/officeDocument/2006/relationships/oleObject" Target="embeddings/oleObject66.bin"/><Relationship Id="rId178" Type="http://schemas.openxmlformats.org/officeDocument/2006/relationships/image" Target="media/image76.wmf"/><Relationship Id="rId301" Type="http://schemas.openxmlformats.org/officeDocument/2006/relationships/image" Target="media/image137.wmf"/><Relationship Id="rId343" Type="http://schemas.openxmlformats.org/officeDocument/2006/relationships/image" Target="media/image158.wmf"/><Relationship Id="rId550" Type="http://schemas.openxmlformats.org/officeDocument/2006/relationships/image" Target="media/image255.wmf"/><Relationship Id="rId788" Type="http://schemas.openxmlformats.org/officeDocument/2006/relationships/image" Target="media/image361.wmf"/><Relationship Id="rId953" Type="http://schemas.openxmlformats.org/officeDocument/2006/relationships/fontTable" Target="fontTable.xml"/><Relationship Id="rId82" Type="http://schemas.openxmlformats.org/officeDocument/2006/relationships/image" Target="media/image33.wmf"/><Relationship Id="rId203" Type="http://schemas.openxmlformats.org/officeDocument/2006/relationships/image" Target="media/image88.wmf"/><Relationship Id="rId385" Type="http://schemas.openxmlformats.org/officeDocument/2006/relationships/image" Target="media/image178.wmf"/><Relationship Id="rId592" Type="http://schemas.openxmlformats.org/officeDocument/2006/relationships/image" Target="media/image276.wmf"/><Relationship Id="rId606" Type="http://schemas.openxmlformats.org/officeDocument/2006/relationships/image" Target="media/image283.wmf"/><Relationship Id="rId648" Type="http://schemas.openxmlformats.org/officeDocument/2006/relationships/image" Target="media/image300.wmf"/><Relationship Id="rId813" Type="http://schemas.openxmlformats.org/officeDocument/2006/relationships/oleObject" Target="embeddings/oleObject419.bin"/><Relationship Id="rId855" Type="http://schemas.openxmlformats.org/officeDocument/2006/relationships/image" Target="media/image394.wmf"/><Relationship Id="rId245" Type="http://schemas.openxmlformats.org/officeDocument/2006/relationships/image" Target="media/image109.wmf"/><Relationship Id="rId287" Type="http://schemas.openxmlformats.org/officeDocument/2006/relationships/image" Target="media/image130.wmf"/><Relationship Id="rId410" Type="http://schemas.openxmlformats.org/officeDocument/2006/relationships/image" Target="media/image190.wmf"/><Relationship Id="rId452" Type="http://schemas.openxmlformats.org/officeDocument/2006/relationships/image" Target="media/image208.wmf"/><Relationship Id="rId494" Type="http://schemas.openxmlformats.org/officeDocument/2006/relationships/image" Target="media/image227.wmf"/><Relationship Id="rId508" Type="http://schemas.openxmlformats.org/officeDocument/2006/relationships/image" Target="media/image234.wmf"/><Relationship Id="rId715" Type="http://schemas.openxmlformats.org/officeDocument/2006/relationships/oleObject" Target="embeddings/oleObject371.bin"/><Relationship Id="rId897" Type="http://schemas.openxmlformats.org/officeDocument/2006/relationships/oleObject" Target="embeddings/oleObject466.bin"/><Relationship Id="rId922" Type="http://schemas.openxmlformats.org/officeDocument/2006/relationships/oleObject" Target="embeddings/oleObject491.bin"/><Relationship Id="rId105" Type="http://schemas.openxmlformats.org/officeDocument/2006/relationships/oleObject" Target="embeddings/oleObject49.bin"/><Relationship Id="rId147" Type="http://schemas.openxmlformats.org/officeDocument/2006/relationships/oleObject" Target="embeddings/oleObject73.bin"/><Relationship Id="rId312" Type="http://schemas.openxmlformats.org/officeDocument/2006/relationships/oleObject" Target="embeddings/oleObject158.bin"/><Relationship Id="rId354" Type="http://schemas.openxmlformats.org/officeDocument/2006/relationships/oleObject" Target="embeddings/oleObject179.bin"/><Relationship Id="rId757" Type="http://schemas.openxmlformats.org/officeDocument/2006/relationships/image" Target="media/image350.wmf"/><Relationship Id="rId799" Type="http://schemas.openxmlformats.org/officeDocument/2006/relationships/oleObject" Target="embeddings/oleObject412.bin"/><Relationship Id="rId51" Type="http://schemas.openxmlformats.org/officeDocument/2006/relationships/oleObject" Target="embeddings/oleObject20.bin"/><Relationship Id="rId93" Type="http://schemas.openxmlformats.org/officeDocument/2006/relationships/oleObject" Target="embeddings/oleObject43.bin"/><Relationship Id="rId189" Type="http://schemas.openxmlformats.org/officeDocument/2006/relationships/oleObject" Target="embeddings/oleObject96.bin"/><Relationship Id="rId396" Type="http://schemas.openxmlformats.org/officeDocument/2006/relationships/image" Target="media/image183.wmf"/><Relationship Id="rId561" Type="http://schemas.openxmlformats.org/officeDocument/2006/relationships/oleObject" Target="embeddings/oleObject289.bin"/><Relationship Id="rId617" Type="http://schemas.openxmlformats.org/officeDocument/2006/relationships/image" Target="media/image288.wmf"/><Relationship Id="rId659" Type="http://schemas.openxmlformats.org/officeDocument/2006/relationships/oleObject" Target="embeddings/oleObject342.bin"/><Relationship Id="rId824" Type="http://schemas.openxmlformats.org/officeDocument/2006/relationships/footer" Target="footer2.xml"/><Relationship Id="rId866" Type="http://schemas.openxmlformats.org/officeDocument/2006/relationships/oleObject" Target="embeddings/oleObject445.bin"/><Relationship Id="rId214" Type="http://schemas.openxmlformats.org/officeDocument/2006/relationships/oleObject" Target="embeddings/oleObject109.bin"/><Relationship Id="rId256" Type="http://schemas.openxmlformats.org/officeDocument/2006/relationships/oleObject" Target="embeddings/oleObject130.bin"/><Relationship Id="rId298" Type="http://schemas.openxmlformats.org/officeDocument/2006/relationships/oleObject" Target="embeddings/oleObject151.bin"/><Relationship Id="rId421" Type="http://schemas.openxmlformats.org/officeDocument/2006/relationships/oleObject" Target="embeddings/oleObject216.bin"/><Relationship Id="rId463" Type="http://schemas.openxmlformats.org/officeDocument/2006/relationships/oleObject" Target="embeddings/oleObject238.bin"/><Relationship Id="rId519" Type="http://schemas.openxmlformats.org/officeDocument/2006/relationships/oleObject" Target="embeddings/oleObject268.bin"/><Relationship Id="rId670" Type="http://schemas.openxmlformats.org/officeDocument/2006/relationships/image" Target="media/image311.wmf"/><Relationship Id="rId116" Type="http://schemas.openxmlformats.org/officeDocument/2006/relationships/image" Target="media/image50.wmf"/><Relationship Id="rId158" Type="http://schemas.openxmlformats.org/officeDocument/2006/relationships/oleObject" Target="embeddings/oleObject80.bin"/><Relationship Id="rId323" Type="http://schemas.openxmlformats.org/officeDocument/2006/relationships/image" Target="media/image148.wmf"/><Relationship Id="rId530" Type="http://schemas.openxmlformats.org/officeDocument/2006/relationships/image" Target="media/image245.wmf"/><Relationship Id="rId726" Type="http://schemas.openxmlformats.org/officeDocument/2006/relationships/image" Target="media/image338.wmf"/><Relationship Id="rId768" Type="http://schemas.openxmlformats.org/officeDocument/2006/relationships/hyperlink" Target="http://www.springerlink.com/content/?Author=John+C.+Whitehead" TargetMode="External"/><Relationship Id="rId933" Type="http://schemas.openxmlformats.org/officeDocument/2006/relationships/oleObject" Target="embeddings/oleObject502.bin"/><Relationship Id="rId20" Type="http://schemas.openxmlformats.org/officeDocument/2006/relationships/oleObject" Target="embeddings/oleObject4.bin"/><Relationship Id="rId62" Type="http://schemas.openxmlformats.org/officeDocument/2006/relationships/image" Target="media/image24.wmf"/><Relationship Id="rId365" Type="http://schemas.openxmlformats.org/officeDocument/2006/relationships/image" Target="media/image169.wmf"/><Relationship Id="rId572" Type="http://schemas.openxmlformats.org/officeDocument/2006/relationships/image" Target="media/image266.wmf"/><Relationship Id="rId628" Type="http://schemas.openxmlformats.org/officeDocument/2006/relationships/oleObject" Target="embeddings/oleObject325.bin"/><Relationship Id="rId835" Type="http://schemas.openxmlformats.org/officeDocument/2006/relationships/image" Target="media/image384.wmf"/><Relationship Id="rId225" Type="http://schemas.openxmlformats.org/officeDocument/2006/relationships/image" Target="media/image99.wmf"/><Relationship Id="rId267" Type="http://schemas.openxmlformats.org/officeDocument/2006/relationships/image" Target="media/image120.wmf"/><Relationship Id="rId432" Type="http://schemas.openxmlformats.org/officeDocument/2006/relationships/image" Target="media/image198.wmf"/><Relationship Id="rId474" Type="http://schemas.openxmlformats.org/officeDocument/2006/relationships/image" Target="media/image217.wmf"/><Relationship Id="rId877" Type="http://schemas.openxmlformats.org/officeDocument/2006/relationships/image" Target="media/image405.wmf"/><Relationship Id="rId127" Type="http://schemas.openxmlformats.org/officeDocument/2006/relationships/image" Target="media/image54.wmf"/><Relationship Id="rId681" Type="http://schemas.openxmlformats.org/officeDocument/2006/relationships/oleObject" Target="embeddings/oleObject353.bin"/><Relationship Id="rId737" Type="http://schemas.openxmlformats.org/officeDocument/2006/relationships/oleObject" Target="embeddings/oleObject383.bin"/><Relationship Id="rId779" Type="http://schemas.openxmlformats.org/officeDocument/2006/relationships/oleObject" Target="embeddings/oleObject402.bin"/><Relationship Id="rId902" Type="http://schemas.openxmlformats.org/officeDocument/2006/relationships/oleObject" Target="embeddings/oleObject471.bin"/><Relationship Id="rId944" Type="http://schemas.openxmlformats.org/officeDocument/2006/relationships/oleObject" Target="embeddings/oleObject513.bin"/><Relationship Id="rId31" Type="http://schemas.openxmlformats.org/officeDocument/2006/relationships/image" Target="media/image10.wmf"/><Relationship Id="rId73" Type="http://schemas.openxmlformats.org/officeDocument/2006/relationships/oleObject" Target="embeddings/oleObject33.bin"/><Relationship Id="rId169" Type="http://schemas.openxmlformats.org/officeDocument/2006/relationships/image" Target="media/image72.wmf"/><Relationship Id="rId334" Type="http://schemas.openxmlformats.org/officeDocument/2006/relationships/oleObject" Target="embeddings/oleObject169.bin"/><Relationship Id="rId376" Type="http://schemas.openxmlformats.org/officeDocument/2006/relationships/oleObject" Target="embeddings/oleObject191.bin"/><Relationship Id="rId541" Type="http://schemas.openxmlformats.org/officeDocument/2006/relationships/oleObject" Target="embeddings/oleObject279.bin"/><Relationship Id="rId583" Type="http://schemas.openxmlformats.org/officeDocument/2006/relationships/oleObject" Target="embeddings/oleObject300.bin"/><Relationship Id="rId639" Type="http://schemas.openxmlformats.org/officeDocument/2006/relationships/oleObject" Target="embeddings/oleObject331.bin"/><Relationship Id="rId790" Type="http://schemas.openxmlformats.org/officeDocument/2006/relationships/image" Target="media/image362.wmf"/><Relationship Id="rId804" Type="http://schemas.openxmlformats.org/officeDocument/2006/relationships/image" Target="media/image369.wmf"/><Relationship Id="rId4" Type="http://schemas.microsoft.com/office/2007/relationships/stylesWithEffects" Target="stylesWithEffects.xml"/><Relationship Id="rId180" Type="http://schemas.openxmlformats.org/officeDocument/2006/relationships/image" Target="media/image77.wmf"/><Relationship Id="rId236" Type="http://schemas.openxmlformats.org/officeDocument/2006/relationships/oleObject" Target="embeddings/oleObject120.bin"/><Relationship Id="rId278" Type="http://schemas.openxmlformats.org/officeDocument/2006/relationships/oleObject" Target="embeddings/oleObject141.bin"/><Relationship Id="rId401" Type="http://schemas.openxmlformats.org/officeDocument/2006/relationships/oleObject" Target="embeddings/oleObject204.bin"/><Relationship Id="rId443" Type="http://schemas.openxmlformats.org/officeDocument/2006/relationships/oleObject" Target="embeddings/oleObject228.bin"/><Relationship Id="rId650" Type="http://schemas.openxmlformats.org/officeDocument/2006/relationships/image" Target="media/image301.wmf"/><Relationship Id="rId846" Type="http://schemas.openxmlformats.org/officeDocument/2006/relationships/oleObject" Target="embeddings/oleObject435.bin"/><Relationship Id="rId888" Type="http://schemas.openxmlformats.org/officeDocument/2006/relationships/oleObject" Target="embeddings/oleObject457.bin"/><Relationship Id="rId303" Type="http://schemas.openxmlformats.org/officeDocument/2006/relationships/image" Target="media/image138.wmf"/><Relationship Id="rId485" Type="http://schemas.openxmlformats.org/officeDocument/2006/relationships/oleObject" Target="embeddings/oleObject251.bin"/><Relationship Id="rId692" Type="http://schemas.openxmlformats.org/officeDocument/2006/relationships/oleObject" Target="embeddings/oleObject359.bin"/><Relationship Id="rId706" Type="http://schemas.openxmlformats.org/officeDocument/2006/relationships/image" Target="media/image328.wmf"/><Relationship Id="rId748" Type="http://schemas.openxmlformats.org/officeDocument/2006/relationships/oleObject" Target="embeddings/oleObject390.bin"/><Relationship Id="rId913" Type="http://schemas.openxmlformats.org/officeDocument/2006/relationships/oleObject" Target="embeddings/oleObject482.bin"/><Relationship Id="rId42" Type="http://schemas.openxmlformats.org/officeDocument/2006/relationships/image" Target="media/image15.wmf"/><Relationship Id="rId84" Type="http://schemas.openxmlformats.org/officeDocument/2006/relationships/image" Target="media/image34.wmf"/><Relationship Id="rId138" Type="http://schemas.openxmlformats.org/officeDocument/2006/relationships/oleObject" Target="embeddings/oleObject67.bin"/><Relationship Id="rId345" Type="http://schemas.openxmlformats.org/officeDocument/2006/relationships/image" Target="media/image159.wmf"/><Relationship Id="rId387" Type="http://schemas.openxmlformats.org/officeDocument/2006/relationships/image" Target="media/image179.wmf"/><Relationship Id="rId510" Type="http://schemas.openxmlformats.org/officeDocument/2006/relationships/image" Target="media/image235.wmf"/><Relationship Id="rId552" Type="http://schemas.openxmlformats.org/officeDocument/2006/relationships/image" Target="media/image256.wmf"/><Relationship Id="rId594" Type="http://schemas.openxmlformats.org/officeDocument/2006/relationships/image" Target="media/image277.wmf"/><Relationship Id="rId608" Type="http://schemas.openxmlformats.org/officeDocument/2006/relationships/image" Target="media/image284.wmf"/><Relationship Id="rId815" Type="http://schemas.openxmlformats.org/officeDocument/2006/relationships/oleObject" Target="embeddings/oleObject420.bin"/><Relationship Id="rId191" Type="http://schemas.openxmlformats.org/officeDocument/2006/relationships/oleObject" Target="embeddings/oleObject97.bin"/><Relationship Id="rId205" Type="http://schemas.openxmlformats.org/officeDocument/2006/relationships/image" Target="media/image89.wmf"/><Relationship Id="rId247" Type="http://schemas.openxmlformats.org/officeDocument/2006/relationships/image" Target="media/image110.wmf"/><Relationship Id="rId412" Type="http://schemas.openxmlformats.org/officeDocument/2006/relationships/oleObject" Target="embeddings/oleObject210.bin"/><Relationship Id="rId857" Type="http://schemas.openxmlformats.org/officeDocument/2006/relationships/image" Target="media/image395.wmf"/><Relationship Id="rId899" Type="http://schemas.openxmlformats.org/officeDocument/2006/relationships/oleObject" Target="embeddings/oleObject468.bin"/><Relationship Id="rId107" Type="http://schemas.openxmlformats.org/officeDocument/2006/relationships/oleObject" Target="embeddings/oleObject50.bin"/><Relationship Id="rId289" Type="http://schemas.openxmlformats.org/officeDocument/2006/relationships/image" Target="media/image131.wmf"/><Relationship Id="rId454" Type="http://schemas.openxmlformats.org/officeDocument/2006/relationships/image" Target="media/image209.wmf"/><Relationship Id="rId496" Type="http://schemas.openxmlformats.org/officeDocument/2006/relationships/image" Target="media/image228.wmf"/><Relationship Id="rId661" Type="http://schemas.openxmlformats.org/officeDocument/2006/relationships/oleObject" Target="embeddings/oleObject343.bin"/><Relationship Id="rId717" Type="http://schemas.openxmlformats.org/officeDocument/2006/relationships/oleObject" Target="embeddings/oleObject372.bin"/><Relationship Id="rId759" Type="http://schemas.openxmlformats.org/officeDocument/2006/relationships/image" Target="media/image351.wmf"/><Relationship Id="rId924" Type="http://schemas.openxmlformats.org/officeDocument/2006/relationships/oleObject" Target="embeddings/oleObject493.bin"/><Relationship Id="rId11" Type="http://schemas.openxmlformats.org/officeDocument/2006/relationships/hyperlink" Target="mailto:aartibhat@utexas.edu" TargetMode="External"/><Relationship Id="rId53" Type="http://schemas.openxmlformats.org/officeDocument/2006/relationships/image" Target="media/image20.wmf"/><Relationship Id="rId149" Type="http://schemas.openxmlformats.org/officeDocument/2006/relationships/image" Target="media/image63.wmf"/><Relationship Id="rId314" Type="http://schemas.openxmlformats.org/officeDocument/2006/relationships/oleObject" Target="embeddings/oleObject159.bin"/><Relationship Id="rId356" Type="http://schemas.openxmlformats.org/officeDocument/2006/relationships/oleObject" Target="embeddings/oleObject180.bin"/><Relationship Id="rId398" Type="http://schemas.openxmlformats.org/officeDocument/2006/relationships/image" Target="media/image184.wmf"/><Relationship Id="rId521" Type="http://schemas.openxmlformats.org/officeDocument/2006/relationships/oleObject" Target="embeddings/oleObject269.bin"/><Relationship Id="rId563" Type="http://schemas.openxmlformats.org/officeDocument/2006/relationships/oleObject" Target="embeddings/oleObject290.bin"/><Relationship Id="rId619" Type="http://schemas.openxmlformats.org/officeDocument/2006/relationships/image" Target="media/image289.wmf"/><Relationship Id="rId770" Type="http://schemas.openxmlformats.org/officeDocument/2006/relationships/hyperlink" Target="http://www.springerlink.com/content/?Author=Christopher+F.+Dumas" TargetMode="External"/><Relationship Id="rId95" Type="http://schemas.openxmlformats.org/officeDocument/2006/relationships/oleObject" Target="embeddings/oleObject44.bin"/><Relationship Id="rId160" Type="http://schemas.openxmlformats.org/officeDocument/2006/relationships/oleObject" Target="embeddings/oleObject81.bin"/><Relationship Id="rId216" Type="http://schemas.openxmlformats.org/officeDocument/2006/relationships/oleObject" Target="embeddings/oleObject110.bin"/><Relationship Id="rId423" Type="http://schemas.openxmlformats.org/officeDocument/2006/relationships/oleObject" Target="embeddings/oleObject218.bin"/><Relationship Id="rId826" Type="http://schemas.openxmlformats.org/officeDocument/2006/relationships/oleObject" Target="embeddings/oleObject425.bin"/><Relationship Id="rId868" Type="http://schemas.openxmlformats.org/officeDocument/2006/relationships/oleObject" Target="embeddings/oleObject446.bin"/><Relationship Id="rId258" Type="http://schemas.openxmlformats.org/officeDocument/2006/relationships/oleObject" Target="embeddings/oleObject131.bin"/><Relationship Id="rId465" Type="http://schemas.openxmlformats.org/officeDocument/2006/relationships/oleObject" Target="embeddings/oleObject239.bin"/><Relationship Id="rId630" Type="http://schemas.openxmlformats.org/officeDocument/2006/relationships/image" Target="media/image292.wmf"/><Relationship Id="rId672" Type="http://schemas.openxmlformats.org/officeDocument/2006/relationships/image" Target="media/image312.wmf"/><Relationship Id="rId728" Type="http://schemas.openxmlformats.org/officeDocument/2006/relationships/image" Target="media/image339.wmf"/><Relationship Id="rId935" Type="http://schemas.openxmlformats.org/officeDocument/2006/relationships/oleObject" Target="embeddings/oleObject504.bin"/><Relationship Id="rId22" Type="http://schemas.openxmlformats.org/officeDocument/2006/relationships/oleObject" Target="embeddings/oleObject5.bin"/><Relationship Id="rId64" Type="http://schemas.openxmlformats.org/officeDocument/2006/relationships/image" Target="media/image25.wmf"/><Relationship Id="rId118" Type="http://schemas.openxmlformats.org/officeDocument/2006/relationships/oleObject" Target="embeddings/oleObject56.bin"/><Relationship Id="rId325" Type="http://schemas.openxmlformats.org/officeDocument/2006/relationships/image" Target="media/image149.wmf"/><Relationship Id="rId367" Type="http://schemas.openxmlformats.org/officeDocument/2006/relationships/image" Target="media/image170.wmf"/><Relationship Id="rId532" Type="http://schemas.openxmlformats.org/officeDocument/2006/relationships/image" Target="media/image246.wmf"/><Relationship Id="rId574" Type="http://schemas.openxmlformats.org/officeDocument/2006/relationships/image" Target="media/image267.wmf"/><Relationship Id="rId171" Type="http://schemas.openxmlformats.org/officeDocument/2006/relationships/image" Target="media/image73.wmf"/><Relationship Id="rId227" Type="http://schemas.openxmlformats.org/officeDocument/2006/relationships/image" Target="media/image100.wmf"/><Relationship Id="rId781" Type="http://schemas.openxmlformats.org/officeDocument/2006/relationships/oleObject" Target="embeddings/oleObject403.bin"/><Relationship Id="rId837" Type="http://schemas.openxmlformats.org/officeDocument/2006/relationships/image" Target="media/image385.wmf"/><Relationship Id="rId879" Type="http://schemas.openxmlformats.org/officeDocument/2006/relationships/image" Target="media/image406.wmf"/><Relationship Id="rId269" Type="http://schemas.openxmlformats.org/officeDocument/2006/relationships/image" Target="media/image121.wmf"/><Relationship Id="rId434" Type="http://schemas.openxmlformats.org/officeDocument/2006/relationships/image" Target="media/image199.wmf"/><Relationship Id="rId476" Type="http://schemas.openxmlformats.org/officeDocument/2006/relationships/image" Target="media/image218.wmf"/><Relationship Id="rId641" Type="http://schemas.openxmlformats.org/officeDocument/2006/relationships/oleObject" Target="embeddings/oleObject332.bin"/><Relationship Id="rId683" Type="http://schemas.openxmlformats.org/officeDocument/2006/relationships/oleObject" Target="embeddings/oleObject354.bin"/><Relationship Id="rId739" Type="http://schemas.openxmlformats.org/officeDocument/2006/relationships/oleObject" Target="embeddings/oleObject385.bin"/><Relationship Id="rId890" Type="http://schemas.openxmlformats.org/officeDocument/2006/relationships/oleObject" Target="embeddings/oleObject459.bin"/><Relationship Id="rId904" Type="http://schemas.openxmlformats.org/officeDocument/2006/relationships/oleObject" Target="embeddings/oleObject473.bin"/><Relationship Id="rId33" Type="http://schemas.openxmlformats.org/officeDocument/2006/relationships/image" Target="media/image11.wmf"/><Relationship Id="rId129" Type="http://schemas.openxmlformats.org/officeDocument/2006/relationships/image" Target="media/image55.wmf"/><Relationship Id="rId280" Type="http://schemas.openxmlformats.org/officeDocument/2006/relationships/oleObject" Target="embeddings/oleObject142.bin"/><Relationship Id="rId336" Type="http://schemas.openxmlformats.org/officeDocument/2006/relationships/oleObject" Target="embeddings/oleObject170.bin"/><Relationship Id="rId501" Type="http://schemas.openxmlformats.org/officeDocument/2006/relationships/oleObject" Target="embeddings/oleObject259.bin"/><Relationship Id="rId543" Type="http://schemas.openxmlformats.org/officeDocument/2006/relationships/oleObject" Target="embeddings/oleObject280.bin"/><Relationship Id="rId946" Type="http://schemas.openxmlformats.org/officeDocument/2006/relationships/oleObject" Target="embeddings/oleObject515.bin"/><Relationship Id="rId75" Type="http://schemas.openxmlformats.org/officeDocument/2006/relationships/oleObject" Target="embeddings/oleObject34.bin"/><Relationship Id="rId140" Type="http://schemas.openxmlformats.org/officeDocument/2006/relationships/oleObject" Target="embeddings/oleObject68.bin"/><Relationship Id="rId182" Type="http://schemas.openxmlformats.org/officeDocument/2006/relationships/image" Target="media/image78.wmf"/><Relationship Id="rId378" Type="http://schemas.openxmlformats.org/officeDocument/2006/relationships/oleObject" Target="embeddings/oleObject192.bin"/><Relationship Id="rId403" Type="http://schemas.openxmlformats.org/officeDocument/2006/relationships/oleObject" Target="embeddings/oleObject205.bin"/><Relationship Id="rId585" Type="http://schemas.openxmlformats.org/officeDocument/2006/relationships/oleObject" Target="embeddings/oleObject301.bin"/><Relationship Id="rId750" Type="http://schemas.openxmlformats.org/officeDocument/2006/relationships/image" Target="media/image347.wmf"/><Relationship Id="rId792" Type="http://schemas.openxmlformats.org/officeDocument/2006/relationships/image" Target="media/image363.wmf"/><Relationship Id="rId806" Type="http://schemas.openxmlformats.org/officeDocument/2006/relationships/image" Target="media/image370.wmf"/><Relationship Id="rId848" Type="http://schemas.openxmlformats.org/officeDocument/2006/relationships/oleObject" Target="embeddings/oleObject436.bin"/><Relationship Id="rId6" Type="http://schemas.openxmlformats.org/officeDocument/2006/relationships/webSettings" Target="webSettings.xml"/><Relationship Id="rId238" Type="http://schemas.openxmlformats.org/officeDocument/2006/relationships/oleObject" Target="embeddings/oleObject121.bin"/><Relationship Id="rId445" Type="http://schemas.openxmlformats.org/officeDocument/2006/relationships/oleObject" Target="embeddings/oleObject229.bin"/><Relationship Id="rId487" Type="http://schemas.openxmlformats.org/officeDocument/2006/relationships/oleObject" Target="embeddings/oleObject252.bin"/><Relationship Id="rId610" Type="http://schemas.openxmlformats.org/officeDocument/2006/relationships/image" Target="media/image285.wmf"/><Relationship Id="rId652" Type="http://schemas.openxmlformats.org/officeDocument/2006/relationships/image" Target="media/image302.wmf"/><Relationship Id="rId694" Type="http://schemas.openxmlformats.org/officeDocument/2006/relationships/oleObject" Target="embeddings/oleObject360.bin"/><Relationship Id="rId708" Type="http://schemas.openxmlformats.org/officeDocument/2006/relationships/image" Target="media/image329.wmf"/><Relationship Id="rId915" Type="http://schemas.openxmlformats.org/officeDocument/2006/relationships/oleObject" Target="embeddings/oleObject484.bin"/><Relationship Id="rId291" Type="http://schemas.openxmlformats.org/officeDocument/2006/relationships/image" Target="media/image132.wmf"/><Relationship Id="rId305" Type="http://schemas.openxmlformats.org/officeDocument/2006/relationships/image" Target="media/image139.wmf"/><Relationship Id="rId347" Type="http://schemas.openxmlformats.org/officeDocument/2006/relationships/image" Target="media/image160.wmf"/><Relationship Id="rId512" Type="http://schemas.openxmlformats.org/officeDocument/2006/relationships/image" Target="media/image236.wmf"/><Relationship Id="rId44" Type="http://schemas.openxmlformats.org/officeDocument/2006/relationships/image" Target="media/image16.wmf"/><Relationship Id="rId86" Type="http://schemas.openxmlformats.org/officeDocument/2006/relationships/image" Target="media/image35.wmf"/><Relationship Id="rId151" Type="http://schemas.openxmlformats.org/officeDocument/2006/relationships/image" Target="media/image64.wmf"/><Relationship Id="rId389" Type="http://schemas.openxmlformats.org/officeDocument/2006/relationships/image" Target="media/image180.wmf"/><Relationship Id="rId554" Type="http://schemas.openxmlformats.org/officeDocument/2006/relationships/image" Target="media/image257.wmf"/><Relationship Id="rId596" Type="http://schemas.openxmlformats.org/officeDocument/2006/relationships/image" Target="media/image278.wmf"/><Relationship Id="rId761" Type="http://schemas.openxmlformats.org/officeDocument/2006/relationships/image" Target="media/image352.wmf"/><Relationship Id="rId817" Type="http://schemas.openxmlformats.org/officeDocument/2006/relationships/oleObject" Target="embeddings/oleObject421.bin"/><Relationship Id="rId859" Type="http://schemas.openxmlformats.org/officeDocument/2006/relationships/image" Target="media/image396.wmf"/><Relationship Id="rId193" Type="http://schemas.openxmlformats.org/officeDocument/2006/relationships/oleObject" Target="embeddings/oleObject98.bin"/><Relationship Id="rId207" Type="http://schemas.openxmlformats.org/officeDocument/2006/relationships/image" Target="media/image90.wmf"/><Relationship Id="rId249" Type="http://schemas.openxmlformats.org/officeDocument/2006/relationships/image" Target="media/image111.wmf"/><Relationship Id="rId414" Type="http://schemas.openxmlformats.org/officeDocument/2006/relationships/image" Target="media/image191.wmf"/><Relationship Id="rId456" Type="http://schemas.openxmlformats.org/officeDocument/2006/relationships/image" Target="media/image210.wmf"/><Relationship Id="rId498" Type="http://schemas.openxmlformats.org/officeDocument/2006/relationships/image" Target="media/image229.wmf"/><Relationship Id="rId621" Type="http://schemas.openxmlformats.org/officeDocument/2006/relationships/image" Target="media/image290.wmf"/><Relationship Id="rId663" Type="http://schemas.openxmlformats.org/officeDocument/2006/relationships/oleObject" Target="embeddings/oleObject344.bin"/><Relationship Id="rId870" Type="http://schemas.openxmlformats.org/officeDocument/2006/relationships/oleObject" Target="embeddings/oleObject447.bin"/><Relationship Id="rId13" Type="http://schemas.openxmlformats.org/officeDocument/2006/relationships/image" Target="media/image1.wmf"/><Relationship Id="rId109" Type="http://schemas.openxmlformats.org/officeDocument/2006/relationships/oleObject" Target="embeddings/oleObject51.bin"/><Relationship Id="rId260" Type="http://schemas.openxmlformats.org/officeDocument/2006/relationships/oleObject" Target="embeddings/oleObject132.bin"/><Relationship Id="rId316" Type="http://schemas.openxmlformats.org/officeDocument/2006/relationships/oleObject" Target="embeddings/oleObject160.bin"/><Relationship Id="rId523" Type="http://schemas.openxmlformats.org/officeDocument/2006/relationships/oleObject" Target="embeddings/oleObject270.bin"/><Relationship Id="rId719" Type="http://schemas.openxmlformats.org/officeDocument/2006/relationships/oleObject" Target="embeddings/oleObject373.bin"/><Relationship Id="rId926" Type="http://schemas.openxmlformats.org/officeDocument/2006/relationships/oleObject" Target="embeddings/oleObject495.bin"/><Relationship Id="rId55" Type="http://schemas.openxmlformats.org/officeDocument/2006/relationships/oleObject" Target="embeddings/oleObject23.bin"/><Relationship Id="rId97" Type="http://schemas.openxmlformats.org/officeDocument/2006/relationships/oleObject" Target="embeddings/oleObject45.bin"/><Relationship Id="rId120" Type="http://schemas.openxmlformats.org/officeDocument/2006/relationships/oleObject" Target="embeddings/oleObject57.bin"/><Relationship Id="rId358" Type="http://schemas.openxmlformats.org/officeDocument/2006/relationships/oleObject" Target="embeddings/oleObject181.bin"/><Relationship Id="rId565" Type="http://schemas.openxmlformats.org/officeDocument/2006/relationships/oleObject" Target="embeddings/oleObject291.bin"/><Relationship Id="rId730" Type="http://schemas.openxmlformats.org/officeDocument/2006/relationships/image" Target="media/image340.wmf"/><Relationship Id="rId772" Type="http://schemas.openxmlformats.org/officeDocument/2006/relationships/hyperlink" Target="http://www.springerlink.com/content/?Author=Jeffery+Hill" TargetMode="External"/><Relationship Id="rId828" Type="http://schemas.openxmlformats.org/officeDocument/2006/relationships/oleObject" Target="embeddings/oleObject426.bin"/><Relationship Id="rId162" Type="http://schemas.openxmlformats.org/officeDocument/2006/relationships/oleObject" Target="embeddings/oleObject82.bin"/><Relationship Id="rId218" Type="http://schemas.openxmlformats.org/officeDocument/2006/relationships/oleObject" Target="embeddings/oleObject111.bin"/><Relationship Id="rId425" Type="http://schemas.openxmlformats.org/officeDocument/2006/relationships/oleObject" Target="embeddings/oleObject219.bin"/><Relationship Id="rId467" Type="http://schemas.openxmlformats.org/officeDocument/2006/relationships/oleObject" Target="embeddings/oleObject241.bin"/><Relationship Id="rId632" Type="http://schemas.openxmlformats.org/officeDocument/2006/relationships/image" Target="media/image293.wmf"/><Relationship Id="rId271" Type="http://schemas.openxmlformats.org/officeDocument/2006/relationships/image" Target="media/image122.wmf"/><Relationship Id="rId674" Type="http://schemas.openxmlformats.org/officeDocument/2006/relationships/image" Target="media/image313.wmf"/><Relationship Id="rId881" Type="http://schemas.openxmlformats.org/officeDocument/2006/relationships/image" Target="media/image407.wmf"/><Relationship Id="rId937" Type="http://schemas.openxmlformats.org/officeDocument/2006/relationships/oleObject" Target="embeddings/oleObject506.bin"/><Relationship Id="rId24" Type="http://schemas.openxmlformats.org/officeDocument/2006/relationships/oleObject" Target="embeddings/oleObject6.bin"/><Relationship Id="rId66" Type="http://schemas.openxmlformats.org/officeDocument/2006/relationships/oleObject" Target="embeddings/oleObject29.bin"/><Relationship Id="rId131" Type="http://schemas.openxmlformats.org/officeDocument/2006/relationships/image" Target="media/image56.wmf"/><Relationship Id="rId327" Type="http://schemas.openxmlformats.org/officeDocument/2006/relationships/image" Target="media/image150.wmf"/><Relationship Id="rId369" Type="http://schemas.openxmlformats.org/officeDocument/2006/relationships/oleObject" Target="embeddings/oleObject187.bin"/><Relationship Id="rId534" Type="http://schemas.openxmlformats.org/officeDocument/2006/relationships/image" Target="media/image247.wmf"/><Relationship Id="rId576" Type="http://schemas.openxmlformats.org/officeDocument/2006/relationships/image" Target="media/image268.wmf"/><Relationship Id="rId741" Type="http://schemas.openxmlformats.org/officeDocument/2006/relationships/oleObject" Target="embeddings/oleObject386.bin"/><Relationship Id="rId783" Type="http://schemas.openxmlformats.org/officeDocument/2006/relationships/oleObject" Target="embeddings/oleObject404.bin"/><Relationship Id="rId839" Type="http://schemas.openxmlformats.org/officeDocument/2006/relationships/image" Target="media/image386.wmf"/><Relationship Id="rId173" Type="http://schemas.openxmlformats.org/officeDocument/2006/relationships/image" Target="media/image74.wmf"/><Relationship Id="rId229" Type="http://schemas.openxmlformats.org/officeDocument/2006/relationships/image" Target="media/image101.wmf"/><Relationship Id="rId380" Type="http://schemas.openxmlformats.org/officeDocument/2006/relationships/oleObject" Target="embeddings/oleObject193.bin"/><Relationship Id="rId436" Type="http://schemas.openxmlformats.org/officeDocument/2006/relationships/image" Target="media/image200.wmf"/><Relationship Id="rId601" Type="http://schemas.openxmlformats.org/officeDocument/2006/relationships/oleObject" Target="embeddings/oleObject309.bin"/><Relationship Id="rId643" Type="http://schemas.openxmlformats.org/officeDocument/2006/relationships/oleObject" Target="embeddings/oleObject334.bin"/><Relationship Id="rId240" Type="http://schemas.openxmlformats.org/officeDocument/2006/relationships/oleObject" Target="embeddings/oleObject122.bin"/><Relationship Id="rId478" Type="http://schemas.openxmlformats.org/officeDocument/2006/relationships/image" Target="media/image219.wmf"/><Relationship Id="rId685" Type="http://schemas.openxmlformats.org/officeDocument/2006/relationships/oleObject" Target="embeddings/oleObject355.bin"/><Relationship Id="rId850" Type="http://schemas.openxmlformats.org/officeDocument/2006/relationships/oleObject" Target="embeddings/oleObject437.bin"/><Relationship Id="rId892" Type="http://schemas.openxmlformats.org/officeDocument/2006/relationships/oleObject" Target="embeddings/oleObject461.bin"/><Relationship Id="rId906" Type="http://schemas.openxmlformats.org/officeDocument/2006/relationships/oleObject" Target="embeddings/oleObject475.bin"/><Relationship Id="rId948" Type="http://schemas.openxmlformats.org/officeDocument/2006/relationships/oleObject" Target="embeddings/oleObject516.bin"/><Relationship Id="rId35" Type="http://schemas.openxmlformats.org/officeDocument/2006/relationships/oleObject" Target="embeddings/oleObject12.bin"/><Relationship Id="rId77" Type="http://schemas.openxmlformats.org/officeDocument/2006/relationships/oleObject" Target="embeddings/oleObject35.bin"/><Relationship Id="rId100" Type="http://schemas.openxmlformats.org/officeDocument/2006/relationships/image" Target="media/image42.wmf"/><Relationship Id="rId282" Type="http://schemas.openxmlformats.org/officeDocument/2006/relationships/oleObject" Target="embeddings/oleObject143.bin"/><Relationship Id="rId338" Type="http://schemas.openxmlformats.org/officeDocument/2006/relationships/oleObject" Target="embeddings/oleObject171.bin"/><Relationship Id="rId503" Type="http://schemas.openxmlformats.org/officeDocument/2006/relationships/oleObject" Target="embeddings/oleObject260.bin"/><Relationship Id="rId545" Type="http://schemas.openxmlformats.org/officeDocument/2006/relationships/oleObject" Target="embeddings/oleObject281.bin"/><Relationship Id="rId587" Type="http://schemas.openxmlformats.org/officeDocument/2006/relationships/oleObject" Target="embeddings/oleObject302.bin"/><Relationship Id="rId710" Type="http://schemas.openxmlformats.org/officeDocument/2006/relationships/image" Target="media/image330.wmf"/><Relationship Id="rId752" Type="http://schemas.openxmlformats.org/officeDocument/2006/relationships/image" Target="media/image348.wmf"/><Relationship Id="rId808" Type="http://schemas.openxmlformats.org/officeDocument/2006/relationships/image" Target="media/image371.wmf"/><Relationship Id="rId8" Type="http://schemas.openxmlformats.org/officeDocument/2006/relationships/endnotes" Target="endnotes.xml"/><Relationship Id="rId142" Type="http://schemas.openxmlformats.org/officeDocument/2006/relationships/oleObject" Target="embeddings/oleObject70.bin"/><Relationship Id="rId184" Type="http://schemas.openxmlformats.org/officeDocument/2006/relationships/image" Target="media/image79.wmf"/><Relationship Id="rId391" Type="http://schemas.openxmlformats.org/officeDocument/2006/relationships/image" Target="media/image181.wmf"/><Relationship Id="rId405" Type="http://schemas.openxmlformats.org/officeDocument/2006/relationships/oleObject" Target="embeddings/oleObject206.bin"/><Relationship Id="rId447" Type="http://schemas.openxmlformats.org/officeDocument/2006/relationships/oleObject" Target="embeddings/oleObject230.bin"/><Relationship Id="rId612" Type="http://schemas.openxmlformats.org/officeDocument/2006/relationships/oleObject" Target="embeddings/oleObject315.bin"/><Relationship Id="rId794" Type="http://schemas.openxmlformats.org/officeDocument/2006/relationships/image" Target="media/image364.wmf"/><Relationship Id="rId251" Type="http://schemas.openxmlformats.org/officeDocument/2006/relationships/image" Target="media/image112.wmf"/><Relationship Id="rId489" Type="http://schemas.openxmlformats.org/officeDocument/2006/relationships/oleObject" Target="embeddings/oleObject253.bin"/><Relationship Id="rId654" Type="http://schemas.openxmlformats.org/officeDocument/2006/relationships/image" Target="media/image303.wmf"/><Relationship Id="rId696" Type="http://schemas.openxmlformats.org/officeDocument/2006/relationships/oleObject" Target="embeddings/oleObject361.bin"/><Relationship Id="rId861" Type="http://schemas.openxmlformats.org/officeDocument/2006/relationships/image" Target="media/image397.wmf"/><Relationship Id="rId917" Type="http://schemas.openxmlformats.org/officeDocument/2006/relationships/oleObject" Target="embeddings/oleObject486.bin"/><Relationship Id="rId46" Type="http://schemas.openxmlformats.org/officeDocument/2006/relationships/image" Target="media/image17.wmf"/><Relationship Id="rId293" Type="http://schemas.openxmlformats.org/officeDocument/2006/relationships/image" Target="media/image133.wmf"/><Relationship Id="rId307" Type="http://schemas.openxmlformats.org/officeDocument/2006/relationships/image" Target="media/image140.wmf"/><Relationship Id="rId349" Type="http://schemas.openxmlformats.org/officeDocument/2006/relationships/image" Target="media/image161.wmf"/><Relationship Id="rId514" Type="http://schemas.openxmlformats.org/officeDocument/2006/relationships/image" Target="media/image237.wmf"/><Relationship Id="rId556" Type="http://schemas.openxmlformats.org/officeDocument/2006/relationships/image" Target="media/image258.wmf"/><Relationship Id="rId721" Type="http://schemas.openxmlformats.org/officeDocument/2006/relationships/oleObject" Target="embeddings/oleObject374.bin"/><Relationship Id="rId763" Type="http://schemas.openxmlformats.org/officeDocument/2006/relationships/image" Target="media/image353.wmf"/><Relationship Id="rId88" Type="http://schemas.openxmlformats.org/officeDocument/2006/relationships/image" Target="media/image36.wmf"/><Relationship Id="rId111" Type="http://schemas.openxmlformats.org/officeDocument/2006/relationships/oleObject" Target="embeddings/oleObject52.bin"/><Relationship Id="rId153" Type="http://schemas.openxmlformats.org/officeDocument/2006/relationships/image" Target="media/image65.wmf"/><Relationship Id="rId195" Type="http://schemas.openxmlformats.org/officeDocument/2006/relationships/oleObject" Target="embeddings/oleObject99.bin"/><Relationship Id="rId209" Type="http://schemas.openxmlformats.org/officeDocument/2006/relationships/image" Target="media/image91.wmf"/><Relationship Id="rId360" Type="http://schemas.openxmlformats.org/officeDocument/2006/relationships/oleObject" Target="embeddings/oleObject182.bin"/><Relationship Id="rId416" Type="http://schemas.openxmlformats.org/officeDocument/2006/relationships/image" Target="media/image192.wmf"/><Relationship Id="rId598" Type="http://schemas.openxmlformats.org/officeDocument/2006/relationships/image" Target="media/image279.wmf"/><Relationship Id="rId819" Type="http://schemas.openxmlformats.org/officeDocument/2006/relationships/oleObject" Target="embeddings/oleObject422.bin"/><Relationship Id="rId220" Type="http://schemas.openxmlformats.org/officeDocument/2006/relationships/oleObject" Target="embeddings/oleObject112.bin"/><Relationship Id="rId458" Type="http://schemas.openxmlformats.org/officeDocument/2006/relationships/image" Target="media/image211.wmf"/><Relationship Id="rId623" Type="http://schemas.openxmlformats.org/officeDocument/2006/relationships/image" Target="media/image291.wmf"/><Relationship Id="rId665" Type="http://schemas.openxmlformats.org/officeDocument/2006/relationships/oleObject" Target="embeddings/oleObject345.bin"/><Relationship Id="rId830" Type="http://schemas.openxmlformats.org/officeDocument/2006/relationships/oleObject" Target="embeddings/oleObject427.bin"/><Relationship Id="rId872" Type="http://schemas.openxmlformats.org/officeDocument/2006/relationships/oleObject" Target="embeddings/oleObject448.bin"/><Relationship Id="rId928" Type="http://schemas.openxmlformats.org/officeDocument/2006/relationships/oleObject" Target="embeddings/oleObject497.bin"/><Relationship Id="rId15" Type="http://schemas.openxmlformats.org/officeDocument/2006/relationships/image" Target="media/image2.wmf"/><Relationship Id="rId57" Type="http://schemas.openxmlformats.org/officeDocument/2006/relationships/oleObject" Target="embeddings/oleObject24.bin"/><Relationship Id="rId262" Type="http://schemas.openxmlformats.org/officeDocument/2006/relationships/oleObject" Target="embeddings/oleObject133.bin"/><Relationship Id="rId318" Type="http://schemas.openxmlformats.org/officeDocument/2006/relationships/oleObject" Target="embeddings/oleObject161.bin"/><Relationship Id="rId525" Type="http://schemas.openxmlformats.org/officeDocument/2006/relationships/oleObject" Target="embeddings/oleObject271.bin"/><Relationship Id="rId567" Type="http://schemas.openxmlformats.org/officeDocument/2006/relationships/oleObject" Target="embeddings/oleObject292.bin"/><Relationship Id="rId732" Type="http://schemas.openxmlformats.org/officeDocument/2006/relationships/image" Target="media/image341.wmf"/><Relationship Id="rId99" Type="http://schemas.openxmlformats.org/officeDocument/2006/relationships/oleObject" Target="embeddings/oleObject46.bin"/><Relationship Id="rId122" Type="http://schemas.openxmlformats.org/officeDocument/2006/relationships/oleObject" Target="embeddings/oleObject59.bin"/><Relationship Id="rId164" Type="http://schemas.openxmlformats.org/officeDocument/2006/relationships/oleObject" Target="embeddings/oleObject83.bin"/><Relationship Id="rId371" Type="http://schemas.openxmlformats.org/officeDocument/2006/relationships/oleObject" Target="embeddings/oleObject188.bin"/><Relationship Id="rId774" Type="http://schemas.openxmlformats.org/officeDocument/2006/relationships/hyperlink" Target="http://www.springerlink.com/content/0924-6460/" TargetMode="External"/><Relationship Id="rId427" Type="http://schemas.openxmlformats.org/officeDocument/2006/relationships/oleObject" Target="embeddings/oleObject220.bin"/><Relationship Id="rId469" Type="http://schemas.openxmlformats.org/officeDocument/2006/relationships/oleObject" Target="embeddings/oleObject242.bin"/><Relationship Id="rId634" Type="http://schemas.openxmlformats.org/officeDocument/2006/relationships/image" Target="media/image294.wmf"/><Relationship Id="rId676" Type="http://schemas.openxmlformats.org/officeDocument/2006/relationships/image" Target="media/image314.wmf"/><Relationship Id="rId841" Type="http://schemas.openxmlformats.org/officeDocument/2006/relationships/image" Target="media/image387.wmf"/><Relationship Id="rId883" Type="http://schemas.openxmlformats.org/officeDocument/2006/relationships/image" Target="media/image408.wmf"/><Relationship Id="rId26" Type="http://schemas.openxmlformats.org/officeDocument/2006/relationships/oleObject" Target="embeddings/oleObject7.bin"/><Relationship Id="rId231" Type="http://schemas.openxmlformats.org/officeDocument/2006/relationships/image" Target="media/image102.wmf"/><Relationship Id="rId273" Type="http://schemas.openxmlformats.org/officeDocument/2006/relationships/image" Target="media/image123.wmf"/><Relationship Id="rId329" Type="http://schemas.openxmlformats.org/officeDocument/2006/relationships/image" Target="media/image151.wmf"/><Relationship Id="rId480" Type="http://schemas.openxmlformats.org/officeDocument/2006/relationships/image" Target="media/image220.wmf"/><Relationship Id="rId536" Type="http://schemas.openxmlformats.org/officeDocument/2006/relationships/image" Target="media/image248.wmf"/><Relationship Id="rId701" Type="http://schemas.openxmlformats.org/officeDocument/2006/relationships/oleObject" Target="embeddings/oleObject364.bin"/><Relationship Id="rId939" Type="http://schemas.openxmlformats.org/officeDocument/2006/relationships/oleObject" Target="embeddings/oleObject508.bin"/><Relationship Id="rId68" Type="http://schemas.openxmlformats.org/officeDocument/2006/relationships/image" Target="media/image26.wmf"/><Relationship Id="rId133" Type="http://schemas.openxmlformats.org/officeDocument/2006/relationships/image" Target="media/image57.wmf"/><Relationship Id="rId175" Type="http://schemas.openxmlformats.org/officeDocument/2006/relationships/image" Target="media/image75.wmf"/><Relationship Id="rId340" Type="http://schemas.openxmlformats.org/officeDocument/2006/relationships/oleObject" Target="embeddings/oleObject172.bin"/><Relationship Id="rId578" Type="http://schemas.openxmlformats.org/officeDocument/2006/relationships/image" Target="media/image269.wmf"/><Relationship Id="rId743" Type="http://schemas.openxmlformats.org/officeDocument/2006/relationships/oleObject" Target="embeddings/oleObject387.bin"/><Relationship Id="rId785" Type="http://schemas.openxmlformats.org/officeDocument/2006/relationships/oleObject" Target="embeddings/oleObject405.bin"/><Relationship Id="rId950" Type="http://schemas.openxmlformats.org/officeDocument/2006/relationships/image" Target="media/image411.wmf"/><Relationship Id="rId200" Type="http://schemas.openxmlformats.org/officeDocument/2006/relationships/oleObject" Target="embeddings/oleObject102.bin"/><Relationship Id="rId382" Type="http://schemas.openxmlformats.org/officeDocument/2006/relationships/oleObject" Target="embeddings/oleObject194.bin"/><Relationship Id="rId438" Type="http://schemas.openxmlformats.org/officeDocument/2006/relationships/image" Target="media/image201.wmf"/><Relationship Id="rId603" Type="http://schemas.openxmlformats.org/officeDocument/2006/relationships/oleObject" Target="embeddings/oleObject310.bin"/><Relationship Id="rId645" Type="http://schemas.openxmlformats.org/officeDocument/2006/relationships/oleObject" Target="embeddings/oleObject335.bin"/><Relationship Id="rId687" Type="http://schemas.openxmlformats.org/officeDocument/2006/relationships/image" Target="media/image319.wmf"/><Relationship Id="rId810" Type="http://schemas.openxmlformats.org/officeDocument/2006/relationships/image" Target="media/image372.wmf"/><Relationship Id="rId852" Type="http://schemas.openxmlformats.org/officeDocument/2006/relationships/oleObject" Target="embeddings/oleObject438.bin"/><Relationship Id="rId908" Type="http://schemas.openxmlformats.org/officeDocument/2006/relationships/oleObject" Target="embeddings/oleObject477.bin"/><Relationship Id="rId242" Type="http://schemas.openxmlformats.org/officeDocument/2006/relationships/oleObject" Target="embeddings/oleObject123.bin"/><Relationship Id="rId284" Type="http://schemas.openxmlformats.org/officeDocument/2006/relationships/oleObject" Target="embeddings/oleObject144.bin"/><Relationship Id="rId491" Type="http://schemas.openxmlformats.org/officeDocument/2006/relationships/oleObject" Target="embeddings/oleObject254.bin"/><Relationship Id="rId505" Type="http://schemas.openxmlformats.org/officeDocument/2006/relationships/oleObject" Target="embeddings/oleObject261.bin"/><Relationship Id="rId712" Type="http://schemas.openxmlformats.org/officeDocument/2006/relationships/image" Target="media/image331.wmf"/><Relationship Id="rId894" Type="http://schemas.openxmlformats.org/officeDocument/2006/relationships/oleObject" Target="embeddings/oleObject463.bin"/><Relationship Id="rId37" Type="http://schemas.openxmlformats.org/officeDocument/2006/relationships/oleObject" Target="embeddings/oleObject13.bin"/><Relationship Id="rId79" Type="http://schemas.openxmlformats.org/officeDocument/2006/relationships/oleObject" Target="embeddings/oleObject36.bin"/><Relationship Id="rId102" Type="http://schemas.openxmlformats.org/officeDocument/2006/relationships/image" Target="media/image43.wmf"/><Relationship Id="rId144" Type="http://schemas.openxmlformats.org/officeDocument/2006/relationships/oleObject" Target="embeddings/oleObject71.bin"/><Relationship Id="rId547" Type="http://schemas.openxmlformats.org/officeDocument/2006/relationships/oleObject" Target="embeddings/oleObject282.bin"/><Relationship Id="rId589" Type="http://schemas.openxmlformats.org/officeDocument/2006/relationships/oleObject" Target="embeddings/oleObject303.bin"/><Relationship Id="rId754" Type="http://schemas.openxmlformats.org/officeDocument/2006/relationships/image" Target="media/image349.wmf"/><Relationship Id="rId796" Type="http://schemas.openxmlformats.org/officeDocument/2006/relationships/image" Target="media/image365.wmf"/><Relationship Id="rId90" Type="http://schemas.openxmlformats.org/officeDocument/2006/relationships/image" Target="media/image37.wmf"/><Relationship Id="rId186" Type="http://schemas.openxmlformats.org/officeDocument/2006/relationships/image" Target="media/image80.wmf"/><Relationship Id="rId351" Type="http://schemas.openxmlformats.org/officeDocument/2006/relationships/image" Target="media/image162.wmf"/><Relationship Id="rId393" Type="http://schemas.openxmlformats.org/officeDocument/2006/relationships/oleObject" Target="embeddings/oleObject200.bin"/><Relationship Id="rId407" Type="http://schemas.openxmlformats.org/officeDocument/2006/relationships/oleObject" Target="embeddings/oleObject207.bin"/><Relationship Id="rId449" Type="http://schemas.openxmlformats.org/officeDocument/2006/relationships/oleObject" Target="embeddings/oleObject231.bin"/><Relationship Id="rId614" Type="http://schemas.openxmlformats.org/officeDocument/2006/relationships/oleObject" Target="embeddings/oleObject316.bin"/><Relationship Id="rId656" Type="http://schemas.openxmlformats.org/officeDocument/2006/relationships/image" Target="media/image304.wmf"/><Relationship Id="rId821" Type="http://schemas.openxmlformats.org/officeDocument/2006/relationships/oleObject" Target="embeddings/oleObject423.bin"/><Relationship Id="rId863" Type="http://schemas.openxmlformats.org/officeDocument/2006/relationships/image" Target="media/image398.wmf"/><Relationship Id="rId211" Type="http://schemas.openxmlformats.org/officeDocument/2006/relationships/image" Target="media/image92.wmf"/><Relationship Id="rId253" Type="http://schemas.openxmlformats.org/officeDocument/2006/relationships/image" Target="media/image113.wmf"/><Relationship Id="rId295" Type="http://schemas.openxmlformats.org/officeDocument/2006/relationships/image" Target="media/image134.wmf"/><Relationship Id="rId309" Type="http://schemas.openxmlformats.org/officeDocument/2006/relationships/image" Target="media/image141.wmf"/><Relationship Id="rId460" Type="http://schemas.openxmlformats.org/officeDocument/2006/relationships/image" Target="media/image212.wmf"/><Relationship Id="rId516" Type="http://schemas.openxmlformats.org/officeDocument/2006/relationships/image" Target="media/image238.wmf"/><Relationship Id="rId698" Type="http://schemas.openxmlformats.org/officeDocument/2006/relationships/oleObject" Target="embeddings/oleObject362.bin"/><Relationship Id="rId919" Type="http://schemas.openxmlformats.org/officeDocument/2006/relationships/oleObject" Target="embeddings/oleObject488.bin"/><Relationship Id="rId48" Type="http://schemas.openxmlformats.org/officeDocument/2006/relationships/image" Target="media/image18.wmf"/><Relationship Id="rId113" Type="http://schemas.openxmlformats.org/officeDocument/2006/relationships/oleObject" Target="embeddings/oleObject53.bin"/><Relationship Id="rId320" Type="http://schemas.openxmlformats.org/officeDocument/2006/relationships/oleObject" Target="embeddings/oleObject162.bin"/><Relationship Id="rId558" Type="http://schemas.openxmlformats.org/officeDocument/2006/relationships/image" Target="media/image259.wmf"/><Relationship Id="rId723" Type="http://schemas.openxmlformats.org/officeDocument/2006/relationships/oleObject" Target="embeddings/oleObject375.bin"/><Relationship Id="rId765" Type="http://schemas.openxmlformats.org/officeDocument/2006/relationships/image" Target="media/image354.wmf"/><Relationship Id="rId930" Type="http://schemas.openxmlformats.org/officeDocument/2006/relationships/oleObject" Target="embeddings/oleObject499.bin"/><Relationship Id="rId155" Type="http://schemas.openxmlformats.org/officeDocument/2006/relationships/oleObject" Target="embeddings/oleObject78.bin"/><Relationship Id="rId197" Type="http://schemas.openxmlformats.org/officeDocument/2006/relationships/oleObject" Target="embeddings/oleObject100.bin"/><Relationship Id="rId362" Type="http://schemas.openxmlformats.org/officeDocument/2006/relationships/oleObject" Target="embeddings/oleObject183.bin"/><Relationship Id="rId418" Type="http://schemas.openxmlformats.org/officeDocument/2006/relationships/oleObject" Target="embeddings/oleObject214.bin"/><Relationship Id="rId625" Type="http://schemas.openxmlformats.org/officeDocument/2006/relationships/oleObject" Target="embeddings/oleObject322.bin"/><Relationship Id="rId832" Type="http://schemas.openxmlformats.org/officeDocument/2006/relationships/oleObject" Target="embeddings/oleObject428.bin"/><Relationship Id="rId222" Type="http://schemas.openxmlformats.org/officeDocument/2006/relationships/oleObject" Target="embeddings/oleObject113.bin"/><Relationship Id="rId264" Type="http://schemas.openxmlformats.org/officeDocument/2006/relationships/oleObject" Target="embeddings/oleObject134.bin"/><Relationship Id="rId471" Type="http://schemas.openxmlformats.org/officeDocument/2006/relationships/oleObject" Target="embeddings/oleObject243.bin"/><Relationship Id="rId667" Type="http://schemas.openxmlformats.org/officeDocument/2006/relationships/oleObject" Target="embeddings/oleObject346.bin"/><Relationship Id="rId874" Type="http://schemas.openxmlformats.org/officeDocument/2006/relationships/oleObject" Target="embeddings/oleObject449.bin"/><Relationship Id="rId17" Type="http://schemas.openxmlformats.org/officeDocument/2006/relationships/image" Target="media/image3.wmf"/><Relationship Id="rId59" Type="http://schemas.openxmlformats.org/officeDocument/2006/relationships/oleObject" Target="embeddings/oleObject25.bin"/><Relationship Id="rId124" Type="http://schemas.openxmlformats.org/officeDocument/2006/relationships/oleObject" Target="embeddings/oleObject60.bin"/><Relationship Id="rId527" Type="http://schemas.openxmlformats.org/officeDocument/2006/relationships/oleObject" Target="embeddings/oleObject272.bin"/><Relationship Id="rId569" Type="http://schemas.openxmlformats.org/officeDocument/2006/relationships/oleObject" Target="embeddings/oleObject293.bin"/><Relationship Id="rId734" Type="http://schemas.openxmlformats.org/officeDocument/2006/relationships/oleObject" Target="embeddings/oleObject381.bin"/><Relationship Id="rId776" Type="http://schemas.openxmlformats.org/officeDocument/2006/relationships/image" Target="media/image355.gif"/><Relationship Id="rId941" Type="http://schemas.openxmlformats.org/officeDocument/2006/relationships/oleObject" Target="embeddings/oleObject510.bin"/><Relationship Id="rId70" Type="http://schemas.openxmlformats.org/officeDocument/2006/relationships/image" Target="media/image27.wmf"/><Relationship Id="rId166" Type="http://schemas.openxmlformats.org/officeDocument/2006/relationships/oleObject" Target="embeddings/oleObject84.bin"/><Relationship Id="rId331" Type="http://schemas.openxmlformats.org/officeDocument/2006/relationships/image" Target="media/image152.wmf"/><Relationship Id="rId373" Type="http://schemas.openxmlformats.org/officeDocument/2006/relationships/image" Target="media/image172.wmf"/><Relationship Id="rId429" Type="http://schemas.openxmlformats.org/officeDocument/2006/relationships/oleObject" Target="embeddings/oleObject221.bin"/><Relationship Id="rId580" Type="http://schemas.openxmlformats.org/officeDocument/2006/relationships/image" Target="media/image270.wmf"/><Relationship Id="rId636" Type="http://schemas.openxmlformats.org/officeDocument/2006/relationships/image" Target="media/image295.wmf"/><Relationship Id="rId801" Type="http://schemas.openxmlformats.org/officeDocument/2006/relationships/oleObject" Target="embeddings/oleObject413.bin"/><Relationship Id="rId1" Type="http://schemas.openxmlformats.org/officeDocument/2006/relationships/customXml" Target="../customXml/item1.xml"/><Relationship Id="rId233" Type="http://schemas.openxmlformats.org/officeDocument/2006/relationships/image" Target="media/image103.wmf"/><Relationship Id="rId440" Type="http://schemas.openxmlformats.org/officeDocument/2006/relationships/image" Target="media/image202.wmf"/><Relationship Id="rId678" Type="http://schemas.openxmlformats.org/officeDocument/2006/relationships/image" Target="media/image315.wmf"/><Relationship Id="rId843" Type="http://schemas.openxmlformats.org/officeDocument/2006/relationships/image" Target="media/image388.wmf"/><Relationship Id="rId885" Type="http://schemas.openxmlformats.org/officeDocument/2006/relationships/image" Target="media/image409.wmf"/><Relationship Id="rId28" Type="http://schemas.openxmlformats.org/officeDocument/2006/relationships/oleObject" Target="embeddings/oleObject8.bin"/><Relationship Id="rId275" Type="http://schemas.openxmlformats.org/officeDocument/2006/relationships/image" Target="media/image124.wmf"/><Relationship Id="rId300" Type="http://schemas.openxmlformats.org/officeDocument/2006/relationships/oleObject" Target="embeddings/oleObject152.bin"/><Relationship Id="rId482" Type="http://schemas.openxmlformats.org/officeDocument/2006/relationships/image" Target="media/image221.wmf"/><Relationship Id="rId538" Type="http://schemas.openxmlformats.org/officeDocument/2006/relationships/image" Target="media/image249.wmf"/><Relationship Id="rId703" Type="http://schemas.openxmlformats.org/officeDocument/2006/relationships/oleObject" Target="embeddings/oleObject365.bin"/><Relationship Id="rId745" Type="http://schemas.openxmlformats.org/officeDocument/2006/relationships/oleObject" Target="embeddings/oleObject388.bin"/><Relationship Id="rId910" Type="http://schemas.openxmlformats.org/officeDocument/2006/relationships/oleObject" Target="embeddings/oleObject479.bin"/><Relationship Id="rId952" Type="http://schemas.openxmlformats.org/officeDocument/2006/relationships/oleObject" Target="embeddings/oleObject518.bin"/><Relationship Id="rId81" Type="http://schemas.openxmlformats.org/officeDocument/2006/relationships/oleObject" Target="embeddings/oleObject37.bin"/><Relationship Id="rId135" Type="http://schemas.openxmlformats.org/officeDocument/2006/relationships/image" Target="media/image58.wmf"/><Relationship Id="rId177" Type="http://schemas.openxmlformats.org/officeDocument/2006/relationships/oleObject" Target="embeddings/oleObject90.bin"/><Relationship Id="rId342" Type="http://schemas.openxmlformats.org/officeDocument/2006/relationships/oleObject" Target="embeddings/oleObject173.bin"/><Relationship Id="rId384" Type="http://schemas.openxmlformats.org/officeDocument/2006/relationships/oleObject" Target="embeddings/oleObject195.bin"/><Relationship Id="rId591" Type="http://schemas.openxmlformats.org/officeDocument/2006/relationships/oleObject" Target="embeddings/oleObject304.bin"/><Relationship Id="rId605" Type="http://schemas.openxmlformats.org/officeDocument/2006/relationships/oleObject" Target="embeddings/oleObject311.bin"/><Relationship Id="rId787" Type="http://schemas.openxmlformats.org/officeDocument/2006/relationships/oleObject" Target="embeddings/oleObject406.bin"/><Relationship Id="rId812" Type="http://schemas.openxmlformats.org/officeDocument/2006/relationships/image" Target="media/image373.wmf"/><Relationship Id="rId202" Type="http://schemas.openxmlformats.org/officeDocument/2006/relationships/oleObject" Target="embeddings/oleObject103.bin"/><Relationship Id="rId244" Type="http://schemas.openxmlformats.org/officeDocument/2006/relationships/oleObject" Target="embeddings/oleObject124.bin"/><Relationship Id="rId647" Type="http://schemas.openxmlformats.org/officeDocument/2006/relationships/oleObject" Target="embeddings/oleObject336.bin"/><Relationship Id="rId689" Type="http://schemas.openxmlformats.org/officeDocument/2006/relationships/image" Target="media/image320.wmf"/><Relationship Id="rId854" Type="http://schemas.openxmlformats.org/officeDocument/2006/relationships/oleObject" Target="embeddings/oleObject439.bin"/><Relationship Id="rId896" Type="http://schemas.openxmlformats.org/officeDocument/2006/relationships/oleObject" Target="embeddings/oleObject465.bin"/><Relationship Id="rId39" Type="http://schemas.openxmlformats.org/officeDocument/2006/relationships/oleObject" Target="embeddings/oleObject14.bin"/><Relationship Id="rId286" Type="http://schemas.openxmlformats.org/officeDocument/2006/relationships/oleObject" Target="embeddings/oleObject145.bin"/><Relationship Id="rId451" Type="http://schemas.openxmlformats.org/officeDocument/2006/relationships/oleObject" Target="embeddings/oleObject232.bin"/><Relationship Id="rId493" Type="http://schemas.openxmlformats.org/officeDocument/2006/relationships/oleObject" Target="embeddings/oleObject255.bin"/><Relationship Id="rId507" Type="http://schemas.openxmlformats.org/officeDocument/2006/relationships/oleObject" Target="embeddings/oleObject262.bin"/><Relationship Id="rId549" Type="http://schemas.openxmlformats.org/officeDocument/2006/relationships/oleObject" Target="embeddings/oleObject283.bin"/><Relationship Id="rId714" Type="http://schemas.openxmlformats.org/officeDocument/2006/relationships/image" Target="media/image332.wmf"/><Relationship Id="rId756" Type="http://schemas.openxmlformats.org/officeDocument/2006/relationships/oleObject" Target="embeddings/oleObject395.bin"/><Relationship Id="rId921" Type="http://schemas.openxmlformats.org/officeDocument/2006/relationships/oleObject" Target="embeddings/oleObject490.bin"/><Relationship Id="rId50" Type="http://schemas.openxmlformats.org/officeDocument/2006/relationships/image" Target="media/image19.wmf"/><Relationship Id="rId104" Type="http://schemas.openxmlformats.org/officeDocument/2006/relationships/image" Target="media/image44.wmf"/><Relationship Id="rId146" Type="http://schemas.openxmlformats.org/officeDocument/2006/relationships/image" Target="media/image62.wmf"/><Relationship Id="rId188" Type="http://schemas.openxmlformats.org/officeDocument/2006/relationships/image" Target="media/image81.wmf"/><Relationship Id="rId311" Type="http://schemas.openxmlformats.org/officeDocument/2006/relationships/image" Target="media/image142.wmf"/><Relationship Id="rId353" Type="http://schemas.openxmlformats.org/officeDocument/2006/relationships/image" Target="media/image163.wmf"/><Relationship Id="rId395" Type="http://schemas.openxmlformats.org/officeDocument/2006/relationships/oleObject" Target="embeddings/oleObject201.bin"/><Relationship Id="rId409" Type="http://schemas.openxmlformats.org/officeDocument/2006/relationships/oleObject" Target="embeddings/oleObject208.bin"/><Relationship Id="rId560" Type="http://schemas.openxmlformats.org/officeDocument/2006/relationships/image" Target="media/image260.wmf"/><Relationship Id="rId798" Type="http://schemas.openxmlformats.org/officeDocument/2006/relationships/image" Target="media/image366.wmf"/><Relationship Id="rId92" Type="http://schemas.openxmlformats.org/officeDocument/2006/relationships/image" Target="media/image38.wmf"/><Relationship Id="rId213" Type="http://schemas.openxmlformats.org/officeDocument/2006/relationships/image" Target="media/image93.wmf"/><Relationship Id="rId420" Type="http://schemas.openxmlformats.org/officeDocument/2006/relationships/image" Target="media/image193.wmf"/><Relationship Id="rId616" Type="http://schemas.openxmlformats.org/officeDocument/2006/relationships/oleObject" Target="embeddings/oleObject317.bin"/><Relationship Id="rId658" Type="http://schemas.openxmlformats.org/officeDocument/2006/relationships/image" Target="media/image305.wmf"/><Relationship Id="rId823" Type="http://schemas.openxmlformats.org/officeDocument/2006/relationships/oleObject" Target="embeddings/oleObject424.bin"/><Relationship Id="rId865" Type="http://schemas.openxmlformats.org/officeDocument/2006/relationships/image" Target="media/image399.wmf"/><Relationship Id="rId255" Type="http://schemas.openxmlformats.org/officeDocument/2006/relationships/image" Target="media/image114.wmf"/><Relationship Id="rId297" Type="http://schemas.openxmlformats.org/officeDocument/2006/relationships/image" Target="media/image135.wmf"/><Relationship Id="rId462" Type="http://schemas.openxmlformats.org/officeDocument/2006/relationships/image" Target="media/image213.wmf"/><Relationship Id="rId518" Type="http://schemas.openxmlformats.org/officeDocument/2006/relationships/image" Target="media/image239.wmf"/><Relationship Id="rId725" Type="http://schemas.openxmlformats.org/officeDocument/2006/relationships/oleObject" Target="embeddings/oleObject376.bin"/><Relationship Id="rId932" Type="http://schemas.openxmlformats.org/officeDocument/2006/relationships/oleObject" Target="embeddings/oleObject501.bin"/><Relationship Id="rId115" Type="http://schemas.openxmlformats.org/officeDocument/2006/relationships/oleObject" Target="embeddings/oleObject54.bin"/><Relationship Id="rId157" Type="http://schemas.openxmlformats.org/officeDocument/2006/relationships/oleObject" Target="embeddings/oleObject79.bin"/><Relationship Id="rId322" Type="http://schemas.openxmlformats.org/officeDocument/2006/relationships/oleObject" Target="embeddings/oleObject163.bin"/><Relationship Id="rId364" Type="http://schemas.openxmlformats.org/officeDocument/2006/relationships/oleObject" Target="embeddings/oleObject184.bin"/><Relationship Id="rId767" Type="http://schemas.openxmlformats.org/officeDocument/2006/relationships/oleObject" Target="embeddings/oleObject401.bin"/><Relationship Id="rId61" Type="http://schemas.openxmlformats.org/officeDocument/2006/relationships/oleObject" Target="embeddings/oleObject26.bin"/><Relationship Id="rId199" Type="http://schemas.openxmlformats.org/officeDocument/2006/relationships/oleObject" Target="embeddings/oleObject101.bin"/><Relationship Id="rId571" Type="http://schemas.openxmlformats.org/officeDocument/2006/relationships/oleObject" Target="embeddings/oleObject294.bin"/><Relationship Id="rId627" Type="http://schemas.openxmlformats.org/officeDocument/2006/relationships/oleObject" Target="embeddings/oleObject324.bin"/><Relationship Id="rId669" Type="http://schemas.openxmlformats.org/officeDocument/2006/relationships/oleObject" Target="embeddings/oleObject347.bin"/><Relationship Id="rId834" Type="http://schemas.openxmlformats.org/officeDocument/2006/relationships/oleObject" Target="embeddings/oleObject429.bin"/><Relationship Id="rId876" Type="http://schemas.openxmlformats.org/officeDocument/2006/relationships/oleObject" Target="embeddings/oleObject450.bin"/><Relationship Id="rId19" Type="http://schemas.openxmlformats.org/officeDocument/2006/relationships/image" Target="media/image4.wmf"/><Relationship Id="rId224" Type="http://schemas.openxmlformats.org/officeDocument/2006/relationships/oleObject" Target="embeddings/oleObject114.bin"/><Relationship Id="rId266" Type="http://schemas.openxmlformats.org/officeDocument/2006/relationships/oleObject" Target="embeddings/oleObject135.bin"/><Relationship Id="rId431" Type="http://schemas.openxmlformats.org/officeDocument/2006/relationships/oleObject" Target="embeddings/oleObject222.bin"/><Relationship Id="rId473" Type="http://schemas.openxmlformats.org/officeDocument/2006/relationships/oleObject" Target="embeddings/oleObject245.bin"/><Relationship Id="rId529" Type="http://schemas.openxmlformats.org/officeDocument/2006/relationships/oleObject" Target="embeddings/oleObject273.bin"/><Relationship Id="rId680" Type="http://schemas.openxmlformats.org/officeDocument/2006/relationships/image" Target="media/image316.wmf"/><Relationship Id="rId736" Type="http://schemas.openxmlformats.org/officeDocument/2006/relationships/oleObject" Target="embeddings/oleObject382.bin"/><Relationship Id="rId901" Type="http://schemas.openxmlformats.org/officeDocument/2006/relationships/oleObject" Target="embeddings/oleObject470.bin"/><Relationship Id="rId30" Type="http://schemas.openxmlformats.org/officeDocument/2006/relationships/oleObject" Target="embeddings/oleObject9.bin"/><Relationship Id="rId126" Type="http://schemas.openxmlformats.org/officeDocument/2006/relationships/oleObject" Target="embeddings/oleObject61.bin"/><Relationship Id="rId168" Type="http://schemas.openxmlformats.org/officeDocument/2006/relationships/oleObject" Target="embeddings/oleObject85.bin"/><Relationship Id="rId333" Type="http://schemas.openxmlformats.org/officeDocument/2006/relationships/image" Target="media/image153.wmf"/><Relationship Id="rId540" Type="http://schemas.openxmlformats.org/officeDocument/2006/relationships/image" Target="media/image250.wmf"/><Relationship Id="rId778" Type="http://schemas.openxmlformats.org/officeDocument/2006/relationships/image" Target="media/image356.wmf"/><Relationship Id="rId943" Type="http://schemas.openxmlformats.org/officeDocument/2006/relationships/oleObject" Target="embeddings/oleObject512.bin"/><Relationship Id="rId72" Type="http://schemas.openxmlformats.org/officeDocument/2006/relationships/image" Target="media/image28.wmf"/><Relationship Id="rId375" Type="http://schemas.openxmlformats.org/officeDocument/2006/relationships/image" Target="media/image173.wmf"/><Relationship Id="rId582" Type="http://schemas.openxmlformats.org/officeDocument/2006/relationships/image" Target="media/image271.wmf"/><Relationship Id="rId638" Type="http://schemas.openxmlformats.org/officeDocument/2006/relationships/image" Target="media/image296.wmf"/><Relationship Id="rId803" Type="http://schemas.openxmlformats.org/officeDocument/2006/relationships/oleObject" Target="embeddings/oleObject414.bin"/><Relationship Id="rId845" Type="http://schemas.openxmlformats.org/officeDocument/2006/relationships/image" Target="media/image389.wmf"/><Relationship Id="rId3" Type="http://schemas.openxmlformats.org/officeDocument/2006/relationships/styles" Target="styles.xml"/><Relationship Id="rId235" Type="http://schemas.openxmlformats.org/officeDocument/2006/relationships/image" Target="media/image104.wmf"/><Relationship Id="rId277" Type="http://schemas.openxmlformats.org/officeDocument/2006/relationships/image" Target="media/image125.wmf"/><Relationship Id="rId400" Type="http://schemas.openxmlformats.org/officeDocument/2006/relationships/image" Target="media/image185.wmf"/><Relationship Id="rId442" Type="http://schemas.openxmlformats.org/officeDocument/2006/relationships/image" Target="media/image203.wmf"/><Relationship Id="rId484" Type="http://schemas.openxmlformats.org/officeDocument/2006/relationships/image" Target="media/image222.wmf"/><Relationship Id="rId705" Type="http://schemas.openxmlformats.org/officeDocument/2006/relationships/oleObject" Target="embeddings/oleObject366.bin"/><Relationship Id="rId887" Type="http://schemas.openxmlformats.org/officeDocument/2006/relationships/oleObject" Target="embeddings/oleObject456.bin"/><Relationship Id="rId137" Type="http://schemas.openxmlformats.org/officeDocument/2006/relationships/image" Target="media/image59.wmf"/><Relationship Id="rId302" Type="http://schemas.openxmlformats.org/officeDocument/2006/relationships/oleObject" Target="embeddings/oleObject153.bin"/><Relationship Id="rId344" Type="http://schemas.openxmlformats.org/officeDocument/2006/relationships/oleObject" Target="embeddings/oleObject174.bin"/><Relationship Id="rId691" Type="http://schemas.openxmlformats.org/officeDocument/2006/relationships/image" Target="media/image321.wmf"/><Relationship Id="rId747" Type="http://schemas.openxmlformats.org/officeDocument/2006/relationships/image" Target="media/image346.wmf"/><Relationship Id="rId789" Type="http://schemas.openxmlformats.org/officeDocument/2006/relationships/oleObject" Target="embeddings/oleObject407.bin"/><Relationship Id="rId912" Type="http://schemas.openxmlformats.org/officeDocument/2006/relationships/oleObject" Target="embeddings/oleObject481.bin"/><Relationship Id="rId954" Type="http://schemas.openxmlformats.org/officeDocument/2006/relationships/theme" Target="theme/theme1.xml"/><Relationship Id="rId41" Type="http://schemas.openxmlformats.org/officeDocument/2006/relationships/oleObject" Target="embeddings/oleObject15.bin"/><Relationship Id="rId83" Type="http://schemas.openxmlformats.org/officeDocument/2006/relationships/oleObject" Target="embeddings/oleObject38.bin"/><Relationship Id="rId179" Type="http://schemas.openxmlformats.org/officeDocument/2006/relationships/oleObject" Target="embeddings/oleObject91.bin"/><Relationship Id="rId386" Type="http://schemas.openxmlformats.org/officeDocument/2006/relationships/oleObject" Target="embeddings/oleObject196.bin"/><Relationship Id="rId551" Type="http://schemas.openxmlformats.org/officeDocument/2006/relationships/oleObject" Target="embeddings/oleObject284.bin"/><Relationship Id="rId593" Type="http://schemas.openxmlformats.org/officeDocument/2006/relationships/oleObject" Target="embeddings/oleObject305.bin"/><Relationship Id="rId607" Type="http://schemas.openxmlformats.org/officeDocument/2006/relationships/oleObject" Target="embeddings/oleObject312.bin"/><Relationship Id="rId649" Type="http://schemas.openxmlformats.org/officeDocument/2006/relationships/oleObject" Target="embeddings/oleObject337.bin"/><Relationship Id="rId814" Type="http://schemas.openxmlformats.org/officeDocument/2006/relationships/image" Target="media/image374.wmf"/><Relationship Id="rId856" Type="http://schemas.openxmlformats.org/officeDocument/2006/relationships/oleObject" Target="embeddings/oleObject440.bin"/><Relationship Id="rId190" Type="http://schemas.openxmlformats.org/officeDocument/2006/relationships/image" Target="media/image82.wmf"/><Relationship Id="rId204" Type="http://schemas.openxmlformats.org/officeDocument/2006/relationships/oleObject" Target="embeddings/oleObject104.bin"/><Relationship Id="rId246" Type="http://schemas.openxmlformats.org/officeDocument/2006/relationships/oleObject" Target="embeddings/oleObject125.bin"/><Relationship Id="rId288" Type="http://schemas.openxmlformats.org/officeDocument/2006/relationships/oleObject" Target="embeddings/oleObject146.bin"/><Relationship Id="rId411" Type="http://schemas.openxmlformats.org/officeDocument/2006/relationships/oleObject" Target="embeddings/oleObject209.bin"/><Relationship Id="rId453" Type="http://schemas.openxmlformats.org/officeDocument/2006/relationships/oleObject" Target="embeddings/oleObject233.bin"/><Relationship Id="rId509" Type="http://schemas.openxmlformats.org/officeDocument/2006/relationships/oleObject" Target="embeddings/oleObject263.bin"/><Relationship Id="rId660" Type="http://schemas.openxmlformats.org/officeDocument/2006/relationships/image" Target="media/image306.wmf"/><Relationship Id="rId898" Type="http://schemas.openxmlformats.org/officeDocument/2006/relationships/oleObject" Target="embeddings/oleObject467.bin"/><Relationship Id="rId106" Type="http://schemas.openxmlformats.org/officeDocument/2006/relationships/image" Target="media/image45.wmf"/><Relationship Id="rId313" Type="http://schemas.openxmlformats.org/officeDocument/2006/relationships/image" Target="media/image143.wmf"/><Relationship Id="rId495" Type="http://schemas.openxmlformats.org/officeDocument/2006/relationships/oleObject" Target="embeddings/oleObject256.bin"/><Relationship Id="rId716" Type="http://schemas.openxmlformats.org/officeDocument/2006/relationships/image" Target="media/image333.wmf"/><Relationship Id="rId758" Type="http://schemas.openxmlformats.org/officeDocument/2006/relationships/oleObject" Target="embeddings/oleObject396.bin"/><Relationship Id="rId923" Type="http://schemas.openxmlformats.org/officeDocument/2006/relationships/oleObject" Target="embeddings/oleObject492.bin"/><Relationship Id="rId10" Type="http://schemas.openxmlformats.org/officeDocument/2006/relationships/hyperlink" Target="mailto:sastroza@utexas.edu" TargetMode="External"/><Relationship Id="rId52" Type="http://schemas.openxmlformats.org/officeDocument/2006/relationships/oleObject" Target="embeddings/oleObject21.bin"/><Relationship Id="rId94" Type="http://schemas.openxmlformats.org/officeDocument/2006/relationships/image" Target="media/image39.wmf"/><Relationship Id="rId148" Type="http://schemas.openxmlformats.org/officeDocument/2006/relationships/oleObject" Target="embeddings/oleObject74.bin"/><Relationship Id="rId355" Type="http://schemas.openxmlformats.org/officeDocument/2006/relationships/image" Target="media/image164.wmf"/><Relationship Id="rId397" Type="http://schemas.openxmlformats.org/officeDocument/2006/relationships/oleObject" Target="embeddings/oleObject202.bin"/><Relationship Id="rId520" Type="http://schemas.openxmlformats.org/officeDocument/2006/relationships/image" Target="media/image240.wmf"/><Relationship Id="rId562" Type="http://schemas.openxmlformats.org/officeDocument/2006/relationships/image" Target="media/image261.wmf"/><Relationship Id="rId618" Type="http://schemas.openxmlformats.org/officeDocument/2006/relationships/oleObject" Target="embeddings/oleObject318.bin"/><Relationship Id="rId825" Type="http://schemas.openxmlformats.org/officeDocument/2006/relationships/image" Target="media/image379.wmf"/><Relationship Id="rId215" Type="http://schemas.openxmlformats.org/officeDocument/2006/relationships/image" Target="media/image94.wmf"/><Relationship Id="rId257" Type="http://schemas.openxmlformats.org/officeDocument/2006/relationships/image" Target="media/image115.wmf"/><Relationship Id="rId422" Type="http://schemas.openxmlformats.org/officeDocument/2006/relationships/oleObject" Target="embeddings/oleObject217.bin"/><Relationship Id="rId464" Type="http://schemas.openxmlformats.org/officeDocument/2006/relationships/image" Target="media/image214.wmf"/><Relationship Id="rId867" Type="http://schemas.openxmlformats.org/officeDocument/2006/relationships/image" Target="media/image400.wmf"/><Relationship Id="rId299" Type="http://schemas.openxmlformats.org/officeDocument/2006/relationships/image" Target="media/image136.wmf"/><Relationship Id="rId727" Type="http://schemas.openxmlformats.org/officeDocument/2006/relationships/oleObject" Target="embeddings/oleObject377.bin"/><Relationship Id="rId934" Type="http://schemas.openxmlformats.org/officeDocument/2006/relationships/oleObject" Target="embeddings/oleObject503.bin"/><Relationship Id="rId63" Type="http://schemas.openxmlformats.org/officeDocument/2006/relationships/oleObject" Target="embeddings/oleObject27.bin"/><Relationship Id="rId159" Type="http://schemas.openxmlformats.org/officeDocument/2006/relationships/image" Target="media/image67.wmf"/><Relationship Id="rId366" Type="http://schemas.openxmlformats.org/officeDocument/2006/relationships/oleObject" Target="embeddings/oleObject185.bin"/><Relationship Id="rId573" Type="http://schemas.openxmlformats.org/officeDocument/2006/relationships/oleObject" Target="embeddings/oleObject295.bin"/><Relationship Id="rId780" Type="http://schemas.openxmlformats.org/officeDocument/2006/relationships/image" Target="media/image357.wmf"/><Relationship Id="rId226" Type="http://schemas.openxmlformats.org/officeDocument/2006/relationships/oleObject" Target="embeddings/oleObject115.bin"/><Relationship Id="rId433" Type="http://schemas.openxmlformats.org/officeDocument/2006/relationships/oleObject" Target="embeddings/oleObject223.bin"/><Relationship Id="rId878" Type="http://schemas.openxmlformats.org/officeDocument/2006/relationships/oleObject" Target="embeddings/oleObject451.bin"/><Relationship Id="rId640" Type="http://schemas.openxmlformats.org/officeDocument/2006/relationships/image" Target="media/image297.wmf"/><Relationship Id="rId738" Type="http://schemas.openxmlformats.org/officeDocument/2006/relationships/oleObject" Target="embeddings/oleObject384.bin"/><Relationship Id="rId945" Type="http://schemas.openxmlformats.org/officeDocument/2006/relationships/oleObject" Target="embeddings/oleObject514.bin"/><Relationship Id="rId74" Type="http://schemas.openxmlformats.org/officeDocument/2006/relationships/image" Target="media/image29.wmf"/><Relationship Id="rId377" Type="http://schemas.openxmlformats.org/officeDocument/2006/relationships/image" Target="media/image174.wmf"/><Relationship Id="rId500" Type="http://schemas.openxmlformats.org/officeDocument/2006/relationships/image" Target="media/image230.wmf"/><Relationship Id="rId584" Type="http://schemas.openxmlformats.org/officeDocument/2006/relationships/image" Target="media/image272.wmf"/><Relationship Id="rId805" Type="http://schemas.openxmlformats.org/officeDocument/2006/relationships/oleObject" Target="embeddings/oleObject415.bin"/><Relationship Id="rId5" Type="http://schemas.openxmlformats.org/officeDocument/2006/relationships/settings" Target="settings.xml"/><Relationship Id="rId237" Type="http://schemas.openxmlformats.org/officeDocument/2006/relationships/image" Target="media/image105.wmf"/><Relationship Id="rId791" Type="http://schemas.openxmlformats.org/officeDocument/2006/relationships/oleObject" Target="embeddings/oleObject408.bin"/><Relationship Id="rId889" Type="http://schemas.openxmlformats.org/officeDocument/2006/relationships/oleObject" Target="embeddings/oleObject458.bin"/><Relationship Id="rId444" Type="http://schemas.openxmlformats.org/officeDocument/2006/relationships/image" Target="media/image204.wmf"/><Relationship Id="rId651" Type="http://schemas.openxmlformats.org/officeDocument/2006/relationships/oleObject" Target="embeddings/oleObject338.bin"/><Relationship Id="rId749" Type="http://schemas.openxmlformats.org/officeDocument/2006/relationships/oleObject" Target="embeddings/oleObject391.bin"/><Relationship Id="rId290" Type="http://schemas.openxmlformats.org/officeDocument/2006/relationships/oleObject" Target="embeddings/oleObject147.bin"/><Relationship Id="rId304" Type="http://schemas.openxmlformats.org/officeDocument/2006/relationships/oleObject" Target="embeddings/oleObject154.bin"/><Relationship Id="rId388" Type="http://schemas.openxmlformats.org/officeDocument/2006/relationships/oleObject" Target="embeddings/oleObject197.bin"/><Relationship Id="rId511" Type="http://schemas.openxmlformats.org/officeDocument/2006/relationships/oleObject" Target="embeddings/oleObject264.bin"/><Relationship Id="rId609" Type="http://schemas.openxmlformats.org/officeDocument/2006/relationships/oleObject" Target="embeddings/oleObject313.bin"/><Relationship Id="rId85" Type="http://schemas.openxmlformats.org/officeDocument/2006/relationships/oleObject" Target="embeddings/oleObject39.bin"/><Relationship Id="rId150" Type="http://schemas.openxmlformats.org/officeDocument/2006/relationships/oleObject" Target="embeddings/oleObject75.bin"/><Relationship Id="rId595" Type="http://schemas.openxmlformats.org/officeDocument/2006/relationships/oleObject" Target="embeddings/oleObject306.bin"/><Relationship Id="rId816" Type="http://schemas.openxmlformats.org/officeDocument/2006/relationships/image" Target="media/image375.wmf"/><Relationship Id="rId248" Type="http://schemas.openxmlformats.org/officeDocument/2006/relationships/oleObject" Target="embeddings/oleObject126.bin"/><Relationship Id="rId455" Type="http://schemas.openxmlformats.org/officeDocument/2006/relationships/oleObject" Target="embeddings/oleObject234.bin"/><Relationship Id="rId662" Type="http://schemas.openxmlformats.org/officeDocument/2006/relationships/image" Target="media/image307.wmf"/><Relationship Id="rId12" Type="http://schemas.openxmlformats.org/officeDocument/2006/relationships/footer" Target="footer1.xml"/><Relationship Id="rId108" Type="http://schemas.openxmlformats.org/officeDocument/2006/relationships/image" Target="media/image46.wmf"/><Relationship Id="rId315" Type="http://schemas.openxmlformats.org/officeDocument/2006/relationships/image" Target="media/image144.wmf"/><Relationship Id="rId522" Type="http://schemas.openxmlformats.org/officeDocument/2006/relationships/image" Target="media/image241.wmf"/><Relationship Id="rId96" Type="http://schemas.openxmlformats.org/officeDocument/2006/relationships/image" Target="media/image40.wmf"/><Relationship Id="rId161" Type="http://schemas.openxmlformats.org/officeDocument/2006/relationships/image" Target="media/image68.wmf"/><Relationship Id="rId399" Type="http://schemas.openxmlformats.org/officeDocument/2006/relationships/oleObject" Target="embeddings/oleObject203.bin"/><Relationship Id="rId827" Type="http://schemas.openxmlformats.org/officeDocument/2006/relationships/image" Target="media/image380.wmf"/><Relationship Id="rId259" Type="http://schemas.openxmlformats.org/officeDocument/2006/relationships/image" Target="media/image116.wmf"/><Relationship Id="rId466" Type="http://schemas.openxmlformats.org/officeDocument/2006/relationships/oleObject" Target="embeddings/oleObject240.bin"/><Relationship Id="rId673" Type="http://schemas.openxmlformats.org/officeDocument/2006/relationships/oleObject" Target="embeddings/oleObject349.bin"/><Relationship Id="rId880" Type="http://schemas.openxmlformats.org/officeDocument/2006/relationships/oleObject" Target="embeddings/oleObject452.bin"/><Relationship Id="rId23" Type="http://schemas.openxmlformats.org/officeDocument/2006/relationships/image" Target="media/image6.wmf"/><Relationship Id="rId119" Type="http://schemas.openxmlformats.org/officeDocument/2006/relationships/image" Target="media/image51.wmf"/><Relationship Id="rId326" Type="http://schemas.openxmlformats.org/officeDocument/2006/relationships/oleObject" Target="embeddings/oleObject165.bin"/><Relationship Id="rId533" Type="http://schemas.openxmlformats.org/officeDocument/2006/relationships/oleObject" Target="embeddings/oleObject275.bin"/><Relationship Id="rId740" Type="http://schemas.openxmlformats.org/officeDocument/2006/relationships/image" Target="media/image343.wmf"/><Relationship Id="rId838" Type="http://schemas.openxmlformats.org/officeDocument/2006/relationships/oleObject" Target="embeddings/oleObject431.bin"/><Relationship Id="rId172" Type="http://schemas.openxmlformats.org/officeDocument/2006/relationships/oleObject" Target="embeddings/oleObject87.bin"/><Relationship Id="rId477" Type="http://schemas.openxmlformats.org/officeDocument/2006/relationships/oleObject" Target="embeddings/oleObject247.bin"/><Relationship Id="rId600" Type="http://schemas.openxmlformats.org/officeDocument/2006/relationships/image" Target="media/image280.wmf"/><Relationship Id="rId684" Type="http://schemas.openxmlformats.org/officeDocument/2006/relationships/image" Target="media/image318.wmf"/><Relationship Id="rId337" Type="http://schemas.openxmlformats.org/officeDocument/2006/relationships/image" Target="media/image155.wmf"/><Relationship Id="rId891" Type="http://schemas.openxmlformats.org/officeDocument/2006/relationships/oleObject" Target="embeddings/oleObject460.bin"/><Relationship Id="rId905" Type="http://schemas.openxmlformats.org/officeDocument/2006/relationships/oleObject" Target="embeddings/oleObject474.bin"/><Relationship Id="rId34" Type="http://schemas.openxmlformats.org/officeDocument/2006/relationships/oleObject" Target="embeddings/oleObject11.bin"/><Relationship Id="rId544" Type="http://schemas.openxmlformats.org/officeDocument/2006/relationships/image" Target="media/image252.wmf"/><Relationship Id="rId751" Type="http://schemas.openxmlformats.org/officeDocument/2006/relationships/oleObject" Target="embeddings/oleObject392.bin"/><Relationship Id="rId849" Type="http://schemas.openxmlformats.org/officeDocument/2006/relationships/image" Target="media/image391.wmf"/><Relationship Id="rId183" Type="http://schemas.openxmlformats.org/officeDocument/2006/relationships/oleObject" Target="embeddings/oleObject93.bin"/><Relationship Id="rId390" Type="http://schemas.openxmlformats.org/officeDocument/2006/relationships/oleObject" Target="embeddings/oleObject198.bin"/><Relationship Id="rId404" Type="http://schemas.openxmlformats.org/officeDocument/2006/relationships/image" Target="media/image187.wmf"/><Relationship Id="rId611" Type="http://schemas.openxmlformats.org/officeDocument/2006/relationships/oleObject" Target="embeddings/oleObject314.bin"/><Relationship Id="rId250" Type="http://schemas.openxmlformats.org/officeDocument/2006/relationships/oleObject" Target="embeddings/oleObject127.bin"/><Relationship Id="rId488" Type="http://schemas.openxmlformats.org/officeDocument/2006/relationships/image" Target="media/image224.wmf"/><Relationship Id="rId695" Type="http://schemas.openxmlformats.org/officeDocument/2006/relationships/image" Target="media/image323.wmf"/><Relationship Id="rId709" Type="http://schemas.openxmlformats.org/officeDocument/2006/relationships/oleObject" Target="embeddings/oleObject368.bin"/><Relationship Id="rId916" Type="http://schemas.openxmlformats.org/officeDocument/2006/relationships/oleObject" Target="embeddings/oleObject485.bin"/><Relationship Id="rId45" Type="http://schemas.openxmlformats.org/officeDocument/2006/relationships/oleObject" Target="embeddings/oleObject17.bin"/><Relationship Id="rId110" Type="http://schemas.openxmlformats.org/officeDocument/2006/relationships/image" Target="media/image47.wmf"/><Relationship Id="rId348" Type="http://schemas.openxmlformats.org/officeDocument/2006/relationships/oleObject" Target="embeddings/oleObject176.bin"/><Relationship Id="rId555" Type="http://schemas.openxmlformats.org/officeDocument/2006/relationships/oleObject" Target="embeddings/oleObject286.bin"/><Relationship Id="rId762" Type="http://schemas.openxmlformats.org/officeDocument/2006/relationships/oleObject" Target="embeddings/oleObject398.bin"/><Relationship Id="rId194" Type="http://schemas.openxmlformats.org/officeDocument/2006/relationships/image" Target="media/image84.wmf"/><Relationship Id="rId208" Type="http://schemas.openxmlformats.org/officeDocument/2006/relationships/oleObject" Target="embeddings/oleObject106.bin"/><Relationship Id="rId415" Type="http://schemas.openxmlformats.org/officeDocument/2006/relationships/oleObject" Target="embeddings/oleObject212.bin"/><Relationship Id="rId622" Type="http://schemas.openxmlformats.org/officeDocument/2006/relationships/oleObject" Target="embeddings/oleObject320.bin"/><Relationship Id="rId261" Type="http://schemas.openxmlformats.org/officeDocument/2006/relationships/image" Target="media/image117.wmf"/><Relationship Id="rId499" Type="http://schemas.openxmlformats.org/officeDocument/2006/relationships/oleObject" Target="embeddings/oleObject258.bin"/><Relationship Id="rId927" Type="http://schemas.openxmlformats.org/officeDocument/2006/relationships/oleObject" Target="embeddings/oleObject496.bin"/><Relationship Id="rId56" Type="http://schemas.openxmlformats.org/officeDocument/2006/relationships/image" Target="media/image21.wmf"/><Relationship Id="rId359" Type="http://schemas.openxmlformats.org/officeDocument/2006/relationships/image" Target="media/image166.wmf"/><Relationship Id="rId566" Type="http://schemas.openxmlformats.org/officeDocument/2006/relationships/image" Target="media/image263.wmf"/><Relationship Id="rId773" Type="http://schemas.openxmlformats.org/officeDocument/2006/relationships/hyperlink" Target="http://www.springerlink.com/content/?Author=Bob+Buerger" TargetMode="External"/><Relationship Id="rId121" Type="http://schemas.openxmlformats.org/officeDocument/2006/relationships/oleObject" Target="embeddings/oleObject58.bin"/><Relationship Id="rId219" Type="http://schemas.openxmlformats.org/officeDocument/2006/relationships/image" Target="media/image96.wmf"/><Relationship Id="rId426" Type="http://schemas.openxmlformats.org/officeDocument/2006/relationships/image" Target="media/image195.wmf"/><Relationship Id="rId633" Type="http://schemas.openxmlformats.org/officeDocument/2006/relationships/oleObject" Target="embeddings/oleObject328.bin"/><Relationship Id="rId840" Type="http://schemas.openxmlformats.org/officeDocument/2006/relationships/oleObject" Target="embeddings/oleObject432.bin"/><Relationship Id="rId938" Type="http://schemas.openxmlformats.org/officeDocument/2006/relationships/oleObject" Target="embeddings/oleObject507.bin"/><Relationship Id="rId67" Type="http://schemas.openxmlformats.org/officeDocument/2006/relationships/oleObject" Target="embeddings/oleObject30.bin"/><Relationship Id="rId272" Type="http://schemas.openxmlformats.org/officeDocument/2006/relationships/oleObject" Target="embeddings/oleObject138.bin"/><Relationship Id="rId577" Type="http://schemas.openxmlformats.org/officeDocument/2006/relationships/oleObject" Target="embeddings/oleObject297.bin"/><Relationship Id="rId700" Type="http://schemas.openxmlformats.org/officeDocument/2006/relationships/image" Target="media/image325.wmf"/><Relationship Id="rId132" Type="http://schemas.openxmlformats.org/officeDocument/2006/relationships/oleObject" Target="embeddings/oleObject64.bin"/><Relationship Id="rId784" Type="http://schemas.openxmlformats.org/officeDocument/2006/relationships/image" Target="media/image359.wmf"/><Relationship Id="rId437" Type="http://schemas.openxmlformats.org/officeDocument/2006/relationships/oleObject" Target="embeddings/oleObject225.bin"/><Relationship Id="rId644" Type="http://schemas.openxmlformats.org/officeDocument/2006/relationships/image" Target="media/image298.wmf"/><Relationship Id="rId851" Type="http://schemas.openxmlformats.org/officeDocument/2006/relationships/image" Target="media/image392.wmf"/><Relationship Id="rId283" Type="http://schemas.openxmlformats.org/officeDocument/2006/relationships/image" Target="media/image128.wmf"/><Relationship Id="rId490" Type="http://schemas.openxmlformats.org/officeDocument/2006/relationships/image" Target="media/image225.wmf"/><Relationship Id="rId504" Type="http://schemas.openxmlformats.org/officeDocument/2006/relationships/image" Target="media/image232.wmf"/><Relationship Id="rId711" Type="http://schemas.openxmlformats.org/officeDocument/2006/relationships/oleObject" Target="embeddings/oleObject369.bin"/><Relationship Id="rId949" Type="http://schemas.openxmlformats.org/officeDocument/2006/relationships/footer" Target="footer3.xml"/><Relationship Id="rId78" Type="http://schemas.openxmlformats.org/officeDocument/2006/relationships/image" Target="media/image31.wmf"/><Relationship Id="rId143" Type="http://schemas.openxmlformats.org/officeDocument/2006/relationships/image" Target="media/image61.wmf"/><Relationship Id="rId350" Type="http://schemas.openxmlformats.org/officeDocument/2006/relationships/oleObject" Target="embeddings/oleObject177.bin"/><Relationship Id="rId588" Type="http://schemas.openxmlformats.org/officeDocument/2006/relationships/image" Target="media/image274.wmf"/><Relationship Id="rId795" Type="http://schemas.openxmlformats.org/officeDocument/2006/relationships/oleObject" Target="embeddings/oleObject410.bin"/><Relationship Id="rId809" Type="http://schemas.openxmlformats.org/officeDocument/2006/relationships/oleObject" Target="embeddings/oleObject41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1EA2F-91B1-4F10-95D2-238C0DE9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20569</Words>
  <Characters>117244</Characters>
  <Application>Microsoft Office Word</Application>
  <DocSecurity>0</DocSecurity>
  <Lines>977</Lines>
  <Paragraphs>275</Paragraphs>
  <ScaleCrop>false</ScaleCrop>
  <HeadingPairs>
    <vt:vector size="2" baseType="variant">
      <vt:variant>
        <vt:lpstr>Title</vt:lpstr>
      </vt:variant>
      <vt:variant>
        <vt:i4>1</vt:i4>
      </vt:variant>
    </vt:vector>
  </HeadingPairs>
  <TitlesOfParts>
    <vt:vector size="1" baseType="lpstr">
      <vt:lpstr>A MIXED MULTIPLE DISCRETE-CONTINUOUS PROBIT (MDCP) CHOICE MODEL</vt:lpstr>
    </vt:vector>
  </TitlesOfParts>
  <Company>Microsoft</Company>
  <LinksUpToDate>false</LinksUpToDate>
  <CharactersWithSpaces>137538</CharactersWithSpaces>
  <SharedDoc>false</SharedDoc>
  <HLinks>
    <vt:vector size="78" baseType="variant">
      <vt:variant>
        <vt:i4>3211388</vt:i4>
      </vt:variant>
      <vt:variant>
        <vt:i4>1200</vt:i4>
      </vt:variant>
      <vt:variant>
        <vt:i4>0</vt:i4>
      </vt:variant>
      <vt:variant>
        <vt:i4>5</vt:i4>
      </vt:variant>
      <vt:variant>
        <vt:lpwstr>http://www.springerlink.com/content/0924-6460/45/1/</vt:lpwstr>
      </vt:variant>
      <vt:variant>
        <vt:lpwstr/>
      </vt:variant>
      <vt:variant>
        <vt:i4>3473511</vt:i4>
      </vt:variant>
      <vt:variant>
        <vt:i4>1197</vt:i4>
      </vt:variant>
      <vt:variant>
        <vt:i4>0</vt:i4>
      </vt:variant>
      <vt:variant>
        <vt:i4>5</vt:i4>
      </vt:variant>
      <vt:variant>
        <vt:lpwstr>http://www.springerlink.com/content/0924-6460/</vt:lpwstr>
      </vt:variant>
      <vt:variant>
        <vt:lpwstr/>
      </vt:variant>
      <vt:variant>
        <vt:i4>7733372</vt:i4>
      </vt:variant>
      <vt:variant>
        <vt:i4>1194</vt:i4>
      </vt:variant>
      <vt:variant>
        <vt:i4>0</vt:i4>
      </vt:variant>
      <vt:variant>
        <vt:i4>5</vt:i4>
      </vt:variant>
      <vt:variant>
        <vt:lpwstr>http://www.springerlink.com/content/?Author=Bob+Buerger</vt:lpwstr>
      </vt:variant>
      <vt:variant>
        <vt:lpwstr/>
      </vt:variant>
      <vt:variant>
        <vt:i4>983048</vt:i4>
      </vt:variant>
      <vt:variant>
        <vt:i4>1191</vt:i4>
      </vt:variant>
      <vt:variant>
        <vt:i4>0</vt:i4>
      </vt:variant>
      <vt:variant>
        <vt:i4>5</vt:i4>
      </vt:variant>
      <vt:variant>
        <vt:lpwstr>http://www.springerlink.com/content/?Author=Jeffery+Hill</vt:lpwstr>
      </vt:variant>
      <vt:variant>
        <vt:lpwstr/>
      </vt:variant>
      <vt:variant>
        <vt:i4>524315</vt:i4>
      </vt:variant>
      <vt:variant>
        <vt:i4>1188</vt:i4>
      </vt:variant>
      <vt:variant>
        <vt:i4>0</vt:i4>
      </vt:variant>
      <vt:variant>
        <vt:i4>5</vt:i4>
      </vt:variant>
      <vt:variant>
        <vt:lpwstr>http://www.springerlink.com/content/?Author=Jim+Herstine</vt:lpwstr>
      </vt:variant>
      <vt:variant>
        <vt:lpwstr/>
      </vt:variant>
      <vt:variant>
        <vt:i4>5177426</vt:i4>
      </vt:variant>
      <vt:variant>
        <vt:i4>1185</vt:i4>
      </vt:variant>
      <vt:variant>
        <vt:i4>0</vt:i4>
      </vt:variant>
      <vt:variant>
        <vt:i4>5</vt:i4>
      </vt:variant>
      <vt:variant>
        <vt:lpwstr>http://www.springerlink.com/content/?Author=Christopher+F.+Dumas</vt:lpwstr>
      </vt:variant>
      <vt:variant>
        <vt:lpwstr/>
      </vt:variant>
      <vt:variant>
        <vt:i4>393218</vt:i4>
      </vt:variant>
      <vt:variant>
        <vt:i4>1182</vt:i4>
      </vt:variant>
      <vt:variant>
        <vt:i4>0</vt:i4>
      </vt:variant>
      <vt:variant>
        <vt:i4>5</vt:i4>
      </vt:variant>
      <vt:variant>
        <vt:lpwstr>http://www.springerlink.com/content/?Author=Daniel+J.+Phaneuf</vt:lpwstr>
      </vt:variant>
      <vt:variant>
        <vt:lpwstr/>
      </vt:variant>
      <vt:variant>
        <vt:i4>786437</vt:i4>
      </vt:variant>
      <vt:variant>
        <vt:i4>1179</vt:i4>
      </vt:variant>
      <vt:variant>
        <vt:i4>0</vt:i4>
      </vt:variant>
      <vt:variant>
        <vt:i4>5</vt:i4>
      </vt:variant>
      <vt:variant>
        <vt:lpwstr>http://www.springerlink.com/content/?Author=John+C.+Whitehead</vt:lpwstr>
      </vt:variant>
      <vt:variant>
        <vt:lpwstr/>
      </vt:variant>
      <vt:variant>
        <vt:i4>1376345</vt:i4>
      </vt:variant>
      <vt:variant>
        <vt:i4>1176</vt:i4>
      </vt:variant>
      <vt:variant>
        <vt:i4>0</vt:i4>
      </vt:variant>
      <vt:variant>
        <vt:i4>5</vt:i4>
      </vt:variant>
      <vt:variant>
        <vt:lpwstr>http://www.whitehutchinson.com/leisure/articles/Staycation.shtml</vt:lpwstr>
      </vt:variant>
      <vt:variant>
        <vt:lpwstr/>
      </vt:variant>
      <vt:variant>
        <vt:i4>7667824</vt:i4>
      </vt:variant>
      <vt:variant>
        <vt:i4>1173</vt:i4>
      </vt:variant>
      <vt:variant>
        <vt:i4>0</vt:i4>
      </vt:variant>
      <vt:variant>
        <vt:i4>5</vt:i4>
      </vt:variant>
      <vt:variant>
        <vt:lpwstr>http://www.scopus.com/inward/record.url?eid=2-s2.0-79960681033&amp;partnerID=65</vt:lpwstr>
      </vt:variant>
      <vt:variant>
        <vt:lpwstr/>
      </vt:variant>
      <vt:variant>
        <vt:i4>1638408</vt:i4>
      </vt:variant>
      <vt:variant>
        <vt:i4>1170</vt:i4>
      </vt:variant>
      <vt:variant>
        <vt:i4>0</vt:i4>
      </vt:variant>
      <vt:variant>
        <vt:i4>5</vt:i4>
      </vt:variant>
      <vt:variant>
        <vt:lpwstr>http://ideas.repec.org/p/spe/cpaper/0619.html</vt:lpwstr>
      </vt:variant>
      <vt:variant>
        <vt:lpwstr/>
      </vt:variant>
      <vt:variant>
        <vt:i4>5570574</vt:i4>
      </vt:variant>
      <vt:variant>
        <vt:i4>1167</vt:i4>
      </vt:variant>
      <vt:variant>
        <vt:i4>0</vt:i4>
      </vt:variant>
      <vt:variant>
        <vt:i4>5</vt:i4>
      </vt:variant>
      <vt:variant>
        <vt:lpwstr>http://escholarship.org/uc/item/2hc4h6h5</vt:lpwstr>
      </vt:variant>
      <vt:variant>
        <vt:lpwstr/>
      </vt:variant>
      <vt:variant>
        <vt:i4>3342373</vt:i4>
      </vt:variant>
      <vt:variant>
        <vt:i4>1155</vt:i4>
      </vt:variant>
      <vt:variant>
        <vt:i4>0</vt:i4>
      </vt:variant>
      <vt:variant>
        <vt:i4>5</vt:i4>
      </vt:variant>
      <vt:variant>
        <vt:lpwstr>http://www.tandfonline.com/action/doSearch?action=runSearch&amp;type=advanced&amp;result=true&amp;prevSearch=%2Bauthorsfield%3A%28Siderelis%2C+Christos%29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MIXED MULTIPLE DISCRETE-CONTINUOUS PROBIT (MDCP) CHOICE MODEL</dc:title>
  <dc:creator>Castro, Marisol A</dc:creator>
  <cp:lastModifiedBy>weyantlj</cp:lastModifiedBy>
  <cp:revision>2</cp:revision>
  <cp:lastPrinted>2016-01-26T17:42:00Z</cp:lastPrinted>
  <dcterms:created xsi:type="dcterms:W3CDTF">2016-03-10T23:24:00Z</dcterms:created>
  <dcterms:modified xsi:type="dcterms:W3CDTF">2016-03-10T23:24:00Z</dcterms:modified>
</cp:coreProperties>
</file>