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FB2F3" w14:textId="5FB80854" w:rsidR="004F6681" w:rsidRDefault="006D0E6E" w:rsidP="00F53BDA">
      <w:pPr>
        <w:jc w:val="center"/>
        <w:rPr>
          <w:rFonts w:cs="Times New Roman"/>
          <w:b/>
        </w:rPr>
      </w:pPr>
      <w:r>
        <w:rPr>
          <w:rFonts w:cs="Times New Roman"/>
          <w:b/>
        </w:rPr>
        <w:fldChar w:fldCharType="begin"/>
      </w:r>
      <w:r>
        <w:rPr>
          <w:rFonts w:cs="Times New Roman"/>
          <w:b/>
        </w:rPr>
        <w:instrText xml:space="preserve"> MACROBUTTON MTEditEquationSection2 </w:instrText>
      </w:r>
      <w:r w:rsidRPr="006D0E6E">
        <w:rPr>
          <w:rStyle w:val="MTEquationSection"/>
        </w:rPr>
        <w:instrText>Equation Chapter 1 Section 1</w:instrText>
      </w:r>
      <w:r>
        <w:rPr>
          <w:rFonts w:cs="Times New Roman"/>
          <w:b/>
        </w:rPr>
        <w:fldChar w:fldCharType="begin"/>
      </w:r>
      <w:r>
        <w:rPr>
          <w:rFonts w:cs="Times New Roman"/>
          <w:b/>
        </w:rPr>
        <w:instrText xml:space="preserve"> SEQ MTEqn \r \h \* MERGEFORMAT </w:instrText>
      </w:r>
      <w:r>
        <w:rPr>
          <w:rFonts w:cs="Times New Roman"/>
          <w:b/>
        </w:rPr>
        <w:fldChar w:fldCharType="end"/>
      </w:r>
      <w:r>
        <w:rPr>
          <w:rFonts w:cs="Times New Roman"/>
          <w:b/>
        </w:rPr>
        <w:fldChar w:fldCharType="begin"/>
      </w:r>
      <w:r>
        <w:rPr>
          <w:rFonts w:cs="Times New Roman"/>
          <w:b/>
        </w:rPr>
        <w:instrText xml:space="preserve"> SEQ MTSec \r 1 \h \* MERGEFORMAT </w:instrText>
      </w:r>
      <w:r>
        <w:rPr>
          <w:rFonts w:cs="Times New Roman"/>
          <w:b/>
        </w:rPr>
        <w:fldChar w:fldCharType="end"/>
      </w:r>
      <w:r>
        <w:rPr>
          <w:rFonts w:cs="Times New Roman"/>
          <w:b/>
        </w:rPr>
        <w:fldChar w:fldCharType="begin"/>
      </w:r>
      <w:r>
        <w:rPr>
          <w:rFonts w:cs="Times New Roman"/>
          <w:b/>
        </w:rPr>
        <w:instrText xml:space="preserve"> SEQ MTChap \r 1 \h \* MERGEFORMAT </w:instrText>
      </w:r>
      <w:r>
        <w:rPr>
          <w:rFonts w:cs="Times New Roman"/>
          <w:b/>
        </w:rPr>
        <w:fldChar w:fldCharType="end"/>
      </w:r>
      <w:r>
        <w:rPr>
          <w:rFonts w:cs="Times New Roman"/>
          <w:b/>
        </w:rPr>
        <w:fldChar w:fldCharType="end"/>
      </w:r>
    </w:p>
    <w:p w14:paraId="2B827816" w14:textId="3189CFD4" w:rsidR="007753EF" w:rsidRDefault="007753EF" w:rsidP="00F53BDA">
      <w:pPr>
        <w:jc w:val="center"/>
        <w:rPr>
          <w:rFonts w:cs="Times New Roman"/>
          <w:b/>
        </w:rPr>
      </w:pPr>
      <w:bookmarkStart w:id="0" w:name="_Hlk136221199"/>
    </w:p>
    <w:p w14:paraId="0EF6D8C0" w14:textId="77777777" w:rsidR="004060AC" w:rsidRDefault="004060AC" w:rsidP="00F53BDA">
      <w:pPr>
        <w:jc w:val="center"/>
        <w:rPr>
          <w:rFonts w:cs="Times New Roman"/>
          <w:b/>
        </w:rPr>
      </w:pPr>
    </w:p>
    <w:p w14:paraId="55D0513F" w14:textId="77777777" w:rsidR="007753EF" w:rsidRPr="006503DC" w:rsidRDefault="007753EF" w:rsidP="00DF4C27">
      <w:pPr>
        <w:spacing w:line="240" w:lineRule="auto"/>
        <w:jc w:val="center"/>
        <w:rPr>
          <w:rFonts w:cs="Times New Roman"/>
          <w:b/>
        </w:rPr>
      </w:pPr>
    </w:p>
    <w:p w14:paraId="5F0D7865" w14:textId="7DC40AD9" w:rsidR="006503DC" w:rsidRPr="00253B99" w:rsidRDefault="006503DC" w:rsidP="00DF4C27">
      <w:pPr>
        <w:shd w:val="clear" w:color="auto" w:fill="FFFFFF"/>
        <w:spacing w:line="240" w:lineRule="auto"/>
        <w:jc w:val="center"/>
        <w:rPr>
          <w:rFonts w:eastAsia="Times New Roman" w:cs="Times New Roman"/>
          <w:b/>
          <w:color w:val="222222"/>
          <w:szCs w:val="24"/>
        </w:rPr>
      </w:pPr>
      <w:r w:rsidRPr="00253B99">
        <w:rPr>
          <w:rFonts w:eastAsia="Times New Roman" w:cs="Times New Roman"/>
          <w:b/>
          <w:iCs/>
          <w:color w:val="222222"/>
          <w:szCs w:val="24"/>
        </w:rPr>
        <w:t xml:space="preserve">A Flexible </w:t>
      </w:r>
      <w:r w:rsidR="00321001">
        <w:rPr>
          <w:rFonts w:eastAsia="Times New Roman" w:cs="Times New Roman"/>
          <w:b/>
          <w:iCs/>
          <w:color w:val="222222"/>
          <w:szCs w:val="24"/>
        </w:rPr>
        <w:t xml:space="preserve">Multinomial YJ-Based Model with </w:t>
      </w:r>
      <w:r w:rsidRPr="00253B99">
        <w:rPr>
          <w:rFonts w:eastAsia="Times New Roman" w:cs="Times New Roman"/>
          <w:b/>
          <w:iCs/>
          <w:color w:val="222222"/>
          <w:szCs w:val="24"/>
        </w:rPr>
        <w:t>Non-Normal Random Coefficient</w:t>
      </w:r>
      <w:r w:rsidR="00321001">
        <w:rPr>
          <w:rFonts w:eastAsia="Times New Roman" w:cs="Times New Roman"/>
          <w:b/>
          <w:iCs/>
          <w:color w:val="222222"/>
          <w:szCs w:val="24"/>
        </w:rPr>
        <w:t xml:space="preserve">s and Non-Normal Kernel Error Terms </w:t>
      </w:r>
      <w:r w:rsidRPr="00253B99">
        <w:rPr>
          <w:rFonts w:eastAsia="Times New Roman" w:cs="Times New Roman"/>
          <w:b/>
          <w:iCs/>
          <w:color w:val="222222"/>
          <w:szCs w:val="24"/>
        </w:rPr>
        <w:t xml:space="preserve"> </w:t>
      </w:r>
    </w:p>
    <w:p w14:paraId="659B860B" w14:textId="77777777" w:rsidR="00D55A4F" w:rsidRDefault="00D55A4F" w:rsidP="00DF4C27">
      <w:pPr>
        <w:spacing w:line="240" w:lineRule="auto"/>
        <w:jc w:val="center"/>
        <w:rPr>
          <w:b/>
          <w:bCs/>
        </w:rPr>
      </w:pPr>
    </w:p>
    <w:p w14:paraId="2EC75DB1" w14:textId="77777777" w:rsidR="00D55A4F" w:rsidRDefault="00D55A4F" w:rsidP="00DF4C27">
      <w:pPr>
        <w:spacing w:line="240" w:lineRule="auto"/>
        <w:jc w:val="center"/>
        <w:rPr>
          <w:b/>
          <w:bCs/>
        </w:rPr>
      </w:pPr>
    </w:p>
    <w:p w14:paraId="1D2D4320" w14:textId="33C9B2A2" w:rsidR="00D55A4F" w:rsidRDefault="00D55A4F" w:rsidP="00DF4C27">
      <w:pPr>
        <w:spacing w:line="240" w:lineRule="auto"/>
        <w:jc w:val="center"/>
        <w:rPr>
          <w:b/>
          <w:bCs/>
        </w:rPr>
      </w:pPr>
    </w:p>
    <w:p w14:paraId="5BD6B509" w14:textId="1EE99C14" w:rsidR="007753EF" w:rsidRDefault="007753EF" w:rsidP="00DF4C27">
      <w:pPr>
        <w:spacing w:line="240" w:lineRule="auto"/>
        <w:jc w:val="center"/>
        <w:rPr>
          <w:b/>
          <w:bCs/>
        </w:rPr>
      </w:pPr>
    </w:p>
    <w:p w14:paraId="03155FB8" w14:textId="77777777" w:rsidR="00077490" w:rsidRDefault="00077490" w:rsidP="00DF4C27">
      <w:pPr>
        <w:spacing w:line="240" w:lineRule="auto"/>
        <w:jc w:val="center"/>
        <w:rPr>
          <w:b/>
          <w:bCs/>
        </w:rPr>
      </w:pPr>
    </w:p>
    <w:p w14:paraId="36AFD472" w14:textId="1A76DAA3" w:rsidR="007753EF" w:rsidRDefault="007753EF" w:rsidP="00DF4C27">
      <w:pPr>
        <w:spacing w:line="240" w:lineRule="auto"/>
        <w:jc w:val="center"/>
        <w:rPr>
          <w:b/>
          <w:bCs/>
        </w:rPr>
      </w:pPr>
    </w:p>
    <w:p w14:paraId="5CAE4E45" w14:textId="77777777" w:rsidR="00321001" w:rsidRDefault="00321001" w:rsidP="00DF4C27">
      <w:pPr>
        <w:spacing w:line="240" w:lineRule="auto"/>
        <w:jc w:val="center"/>
        <w:rPr>
          <w:b/>
          <w:bCs/>
        </w:rPr>
      </w:pPr>
    </w:p>
    <w:p w14:paraId="5149DE90" w14:textId="77777777" w:rsidR="007753EF" w:rsidRDefault="007753EF" w:rsidP="00DF4C27">
      <w:pPr>
        <w:spacing w:line="240" w:lineRule="auto"/>
        <w:rPr>
          <w:b/>
          <w:bCs/>
        </w:rPr>
      </w:pPr>
    </w:p>
    <w:p w14:paraId="6E53311A" w14:textId="77777777" w:rsidR="004D6499" w:rsidRPr="000916EF" w:rsidRDefault="004D6499" w:rsidP="00DF4C27">
      <w:pPr>
        <w:spacing w:line="240" w:lineRule="auto"/>
        <w:jc w:val="center"/>
        <w:rPr>
          <w:b/>
          <w:lang w:val="fr-FR"/>
        </w:rPr>
      </w:pPr>
      <w:r w:rsidRPr="000916EF">
        <w:rPr>
          <w:b/>
          <w:lang w:val="fr-FR"/>
        </w:rPr>
        <w:t>Chandra R. Bhat</w:t>
      </w:r>
      <w:r w:rsidRPr="000916EF">
        <w:rPr>
          <w:bCs/>
          <w:lang w:val="fr-FR"/>
        </w:rPr>
        <w:t xml:space="preserve"> </w:t>
      </w:r>
      <w:r w:rsidRPr="000916EF">
        <w:rPr>
          <w:b/>
        </w:rPr>
        <w:t>(corresponding author)</w:t>
      </w:r>
    </w:p>
    <w:p w14:paraId="088FB772" w14:textId="77777777" w:rsidR="004D6499" w:rsidRPr="000916EF" w:rsidRDefault="004D6499" w:rsidP="00DF4C27">
      <w:pPr>
        <w:spacing w:line="240" w:lineRule="auto"/>
        <w:jc w:val="center"/>
        <w:rPr>
          <w:rFonts w:cs="Arial"/>
          <w:bCs/>
          <w:kern w:val="32"/>
          <w:szCs w:val="32"/>
        </w:rPr>
      </w:pPr>
      <w:r w:rsidRPr="000916EF">
        <w:rPr>
          <w:rFonts w:cs="Arial"/>
          <w:bCs/>
          <w:kern w:val="32"/>
          <w:szCs w:val="32"/>
        </w:rPr>
        <w:t>The University of Texas at Austin</w:t>
      </w:r>
    </w:p>
    <w:p w14:paraId="0C7D53C7" w14:textId="77777777" w:rsidR="004D6499" w:rsidRPr="000916EF" w:rsidRDefault="004D6499" w:rsidP="00DF4C27">
      <w:pPr>
        <w:spacing w:line="240" w:lineRule="auto"/>
        <w:jc w:val="center"/>
        <w:rPr>
          <w:rFonts w:cs="Arial"/>
          <w:bCs/>
          <w:kern w:val="32"/>
          <w:szCs w:val="32"/>
        </w:rPr>
      </w:pPr>
      <w:r w:rsidRPr="000916EF">
        <w:rPr>
          <w:rFonts w:cs="Arial"/>
          <w:bCs/>
          <w:kern w:val="32"/>
          <w:szCs w:val="32"/>
        </w:rPr>
        <w:t>Department of Civil, Architectural and Environmental Engineering</w:t>
      </w:r>
    </w:p>
    <w:p w14:paraId="3F03B815" w14:textId="77777777" w:rsidR="004D6499" w:rsidRPr="000916EF" w:rsidRDefault="004D6499" w:rsidP="00DF4C27">
      <w:pPr>
        <w:spacing w:line="240" w:lineRule="auto"/>
        <w:jc w:val="center"/>
        <w:rPr>
          <w:rFonts w:cs="Arial"/>
          <w:bCs/>
          <w:kern w:val="32"/>
          <w:szCs w:val="32"/>
        </w:rPr>
      </w:pPr>
      <w:r w:rsidRPr="000916EF">
        <w:rPr>
          <w:rFonts w:cs="Arial"/>
          <w:bCs/>
          <w:kern w:val="32"/>
          <w:szCs w:val="32"/>
        </w:rPr>
        <w:t>301 E. Dean Keeton St. Stop C1761, Austin, TX 78712, USA</w:t>
      </w:r>
    </w:p>
    <w:p w14:paraId="0CB9DFB7" w14:textId="683D1469" w:rsidR="004D6499" w:rsidRPr="000916EF" w:rsidRDefault="004D6499" w:rsidP="00DF4C27">
      <w:pPr>
        <w:spacing w:line="240" w:lineRule="auto"/>
        <w:jc w:val="center"/>
        <w:rPr>
          <w:rFonts w:cs="Arial"/>
          <w:bCs/>
          <w:kern w:val="32"/>
          <w:szCs w:val="32"/>
          <w:lang w:val="fr-FR"/>
        </w:rPr>
      </w:pPr>
      <w:r>
        <w:rPr>
          <w:rFonts w:cs="Arial"/>
          <w:bCs/>
          <w:kern w:val="32"/>
          <w:szCs w:val="32"/>
        </w:rPr>
        <w:t>Tel</w:t>
      </w:r>
      <w:r w:rsidRPr="000916EF">
        <w:rPr>
          <w:rFonts w:cs="Arial"/>
          <w:bCs/>
          <w:kern w:val="32"/>
          <w:szCs w:val="32"/>
        </w:rPr>
        <w:t xml:space="preserve">: 1-512-471-4535; </w:t>
      </w:r>
      <w:r w:rsidRPr="000916EF">
        <w:rPr>
          <w:rFonts w:cs="Arial"/>
          <w:bCs/>
          <w:kern w:val="32"/>
          <w:szCs w:val="32"/>
          <w:lang w:val="fr-FR"/>
        </w:rPr>
        <w:t xml:space="preserve">Email: </w:t>
      </w:r>
      <w:hyperlink r:id="rId8" w:history="1">
        <w:r w:rsidRPr="000916EF">
          <w:rPr>
            <w:rStyle w:val="Hyperlink"/>
            <w:rFonts w:cs="Arial"/>
            <w:kern w:val="32"/>
            <w:szCs w:val="32"/>
            <w:lang w:val="fr-FR"/>
          </w:rPr>
          <w:t>bhat@mail.utexas.edu</w:t>
        </w:r>
      </w:hyperlink>
    </w:p>
    <w:p w14:paraId="0DDB0A42" w14:textId="77777777" w:rsidR="004D6499" w:rsidRDefault="004D6499" w:rsidP="00DF4C27">
      <w:pPr>
        <w:spacing w:line="240" w:lineRule="auto"/>
        <w:jc w:val="center"/>
        <w:rPr>
          <w:b/>
          <w:bCs/>
        </w:rPr>
      </w:pPr>
    </w:p>
    <w:p w14:paraId="5D4D23F4" w14:textId="77777777" w:rsidR="004D6499" w:rsidRDefault="004D6499" w:rsidP="00DF4C27">
      <w:pPr>
        <w:spacing w:line="240" w:lineRule="auto"/>
        <w:jc w:val="center"/>
        <w:rPr>
          <w:b/>
          <w:bCs/>
        </w:rPr>
      </w:pPr>
    </w:p>
    <w:p w14:paraId="1BB7A238" w14:textId="7CAB5508" w:rsidR="00C67577" w:rsidRPr="000916EF" w:rsidRDefault="00321001" w:rsidP="00DF4C27">
      <w:pPr>
        <w:spacing w:line="240" w:lineRule="auto"/>
        <w:jc w:val="center"/>
        <w:rPr>
          <w:b/>
          <w:bCs/>
        </w:rPr>
      </w:pPr>
      <w:r>
        <w:rPr>
          <w:b/>
          <w:bCs/>
        </w:rPr>
        <w:t>Dale Robben</w:t>
      </w:r>
      <w:r w:rsidR="009628E1">
        <w:rPr>
          <w:b/>
          <w:bCs/>
        </w:rPr>
        <w:t>n</w:t>
      </w:r>
      <w:r>
        <w:rPr>
          <w:b/>
          <w:bCs/>
        </w:rPr>
        <w:t>olt</w:t>
      </w:r>
    </w:p>
    <w:p w14:paraId="6ED6F005" w14:textId="77777777" w:rsidR="00C67577" w:rsidRPr="000916EF" w:rsidRDefault="00C67577" w:rsidP="00DF4C27">
      <w:pPr>
        <w:spacing w:line="240" w:lineRule="auto"/>
        <w:jc w:val="center"/>
        <w:rPr>
          <w:bCs/>
        </w:rPr>
      </w:pPr>
      <w:r w:rsidRPr="000916EF">
        <w:t>The University of Texas at Austin</w:t>
      </w:r>
    </w:p>
    <w:p w14:paraId="46C2DA11" w14:textId="77777777" w:rsidR="00C67577" w:rsidRPr="000916EF" w:rsidRDefault="00C67577" w:rsidP="00DF4C27">
      <w:pPr>
        <w:spacing w:line="240" w:lineRule="auto"/>
        <w:jc w:val="center"/>
        <w:rPr>
          <w:bCs/>
        </w:rPr>
      </w:pPr>
      <w:r w:rsidRPr="000916EF">
        <w:t>Department of Civil, Architectural and Environmental Engineering</w:t>
      </w:r>
    </w:p>
    <w:p w14:paraId="3C348788" w14:textId="77777777" w:rsidR="00C67577" w:rsidRPr="000916EF" w:rsidRDefault="00C67577" w:rsidP="00DF4C27">
      <w:pPr>
        <w:spacing w:line="240" w:lineRule="auto"/>
        <w:jc w:val="center"/>
        <w:rPr>
          <w:bCs/>
        </w:rPr>
      </w:pPr>
      <w:r w:rsidRPr="000916EF">
        <w:t>301 E. Dean Keeton St. Stop C1761, Austin TX 78712, USA</w:t>
      </w:r>
    </w:p>
    <w:p w14:paraId="71567614" w14:textId="388763D0" w:rsidR="00F53BDA" w:rsidRDefault="00C67577" w:rsidP="00DF4C27">
      <w:pPr>
        <w:spacing w:line="240" w:lineRule="auto"/>
        <w:jc w:val="center"/>
        <w:rPr>
          <w:rFonts w:cs="Times New Roman"/>
        </w:rPr>
      </w:pPr>
      <w:r w:rsidRPr="000916EF">
        <w:t xml:space="preserve">Email: </w:t>
      </w:r>
      <w:hyperlink r:id="rId9" w:history="1">
        <w:r w:rsidR="00077490" w:rsidRPr="00E021D6">
          <w:rPr>
            <w:rStyle w:val="Hyperlink"/>
          </w:rPr>
          <w:t>dar4836@utexas.edu</w:t>
        </w:r>
      </w:hyperlink>
      <w:bookmarkEnd w:id="0"/>
      <w:r w:rsidR="00077490">
        <w:t xml:space="preserve"> </w:t>
      </w:r>
    </w:p>
    <w:p w14:paraId="47485B59" w14:textId="77777777" w:rsidR="000204EF" w:rsidRDefault="000204EF" w:rsidP="00DF4C27">
      <w:pPr>
        <w:spacing w:line="240" w:lineRule="auto"/>
        <w:jc w:val="center"/>
        <w:rPr>
          <w:rFonts w:cs="Times New Roman"/>
        </w:rPr>
      </w:pPr>
    </w:p>
    <w:p w14:paraId="0F4823D1" w14:textId="30862F80" w:rsidR="003678AE" w:rsidRDefault="003678AE" w:rsidP="00DF4C27">
      <w:pPr>
        <w:spacing w:line="240" w:lineRule="auto"/>
        <w:rPr>
          <w:rFonts w:cs="Times New Roman"/>
        </w:rPr>
      </w:pPr>
      <w:r>
        <w:rPr>
          <w:rFonts w:cs="Times New Roman"/>
        </w:rPr>
        <w:br w:type="page"/>
      </w:r>
    </w:p>
    <w:p w14:paraId="4F888393" w14:textId="77777777" w:rsidR="003678AE" w:rsidRPr="003678AE" w:rsidRDefault="003678AE" w:rsidP="00077490">
      <w:pPr>
        <w:spacing w:line="240" w:lineRule="auto"/>
        <w:rPr>
          <w:b/>
        </w:rPr>
      </w:pPr>
      <w:r w:rsidRPr="003678AE">
        <w:rPr>
          <w:b/>
        </w:rPr>
        <w:lastRenderedPageBreak/>
        <w:t>Abstract</w:t>
      </w:r>
    </w:p>
    <w:p w14:paraId="1004B6E5" w14:textId="4DBAD4C7" w:rsidR="007753EF" w:rsidRDefault="009C02C2" w:rsidP="00077490">
      <w:pPr>
        <w:spacing w:line="240" w:lineRule="auto"/>
      </w:pPr>
      <w:r>
        <w:t xml:space="preserve">In this study, we propose a flexible, computationally tractable, structurally simple, and parsimonious-in-specification random coefficients multinomial </w:t>
      </w:r>
      <w:r w:rsidR="00321001">
        <w:t xml:space="preserve">Yeo-Johnson (MNYJ) model </w:t>
      </w:r>
      <w:r w:rsidR="00DE5AAE">
        <w:t>to accommodate both non-normal random coefficients as well as non-normal kernel errors</w:t>
      </w:r>
      <w:r w:rsidR="00321001">
        <w:t xml:space="preserve">, while also accommodating </w:t>
      </w:r>
      <w:r w:rsidR="006337AF">
        <w:t>dependence</w:t>
      </w:r>
      <w:r w:rsidR="00321001">
        <w:t xml:space="preserve"> across the random coefficients and the kernel error terms. </w:t>
      </w:r>
      <w:r>
        <w:t>Th</w:t>
      </w:r>
      <w:r w:rsidR="00321001">
        <w:t xml:space="preserve">is is accomplished using </w:t>
      </w:r>
      <w:r>
        <w:t xml:space="preserve">an implicit Gaussian copula to </w:t>
      </w:r>
      <w:r w:rsidR="00321001">
        <w:t xml:space="preserve">tie the many random elements together. The net result is that </w:t>
      </w:r>
      <w:r w:rsidR="00DE5AAE">
        <w:t xml:space="preserve">our proposed </w:t>
      </w:r>
      <w:r w:rsidR="00321001">
        <w:t>random coefficients MNYJ model (or the MNYJ</w:t>
      </w:r>
      <w:r w:rsidR="00B21DCC">
        <w:t>RC</w:t>
      </w:r>
      <w:r w:rsidR="00321001">
        <w:t xml:space="preserve">) model, while providing substantially more flexibility than the traditional multinomial probit (MNP) model, also </w:t>
      </w:r>
      <w:r w:rsidR="00DE5AAE">
        <w:t xml:space="preserve">enables </w:t>
      </w:r>
      <w:r w:rsidR="00321001">
        <w:t xml:space="preserve">intuitive interpretations of scaling </w:t>
      </w:r>
      <w:r w:rsidR="00DE5AAE">
        <w:t xml:space="preserve">on, </w:t>
      </w:r>
      <w:r w:rsidR="00321001">
        <w:t xml:space="preserve">and </w:t>
      </w:r>
      <w:r w:rsidR="006337AF">
        <w:t>dependencies</w:t>
      </w:r>
      <w:r w:rsidR="00321001">
        <w:t xml:space="preserve"> </w:t>
      </w:r>
      <w:r w:rsidR="00DE5AAE">
        <w:t xml:space="preserve">across, </w:t>
      </w:r>
      <w:r w:rsidR="00321001">
        <w:t>the structural kernel error terms, as opposed to a lack of such interpretations in the MNP model (where the analyst can only estimate the scale of, and correlations across, the differenced kernel errors</w:t>
      </w:r>
      <w:r w:rsidR="00DE5AAE">
        <w:t>). This additional interpretation ease is because of the asymmetric distribution specification, along with varying skew effects, on the</w:t>
      </w:r>
      <w:r w:rsidR="00321001">
        <w:t xml:space="preserve"> </w:t>
      </w:r>
      <w:r w:rsidR="00DE5AAE">
        <w:t xml:space="preserve">kernel error terms, so that the differences in kernel errors are not symmetric. We validate the ability of our model, and the associated estimation procedure, to recover underlying parameters through simulation experiments, as well as demonstrate the pitfalls of using traditional models that a priori impose symmetric distributions on the kernel error differences. </w:t>
      </w:r>
      <w:r>
        <w:t>Using our new flexible MN</w:t>
      </w:r>
      <w:r w:rsidR="00DE5AAE">
        <w:t>YJ</w:t>
      </w:r>
      <w:r>
        <w:t xml:space="preserve"> framework, </w:t>
      </w:r>
      <w:r w:rsidR="005D76DF">
        <w:t xml:space="preserve">we </w:t>
      </w:r>
      <w:r w:rsidR="00A44092">
        <w:rPr>
          <w:rFonts w:cs="Times New Roman"/>
          <w:szCs w:val="24"/>
        </w:rPr>
        <w:t>also investigate</w:t>
      </w:r>
      <w:r w:rsidR="005D76DF">
        <w:rPr>
          <w:rFonts w:cs="Times New Roman"/>
          <w:szCs w:val="24"/>
        </w:rPr>
        <w:t xml:space="preserve"> </w:t>
      </w:r>
      <w:r w:rsidR="005D76DF" w:rsidRPr="000F0B0B">
        <w:rPr>
          <w:rFonts w:cs="Times New Roman"/>
          <w:szCs w:val="24"/>
        </w:rPr>
        <w:t>future vehicle ownership intentions</w:t>
      </w:r>
      <w:r w:rsidR="005D76DF">
        <w:rPr>
          <w:rFonts w:cs="Times New Roman"/>
          <w:szCs w:val="24"/>
        </w:rPr>
        <w:t xml:space="preserve"> (</w:t>
      </w:r>
      <w:r w:rsidR="005D76DF" w:rsidRPr="000F0B0B">
        <w:rPr>
          <w:rFonts w:cs="Times New Roman"/>
          <w:szCs w:val="24"/>
        </w:rPr>
        <w:t xml:space="preserve">the choice among purchasing a regular vehicle, purchasing an </w:t>
      </w:r>
      <w:r w:rsidR="00A44092">
        <w:rPr>
          <w:rFonts w:cs="Times New Roman"/>
          <w:szCs w:val="24"/>
        </w:rPr>
        <w:t>autonomous vehicle</w:t>
      </w:r>
      <w:r w:rsidR="005D76DF" w:rsidRPr="000F0B0B">
        <w:rPr>
          <w:rFonts w:cs="Times New Roman"/>
          <w:szCs w:val="24"/>
        </w:rPr>
        <w:t xml:space="preserve">, or relying on </w:t>
      </w:r>
      <w:r w:rsidR="00A44092">
        <w:rPr>
          <w:rFonts w:cs="Times New Roman"/>
          <w:szCs w:val="24"/>
        </w:rPr>
        <w:t>autonomous</w:t>
      </w:r>
      <w:r w:rsidR="005D76DF" w:rsidRPr="000F0B0B">
        <w:rPr>
          <w:rFonts w:cs="Times New Roman"/>
          <w:szCs w:val="24"/>
        </w:rPr>
        <w:t xml:space="preserve"> ridehailing services</w:t>
      </w:r>
      <w:r w:rsidR="005D76DF">
        <w:rPr>
          <w:rFonts w:cs="Times New Roman"/>
          <w:szCs w:val="24"/>
        </w:rPr>
        <w:t>)</w:t>
      </w:r>
      <w:r w:rsidR="00A44092">
        <w:rPr>
          <w:rFonts w:cs="Times New Roman"/>
          <w:szCs w:val="24"/>
        </w:rPr>
        <w:t xml:space="preserve">, highlighting the </w:t>
      </w:r>
      <w:r w:rsidR="008B2307">
        <w:rPr>
          <w:rFonts w:cs="Times New Roman"/>
          <w:szCs w:val="24"/>
        </w:rPr>
        <w:t xml:space="preserve">policy implications of ignoring kernel error asymmetry. </w:t>
      </w:r>
    </w:p>
    <w:p w14:paraId="5A32F81B" w14:textId="77777777" w:rsidR="00DE5AAE" w:rsidRDefault="00DE5AAE" w:rsidP="00077490">
      <w:pPr>
        <w:spacing w:line="240" w:lineRule="auto"/>
        <w:rPr>
          <w:b/>
          <w:color w:val="000000" w:themeColor="text1"/>
        </w:rPr>
      </w:pPr>
    </w:p>
    <w:p w14:paraId="3F3F5D51" w14:textId="577F3206" w:rsidR="003678AE" w:rsidRPr="007753EF" w:rsidRDefault="003678AE" w:rsidP="00077490">
      <w:pPr>
        <w:pStyle w:val="NormalWeb"/>
        <w:spacing w:before="0" w:beforeAutospacing="0" w:after="0" w:afterAutospacing="0"/>
        <w:rPr>
          <w:color w:val="000000" w:themeColor="text1"/>
        </w:rPr>
      </w:pPr>
      <w:r w:rsidRPr="003678AE">
        <w:rPr>
          <w:b/>
          <w:color w:val="000000" w:themeColor="text1"/>
        </w:rPr>
        <w:t>Keywords:</w:t>
      </w:r>
      <w:r>
        <w:rPr>
          <w:b/>
          <w:color w:val="000000" w:themeColor="text1"/>
        </w:rPr>
        <w:t xml:space="preserve"> </w:t>
      </w:r>
      <w:r w:rsidR="006337AF">
        <w:rPr>
          <w:color w:val="000000" w:themeColor="text1"/>
        </w:rPr>
        <w:t xml:space="preserve">Asymmetric and flexible kernel error </w:t>
      </w:r>
      <w:r w:rsidRPr="007753EF">
        <w:rPr>
          <w:color w:val="000000" w:themeColor="text1"/>
        </w:rPr>
        <w:t>distribution</w:t>
      </w:r>
      <w:r w:rsidR="006337AF">
        <w:rPr>
          <w:color w:val="000000" w:themeColor="text1"/>
        </w:rPr>
        <w:t>s</w:t>
      </w:r>
      <w:r w:rsidRPr="007753EF">
        <w:rPr>
          <w:color w:val="000000" w:themeColor="text1"/>
        </w:rPr>
        <w:t>; Unobserved heterogeneity; Gaussian copula;</w:t>
      </w:r>
      <w:r w:rsidR="006337AF">
        <w:rPr>
          <w:color w:val="000000" w:themeColor="text1"/>
        </w:rPr>
        <w:t xml:space="preserve"> Choice models</w:t>
      </w:r>
      <w:r w:rsidR="007A1B32">
        <w:rPr>
          <w:color w:val="000000" w:themeColor="text1"/>
        </w:rPr>
        <w:t>; I</w:t>
      </w:r>
      <w:r w:rsidR="006337AF">
        <w:rPr>
          <w:color w:val="000000" w:themeColor="text1"/>
        </w:rPr>
        <w:t>nverse YJ transformation</w:t>
      </w:r>
    </w:p>
    <w:p w14:paraId="61414DDD" w14:textId="21550967" w:rsidR="003678AE" w:rsidRPr="007753EF" w:rsidRDefault="003678AE" w:rsidP="00077490">
      <w:pPr>
        <w:spacing w:line="240" w:lineRule="auto"/>
        <w:jc w:val="left"/>
        <w:rPr>
          <w:rFonts w:cs="Times New Roman"/>
        </w:rPr>
      </w:pPr>
      <w:r w:rsidRPr="007753EF">
        <w:rPr>
          <w:rFonts w:cs="Times New Roman"/>
        </w:rPr>
        <w:br w:type="page"/>
      </w:r>
    </w:p>
    <w:p w14:paraId="67EBC8C8" w14:textId="77777777" w:rsidR="004060AC" w:rsidRDefault="004060AC" w:rsidP="000C0B75">
      <w:pPr>
        <w:pStyle w:val="Heading1"/>
        <w:spacing w:before="0" w:after="0" w:line="276" w:lineRule="auto"/>
        <w:sectPr w:rsidR="004060AC" w:rsidSect="00576FA1">
          <w:footerReference w:type="default" r:id="rId10"/>
          <w:pgSz w:w="12240" w:h="15840"/>
          <w:pgMar w:top="1440" w:right="1440" w:bottom="1440" w:left="1440" w:header="720" w:footer="720" w:gutter="0"/>
          <w:cols w:space="720"/>
          <w:docGrid w:linePitch="360"/>
        </w:sectPr>
      </w:pPr>
    </w:p>
    <w:p w14:paraId="49CD7DA4" w14:textId="39B8218C" w:rsidR="007A25C7" w:rsidRPr="007A25C7" w:rsidRDefault="007A25C7" w:rsidP="00077490">
      <w:pPr>
        <w:pStyle w:val="Heading1"/>
        <w:spacing w:before="0" w:after="0" w:line="240" w:lineRule="auto"/>
      </w:pPr>
      <w:r w:rsidRPr="007A25C7">
        <w:lastRenderedPageBreak/>
        <w:t>I</w:t>
      </w:r>
      <w:r w:rsidRPr="00E118B1">
        <w:t>NT</w:t>
      </w:r>
      <w:r w:rsidRPr="00E118B1">
        <w:rPr>
          <w:rStyle w:val="Heading1Char"/>
          <w:b/>
        </w:rPr>
        <w:t>RODUCTION</w:t>
      </w:r>
    </w:p>
    <w:p w14:paraId="1BEBB00B" w14:textId="0F3FA433" w:rsidR="00164E22" w:rsidRPr="00D44FC3" w:rsidRDefault="00F16CFD" w:rsidP="00077490">
      <w:pPr>
        <w:spacing w:line="240" w:lineRule="auto"/>
        <w:rPr>
          <w:rFonts w:eastAsia="Times New Roman" w:cs="Times New Roman"/>
          <w:szCs w:val="24"/>
        </w:rPr>
      </w:pPr>
      <w:r w:rsidRPr="00395CD9">
        <w:rPr>
          <w:rFonts w:cs="Times New Roman"/>
          <w:szCs w:val="24"/>
        </w:rPr>
        <w:t>Discrete choice models are widely used in a</w:t>
      </w:r>
      <w:r w:rsidR="00DE5AAE" w:rsidRPr="00395CD9">
        <w:rPr>
          <w:rFonts w:cs="Times New Roman"/>
          <w:szCs w:val="24"/>
        </w:rPr>
        <w:t xml:space="preserve"> variety of disciplinary </w:t>
      </w:r>
      <w:r w:rsidRPr="00395CD9">
        <w:rPr>
          <w:rFonts w:cs="Times New Roman"/>
          <w:szCs w:val="24"/>
        </w:rPr>
        <w:t>fields to understand the factors influencing choice from a</w:t>
      </w:r>
      <w:r w:rsidR="00DE5AAE" w:rsidRPr="00395CD9">
        <w:rPr>
          <w:rFonts w:cs="Times New Roman"/>
          <w:szCs w:val="24"/>
        </w:rPr>
        <w:t xml:space="preserve"> set </w:t>
      </w:r>
      <w:r w:rsidRPr="00395CD9">
        <w:rPr>
          <w:rFonts w:cs="Times New Roman"/>
          <w:szCs w:val="24"/>
        </w:rPr>
        <w:t xml:space="preserve">of available discrete alternatives, such as the choice of a specific brand of yoghurt, or the choice of where to live, or the choice of which mode to travel by for a specific trip or a series of trips. The most common discrete choice models are based on utility-maximizing theory, with different models arising from different assumptions made regarding the kernel error terms in the latent utility of each alternative. The two most common distributions used for the kernel error terms are the Type 1 extreme value (an asymmetric distribution) and the normal distribution (a symmetric distribution). Combined with the rather restrictive </w:t>
      </w:r>
      <w:r w:rsidR="00423298" w:rsidRPr="00395CD9">
        <w:rPr>
          <w:rFonts w:cs="Times New Roman"/>
          <w:szCs w:val="24"/>
        </w:rPr>
        <w:t xml:space="preserve">(and typically difficult to justify) </w:t>
      </w:r>
      <w:r w:rsidRPr="00395CD9">
        <w:rPr>
          <w:rFonts w:cs="Times New Roman"/>
          <w:szCs w:val="24"/>
        </w:rPr>
        <w:t xml:space="preserve">identically and independently distributed </w:t>
      </w:r>
      <w:r w:rsidR="00423298" w:rsidRPr="00395CD9">
        <w:rPr>
          <w:rFonts w:cs="Times New Roman"/>
          <w:szCs w:val="24"/>
        </w:rPr>
        <w:t xml:space="preserve">(IID) </w:t>
      </w:r>
      <w:r w:rsidRPr="00395CD9">
        <w:rPr>
          <w:rFonts w:cs="Times New Roman"/>
          <w:szCs w:val="24"/>
        </w:rPr>
        <w:t>assumption across the errors of the alternatives, the Type 1 extreme value kernel results in the familiar multinomial logit</w:t>
      </w:r>
      <w:r w:rsidR="002B54C4">
        <w:rPr>
          <w:rFonts w:cs="Times New Roman"/>
          <w:szCs w:val="24"/>
        </w:rPr>
        <w:t xml:space="preserve"> (MNL)</w:t>
      </w:r>
      <w:r w:rsidRPr="00395CD9">
        <w:rPr>
          <w:rFonts w:cs="Times New Roman"/>
          <w:szCs w:val="24"/>
        </w:rPr>
        <w:t xml:space="preserve"> model</w:t>
      </w:r>
      <w:r w:rsidR="00423298" w:rsidRPr="00395CD9">
        <w:rPr>
          <w:rFonts w:cs="Times New Roman"/>
          <w:szCs w:val="24"/>
        </w:rPr>
        <w:t xml:space="preserve">. The closed form structure of this model derives from the property that the difference of two IID Type 1 extreme value errors is the symmetric logistic distribution. But the IID structure also saddles the MNL with the independence </w:t>
      </w:r>
      <w:r w:rsidR="00B21DCC">
        <w:rPr>
          <w:rFonts w:cs="Times New Roman"/>
          <w:szCs w:val="24"/>
        </w:rPr>
        <w:t>of</w:t>
      </w:r>
      <w:r w:rsidR="00423298" w:rsidRPr="00395CD9">
        <w:rPr>
          <w:rFonts w:cs="Times New Roman"/>
          <w:szCs w:val="24"/>
        </w:rPr>
        <w:t xml:space="preserve"> irrelevant alternatives (IIA) property at the individual level. On the other hand, the normal distribution assumption for the kernel errors allows a more flexible covariance structure among the utilities, and leads to the multinomial probit </w:t>
      </w:r>
      <w:r w:rsidR="00164E22" w:rsidRPr="00395CD9">
        <w:rPr>
          <w:rFonts w:cs="Times New Roman"/>
          <w:szCs w:val="24"/>
        </w:rPr>
        <w:t xml:space="preserve">(MNP) </w:t>
      </w:r>
      <w:r w:rsidR="00423298" w:rsidRPr="00395CD9">
        <w:rPr>
          <w:rFonts w:cs="Times New Roman"/>
          <w:szCs w:val="24"/>
        </w:rPr>
        <w:t>mode</w:t>
      </w:r>
      <w:r w:rsidR="00164E22" w:rsidRPr="00395CD9">
        <w:rPr>
          <w:rFonts w:cs="Times New Roman"/>
          <w:szCs w:val="24"/>
        </w:rPr>
        <w:t>l</w:t>
      </w:r>
      <w:r w:rsidR="00423298" w:rsidRPr="00395CD9">
        <w:rPr>
          <w:rFonts w:cs="Times New Roman"/>
          <w:szCs w:val="24"/>
        </w:rPr>
        <w:t xml:space="preserve">. </w:t>
      </w:r>
      <w:r w:rsidR="00164E22" w:rsidRPr="00395CD9">
        <w:rPr>
          <w:rFonts w:cs="Times New Roman"/>
          <w:szCs w:val="24"/>
        </w:rPr>
        <w:t>Again, the effective distribution that matters is the stochastic component of utility differences, which, like in the MNL model, takes a symmetric form because of the closure property of the normal distribution under subtraction.</w:t>
      </w:r>
      <w:r w:rsidR="00D44FC3" w:rsidRPr="00D44FC3">
        <w:rPr>
          <w:rFonts w:eastAsia="Times New Roman" w:cs="Times New Roman"/>
          <w:szCs w:val="24"/>
        </w:rPr>
        <w:t xml:space="preserve"> </w:t>
      </w:r>
    </w:p>
    <w:p w14:paraId="1E090FA4" w14:textId="1381C7E3" w:rsidR="007D7BAE" w:rsidRPr="00D44FC3" w:rsidRDefault="00164E22" w:rsidP="00077490">
      <w:pPr>
        <w:spacing w:line="240" w:lineRule="auto"/>
        <w:ind w:firstLine="720"/>
        <w:rPr>
          <w:rFonts w:eastAsia="Times New Roman" w:cs="Times New Roman"/>
          <w:szCs w:val="24"/>
        </w:rPr>
      </w:pPr>
      <w:r w:rsidRPr="00395CD9">
        <w:rPr>
          <w:rFonts w:cs="Times New Roman"/>
          <w:szCs w:val="24"/>
        </w:rPr>
        <w:t xml:space="preserve">Of course, </w:t>
      </w:r>
      <w:r w:rsidR="00F90933" w:rsidRPr="00395CD9">
        <w:rPr>
          <w:rFonts w:cs="Times New Roman"/>
          <w:szCs w:val="24"/>
        </w:rPr>
        <w:t xml:space="preserve">over the past several decades, many </w:t>
      </w:r>
      <w:r w:rsidR="007A25C7" w:rsidRPr="00395CD9">
        <w:rPr>
          <w:rFonts w:cs="Times New Roman"/>
          <w:szCs w:val="24"/>
        </w:rPr>
        <w:t xml:space="preserve">extensions </w:t>
      </w:r>
      <w:r w:rsidR="00F90933" w:rsidRPr="00395CD9">
        <w:rPr>
          <w:rFonts w:cs="Times New Roman"/>
          <w:szCs w:val="24"/>
        </w:rPr>
        <w:t xml:space="preserve">of the </w:t>
      </w:r>
      <w:r w:rsidRPr="00395CD9">
        <w:rPr>
          <w:rFonts w:cs="Times New Roman"/>
          <w:szCs w:val="24"/>
        </w:rPr>
        <w:t>MNL and MNP models have been proposed, based on mixing approach</w:t>
      </w:r>
      <w:r w:rsidR="00D44FC3">
        <w:rPr>
          <w:rFonts w:cs="Times New Roman"/>
          <w:szCs w:val="24"/>
        </w:rPr>
        <w:t>es</w:t>
      </w:r>
      <w:r w:rsidR="0074556A" w:rsidRPr="00395CD9">
        <w:rPr>
          <w:rFonts w:cs="Times New Roman"/>
          <w:szCs w:val="24"/>
        </w:rPr>
        <w:t xml:space="preserve"> over the MNL and MNP kernels (see Bhat, 2020</w:t>
      </w:r>
      <w:r w:rsidR="00B847F2" w:rsidRPr="00395CD9">
        <w:rPr>
          <w:rFonts w:cs="Times New Roman"/>
          <w:szCs w:val="24"/>
        </w:rPr>
        <w:t xml:space="preserve"> </w:t>
      </w:r>
      <w:r w:rsidR="0074556A" w:rsidRPr="00395CD9">
        <w:rPr>
          <w:rFonts w:cs="Times New Roman"/>
          <w:szCs w:val="24"/>
        </w:rPr>
        <w:t xml:space="preserve">for </w:t>
      </w:r>
      <w:r w:rsidR="00B847F2" w:rsidRPr="00395CD9">
        <w:rPr>
          <w:rFonts w:cs="Times New Roman"/>
          <w:szCs w:val="24"/>
        </w:rPr>
        <w:t xml:space="preserve">a </w:t>
      </w:r>
      <w:r w:rsidR="0074556A" w:rsidRPr="00395CD9">
        <w:rPr>
          <w:rFonts w:cs="Times New Roman"/>
          <w:szCs w:val="24"/>
        </w:rPr>
        <w:t xml:space="preserve">detailed review of random utility-based discrete choice literature; Train, 2009 is a textbook resource). </w:t>
      </w:r>
      <w:r w:rsidR="00B847F2" w:rsidRPr="00395CD9">
        <w:rPr>
          <w:rFonts w:cs="Times New Roman"/>
          <w:szCs w:val="24"/>
        </w:rPr>
        <w:t>In this mixing context, t</w:t>
      </w:r>
      <w:r w:rsidR="0074556A" w:rsidRPr="00395CD9">
        <w:rPr>
          <w:rFonts w:cs="Times New Roman"/>
          <w:szCs w:val="24"/>
        </w:rPr>
        <w:t>he arguments and positioning by McFadden and Train (2000) has sometimes been</w:t>
      </w:r>
      <w:r w:rsidR="00D44FC3">
        <w:rPr>
          <w:rFonts w:cs="Times New Roman"/>
          <w:szCs w:val="24"/>
        </w:rPr>
        <w:t xml:space="preserve"> interpreted</w:t>
      </w:r>
      <w:r w:rsidR="0074556A" w:rsidRPr="00395CD9">
        <w:rPr>
          <w:rFonts w:cs="Times New Roman"/>
          <w:szCs w:val="24"/>
        </w:rPr>
        <w:t xml:space="preserve">, </w:t>
      </w:r>
      <w:r w:rsidR="00D44FC3">
        <w:rPr>
          <w:rFonts w:cs="Times New Roman"/>
          <w:szCs w:val="24"/>
        </w:rPr>
        <w:t xml:space="preserve">somewhat </w:t>
      </w:r>
      <w:r w:rsidR="0074556A" w:rsidRPr="00395CD9">
        <w:rPr>
          <w:rFonts w:cs="Times New Roman"/>
          <w:szCs w:val="24"/>
        </w:rPr>
        <w:t>inappropriately</w:t>
      </w:r>
      <w:r w:rsidR="00D44FC3">
        <w:rPr>
          <w:rFonts w:cs="Times New Roman"/>
          <w:szCs w:val="24"/>
        </w:rPr>
        <w:t xml:space="preserve">, </w:t>
      </w:r>
      <w:r w:rsidR="0074556A" w:rsidRPr="00395CD9">
        <w:rPr>
          <w:rFonts w:cs="Times New Roman"/>
          <w:szCs w:val="24"/>
        </w:rPr>
        <w:t xml:space="preserve">to imply that any random utility model (RUM) can be approximated by a mixed MNL or </w:t>
      </w:r>
      <w:r w:rsidR="00A21637" w:rsidRPr="00395CD9">
        <w:rPr>
          <w:rFonts w:cs="Times New Roman"/>
          <w:szCs w:val="24"/>
        </w:rPr>
        <w:t xml:space="preserve">a </w:t>
      </w:r>
      <w:r w:rsidR="0074556A" w:rsidRPr="00395CD9">
        <w:rPr>
          <w:rFonts w:cs="Times New Roman"/>
          <w:szCs w:val="24"/>
        </w:rPr>
        <w:t xml:space="preserve">mixed MNP model. However, </w:t>
      </w:r>
      <w:r w:rsidR="00D44FC3">
        <w:rPr>
          <w:rFonts w:cs="Times New Roman"/>
          <w:szCs w:val="24"/>
        </w:rPr>
        <w:t>an</w:t>
      </w:r>
      <w:r w:rsidR="0074556A" w:rsidRPr="00395CD9">
        <w:rPr>
          <w:rFonts w:cs="Times New Roman"/>
          <w:szCs w:val="24"/>
        </w:rPr>
        <w:t xml:space="preserve"> important caveat here is that this is only true if the random distributions used in the mixing </w:t>
      </w:r>
      <w:r w:rsidR="00D44FC3">
        <w:rPr>
          <w:rFonts w:cs="Times New Roman"/>
          <w:szCs w:val="24"/>
        </w:rPr>
        <w:t xml:space="preserve">process </w:t>
      </w:r>
      <w:r w:rsidR="0074556A" w:rsidRPr="00395CD9">
        <w:rPr>
          <w:rFonts w:cs="Times New Roman"/>
          <w:szCs w:val="24"/>
        </w:rPr>
        <w:t>(</w:t>
      </w:r>
      <w:r w:rsidR="00D44FC3">
        <w:rPr>
          <w:rFonts w:cs="Times New Roman"/>
          <w:szCs w:val="24"/>
        </w:rPr>
        <w:t xml:space="preserve">whether for </w:t>
      </w:r>
      <w:r w:rsidR="0074556A" w:rsidRPr="00395CD9">
        <w:rPr>
          <w:rFonts w:cs="Times New Roman"/>
          <w:szCs w:val="24"/>
        </w:rPr>
        <w:t xml:space="preserve">random coefficients </w:t>
      </w:r>
      <w:r w:rsidR="00D44FC3">
        <w:rPr>
          <w:rFonts w:cs="Times New Roman"/>
          <w:szCs w:val="24"/>
        </w:rPr>
        <w:t xml:space="preserve">associated with observed </w:t>
      </w:r>
      <w:r w:rsidR="0074556A" w:rsidRPr="00395CD9">
        <w:rPr>
          <w:rFonts w:cs="Times New Roman"/>
          <w:szCs w:val="24"/>
        </w:rPr>
        <w:t xml:space="preserve">variables </w:t>
      </w:r>
      <w:r w:rsidR="00D44FC3">
        <w:rPr>
          <w:rFonts w:cs="Times New Roman"/>
          <w:szCs w:val="24"/>
        </w:rPr>
        <w:t xml:space="preserve">or </w:t>
      </w:r>
      <w:r w:rsidR="0074556A" w:rsidRPr="00395CD9">
        <w:rPr>
          <w:rFonts w:cs="Times New Roman"/>
          <w:szCs w:val="24"/>
        </w:rPr>
        <w:t xml:space="preserve">for error components </w:t>
      </w:r>
      <w:r w:rsidR="00D44FC3">
        <w:rPr>
          <w:rFonts w:cs="Times New Roman"/>
          <w:szCs w:val="24"/>
        </w:rPr>
        <w:t xml:space="preserve">introduced to </w:t>
      </w:r>
      <w:r w:rsidR="0074556A" w:rsidRPr="00395CD9">
        <w:rPr>
          <w:rFonts w:cs="Times New Roman"/>
          <w:szCs w:val="24"/>
        </w:rPr>
        <w:t xml:space="preserve">engender correlations/heteroscedasticity across alternatives) are </w:t>
      </w:r>
      <w:r w:rsidR="00D44FC3">
        <w:rPr>
          <w:rFonts w:cs="Times New Roman"/>
          <w:szCs w:val="24"/>
        </w:rPr>
        <w:t>appropriately specified</w:t>
      </w:r>
      <w:r w:rsidR="0074556A" w:rsidRPr="00395CD9">
        <w:rPr>
          <w:rFonts w:cs="Times New Roman"/>
          <w:szCs w:val="24"/>
        </w:rPr>
        <w:t xml:space="preserve">. </w:t>
      </w:r>
      <w:r w:rsidR="0015305D" w:rsidRPr="00395CD9">
        <w:rPr>
          <w:rFonts w:cs="Times New Roman"/>
          <w:szCs w:val="24"/>
        </w:rPr>
        <w:t xml:space="preserve">In this regard, </w:t>
      </w:r>
      <w:r w:rsidR="00D44FC3">
        <w:rPr>
          <w:rFonts w:cs="Times New Roman"/>
          <w:szCs w:val="24"/>
        </w:rPr>
        <w:t xml:space="preserve">it is </w:t>
      </w:r>
      <w:r w:rsidR="0015305D" w:rsidRPr="00395CD9">
        <w:rPr>
          <w:rFonts w:cs="Times New Roman"/>
          <w:szCs w:val="24"/>
        </w:rPr>
        <w:t xml:space="preserve">important to </w:t>
      </w:r>
      <w:r w:rsidR="00D44FC3">
        <w:rPr>
          <w:rFonts w:cs="Times New Roman"/>
          <w:szCs w:val="24"/>
        </w:rPr>
        <w:t xml:space="preserve">note </w:t>
      </w:r>
      <w:r w:rsidR="0015305D" w:rsidRPr="00395CD9">
        <w:rPr>
          <w:rFonts w:cs="Times New Roman"/>
          <w:szCs w:val="24"/>
        </w:rPr>
        <w:t xml:space="preserve">that most mixed models focus on </w:t>
      </w:r>
      <w:r w:rsidR="00CF2B7E" w:rsidRPr="00395CD9">
        <w:rPr>
          <w:rFonts w:cs="Times New Roman"/>
          <w:szCs w:val="24"/>
        </w:rPr>
        <w:t xml:space="preserve">a pure </w:t>
      </w:r>
      <w:r w:rsidR="0015305D" w:rsidRPr="00395CD9">
        <w:rPr>
          <w:rFonts w:cs="Times New Roman"/>
          <w:szCs w:val="24"/>
        </w:rPr>
        <w:t xml:space="preserve">random coefficients </w:t>
      </w:r>
      <w:r w:rsidR="00CF2B7E" w:rsidRPr="00395CD9">
        <w:rPr>
          <w:rFonts w:cs="Times New Roman"/>
          <w:szCs w:val="24"/>
        </w:rPr>
        <w:t xml:space="preserve">specification </w:t>
      </w:r>
      <w:r w:rsidR="00395CD9" w:rsidRPr="00395CD9">
        <w:rPr>
          <w:rFonts w:cs="Times New Roman"/>
          <w:szCs w:val="24"/>
        </w:rPr>
        <w:t>(with IID</w:t>
      </w:r>
      <w:r w:rsidR="00395CD9" w:rsidRPr="00B71211">
        <w:rPr>
          <w:rFonts w:cs="Times New Roman"/>
          <w:szCs w:val="24"/>
        </w:rPr>
        <w:t xml:space="preserve"> utility conditional on the random coefficients) </w:t>
      </w:r>
      <w:r w:rsidR="0015305D" w:rsidRPr="00B71211">
        <w:rPr>
          <w:rFonts w:cs="Times New Roman"/>
          <w:szCs w:val="24"/>
        </w:rPr>
        <w:t>to acco</w:t>
      </w:r>
      <w:r w:rsidR="00D44FC3">
        <w:rPr>
          <w:rFonts w:cs="Times New Roman"/>
          <w:szCs w:val="24"/>
        </w:rPr>
        <w:t xml:space="preserve">mmodate </w:t>
      </w:r>
      <w:r w:rsidR="0015305D" w:rsidRPr="00B71211">
        <w:rPr>
          <w:rFonts w:cs="Times New Roman"/>
          <w:szCs w:val="24"/>
        </w:rPr>
        <w:t xml:space="preserve">potential taste variations across </w:t>
      </w:r>
      <w:r w:rsidR="0015305D" w:rsidRPr="0093315A">
        <w:rPr>
          <w:rFonts w:cs="Times New Roman"/>
          <w:szCs w:val="24"/>
        </w:rPr>
        <w:t xml:space="preserve">individuals in the sensitivity to </w:t>
      </w:r>
      <w:r w:rsidR="00D44FC3">
        <w:rPr>
          <w:rFonts w:cs="Times New Roman"/>
          <w:szCs w:val="24"/>
        </w:rPr>
        <w:t xml:space="preserve">observed </w:t>
      </w:r>
      <w:r w:rsidR="0015305D" w:rsidRPr="0093315A">
        <w:rPr>
          <w:rFonts w:cs="Times New Roman"/>
          <w:szCs w:val="24"/>
        </w:rPr>
        <w:t xml:space="preserve">exogenous variables (see, for example, Guo et al., 2020, Patil et al., 2020, Dias et al., 2022, </w:t>
      </w:r>
      <w:proofErr w:type="spellStart"/>
      <w:r w:rsidR="005B3BBD">
        <w:rPr>
          <w:rFonts w:cs="Times New Roman"/>
          <w:szCs w:val="24"/>
        </w:rPr>
        <w:t>Vichiensan</w:t>
      </w:r>
      <w:proofErr w:type="spellEnd"/>
      <w:r w:rsidR="005B3BBD">
        <w:rPr>
          <w:rFonts w:cs="Times New Roman"/>
          <w:szCs w:val="24"/>
        </w:rPr>
        <w:t xml:space="preserve"> et al., </w:t>
      </w:r>
      <w:r w:rsidR="008C71D0">
        <w:rPr>
          <w:rFonts w:cs="Times New Roman"/>
          <w:szCs w:val="24"/>
        </w:rPr>
        <w:t>2025, Wu et al., 2026</w:t>
      </w:r>
      <w:r w:rsidR="0015305D" w:rsidRPr="00B71211">
        <w:rPr>
          <w:rFonts w:cs="Times New Roman"/>
          <w:szCs w:val="24"/>
        </w:rPr>
        <w:t xml:space="preserve">). </w:t>
      </w:r>
      <w:r w:rsidR="00D27226" w:rsidRPr="0093315A">
        <w:rPr>
          <w:rFonts w:cs="Times New Roman"/>
          <w:szCs w:val="24"/>
        </w:rPr>
        <w:t>Within such</w:t>
      </w:r>
      <w:r w:rsidR="00CF2B7E" w:rsidRPr="0093315A">
        <w:rPr>
          <w:rFonts w:cs="Times New Roman"/>
          <w:szCs w:val="24"/>
        </w:rPr>
        <w:t xml:space="preserve"> </w:t>
      </w:r>
      <w:r w:rsidR="00D27226" w:rsidRPr="0086018F">
        <w:rPr>
          <w:rFonts w:cs="Times New Roman"/>
          <w:szCs w:val="24"/>
        </w:rPr>
        <w:t xml:space="preserve">random coefficients-based mixing models, recent studies have </w:t>
      </w:r>
      <w:r w:rsidR="00D44FC3">
        <w:rPr>
          <w:rFonts w:cs="Times New Roman"/>
          <w:szCs w:val="24"/>
        </w:rPr>
        <w:t xml:space="preserve">explored </w:t>
      </w:r>
      <w:r w:rsidR="00D27226" w:rsidRPr="0086018F">
        <w:rPr>
          <w:rFonts w:cs="Times New Roman"/>
          <w:szCs w:val="24"/>
        </w:rPr>
        <w:t xml:space="preserve">a variety </w:t>
      </w:r>
      <w:r w:rsidR="00D27226" w:rsidRPr="00DD5FA6">
        <w:rPr>
          <w:rFonts w:cs="Times New Roman"/>
          <w:szCs w:val="24"/>
        </w:rPr>
        <w:t>of non-normal</w:t>
      </w:r>
      <w:r w:rsidR="00DC6D82" w:rsidRPr="00DD5FA6">
        <w:rPr>
          <w:rFonts w:cs="Times New Roman"/>
          <w:szCs w:val="24"/>
        </w:rPr>
        <w:t xml:space="preserve"> asymmetric parametric </w:t>
      </w:r>
      <w:r w:rsidR="00D27226" w:rsidRPr="009E4296">
        <w:rPr>
          <w:rFonts w:cs="Times New Roman"/>
          <w:szCs w:val="24"/>
        </w:rPr>
        <w:t xml:space="preserve">distributions </w:t>
      </w:r>
      <w:r w:rsidR="00D44FC3">
        <w:rPr>
          <w:rFonts w:cs="Times New Roman"/>
          <w:szCs w:val="24"/>
        </w:rPr>
        <w:t>or</w:t>
      </w:r>
      <w:r w:rsidR="00D27226" w:rsidRPr="00290D19">
        <w:rPr>
          <w:rFonts w:cs="Times New Roman"/>
          <w:szCs w:val="24"/>
        </w:rPr>
        <w:t xml:space="preserve"> </w:t>
      </w:r>
      <w:r w:rsidR="00395CD9" w:rsidRPr="00290D19">
        <w:rPr>
          <w:rFonts w:cs="Times New Roman"/>
          <w:szCs w:val="24"/>
        </w:rPr>
        <w:t xml:space="preserve">semi- and non-parametric </w:t>
      </w:r>
      <w:r w:rsidR="00D27226" w:rsidRPr="00290D19">
        <w:rPr>
          <w:rFonts w:cs="Times New Roman"/>
          <w:szCs w:val="24"/>
        </w:rPr>
        <w:t xml:space="preserve">flexible </w:t>
      </w:r>
      <w:r w:rsidR="00DC6D82" w:rsidRPr="00290D19">
        <w:rPr>
          <w:rFonts w:cs="Times New Roman"/>
          <w:szCs w:val="24"/>
        </w:rPr>
        <w:t xml:space="preserve">asymmetric </w:t>
      </w:r>
      <w:r w:rsidR="00D27226" w:rsidRPr="00290D19">
        <w:rPr>
          <w:rFonts w:cs="Times New Roman"/>
          <w:szCs w:val="24"/>
        </w:rPr>
        <w:t>distributions</w:t>
      </w:r>
      <w:r w:rsidR="00D44FC3">
        <w:rPr>
          <w:rFonts w:cs="Times New Roman"/>
          <w:szCs w:val="24"/>
        </w:rPr>
        <w:t xml:space="preserve"> for the random coefficients themselves </w:t>
      </w:r>
      <w:r w:rsidR="00D27226" w:rsidRPr="00290D19">
        <w:rPr>
          <w:rFonts w:cs="Times New Roman"/>
          <w:szCs w:val="24"/>
        </w:rPr>
        <w:t>(see Bhat</w:t>
      </w:r>
      <w:r w:rsidR="0043614F">
        <w:rPr>
          <w:rFonts w:cs="Times New Roman"/>
          <w:szCs w:val="24"/>
        </w:rPr>
        <w:t xml:space="preserve"> et al.</w:t>
      </w:r>
      <w:r w:rsidR="00D27226" w:rsidRPr="00290D19">
        <w:rPr>
          <w:rFonts w:cs="Times New Roman"/>
          <w:szCs w:val="24"/>
        </w:rPr>
        <w:t xml:space="preserve">, 2025 for a detailed discussion). </w:t>
      </w:r>
      <w:r w:rsidR="007D7BAE" w:rsidRPr="00D44FC3">
        <w:rPr>
          <w:rFonts w:eastAsia="Times New Roman" w:cs="Times New Roman"/>
          <w:szCs w:val="24"/>
        </w:rPr>
        <w:t xml:space="preserve">However, even though such specifications may induce asymmetric overall utility distributions, the kernel error terms themselves continue to be specified </w:t>
      </w:r>
      <w:r w:rsidR="007D7BAE">
        <w:rPr>
          <w:rFonts w:eastAsia="Times New Roman" w:cs="Times New Roman"/>
          <w:szCs w:val="24"/>
        </w:rPr>
        <w:t xml:space="preserve">in a way that lead to </w:t>
      </w:r>
      <w:r w:rsidR="007D7BAE" w:rsidRPr="00D44FC3">
        <w:rPr>
          <w:rFonts w:eastAsia="Times New Roman" w:cs="Times New Roman"/>
          <w:szCs w:val="24"/>
        </w:rPr>
        <w:t xml:space="preserve">symmetric differenced </w:t>
      </w:r>
      <w:r w:rsidR="00AD0F95">
        <w:rPr>
          <w:rFonts w:eastAsia="Times New Roman" w:cs="Times New Roman"/>
          <w:szCs w:val="24"/>
        </w:rPr>
        <w:t xml:space="preserve">error </w:t>
      </w:r>
      <w:r w:rsidR="007D7BAE" w:rsidRPr="00D44FC3">
        <w:rPr>
          <w:rFonts w:eastAsia="Times New Roman" w:cs="Times New Roman"/>
          <w:szCs w:val="24"/>
        </w:rPr>
        <w:t xml:space="preserve">distributions. </w:t>
      </w:r>
      <w:r w:rsidR="007D7BAE">
        <w:t>Consequently, conditional on the random coefficients, the residual stochastic component of each utility difference remains symmetric around zero. Thus, such models may allow asymmetric heterogeneity in observed-variable sensitivities across individuals, but they retain symmetry in the conditional kernel error differences.</w:t>
      </w:r>
      <w:r w:rsidR="007D7BAE" w:rsidRPr="00395CD9">
        <w:rPr>
          <w:rFonts w:cs="Times New Roman"/>
          <w:szCs w:val="24"/>
        </w:rPr>
        <w:t xml:space="preserve"> </w:t>
      </w:r>
    </w:p>
    <w:p w14:paraId="73ED12E8" w14:textId="1A7FD542" w:rsidR="00D566B2" w:rsidRDefault="007D7BAE" w:rsidP="00077490">
      <w:pPr>
        <w:spacing w:line="240" w:lineRule="auto"/>
        <w:ind w:firstLine="720"/>
      </w:pPr>
      <w:r>
        <w:t xml:space="preserve">Similarly, while fewer mixed models with a logit kernel consider an error-components approach to induce heteroscedasticity and covariance effects across alternatives, such error-components specifications also almost universally rely on normally distributed error components layered on top of the IID Type 1 extreme value kernel. As a result, the implied differenced kernel </w:t>
      </w:r>
      <w:r>
        <w:lastRenderedPageBreak/>
        <w:t>error structure remains symmetric. Further, when an MNP kernel is used (rendering additional error-components structures unnecessary because of the already flexible covariance structure of the MNP kernel), the differenced utility kernels are immediately symmetric because of the closure property of the normal distribution under subtraction.</w:t>
      </w:r>
    </w:p>
    <w:p w14:paraId="73711755" w14:textId="707024DD" w:rsidR="00FC4E9C" w:rsidRDefault="00E926FA" w:rsidP="00077490">
      <w:pPr>
        <w:spacing w:line="240" w:lineRule="auto"/>
        <w:rPr>
          <w:rFonts w:cs="Times New Roman"/>
          <w:szCs w:val="24"/>
        </w:rPr>
      </w:pPr>
      <w:r w:rsidRPr="00290D19">
        <w:rPr>
          <w:rFonts w:cs="Times New Roman"/>
          <w:szCs w:val="24"/>
        </w:rPr>
        <w:tab/>
        <w:t xml:space="preserve">In </w:t>
      </w:r>
      <w:r w:rsidR="00DC6D82" w:rsidRPr="00290D19">
        <w:rPr>
          <w:rFonts w:cs="Times New Roman"/>
          <w:szCs w:val="24"/>
        </w:rPr>
        <w:t xml:space="preserve">summary, in mixing models, whether of the random-coefficients variety or the error-components variety, it is almost universally the case that </w:t>
      </w:r>
      <w:r w:rsidR="00A21637" w:rsidRPr="00290D19">
        <w:rPr>
          <w:rFonts w:cs="Times New Roman"/>
          <w:szCs w:val="24"/>
        </w:rPr>
        <w:t>the kernel error term distributions are such that the difference</w:t>
      </w:r>
      <w:r w:rsidR="00EE6F92" w:rsidRPr="00290D19">
        <w:rPr>
          <w:rFonts w:cs="Times New Roman"/>
          <w:szCs w:val="24"/>
        </w:rPr>
        <w:t>s</w:t>
      </w:r>
      <w:r w:rsidR="00A21637" w:rsidRPr="00290D19">
        <w:rPr>
          <w:rFonts w:cs="Times New Roman"/>
          <w:szCs w:val="24"/>
        </w:rPr>
        <w:t xml:space="preserve"> in the </w:t>
      </w:r>
      <w:r w:rsidR="00EE6F92" w:rsidRPr="00290D19">
        <w:rPr>
          <w:rFonts w:cs="Times New Roman"/>
          <w:szCs w:val="24"/>
        </w:rPr>
        <w:t xml:space="preserve">kernel </w:t>
      </w:r>
      <w:r w:rsidR="00A21637" w:rsidRPr="00290D19">
        <w:rPr>
          <w:rFonts w:cs="Times New Roman"/>
          <w:szCs w:val="24"/>
        </w:rPr>
        <w:t xml:space="preserve">error terms are </w:t>
      </w:r>
      <w:r w:rsidR="00EE6F92" w:rsidRPr="00290D19">
        <w:rPr>
          <w:rFonts w:cs="Times New Roman"/>
          <w:szCs w:val="24"/>
        </w:rPr>
        <w:t xml:space="preserve">symmetric </w:t>
      </w:r>
      <w:r w:rsidR="00DC6D82" w:rsidRPr="00290D19">
        <w:rPr>
          <w:rFonts w:cs="Times New Roman"/>
          <w:szCs w:val="24"/>
        </w:rPr>
        <w:t xml:space="preserve">(in </w:t>
      </w:r>
      <w:r w:rsidRPr="00290D19">
        <w:rPr>
          <w:rFonts w:cs="Times New Roman"/>
          <w:szCs w:val="24"/>
        </w:rPr>
        <w:t xml:space="preserve">contrast to </w:t>
      </w:r>
      <w:r w:rsidR="00DC6D82" w:rsidRPr="00290D19">
        <w:rPr>
          <w:rFonts w:cs="Times New Roman"/>
          <w:szCs w:val="24"/>
        </w:rPr>
        <w:t xml:space="preserve">the substantial attention on </w:t>
      </w:r>
      <w:r w:rsidR="00345FF9" w:rsidRPr="00290D19">
        <w:rPr>
          <w:rFonts w:cs="Times New Roman"/>
          <w:szCs w:val="24"/>
        </w:rPr>
        <w:t xml:space="preserve">asymmetric </w:t>
      </w:r>
      <w:r w:rsidRPr="00290D19">
        <w:rPr>
          <w:rFonts w:cs="Times New Roman"/>
          <w:szCs w:val="24"/>
        </w:rPr>
        <w:t xml:space="preserve">taste variations </w:t>
      </w:r>
      <w:r w:rsidR="00DC6D82" w:rsidRPr="00290D19">
        <w:rPr>
          <w:rFonts w:cs="Times New Roman"/>
          <w:szCs w:val="24"/>
        </w:rPr>
        <w:t xml:space="preserve">on </w:t>
      </w:r>
      <w:r w:rsidRPr="00290D19">
        <w:rPr>
          <w:rFonts w:cs="Times New Roman"/>
          <w:szCs w:val="24"/>
        </w:rPr>
        <w:t>specific exogenous variables</w:t>
      </w:r>
      <w:r w:rsidR="00DC6D82" w:rsidRPr="00290D19">
        <w:rPr>
          <w:rFonts w:cs="Times New Roman"/>
          <w:szCs w:val="24"/>
        </w:rPr>
        <w:t xml:space="preserve"> in random-coefficients specification</w:t>
      </w:r>
      <w:r w:rsidR="00D566B2">
        <w:rPr>
          <w:rFonts w:cs="Times New Roman"/>
          <w:szCs w:val="24"/>
        </w:rPr>
        <w:t>s</w:t>
      </w:r>
      <w:r w:rsidR="00DC6D82" w:rsidRPr="00290D19">
        <w:rPr>
          <w:rFonts w:cs="Times New Roman"/>
          <w:szCs w:val="24"/>
        </w:rPr>
        <w:t xml:space="preserve">). </w:t>
      </w:r>
      <w:r w:rsidR="00D566B2">
        <w:rPr>
          <w:rFonts w:cs="Times New Roman"/>
          <w:szCs w:val="24"/>
        </w:rPr>
        <w:t xml:space="preserve">However, </w:t>
      </w:r>
      <w:r w:rsidR="00345FF9" w:rsidRPr="00290D19">
        <w:rPr>
          <w:rFonts w:cs="Times New Roman"/>
          <w:szCs w:val="24"/>
        </w:rPr>
        <w:t xml:space="preserve">kernel error </w:t>
      </w:r>
      <w:r w:rsidRPr="00290D19">
        <w:rPr>
          <w:rFonts w:cs="Times New Roman"/>
          <w:szCs w:val="24"/>
        </w:rPr>
        <w:t xml:space="preserve">asymmetry </w:t>
      </w:r>
      <w:r w:rsidR="00D566B2">
        <w:rPr>
          <w:rFonts w:cs="Times New Roman"/>
          <w:szCs w:val="24"/>
        </w:rPr>
        <w:t>in</w:t>
      </w:r>
      <w:r w:rsidR="00345FF9" w:rsidRPr="00290D19">
        <w:rPr>
          <w:rFonts w:cs="Times New Roman"/>
          <w:szCs w:val="24"/>
        </w:rPr>
        <w:t xml:space="preserve"> utilities (and, in particular, in utility differences) </w:t>
      </w:r>
      <w:r w:rsidRPr="00290D19">
        <w:rPr>
          <w:rFonts w:cs="Times New Roman"/>
          <w:szCs w:val="24"/>
        </w:rPr>
        <w:t xml:space="preserve">may arise from </w:t>
      </w:r>
      <w:r w:rsidR="001E6B88">
        <w:t xml:space="preserve">several fundamental behavioral mechanisms, including asymmetric </w:t>
      </w:r>
      <w:r w:rsidR="00FC4E9C">
        <w:t xml:space="preserve">intrinsic (and unobserved to the analyst) </w:t>
      </w:r>
      <w:r w:rsidR="001E6B88">
        <w:t>p</w:t>
      </w:r>
      <w:r w:rsidR="00FC4E9C">
        <w:t xml:space="preserve">references </w:t>
      </w:r>
      <w:r w:rsidR="001E6B88">
        <w:t xml:space="preserve">toward alternatives </w:t>
      </w:r>
      <w:r w:rsidR="00FC4E9C">
        <w:t xml:space="preserve">and/or </w:t>
      </w:r>
      <w:r w:rsidR="00760A34">
        <w:t>loss-gain asymmetry where individuals perceive losses more acutely than gains</w:t>
      </w:r>
      <w:r w:rsidR="00FC4E9C">
        <w:t xml:space="preserve"> (see </w:t>
      </w:r>
      <w:r w:rsidR="00760A34">
        <w:t>Kahneman and Tversky</w:t>
      </w:r>
      <w:r w:rsidR="00FC4E9C">
        <w:t xml:space="preserve">, </w:t>
      </w:r>
      <w:r w:rsidR="00760A34">
        <w:t xml:space="preserve">1979). </w:t>
      </w:r>
      <w:r w:rsidR="00FC4E9C">
        <w:t xml:space="preserve">An example of asymmetric preferences in a mode choice context between driving and public transport is that many individuals may exhibit only a mild preference for driving, while a smaller subset places exceptionally high value on the flexibility and control associated with driving. This would generate a rightward skew in the utility distribution associated with driving. Conversely, many individuals may exhibit only a modest aversion toward public transport, while a smaller subset may be strongly averse to schedule constraints and the perceived lack of control associated with transit use, leading to a leftward skew in the utility distribution associated with public transport. An example of loss-gain asymmetry </w:t>
      </w:r>
      <w:r w:rsidR="00900DCA">
        <w:t>in decisions regarding autonomous vehicle (AV) adoption</w:t>
      </w:r>
      <w:r w:rsidR="00FC4E9C">
        <w:t xml:space="preserve"> is that</w:t>
      </w:r>
      <w:r w:rsidR="00900DCA">
        <w:t xml:space="preserve"> many individuals may perceive the potential </w:t>
      </w:r>
      <w:r w:rsidR="00FC4E9C">
        <w:t xml:space="preserve">benefits </w:t>
      </w:r>
      <w:r w:rsidR="00900DCA">
        <w:t>of AV ownership, such as reduced driving burden or increased mobility, as relatively modest, while a smaller subset may place substantial weight on concerns regarding technological reliability, safety, liability, cybersecurity, or the loss of driving enjoyment. Such a pattern would induce a leftward skew in the kernel error distribution associated with AV ownership utility, with many individuals being only mildly favorable toward AV ownership but a smaller subset being strongly opposed to it because of intrinsic concerns not observed by the analyst. Conversely, AV ridehailing may represent a lower-commitment pathway for experiencing AV technology. Many individuals may exhibit only a modest aversion toward AV ridehailing because of concerns regarding privacy, safety, or loss of personal control. However, a smaller subset may view AV ridehailing exceptionally favorably because it allows them to obtain many of the anticipated benefits of AV technology without the substantial financial commitment and perceived risks associated with vehicle ownership. This would generate a rightward skew in the utility distribution associated with AV ridehailing.</w:t>
      </w:r>
      <w:r w:rsidR="001E6B88">
        <w:rPr>
          <w:rFonts w:cs="Times New Roman"/>
          <w:szCs w:val="24"/>
        </w:rPr>
        <w:t xml:space="preserve"> </w:t>
      </w:r>
    </w:p>
    <w:p w14:paraId="666FFBF4" w14:textId="2DA02325" w:rsidR="00D566B2" w:rsidRDefault="00C26B28" w:rsidP="00077490">
      <w:pPr>
        <w:spacing w:line="240" w:lineRule="auto"/>
        <w:ind w:firstLine="720"/>
        <w:rPr>
          <w:rFonts w:cs="Times New Roman"/>
          <w:szCs w:val="24"/>
        </w:rPr>
      </w:pPr>
      <w:r w:rsidRPr="00290D19">
        <w:rPr>
          <w:rFonts w:cs="Times New Roman"/>
          <w:szCs w:val="24"/>
        </w:rPr>
        <w:t xml:space="preserve">Overall, the consideration of asymmetric kernel error terms </w:t>
      </w:r>
      <w:r w:rsidR="00415083" w:rsidRPr="00290D19">
        <w:rPr>
          <w:rFonts w:cs="Times New Roman"/>
          <w:szCs w:val="24"/>
        </w:rPr>
        <w:t xml:space="preserve">(specifically, allowing for asymmetric distributions in differenced </w:t>
      </w:r>
      <w:r w:rsidR="00C777E9">
        <w:rPr>
          <w:rFonts w:cs="Times New Roman"/>
          <w:szCs w:val="24"/>
        </w:rPr>
        <w:t>utility kernels</w:t>
      </w:r>
      <w:r w:rsidR="00415083" w:rsidRPr="00290D19">
        <w:rPr>
          <w:rFonts w:cs="Times New Roman"/>
          <w:szCs w:val="24"/>
        </w:rPr>
        <w:t xml:space="preserve">) </w:t>
      </w:r>
      <w:r w:rsidRPr="00290D19">
        <w:rPr>
          <w:rFonts w:cs="Times New Roman"/>
          <w:szCs w:val="24"/>
        </w:rPr>
        <w:t>is not simply a statistical esoteric pursuit, but is important from a behavioral standpoint</w:t>
      </w:r>
      <w:r w:rsidR="00415083" w:rsidRPr="00290D19">
        <w:rPr>
          <w:rFonts w:cs="Times New Roman"/>
          <w:szCs w:val="24"/>
        </w:rPr>
        <w:t>. In particular, i</w:t>
      </w:r>
      <w:r w:rsidRPr="00290D19">
        <w:rPr>
          <w:rFonts w:cs="Times New Roman"/>
          <w:szCs w:val="24"/>
        </w:rPr>
        <w:t>gnoring kernel error asymmetry (</w:t>
      </w:r>
      <w:r w:rsidR="00C777E9">
        <w:rPr>
          <w:rFonts w:cs="Times New Roman"/>
          <w:szCs w:val="24"/>
        </w:rPr>
        <w:t>including</w:t>
      </w:r>
      <w:r w:rsidRPr="00290D19">
        <w:rPr>
          <w:rFonts w:cs="Times New Roman"/>
          <w:szCs w:val="24"/>
        </w:rPr>
        <w:t xml:space="preserve"> differ</w:t>
      </w:r>
      <w:r w:rsidR="00C777E9">
        <w:rPr>
          <w:rFonts w:cs="Times New Roman"/>
          <w:szCs w:val="24"/>
        </w:rPr>
        <w:t>ing</w:t>
      </w:r>
      <w:r w:rsidRPr="00290D19">
        <w:rPr>
          <w:rFonts w:cs="Times New Roman"/>
          <w:szCs w:val="24"/>
        </w:rPr>
        <w:t xml:space="preserve"> extents </w:t>
      </w:r>
      <w:r w:rsidR="00EE6F92" w:rsidRPr="00290D19">
        <w:rPr>
          <w:rFonts w:cs="Times New Roman"/>
          <w:szCs w:val="24"/>
        </w:rPr>
        <w:t xml:space="preserve">of asymmetry </w:t>
      </w:r>
      <w:r w:rsidR="00135F94" w:rsidRPr="00290D19">
        <w:rPr>
          <w:rFonts w:cs="Times New Roman"/>
          <w:szCs w:val="24"/>
        </w:rPr>
        <w:t xml:space="preserve">across alternatives) invites the pitfalls </w:t>
      </w:r>
      <w:r w:rsidRPr="00290D19">
        <w:rPr>
          <w:rFonts w:cs="Times New Roman"/>
          <w:szCs w:val="24"/>
        </w:rPr>
        <w:t xml:space="preserve">of </w:t>
      </w:r>
      <w:r w:rsidR="00135F94" w:rsidRPr="00290D19">
        <w:rPr>
          <w:rFonts w:cs="Times New Roman"/>
          <w:szCs w:val="24"/>
        </w:rPr>
        <w:t xml:space="preserve">biased and </w:t>
      </w:r>
      <w:r w:rsidR="00715654">
        <w:rPr>
          <w:rFonts w:cs="Times New Roman"/>
          <w:szCs w:val="24"/>
        </w:rPr>
        <w:t xml:space="preserve">misleading </w:t>
      </w:r>
      <w:r w:rsidR="00135F94" w:rsidRPr="00290D19">
        <w:rPr>
          <w:rFonts w:cs="Times New Roman"/>
          <w:szCs w:val="24"/>
        </w:rPr>
        <w:t xml:space="preserve">estimates of the effects of exogenous variables, as the kernel asymmetry and thicker tails may </w:t>
      </w:r>
      <w:r w:rsidR="00C777E9">
        <w:rPr>
          <w:rFonts w:cs="Times New Roman"/>
          <w:szCs w:val="24"/>
        </w:rPr>
        <w:t xml:space="preserve">contaminate </w:t>
      </w:r>
      <w:r w:rsidR="00135F94" w:rsidRPr="00290D19">
        <w:rPr>
          <w:rFonts w:cs="Times New Roman"/>
          <w:szCs w:val="24"/>
        </w:rPr>
        <w:t xml:space="preserve">the parameters characterizing the </w:t>
      </w:r>
      <w:r w:rsidR="00EE6F92" w:rsidRPr="00290D19">
        <w:rPr>
          <w:rFonts w:cs="Times New Roman"/>
          <w:szCs w:val="24"/>
        </w:rPr>
        <w:t xml:space="preserve">distribution </w:t>
      </w:r>
      <w:r w:rsidR="00135F94" w:rsidRPr="00290D19">
        <w:rPr>
          <w:rFonts w:cs="Times New Roman"/>
          <w:szCs w:val="24"/>
        </w:rPr>
        <w:t xml:space="preserve">effects of exogenous variables. </w:t>
      </w:r>
      <w:r w:rsidR="00415083" w:rsidRPr="00290D19">
        <w:rPr>
          <w:rFonts w:cs="Times New Roman"/>
          <w:szCs w:val="24"/>
        </w:rPr>
        <w:t xml:space="preserve">More generally, ignoring kernel error </w:t>
      </w:r>
      <w:r w:rsidR="00715654">
        <w:rPr>
          <w:rFonts w:cs="Times New Roman"/>
          <w:szCs w:val="24"/>
        </w:rPr>
        <w:t>a</w:t>
      </w:r>
      <w:r w:rsidR="00415083" w:rsidRPr="00290D19">
        <w:rPr>
          <w:rFonts w:cs="Times New Roman"/>
          <w:szCs w:val="24"/>
        </w:rPr>
        <w:t>symmetry</w:t>
      </w:r>
      <w:r w:rsidR="00C777E9">
        <w:rPr>
          <w:rFonts w:cs="Times New Roman"/>
          <w:szCs w:val="24"/>
        </w:rPr>
        <w:t xml:space="preserve"> </w:t>
      </w:r>
      <w:r w:rsidR="00415083" w:rsidRPr="00290D19">
        <w:rPr>
          <w:rFonts w:cs="Times New Roman"/>
          <w:szCs w:val="24"/>
        </w:rPr>
        <w:t xml:space="preserve">when </w:t>
      </w:r>
      <w:r w:rsidR="00C777E9">
        <w:rPr>
          <w:rFonts w:cs="Times New Roman"/>
          <w:szCs w:val="24"/>
        </w:rPr>
        <w:t xml:space="preserve">it is </w:t>
      </w:r>
      <w:r w:rsidR="00415083" w:rsidRPr="00290D19">
        <w:rPr>
          <w:rFonts w:cs="Times New Roman"/>
          <w:szCs w:val="24"/>
        </w:rPr>
        <w:t>present</w:t>
      </w:r>
      <w:r w:rsidR="00C777E9">
        <w:rPr>
          <w:rFonts w:cs="Times New Roman"/>
          <w:szCs w:val="24"/>
        </w:rPr>
        <w:t xml:space="preserve"> </w:t>
      </w:r>
      <w:r w:rsidR="00415083" w:rsidRPr="00290D19">
        <w:rPr>
          <w:rFonts w:cs="Times New Roman"/>
          <w:szCs w:val="24"/>
        </w:rPr>
        <w:t>constitute</w:t>
      </w:r>
      <w:r w:rsidR="00C777E9">
        <w:rPr>
          <w:rFonts w:cs="Times New Roman"/>
          <w:szCs w:val="24"/>
        </w:rPr>
        <w:t>s</w:t>
      </w:r>
      <w:r w:rsidR="00415083" w:rsidRPr="00290D19">
        <w:rPr>
          <w:rFonts w:cs="Times New Roman"/>
          <w:szCs w:val="24"/>
        </w:rPr>
        <w:t xml:space="preserve"> a likelihood misspecification, and lead</w:t>
      </w:r>
      <w:r w:rsidR="00C777E9">
        <w:rPr>
          <w:rFonts w:cs="Times New Roman"/>
          <w:szCs w:val="24"/>
        </w:rPr>
        <w:t>s</w:t>
      </w:r>
      <w:r w:rsidR="00415083" w:rsidRPr="00290D19">
        <w:rPr>
          <w:rFonts w:cs="Times New Roman"/>
          <w:szCs w:val="24"/>
        </w:rPr>
        <w:t xml:space="preserve"> maximum likelihood estimators </w:t>
      </w:r>
      <w:r w:rsidR="00C777E9">
        <w:rPr>
          <w:rFonts w:cs="Times New Roman"/>
          <w:szCs w:val="24"/>
        </w:rPr>
        <w:t xml:space="preserve">to </w:t>
      </w:r>
      <w:r w:rsidR="00415083" w:rsidRPr="00290D19">
        <w:rPr>
          <w:rFonts w:cs="Times New Roman"/>
          <w:szCs w:val="24"/>
        </w:rPr>
        <w:t>converg</w:t>
      </w:r>
      <w:r w:rsidR="00C777E9">
        <w:rPr>
          <w:rFonts w:cs="Times New Roman"/>
          <w:szCs w:val="24"/>
        </w:rPr>
        <w:t>e</w:t>
      </w:r>
      <w:r w:rsidR="00415083" w:rsidRPr="00290D19">
        <w:rPr>
          <w:rFonts w:cs="Times New Roman"/>
          <w:szCs w:val="24"/>
        </w:rPr>
        <w:t xml:space="preserve"> to </w:t>
      </w:r>
      <w:r w:rsidR="00415083" w:rsidRPr="00290D19">
        <w:rPr>
          <w:rFonts w:eastAsia="Times New Roman" w:cs="Times New Roman"/>
          <w:i/>
          <w:iCs/>
          <w:szCs w:val="24"/>
        </w:rPr>
        <w:t>pseudo-true</w:t>
      </w:r>
      <w:r w:rsidR="00415083" w:rsidRPr="00290D19">
        <w:rPr>
          <w:rFonts w:cs="Times New Roman"/>
          <w:szCs w:val="24"/>
        </w:rPr>
        <w:t xml:space="preserve"> values that minimize </w:t>
      </w:r>
      <w:proofErr w:type="spellStart"/>
      <w:r w:rsidR="00415083" w:rsidRPr="00290D19">
        <w:rPr>
          <w:rFonts w:cs="Times New Roman"/>
          <w:szCs w:val="24"/>
        </w:rPr>
        <w:t>Kullback</w:t>
      </w:r>
      <w:proofErr w:type="spellEnd"/>
      <w:r w:rsidR="00415083" w:rsidRPr="00290D19">
        <w:rPr>
          <w:rFonts w:cs="Times New Roman"/>
          <w:szCs w:val="24"/>
        </w:rPr>
        <w:t>–</w:t>
      </w:r>
      <w:proofErr w:type="spellStart"/>
      <w:r w:rsidR="00415083" w:rsidRPr="00290D19">
        <w:rPr>
          <w:rFonts w:cs="Times New Roman"/>
          <w:szCs w:val="24"/>
        </w:rPr>
        <w:t>Leibler</w:t>
      </w:r>
      <w:proofErr w:type="spellEnd"/>
      <w:r w:rsidR="00415083" w:rsidRPr="00290D19">
        <w:rPr>
          <w:rFonts w:cs="Times New Roman"/>
          <w:szCs w:val="24"/>
        </w:rPr>
        <w:t xml:space="preserve"> divergence, </w:t>
      </w:r>
      <w:r w:rsidR="00C777E9">
        <w:rPr>
          <w:rFonts w:cs="Times New Roman"/>
          <w:szCs w:val="24"/>
        </w:rPr>
        <w:t xml:space="preserve">rather than the underlying </w:t>
      </w:r>
      <w:r w:rsidR="00415083" w:rsidRPr="00290D19">
        <w:rPr>
          <w:rFonts w:cs="Times New Roman"/>
          <w:szCs w:val="24"/>
        </w:rPr>
        <w:t>structural behavioral “truth” (White, 1982). This is also borne out from empirical studies show</w:t>
      </w:r>
      <w:r w:rsidR="00C777E9">
        <w:rPr>
          <w:rFonts w:cs="Times New Roman"/>
          <w:szCs w:val="24"/>
        </w:rPr>
        <w:t>ing</w:t>
      </w:r>
      <w:r w:rsidR="00415083" w:rsidRPr="00290D19">
        <w:rPr>
          <w:rFonts w:cs="Times New Roman"/>
          <w:szCs w:val="24"/>
        </w:rPr>
        <w:t xml:space="preserve"> that </w:t>
      </w:r>
      <w:r w:rsidR="00C777E9">
        <w:rPr>
          <w:rFonts w:cs="Times New Roman"/>
          <w:szCs w:val="24"/>
        </w:rPr>
        <w:t>imposing</w:t>
      </w:r>
      <w:r w:rsidR="00415083" w:rsidRPr="00290D19">
        <w:rPr>
          <w:rFonts w:cs="Times New Roman"/>
          <w:szCs w:val="24"/>
        </w:rPr>
        <w:t xml:space="preserve"> symmetric links when the data-generating process is asymmetric produces appreciable bias in </w:t>
      </w:r>
      <w:r w:rsidR="00415083" w:rsidRPr="00290D19">
        <w:rPr>
          <w:rFonts w:cs="Times New Roman"/>
          <w:szCs w:val="24"/>
        </w:rPr>
        <w:lastRenderedPageBreak/>
        <w:t>slope parameters and preference distributions (Stukel, 1988; Bhat</w:t>
      </w:r>
      <w:r w:rsidR="005204F2">
        <w:rPr>
          <w:rFonts w:cs="Times New Roman"/>
          <w:szCs w:val="24"/>
        </w:rPr>
        <w:t xml:space="preserve"> et al.</w:t>
      </w:r>
      <w:r w:rsidR="00415083" w:rsidRPr="00290D19">
        <w:rPr>
          <w:rFonts w:cs="Times New Roman"/>
          <w:szCs w:val="24"/>
        </w:rPr>
        <w:t>, 2025), reinforcing the importance of allowing flexible</w:t>
      </w:r>
      <w:r w:rsidR="00EE6F92" w:rsidRPr="00290D19">
        <w:rPr>
          <w:rFonts w:cs="Times New Roman"/>
          <w:szCs w:val="24"/>
        </w:rPr>
        <w:t xml:space="preserve"> and </w:t>
      </w:r>
      <w:r w:rsidR="00415083" w:rsidRPr="00290D19">
        <w:rPr>
          <w:rFonts w:cs="Times New Roman"/>
          <w:szCs w:val="24"/>
        </w:rPr>
        <w:t xml:space="preserve">asymmetric kernel error </w:t>
      </w:r>
      <w:r w:rsidR="00C777E9">
        <w:rPr>
          <w:rFonts w:cs="Times New Roman"/>
          <w:szCs w:val="24"/>
        </w:rPr>
        <w:t>structures</w:t>
      </w:r>
      <w:r w:rsidR="00415083" w:rsidRPr="00290D19">
        <w:rPr>
          <w:rFonts w:cs="Times New Roman"/>
          <w:szCs w:val="24"/>
        </w:rPr>
        <w:t xml:space="preserve"> in discrete choice models.</w:t>
      </w:r>
    </w:p>
    <w:p w14:paraId="35DB14E1" w14:textId="77777777" w:rsidR="00D566B2" w:rsidRPr="00B71211" w:rsidRDefault="00D566B2" w:rsidP="00077490">
      <w:pPr>
        <w:spacing w:line="240" w:lineRule="auto"/>
        <w:rPr>
          <w:rFonts w:cs="Times New Roman"/>
          <w:szCs w:val="24"/>
        </w:rPr>
      </w:pPr>
    </w:p>
    <w:p w14:paraId="3070B1DD" w14:textId="2BD4210A" w:rsidR="005144C2" w:rsidRPr="00290D19" w:rsidRDefault="00395CD9" w:rsidP="00077490">
      <w:pPr>
        <w:spacing w:line="240" w:lineRule="auto"/>
        <w:jc w:val="left"/>
        <w:rPr>
          <w:rFonts w:eastAsia="Times New Roman" w:cs="Times New Roman"/>
          <w:b/>
          <w:bCs/>
          <w:szCs w:val="24"/>
        </w:rPr>
      </w:pPr>
      <w:r w:rsidRPr="00290D19">
        <w:rPr>
          <w:rFonts w:eastAsia="Times New Roman" w:cs="Times New Roman"/>
          <w:b/>
          <w:bCs/>
          <w:szCs w:val="24"/>
        </w:rPr>
        <w:t xml:space="preserve">1.1. </w:t>
      </w:r>
      <w:r w:rsidR="008F10D7" w:rsidRPr="00290D19">
        <w:rPr>
          <w:rFonts w:eastAsia="Times New Roman" w:cs="Times New Roman"/>
          <w:b/>
          <w:bCs/>
          <w:szCs w:val="24"/>
        </w:rPr>
        <w:t xml:space="preserve">Related </w:t>
      </w:r>
      <w:r w:rsidR="005144C2" w:rsidRPr="00290D19">
        <w:rPr>
          <w:rFonts w:eastAsia="Times New Roman" w:cs="Times New Roman"/>
          <w:b/>
          <w:bCs/>
          <w:szCs w:val="24"/>
        </w:rPr>
        <w:t>Studies</w:t>
      </w:r>
    </w:p>
    <w:p w14:paraId="49BCFF25" w14:textId="0AFF48EB" w:rsidR="003479BD" w:rsidRPr="00290D19" w:rsidRDefault="003A0B86" w:rsidP="00077490">
      <w:pPr>
        <w:spacing w:line="240" w:lineRule="auto"/>
        <w:rPr>
          <w:rFonts w:eastAsia="Times New Roman" w:cs="Times New Roman"/>
          <w:szCs w:val="24"/>
        </w:rPr>
      </w:pPr>
      <w:r w:rsidRPr="00B71211">
        <w:rPr>
          <w:rFonts w:eastAsia="Times New Roman" w:cs="Times New Roman"/>
          <w:szCs w:val="24"/>
        </w:rPr>
        <w:t>S</w:t>
      </w:r>
      <w:r w:rsidRPr="0093315A">
        <w:rPr>
          <w:rFonts w:eastAsia="Times New Roman" w:cs="Times New Roman"/>
          <w:szCs w:val="24"/>
        </w:rPr>
        <w:t xml:space="preserve">ome early studies in econometrics considered asymmetric </w:t>
      </w:r>
      <w:r w:rsidR="00AD66B1" w:rsidRPr="0093315A">
        <w:rPr>
          <w:rFonts w:eastAsia="Times New Roman" w:cs="Times New Roman"/>
          <w:szCs w:val="24"/>
        </w:rPr>
        <w:t xml:space="preserve">kernel </w:t>
      </w:r>
      <w:r w:rsidRPr="0086018F">
        <w:rPr>
          <w:rFonts w:eastAsia="Times New Roman" w:cs="Times New Roman"/>
          <w:szCs w:val="24"/>
        </w:rPr>
        <w:t>error distributions in choice models, though there has been a long hiatus in the literature on this topic. These early models considered a binary choice case, embedding asymmetry through asymm</w:t>
      </w:r>
      <w:r w:rsidRPr="00DD5FA6">
        <w:rPr>
          <w:rFonts w:eastAsia="Times New Roman" w:cs="Times New Roman"/>
          <w:szCs w:val="24"/>
        </w:rPr>
        <w:t xml:space="preserve">etric link functions such as the </w:t>
      </w:r>
      <w:r w:rsidR="000C480A" w:rsidRPr="009E4296">
        <w:rPr>
          <w:rFonts w:eastAsia="Times New Roman" w:cs="Times New Roman"/>
          <w:szCs w:val="24"/>
        </w:rPr>
        <w:t xml:space="preserve">complementary log–log link (Prentice </w:t>
      </w:r>
      <w:r w:rsidR="00A21572">
        <w:rPr>
          <w:rFonts w:eastAsia="Times New Roman" w:cs="Times New Roman"/>
          <w:szCs w:val="24"/>
        </w:rPr>
        <w:t>and</w:t>
      </w:r>
      <w:r w:rsidR="000C480A" w:rsidRPr="009E4296">
        <w:rPr>
          <w:rFonts w:eastAsia="Times New Roman" w:cs="Times New Roman"/>
          <w:szCs w:val="24"/>
        </w:rPr>
        <w:t xml:space="preserve"> </w:t>
      </w:r>
      <w:proofErr w:type="spellStart"/>
      <w:r w:rsidR="000C480A" w:rsidRPr="009E4296">
        <w:rPr>
          <w:rFonts w:eastAsia="Times New Roman" w:cs="Times New Roman"/>
          <w:szCs w:val="24"/>
        </w:rPr>
        <w:t>Gloeckler</w:t>
      </w:r>
      <w:proofErr w:type="spellEnd"/>
      <w:r w:rsidR="000C480A" w:rsidRPr="009E4296">
        <w:rPr>
          <w:rFonts w:eastAsia="Times New Roman" w:cs="Times New Roman"/>
          <w:szCs w:val="24"/>
        </w:rPr>
        <w:t xml:space="preserve">, 1978), the </w:t>
      </w:r>
      <w:proofErr w:type="spellStart"/>
      <w:r w:rsidR="000C480A" w:rsidRPr="009E4296">
        <w:rPr>
          <w:rFonts w:eastAsia="Times New Roman" w:cs="Times New Roman"/>
          <w:szCs w:val="24"/>
        </w:rPr>
        <w:t>scobit</w:t>
      </w:r>
      <w:proofErr w:type="spellEnd"/>
      <w:r w:rsidR="000C480A" w:rsidRPr="009E4296">
        <w:rPr>
          <w:rFonts w:eastAsia="Times New Roman" w:cs="Times New Roman"/>
          <w:szCs w:val="24"/>
        </w:rPr>
        <w:t xml:space="preserve"> model (</w:t>
      </w:r>
      <w:proofErr w:type="spellStart"/>
      <w:r w:rsidR="000C480A" w:rsidRPr="009E4296">
        <w:rPr>
          <w:rFonts w:eastAsia="Times New Roman" w:cs="Times New Roman"/>
          <w:szCs w:val="24"/>
        </w:rPr>
        <w:t>Nagler</w:t>
      </w:r>
      <w:proofErr w:type="spellEnd"/>
      <w:r w:rsidR="000C480A" w:rsidRPr="009E4296">
        <w:rPr>
          <w:rFonts w:eastAsia="Times New Roman" w:cs="Times New Roman"/>
          <w:szCs w:val="24"/>
        </w:rPr>
        <w:t xml:space="preserve">, 1994), or generalized logistic families (Stukel, 1988). </w:t>
      </w:r>
      <w:r w:rsidR="00AD66B1" w:rsidRPr="00290D19">
        <w:rPr>
          <w:rFonts w:eastAsia="Times New Roman" w:cs="Times New Roman"/>
          <w:szCs w:val="24"/>
        </w:rPr>
        <w:t xml:space="preserve">These studies impose asymmetry directly on the differenced utilities between the two alternatives. </w:t>
      </w:r>
      <w:r w:rsidRPr="00290D19">
        <w:rPr>
          <w:rFonts w:eastAsia="Times New Roman" w:cs="Times New Roman"/>
          <w:szCs w:val="24"/>
        </w:rPr>
        <w:t>While usef</w:t>
      </w:r>
      <w:r w:rsidR="00AD66B1" w:rsidRPr="00290D19">
        <w:rPr>
          <w:rFonts w:eastAsia="Times New Roman" w:cs="Times New Roman"/>
          <w:szCs w:val="24"/>
        </w:rPr>
        <w:t>ul</w:t>
      </w:r>
      <w:r w:rsidRPr="00290D19">
        <w:rPr>
          <w:rFonts w:eastAsia="Times New Roman" w:cs="Times New Roman"/>
          <w:szCs w:val="24"/>
        </w:rPr>
        <w:t xml:space="preserve">, the econometrics changes considerably between binary choice and multinomial choice when asymmetric kernel error terms are used. In particular, while in binary choice models, the direction in which utility differences are taken does not affect the model results (except for a change in asymmetry from one direction to another), imposing asymmetry directly on utility differences in a multinomial choice context is not invariant to which alternative is used as the base. </w:t>
      </w:r>
    </w:p>
    <w:p w14:paraId="5D1231A2" w14:textId="55AD82A6" w:rsidR="00F52EAA" w:rsidRPr="002B54C4" w:rsidRDefault="009A62D0" w:rsidP="00077490">
      <w:pPr>
        <w:spacing w:line="240" w:lineRule="auto"/>
        <w:ind w:firstLine="720"/>
        <w:rPr>
          <w:rFonts w:eastAsia="Times New Roman" w:cs="Times New Roman"/>
          <w:szCs w:val="24"/>
        </w:rPr>
      </w:pPr>
      <w:r w:rsidRPr="00290D19">
        <w:rPr>
          <w:rFonts w:eastAsia="Times New Roman" w:cs="Times New Roman"/>
          <w:szCs w:val="24"/>
        </w:rPr>
        <w:t xml:space="preserve">Some other studies </w:t>
      </w:r>
      <w:r w:rsidR="003479BD" w:rsidRPr="00290D19">
        <w:rPr>
          <w:rFonts w:eastAsia="Times New Roman" w:cs="Times New Roman"/>
          <w:szCs w:val="24"/>
        </w:rPr>
        <w:t xml:space="preserve">have </w:t>
      </w:r>
      <w:r w:rsidRPr="00290D19">
        <w:rPr>
          <w:rFonts w:eastAsia="Times New Roman" w:cs="Times New Roman"/>
          <w:szCs w:val="24"/>
        </w:rPr>
        <w:t>specified relatively restrictive asymmetric distributions directly for the kernel errors</w:t>
      </w:r>
      <w:r w:rsidR="003C0454" w:rsidRPr="00290D19">
        <w:rPr>
          <w:rFonts w:eastAsia="Times New Roman" w:cs="Times New Roman"/>
          <w:szCs w:val="24"/>
        </w:rPr>
        <w:t xml:space="preserve"> in multinomial choice models (see Paleti, 2019 for an expansive review)</w:t>
      </w:r>
      <w:r w:rsidRPr="00290D19">
        <w:rPr>
          <w:rFonts w:eastAsia="Times New Roman" w:cs="Times New Roman"/>
          <w:szCs w:val="24"/>
        </w:rPr>
        <w:t xml:space="preserve">. To develop a model that does not exhibit the IIA property, </w:t>
      </w:r>
      <w:proofErr w:type="spellStart"/>
      <w:r w:rsidRPr="00290D19">
        <w:rPr>
          <w:rFonts w:eastAsia="Times New Roman" w:cs="Times New Roman"/>
          <w:szCs w:val="24"/>
        </w:rPr>
        <w:t>Daganzo</w:t>
      </w:r>
      <w:proofErr w:type="spellEnd"/>
      <w:r w:rsidRPr="00290D19">
        <w:rPr>
          <w:rFonts w:eastAsia="Times New Roman" w:cs="Times New Roman"/>
          <w:szCs w:val="24"/>
        </w:rPr>
        <w:t xml:space="preserve"> (1979) used independent negative exponential distributions with different variances for the random-error components to </w:t>
      </w:r>
      <w:r w:rsidR="00395CD9" w:rsidRPr="00290D19">
        <w:rPr>
          <w:rFonts w:eastAsia="Times New Roman" w:cs="Times New Roman"/>
          <w:szCs w:val="24"/>
        </w:rPr>
        <w:t>propose</w:t>
      </w:r>
      <w:r w:rsidRPr="00290D19">
        <w:rPr>
          <w:rFonts w:eastAsia="Times New Roman" w:cs="Times New Roman"/>
          <w:szCs w:val="24"/>
        </w:rPr>
        <w:t xml:space="preserve"> a closed-form discrete choice model</w:t>
      </w:r>
      <w:r w:rsidR="003479BD" w:rsidRPr="00290D19">
        <w:rPr>
          <w:rFonts w:cs="Times New Roman"/>
          <w:szCs w:val="24"/>
        </w:rPr>
        <w:t xml:space="preserve"> (the variance differences cause skew in the differenced utilities)</w:t>
      </w:r>
      <w:r w:rsidRPr="00290D19">
        <w:rPr>
          <w:rFonts w:eastAsia="Times New Roman" w:cs="Times New Roman"/>
          <w:szCs w:val="24"/>
        </w:rPr>
        <w:t xml:space="preserve">. However, </w:t>
      </w:r>
      <w:r w:rsidR="002F3610" w:rsidRPr="00290D19">
        <w:rPr>
          <w:rFonts w:eastAsia="Times New Roman" w:cs="Times New Roman"/>
          <w:szCs w:val="24"/>
        </w:rPr>
        <w:t>the negative exponential distribution is inherently asymmetric because it is defined only over the positive real line with support [</w:t>
      </w:r>
      <w:r w:rsidR="002F3610" w:rsidRPr="00290D19">
        <w:rPr>
          <w:rStyle w:val="katex-mathml"/>
          <w:rFonts w:cs="Times New Roman"/>
          <w:szCs w:val="24"/>
        </w:rPr>
        <w:t xml:space="preserve">0,∞), implying the rather unrealistic situation that errors can only increase latent utility. So, the </w:t>
      </w:r>
      <w:proofErr w:type="spellStart"/>
      <w:r w:rsidR="002F3610" w:rsidRPr="00290D19">
        <w:rPr>
          <w:rStyle w:val="katex-mathml"/>
          <w:rFonts w:cs="Times New Roman"/>
          <w:szCs w:val="24"/>
        </w:rPr>
        <w:t>Daganzo</w:t>
      </w:r>
      <w:proofErr w:type="spellEnd"/>
      <w:r w:rsidR="002F3610" w:rsidRPr="00290D19">
        <w:rPr>
          <w:rStyle w:val="katex-mathml"/>
          <w:rFonts w:cs="Times New Roman"/>
          <w:szCs w:val="24"/>
        </w:rPr>
        <w:t xml:space="preserve"> model </w:t>
      </w:r>
      <w:r w:rsidRPr="00290D19">
        <w:rPr>
          <w:rFonts w:eastAsia="Times New Roman" w:cs="Times New Roman"/>
          <w:szCs w:val="24"/>
        </w:rPr>
        <w:t>has not seen much application</w:t>
      </w:r>
      <w:r w:rsidR="002F3610" w:rsidRPr="00290D19">
        <w:rPr>
          <w:rFonts w:eastAsia="Times New Roman" w:cs="Times New Roman"/>
          <w:szCs w:val="24"/>
        </w:rPr>
        <w:t>.</w:t>
      </w:r>
      <w:r w:rsidRPr="00290D19">
        <w:rPr>
          <w:rFonts w:eastAsia="Times New Roman" w:cs="Times New Roman"/>
          <w:szCs w:val="24"/>
        </w:rPr>
        <w:t xml:space="preserve"> </w:t>
      </w:r>
      <w:r w:rsidR="003479BD" w:rsidRPr="00290D19">
        <w:rPr>
          <w:rFonts w:cs="Times New Roman"/>
          <w:szCs w:val="24"/>
        </w:rPr>
        <w:t xml:space="preserve">The </w:t>
      </w:r>
      <w:proofErr w:type="spellStart"/>
      <w:r w:rsidR="003479BD" w:rsidRPr="00290D19">
        <w:rPr>
          <w:rFonts w:eastAsia="Times New Roman" w:cs="Times New Roman"/>
          <w:szCs w:val="24"/>
        </w:rPr>
        <w:t>Weibit</w:t>
      </w:r>
      <w:proofErr w:type="spellEnd"/>
      <w:r w:rsidR="003479BD" w:rsidRPr="00290D19">
        <w:rPr>
          <w:rFonts w:eastAsia="Times New Roman" w:cs="Times New Roman"/>
          <w:szCs w:val="24"/>
        </w:rPr>
        <w:t xml:space="preserve"> model</w:t>
      </w:r>
      <w:r w:rsidR="003479BD" w:rsidRPr="00290D19">
        <w:rPr>
          <w:rFonts w:cs="Times New Roman"/>
          <w:szCs w:val="24"/>
        </w:rPr>
        <w:t xml:space="preserve"> of Castillo et al., 2008 and </w:t>
      </w:r>
      <w:proofErr w:type="spellStart"/>
      <w:r w:rsidR="003479BD" w:rsidRPr="00290D19">
        <w:rPr>
          <w:rFonts w:cs="Times New Roman"/>
          <w:szCs w:val="24"/>
        </w:rPr>
        <w:t>Fosgerau</w:t>
      </w:r>
      <w:proofErr w:type="spellEnd"/>
      <w:r w:rsidR="003479BD" w:rsidRPr="00290D19">
        <w:rPr>
          <w:rFonts w:cs="Times New Roman"/>
          <w:szCs w:val="24"/>
        </w:rPr>
        <w:t xml:space="preserve"> </w:t>
      </w:r>
      <w:r w:rsidR="00A21572">
        <w:rPr>
          <w:rFonts w:cs="Times New Roman"/>
          <w:szCs w:val="24"/>
        </w:rPr>
        <w:t>and</w:t>
      </w:r>
      <w:r w:rsidR="003479BD" w:rsidRPr="00290D19">
        <w:rPr>
          <w:rFonts w:cs="Times New Roman"/>
          <w:szCs w:val="24"/>
        </w:rPr>
        <w:t xml:space="preserve"> Bierlaire, 2009 may be viewed as an extension of the </w:t>
      </w:r>
      <w:proofErr w:type="spellStart"/>
      <w:r w:rsidR="003479BD" w:rsidRPr="00290D19">
        <w:rPr>
          <w:rFonts w:cs="Times New Roman"/>
          <w:szCs w:val="24"/>
        </w:rPr>
        <w:t>Daganzo</w:t>
      </w:r>
      <w:proofErr w:type="spellEnd"/>
      <w:r w:rsidR="003479BD" w:rsidRPr="00290D19">
        <w:rPr>
          <w:rFonts w:cs="Times New Roman"/>
          <w:szCs w:val="24"/>
        </w:rPr>
        <w:t xml:space="preserve"> model with a Weibull error term, with the additional twist that the typical additive kernel error term in each alternative’s utility is replaced with a </w:t>
      </w:r>
      <w:r w:rsidR="003479BD" w:rsidRPr="00290D19">
        <w:rPr>
          <w:rFonts w:eastAsia="Times New Roman" w:cs="Times New Roman"/>
          <w:szCs w:val="24"/>
        </w:rPr>
        <w:t>multiplicative error term</w:t>
      </w:r>
      <w:r w:rsidR="003479BD" w:rsidRPr="00290D19">
        <w:rPr>
          <w:rFonts w:cs="Times New Roman"/>
          <w:szCs w:val="24"/>
        </w:rPr>
        <w:t xml:space="preserve">. As with the negative exponential, the error term is foundationally </w:t>
      </w:r>
      <w:r w:rsidR="003479BD" w:rsidRPr="00290D19">
        <w:rPr>
          <w:rFonts w:eastAsia="Times New Roman" w:cs="Times New Roman"/>
          <w:szCs w:val="24"/>
        </w:rPr>
        <w:t>asymmetric</w:t>
      </w:r>
      <w:r w:rsidR="003479BD" w:rsidRPr="00290D19">
        <w:rPr>
          <w:rFonts w:cs="Times New Roman"/>
          <w:szCs w:val="24"/>
        </w:rPr>
        <w:t>, since the Weibull distribution is one-sided and skewed.</w:t>
      </w:r>
      <w:r w:rsidR="00F52EAA" w:rsidRPr="00290D19">
        <w:rPr>
          <w:rFonts w:cs="Times New Roman"/>
          <w:szCs w:val="24"/>
        </w:rPr>
        <w:t xml:space="preserve"> </w:t>
      </w:r>
      <w:r w:rsidR="003479BD" w:rsidRPr="00290D19">
        <w:rPr>
          <w:rFonts w:cs="Times New Roman"/>
          <w:szCs w:val="24"/>
        </w:rPr>
        <w:t xml:space="preserve">This restrictive range of the Weibull distribution implies that </w:t>
      </w:r>
      <w:r w:rsidR="003479BD" w:rsidRPr="00290D19">
        <w:rPr>
          <w:rFonts w:eastAsia="Times New Roman" w:cs="Times New Roman"/>
          <w:szCs w:val="24"/>
        </w:rPr>
        <w:t xml:space="preserve">the systematic utility components must satisfy specific sign restrictions (e.g., being strictly positive or negative depending on the parameterization) for the choice probabilities to remain valid. </w:t>
      </w:r>
      <w:r w:rsidR="003479BD" w:rsidRPr="00290D19">
        <w:rPr>
          <w:rFonts w:cs="Times New Roman"/>
          <w:szCs w:val="24"/>
        </w:rPr>
        <w:t xml:space="preserve">Besides, </w:t>
      </w:r>
      <w:r w:rsidR="003479BD" w:rsidRPr="00290D19">
        <w:rPr>
          <w:rFonts w:eastAsia="Times New Roman" w:cs="Times New Roman"/>
          <w:szCs w:val="24"/>
        </w:rPr>
        <w:t>the shape of the asymmetry is tightly tied to the Weibull distribution’s form</w:t>
      </w:r>
      <w:r w:rsidR="003479BD" w:rsidRPr="00290D19">
        <w:rPr>
          <w:rFonts w:cs="Times New Roman"/>
          <w:szCs w:val="24"/>
        </w:rPr>
        <w:t xml:space="preserve">, and may not reflect </w:t>
      </w:r>
      <w:r w:rsidR="003479BD" w:rsidRPr="00290D19">
        <w:rPr>
          <w:rFonts w:eastAsia="Times New Roman" w:cs="Times New Roman"/>
          <w:szCs w:val="24"/>
        </w:rPr>
        <w:t xml:space="preserve">the full spectrum of skew and tail behaviors that empirical data may demand. </w:t>
      </w:r>
      <w:r w:rsidR="003479BD" w:rsidRPr="00290D19">
        <w:rPr>
          <w:rFonts w:cs="Times New Roman"/>
          <w:szCs w:val="24"/>
        </w:rPr>
        <w:t xml:space="preserve">Further, the multiplicative specification of shocks can be </w:t>
      </w:r>
      <w:r w:rsidR="00E36043" w:rsidRPr="00290D19">
        <w:rPr>
          <w:rFonts w:cs="Times New Roman"/>
          <w:szCs w:val="24"/>
        </w:rPr>
        <w:t xml:space="preserve">more difficult to justify than the additive specification. Together, these considerations have limited the use of the </w:t>
      </w:r>
      <w:proofErr w:type="spellStart"/>
      <w:r w:rsidR="00E36043" w:rsidRPr="00290D19">
        <w:rPr>
          <w:rFonts w:cs="Times New Roman"/>
          <w:szCs w:val="24"/>
        </w:rPr>
        <w:t>Weibit</w:t>
      </w:r>
      <w:proofErr w:type="spellEnd"/>
      <w:r w:rsidR="00E36043" w:rsidRPr="00290D19">
        <w:rPr>
          <w:rFonts w:cs="Times New Roman"/>
          <w:szCs w:val="24"/>
        </w:rPr>
        <w:t xml:space="preserve"> model for general-purpose discrete choice modeling. </w:t>
      </w:r>
      <w:r w:rsidR="008F68E3" w:rsidRPr="00290D19">
        <w:rPr>
          <w:rFonts w:cs="Times New Roman"/>
          <w:szCs w:val="24"/>
        </w:rPr>
        <w:t xml:space="preserve">A third model that allows the kernel error terms to span the entire real line is Bhat’s (1995) heteroscedastic extreme value (HEV) model. Using the usual additive error structure, Bhat’s model adopts Type 1 extreme value error terms but with different scales for each alternative, which leads to asymmetric kernel error term differences and </w:t>
      </w:r>
      <w:r w:rsidR="009719D8" w:rsidRPr="00290D19">
        <w:rPr>
          <w:rFonts w:cs="Times New Roman"/>
          <w:szCs w:val="24"/>
        </w:rPr>
        <w:t xml:space="preserve">again relaxes the strict IID assumption of the MNL. </w:t>
      </w:r>
      <w:r w:rsidR="003C0454" w:rsidRPr="00290D19">
        <w:rPr>
          <w:rFonts w:cs="Times New Roman"/>
          <w:szCs w:val="24"/>
        </w:rPr>
        <w:t>Again, though, this model is restrictive in that the skew and tail behaviors are controlled by only two parameters that characterize the Type 1 extreme value distribution’s form. Also, w</w:t>
      </w:r>
      <w:r w:rsidR="009719D8" w:rsidRPr="00290D19">
        <w:rPr>
          <w:rFonts w:cs="Times New Roman"/>
          <w:szCs w:val="24"/>
        </w:rPr>
        <w:t>hile analytically convenient</w:t>
      </w:r>
      <w:r w:rsidR="00F52EAA" w:rsidRPr="00290D19">
        <w:rPr>
          <w:rFonts w:cs="Times New Roman"/>
          <w:szCs w:val="24"/>
        </w:rPr>
        <w:t xml:space="preserve"> and allowing the kernel error distribution to have full range</w:t>
      </w:r>
      <w:r w:rsidR="009719D8" w:rsidRPr="00290D19">
        <w:rPr>
          <w:rFonts w:cs="Times New Roman"/>
          <w:szCs w:val="24"/>
        </w:rPr>
        <w:t xml:space="preserve">, the HEV, like the negative exponential and </w:t>
      </w:r>
      <w:proofErr w:type="spellStart"/>
      <w:r w:rsidR="009719D8" w:rsidRPr="00290D19">
        <w:rPr>
          <w:rFonts w:cs="Times New Roman"/>
          <w:szCs w:val="24"/>
        </w:rPr>
        <w:t>Weibit</w:t>
      </w:r>
      <w:proofErr w:type="spellEnd"/>
      <w:r w:rsidR="009719D8" w:rsidRPr="00290D19">
        <w:rPr>
          <w:rFonts w:cs="Times New Roman"/>
          <w:szCs w:val="24"/>
        </w:rPr>
        <w:t xml:space="preserve"> models, generate</w:t>
      </w:r>
      <w:r w:rsidR="00F52EAA" w:rsidRPr="00290D19">
        <w:rPr>
          <w:rFonts w:cs="Times New Roman"/>
          <w:szCs w:val="24"/>
        </w:rPr>
        <w:t>s</w:t>
      </w:r>
      <w:r w:rsidR="009719D8" w:rsidRPr="00290D19">
        <w:rPr>
          <w:rFonts w:cs="Times New Roman"/>
          <w:szCs w:val="24"/>
        </w:rPr>
        <w:t xml:space="preserve"> asymmetry in the differenced kernel errors through scale variations across alternatives (with the scale of one alternative being normalized to one and other scales being estimated relative to the normalized scale). </w:t>
      </w:r>
      <w:r w:rsidR="00F52EAA" w:rsidRPr="00290D19">
        <w:rPr>
          <w:rFonts w:cs="Times New Roman"/>
          <w:szCs w:val="24"/>
        </w:rPr>
        <w:t>However, all of these models</w:t>
      </w:r>
      <w:r w:rsidR="00F41678" w:rsidRPr="00290D19">
        <w:rPr>
          <w:rFonts w:cs="Times New Roman"/>
          <w:szCs w:val="24"/>
        </w:rPr>
        <w:t xml:space="preserve"> </w:t>
      </w:r>
      <w:r w:rsidR="00F52EAA" w:rsidRPr="00290D19">
        <w:rPr>
          <w:rFonts w:eastAsia="Times New Roman" w:cs="Times New Roman"/>
          <w:szCs w:val="24"/>
        </w:rPr>
        <w:t xml:space="preserve">maintain </w:t>
      </w:r>
      <w:r w:rsidR="00F52EAA" w:rsidRPr="002B54C4">
        <w:rPr>
          <w:rFonts w:eastAsia="Times New Roman" w:cs="Times New Roman"/>
          <w:szCs w:val="24"/>
        </w:rPr>
        <w:t xml:space="preserve">independence </w:t>
      </w:r>
      <w:r w:rsidR="00F52EAA" w:rsidRPr="00290D19">
        <w:rPr>
          <w:rFonts w:eastAsia="Times New Roman" w:cs="Times New Roman"/>
          <w:szCs w:val="24"/>
        </w:rPr>
        <w:t xml:space="preserve">across the kernel </w:t>
      </w:r>
      <w:r w:rsidR="00F52EAA" w:rsidRPr="00290D19">
        <w:rPr>
          <w:rFonts w:eastAsia="Times New Roman" w:cs="Times New Roman"/>
          <w:szCs w:val="24"/>
        </w:rPr>
        <w:lastRenderedPageBreak/>
        <w:t xml:space="preserve">error terms of the alternatives and so cannot generate </w:t>
      </w:r>
      <w:r w:rsidR="002B54C4">
        <w:rPr>
          <w:rFonts w:eastAsia="Times New Roman" w:cs="Times New Roman"/>
          <w:szCs w:val="24"/>
        </w:rPr>
        <w:t xml:space="preserve">flexible </w:t>
      </w:r>
      <w:r w:rsidR="00F52EAA" w:rsidRPr="002B54C4">
        <w:rPr>
          <w:rFonts w:eastAsia="Times New Roman" w:cs="Times New Roman"/>
          <w:szCs w:val="24"/>
        </w:rPr>
        <w:t xml:space="preserve">cross-alternative </w:t>
      </w:r>
      <w:r w:rsidR="002B54C4" w:rsidRPr="002B54C4">
        <w:rPr>
          <w:rFonts w:eastAsia="Times New Roman" w:cs="Times New Roman"/>
          <w:szCs w:val="24"/>
        </w:rPr>
        <w:t>dependencies</w:t>
      </w:r>
      <w:r w:rsidR="00F52EAA" w:rsidRPr="002B54C4">
        <w:rPr>
          <w:rFonts w:eastAsia="Times New Roman" w:cs="Times New Roman"/>
          <w:szCs w:val="24"/>
        </w:rPr>
        <w:t xml:space="preserve"> through the kernel terms.</w:t>
      </w:r>
    </w:p>
    <w:p w14:paraId="7653690C" w14:textId="060EA99C" w:rsidR="00E36043" w:rsidRPr="00290D19" w:rsidRDefault="003C0454" w:rsidP="00077490">
      <w:pPr>
        <w:pStyle w:val="NormalWeb"/>
        <w:spacing w:before="0" w:beforeAutospacing="0" w:after="0" w:afterAutospacing="0"/>
      </w:pPr>
      <w:r w:rsidRPr="00290D19">
        <w:tab/>
        <w:t xml:space="preserve">A class of </w:t>
      </w:r>
      <w:r w:rsidR="00CC7A21" w:rsidRPr="00290D19">
        <w:t xml:space="preserve">multinomial choice </w:t>
      </w:r>
      <w:r w:rsidRPr="00290D19">
        <w:t xml:space="preserve">models, </w:t>
      </w:r>
      <w:r w:rsidR="00395CD9">
        <w:t>al</w:t>
      </w:r>
      <w:r w:rsidRPr="00B71211">
        <w:t>though not focused on asymmetry</w:t>
      </w:r>
      <w:r w:rsidR="008F10D7" w:rsidRPr="0093315A">
        <w:t xml:space="preserve"> as in the current paper</w:t>
      </w:r>
      <w:r w:rsidRPr="0093315A">
        <w:t>, but that allow</w:t>
      </w:r>
      <w:r w:rsidR="00395CD9">
        <w:t>s</w:t>
      </w:r>
      <w:r w:rsidRPr="00B71211">
        <w:t xml:space="preserve"> for cross-alternative correlations </w:t>
      </w:r>
      <w:r w:rsidR="00BB3697" w:rsidRPr="0093315A">
        <w:t xml:space="preserve">with also allowance for </w:t>
      </w:r>
      <w:r w:rsidR="008F10D7" w:rsidRPr="0093315A">
        <w:t xml:space="preserve">symmetric </w:t>
      </w:r>
      <w:r w:rsidR="00BB3697" w:rsidRPr="0086018F">
        <w:t xml:space="preserve">heavy-tailed distributions </w:t>
      </w:r>
      <w:r w:rsidR="009963F4" w:rsidRPr="00DD5FA6">
        <w:t>at both extremes</w:t>
      </w:r>
      <w:r w:rsidR="002B54C4">
        <w:t>,</w:t>
      </w:r>
      <w:r w:rsidR="009963F4" w:rsidRPr="00DD5FA6">
        <w:t xml:space="preserve"> </w:t>
      </w:r>
      <w:r w:rsidR="00BB3697" w:rsidRPr="00DD5FA6">
        <w:t xml:space="preserve">are those reviewed recently by Kreuger et al. (2023). The most flexible of these are the multinomial </w:t>
      </w:r>
      <w:proofErr w:type="spellStart"/>
      <w:r w:rsidR="00BB3697" w:rsidRPr="00DD5FA6">
        <w:t>robit</w:t>
      </w:r>
      <w:proofErr w:type="spellEnd"/>
      <w:r w:rsidR="00BB3697" w:rsidRPr="00DD5FA6">
        <w:t xml:space="preserve"> </w:t>
      </w:r>
      <w:r w:rsidR="00493E79" w:rsidRPr="009E4296">
        <w:t xml:space="preserve">(MNR) </w:t>
      </w:r>
      <w:r w:rsidR="00BB3697" w:rsidRPr="00290D19">
        <w:t xml:space="preserve">models of Dubey et al. (2020), </w:t>
      </w:r>
      <w:proofErr w:type="spellStart"/>
      <w:r w:rsidR="00C44CA2">
        <w:t>Peyhardi</w:t>
      </w:r>
      <w:proofErr w:type="spellEnd"/>
      <w:r w:rsidR="00BB3697" w:rsidRPr="00290D19">
        <w:t xml:space="preserve"> (2020), and Kreuger et al. (2023). All of these models assume that the utility differences follow a symmetric and heavy-tailed multivariate t-distribution. </w:t>
      </w:r>
      <w:r w:rsidR="00493E79" w:rsidRPr="00290D19">
        <w:t xml:space="preserve">Dubey et al. (2020) and </w:t>
      </w:r>
      <w:proofErr w:type="spellStart"/>
      <w:r w:rsidR="00C44CA2">
        <w:t>Peyhardi</w:t>
      </w:r>
      <w:proofErr w:type="spellEnd"/>
      <w:r w:rsidR="00493E79" w:rsidRPr="00290D19">
        <w:t xml:space="preserve"> (2020) begin from the structural model of utilities, with the kernel error terms across alternatives having a single generic </w:t>
      </w:r>
      <w:r w:rsidR="00962D4E" w:rsidRPr="00290D19">
        <w:t>degree of freedom (</w:t>
      </w:r>
      <w:r w:rsidR="00493E79" w:rsidRPr="00290D19">
        <w:t>DOF</w:t>
      </w:r>
      <w:r w:rsidR="00962D4E" w:rsidRPr="00290D19">
        <w:t>)</w:t>
      </w:r>
      <w:r w:rsidR="00493E79" w:rsidRPr="00290D19">
        <w:t xml:space="preserve"> parameter</w:t>
      </w:r>
      <w:r w:rsidR="00962D4E" w:rsidRPr="00290D19">
        <w:t xml:space="preserve"> that determines tail thickness</w:t>
      </w:r>
      <w:r w:rsidR="00493E79" w:rsidRPr="00290D19">
        <w:t xml:space="preserve">. Krueger et al. (2023) claim that this is a flexibility restriction, though there is a substantial advantage to </w:t>
      </w:r>
      <w:r w:rsidR="00F41678" w:rsidRPr="00290D19">
        <w:t xml:space="preserve">adopting </w:t>
      </w:r>
      <w:r w:rsidR="00493E79" w:rsidRPr="00290D19">
        <w:t xml:space="preserve">a single DOF MNR formulation. </w:t>
      </w:r>
      <w:r w:rsidR="00F41678" w:rsidRPr="00290D19">
        <w:t>Specifically, d</w:t>
      </w:r>
      <w:r w:rsidR="00493E79" w:rsidRPr="00290D19">
        <w:t>oing so ensures that the differenced utilities are also multivariate-t, because of the closure property of the elliptically contoured multivariate-t distribution</w:t>
      </w:r>
      <w:r w:rsidR="003257DD" w:rsidRPr="00290D19">
        <w:t xml:space="preserve"> under subtraction</w:t>
      </w:r>
      <w:r w:rsidR="00493E79" w:rsidRPr="00290D19">
        <w:t xml:space="preserve">. </w:t>
      </w:r>
      <w:r w:rsidR="00962D4E" w:rsidRPr="00290D19">
        <w:t>In addition, the identification considerations are exactly the same as for the MNP model, where the scale of one of the differenced utility errors</w:t>
      </w:r>
      <w:r w:rsidR="003257DD" w:rsidRPr="00290D19">
        <w:t xml:space="preserve"> is normalized</w:t>
      </w:r>
      <w:r w:rsidR="00962D4E" w:rsidRPr="00290D19">
        <w:t xml:space="preserve">. Importantly, just as in the MNP model, the results are invariant to which </w:t>
      </w:r>
      <w:r w:rsidR="003257DD" w:rsidRPr="00290D19">
        <w:t xml:space="preserve">one </w:t>
      </w:r>
      <w:r w:rsidR="00962D4E" w:rsidRPr="00290D19">
        <w:t>of the scales in the differenced utility space is normalized. On the other hand, Krueger et al. (2023) directly impose a multivariate t-distribution on the differenced errors</w:t>
      </w:r>
      <w:r w:rsidR="009963F4" w:rsidRPr="00290D19">
        <w:t xml:space="preserve"> (with differences taken with respect </w:t>
      </w:r>
      <w:r w:rsidR="00F41678" w:rsidRPr="00290D19">
        <w:t>to</w:t>
      </w:r>
      <w:r w:rsidR="009963F4" w:rsidRPr="00290D19">
        <w:t xml:space="preserve"> a designated last alternative)</w:t>
      </w:r>
      <w:r w:rsidR="00962D4E" w:rsidRPr="00290D19">
        <w:t>, allowing for different DOF parameters across the differenced errors (that is, allowing for a non-elliptically contoured multivariate t-distribution</w:t>
      </w:r>
      <w:r w:rsidR="009963F4" w:rsidRPr="00290D19">
        <w:t>; they label this as the Gen-MNR model</w:t>
      </w:r>
      <w:r w:rsidR="00962D4E" w:rsidRPr="00290D19">
        <w:t>). Unlike the case of a single DOF parameter in the structural utility space, it is unclear in</w:t>
      </w:r>
      <w:r w:rsidR="009963F4" w:rsidRPr="00290D19">
        <w:t xml:space="preserve"> the Gen-MNR </w:t>
      </w:r>
      <w:r w:rsidR="00962D4E" w:rsidRPr="00290D19">
        <w:t xml:space="preserve">formulation what the multivariate distribution of the structural errors is. Technically, it is difficult then to associate results to tail thickness </w:t>
      </w:r>
      <w:r w:rsidR="009963F4" w:rsidRPr="00290D19">
        <w:t>intensities of different alternatives</w:t>
      </w:r>
      <w:r w:rsidR="00962D4E" w:rsidRPr="00290D19">
        <w:t xml:space="preserve">. </w:t>
      </w:r>
      <w:r w:rsidR="009963F4" w:rsidRPr="00290D19">
        <w:t>More importantly, Kreuger et al.’s formulation has an exchangeability problem in that taking differences with respect to a different base alternative</w:t>
      </w:r>
      <w:r w:rsidR="00F41678" w:rsidRPr="00290D19">
        <w:t xml:space="preserve"> (than the last alternative)</w:t>
      </w:r>
      <w:r w:rsidR="009963F4" w:rsidRPr="00290D19">
        <w:t xml:space="preserve">, and allowing different DOF parameters in this new differenced space, will produce different </w:t>
      </w:r>
      <w:r w:rsidR="00F41678" w:rsidRPr="00290D19">
        <w:t xml:space="preserve">estimation </w:t>
      </w:r>
      <w:r w:rsidR="009963F4" w:rsidRPr="00290D19">
        <w:t>results.</w:t>
      </w:r>
    </w:p>
    <w:p w14:paraId="135EC73D" w14:textId="0E466BAC" w:rsidR="00F41678" w:rsidRPr="0086018F" w:rsidRDefault="000302BA" w:rsidP="00077490">
      <w:pPr>
        <w:spacing w:line="240" w:lineRule="auto"/>
        <w:ind w:firstLine="432"/>
        <w:rPr>
          <w:rFonts w:eastAsia="CMR12" w:cs="Times New Roman"/>
          <w:szCs w:val="24"/>
        </w:rPr>
      </w:pPr>
      <w:r w:rsidRPr="00290D19">
        <w:rPr>
          <w:rFonts w:eastAsia="Times New Roman" w:cs="Times New Roman"/>
          <w:szCs w:val="24"/>
        </w:rPr>
        <w:t xml:space="preserve">In this paper, we adopt the inverse Yeo-Johnson (YJ) transformation </w:t>
      </w:r>
      <w:r w:rsidR="00F41678" w:rsidRPr="00290D19">
        <w:rPr>
          <w:rFonts w:eastAsia="Times New Roman" w:cs="Times New Roman"/>
          <w:szCs w:val="24"/>
        </w:rPr>
        <w:t xml:space="preserve">of </w:t>
      </w:r>
      <w:r w:rsidRPr="00290D19">
        <w:rPr>
          <w:rFonts w:eastAsia="Times New Roman" w:cs="Times New Roman"/>
          <w:szCs w:val="24"/>
        </w:rPr>
        <w:t>latent normal error terms</w:t>
      </w:r>
      <w:r w:rsidR="00F41678" w:rsidRPr="00290D19">
        <w:rPr>
          <w:rFonts w:eastAsia="Times New Roman" w:cs="Times New Roman"/>
          <w:szCs w:val="24"/>
        </w:rPr>
        <w:t xml:space="preserve"> </w:t>
      </w:r>
      <w:r w:rsidR="00395CD9">
        <w:rPr>
          <w:rFonts w:eastAsia="Times New Roman" w:cs="Times New Roman"/>
          <w:szCs w:val="24"/>
        </w:rPr>
        <w:t xml:space="preserve">to generate asymmetry in </w:t>
      </w:r>
      <w:r w:rsidR="00F41678" w:rsidRPr="00290D19">
        <w:rPr>
          <w:rFonts w:eastAsia="Times New Roman" w:cs="Times New Roman"/>
          <w:szCs w:val="24"/>
        </w:rPr>
        <w:t>the kernel errors</w:t>
      </w:r>
      <w:r w:rsidRPr="00290D19">
        <w:rPr>
          <w:rFonts w:eastAsia="Times New Roman" w:cs="Times New Roman"/>
          <w:szCs w:val="24"/>
        </w:rPr>
        <w:t xml:space="preserve">. Our model, which we label as </w:t>
      </w:r>
      <w:r w:rsidR="00F70B6F" w:rsidRPr="00290D19">
        <w:rPr>
          <w:rFonts w:eastAsia="Times New Roman" w:cs="Times New Roman"/>
          <w:szCs w:val="24"/>
        </w:rPr>
        <w:t xml:space="preserve">the </w:t>
      </w:r>
      <w:r w:rsidRPr="00290D19">
        <w:rPr>
          <w:rFonts w:eastAsia="Times New Roman" w:cs="Times New Roman"/>
          <w:szCs w:val="24"/>
        </w:rPr>
        <w:t>M</w:t>
      </w:r>
      <w:r w:rsidR="006F3E47" w:rsidRPr="00290D19">
        <w:rPr>
          <w:rFonts w:eastAsia="Times New Roman" w:cs="Times New Roman"/>
          <w:szCs w:val="24"/>
        </w:rPr>
        <w:t xml:space="preserve">NYJ model, </w:t>
      </w:r>
      <w:r w:rsidRPr="00290D19">
        <w:rPr>
          <w:rFonts w:eastAsia="Times New Roman" w:cs="Times New Roman"/>
          <w:szCs w:val="24"/>
        </w:rPr>
        <w:t>offers a</w:t>
      </w:r>
      <w:r w:rsidR="006F3E47" w:rsidRPr="00290D19">
        <w:rPr>
          <w:rFonts w:eastAsia="Times New Roman" w:cs="Times New Roman"/>
          <w:szCs w:val="24"/>
        </w:rPr>
        <w:t xml:space="preserve"> </w:t>
      </w:r>
      <w:r w:rsidRPr="00290D19">
        <w:rPr>
          <w:rFonts w:eastAsia="Times New Roman" w:cs="Times New Roman"/>
          <w:szCs w:val="24"/>
        </w:rPr>
        <w:t>general</w:t>
      </w:r>
      <w:r w:rsidR="006F3E47" w:rsidRPr="00290D19">
        <w:rPr>
          <w:rFonts w:eastAsia="Times New Roman" w:cs="Times New Roman"/>
          <w:szCs w:val="24"/>
        </w:rPr>
        <w:t xml:space="preserve">, flexible, and </w:t>
      </w:r>
      <w:r w:rsidRPr="00290D19">
        <w:rPr>
          <w:rFonts w:eastAsia="Times New Roman" w:cs="Times New Roman"/>
          <w:szCs w:val="24"/>
        </w:rPr>
        <w:t xml:space="preserve">elegant </w:t>
      </w:r>
      <w:r w:rsidR="006F3E47" w:rsidRPr="00290D19">
        <w:rPr>
          <w:rFonts w:eastAsia="Times New Roman" w:cs="Times New Roman"/>
          <w:szCs w:val="24"/>
        </w:rPr>
        <w:t xml:space="preserve">formulation by allowing </w:t>
      </w:r>
      <w:r w:rsidR="000C480A" w:rsidRPr="00290D19">
        <w:rPr>
          <w:rFonts w:eastAsia="Times New Roman" w:cs="Times New Roman"/>
          <w:szCs w:val="24"/>
        </w:rPr>
        <w:t xml:space="preserve">a broad spectrum of asymmetric shapes, with the added advantage of heterogeneity </w:t>
      </w:r>
      <w:r w:rsidR="00A87931" w:rsidRPr="00290D19">
        <w:rPr>
          <w:rFonts w:eastAsia="Times New Roman" w:cs="Times New Roman"/>
          <w:szCs w:val="24"/>
        </w:rPr>
        <w:t xml:space="preserve">in the skewed distributions </w:t>
      </w:r>
      <w:r w:rsidR="000C480A" w:rsidRPr="00290D19">
        <w:rPr>
          <w:rFonts w:eastAsia="Times New Roman" w:cs="Times New Roman"/>
          <w:szCs w:val="24"/>
        </w:rPr>
        <w:t>across alternatives</w:t>
      </w:r>
      <w:r w:rsidR="00B226DF" w:rsidRPr="00290D19">
        <w:rPr>
          <w:rFonts w:eastAsia="Times New Roman" w:cs="Times New Roman"/>
          <w:szCs w:val="24"/>
        </w:rPr>
        <w:t xml:space="preserve"> in</w:t>
      </w:r>
      <w:r w:rsidR="00021002" w:rsidRPr="00290D19">
        <w:rPr>
          <w:rFonts w:eastAsia="Times New Roman" w:cs="Times New Roman"/>
          <w:szCs w:val="24"/>
        </w:rPr>
        <w:t xml:space="preserve"> scale, skew, and Kurtosis (</w:t>
      </w:r>
      <w:proofErr w:type="spellStart"/>
      <w:r w:rsidR="00021002" w:rsidRPr="00290D19">
        <w:rPr>
          <w:rFonts w:eastAsia="Times New Roman" w:cs="Times New Roman"/>
          <w:szCs w:val="24"/>
        </w:rPr>
        <w:t>tailedness</w:t>
      </w:r>
      <w:proofErr w:type="spellEnd"/>
      <w:r w:rsidR="00021002" w:rsidRPr="00290D19">
        <w:rPr>
          <w:rFonts w:eastAsia="Times New Roman" w:cs="Times New Roman"/>
          <w:szCs w:val="24"/>
        </w:rPr>
        <w:t>)</w:t>
      </w:r>
      <w:r w:rsidR="000C480A" w:rsidRPr="00290D19">
        <w:rPr>
          <w:rFonts w:eastAsia="Times New Roman" w:cs="Times New Roman"/>
          <w:szCs w:val="24"/>
        </w:rPr>
        <w:t xml:space="preserve">. </w:t>
      </w:r>
      <w:r w:rsidR="00A65BAA" w:rsidRPr="00290D19">
        <w:rPr>
          <w:rFonts w:eastAsia="Times New Roman" w:cs="Times New Roman"/>
          <w:szCs w:val="24"/>
        </w:rPr>
        <w:t xml:space="preserve">Our </w:t>
      </w:r>
      <w:r w:rsidR="00F70B6F" w:rsidRPr="00290D19">
        <w:rPr>
          <w:rFonts w:eastAsia="Times New Roman" w:cs="Times New Roman"/>
          <w:szCs w:val="24"/>
        </w:rPr>
        <w:t xml:space="preserve">formulation is based on </w:t>
      </w:r>
      <w:r w:rsidR="00395CD9">
        <w:rPr>
          <w:rFonts w:eastAsia="Times New Roman" w:cs="Times New Roman"/>
          <w:szCs w:val="24"/>
        </w:rPr>
        <w:t xml:space="preserve">specifying asymmetry in the distributions of </w:t>
      </w:r>
      <w:r w:rsidR="00F70B6F" w:rsidRPr="00290D19">
        <w:rPr>
          <w:rFonts w:eastAsia="Times New Roman" w:cs="Times New Roman"/>
          <w:szCs w:val="24"/>
        </w:rPr>
        <w:t>the kernel error term</w:t>
      </w:r>
      <w:r w:rsidR="00395CD9">
        <w:rPr>
          <w:rFonts w:eastAsia="Times New Roman" w:cs="Times New Roman"/>
          <w:szCs w:val="24"/>
        </w:rPr>
        <w:t xml:space="preserve">s </w:t>
      </w:r>
      <w:r w:rsidR="00F70B6F" w:rsidRPr="00290D19">
        <w:rPr>
          <w:rFonts w:eastAsia="Times New Roman" w:cs="Times New Roman"/>
          <w:szCs w:val="24"/>
        </w:rPr>
        <w:t xml:space="preserve">of the original (structural) utilities, rendering the model invariant to the way utility differences are taken. </w:t>
      </w:r>
      <w:r w:rsidR="004773E9" w:rsidRPr="00290D19">
        <w:rPr>
          <w:rFonts w:cs="Times New Roman"/>
          <w:szCs w:val="24"/>
        </w:rPr>
        <w:t xml:space="preserve">Bhat et al. (2024) discuss </w:t>
      </w:r>
      <w:r w:rsidR="00F70B6F" w:rsidRPr="00290D19">
        <w:rPr>
          <w:rFonts w:cs="Times New Roman"/>
          <w:szCs w:val="24"/>
        </w:rPr>
        <w:t>the</w:t>
      </w:r>
      <w:r w:rsidR="004773E9" w:rsidRPr="00290D19">
        <w:rPr>
          <w:rFonts w:cs="Times New Roman"/>
          <w:szCs w:val="24"/>
        </w:rPr>
        <w:t xml:space="preserve"> </w:t>
      </w:r>
      <w:r w:rsidR="00F70B6F" w:rsidRPr="00290D19">
        <w:rPr>
          <w:rFonts w:cs="Times New Roman"/>
          <w:szCs w:val="24"/>
        </w:rPr>
        <w:t xml:space="preserve">inverse </w:t>
      </w:r>
      <w:r w:rsidR="004773E9" w:rsidRPr="00290D19">
        <w:rPr>
          <w:rFonts w:cs="Times New Roman"/>
          <w:szCs w:val="24"/>
        </w:rPr>
        <w:t xml:space="preserve">YJ transformation in detail, demonstrating that it can mimic a whole variety of other flexible unimodal distributions closely, including the extreme value, the skew-normal, and skew-t distributions. </w:t>
      </w:r>
      <w:r w:rsidR="00021002" w:rsidRPr="00290D19">
        <w:rPr>
          <w:rFonts w:cs="Times New Roman"/>
          <w:noProof/>
          <w:szCs w:val="24"/>
        </w:rPr>
        <w:t xml:space="preserve">Further, we are able to allow a flexible cross-alternative correlation structure through the use of an implicit Gaussian copula. Compared to other multivariate skew distributions, </w:t>
      </w:r>
      <w:r w:rsidR="00F27ABC" w:rsidRPr="00290D19">
        <w:rPr>
          <w:rFonts w:cs="Times New Roman"/>
          <w:noProof/>
          <w:szCs w:val="24"/>
        </w:rPr>
        <w:t>this</w:t>
      </w:r>
      <w:r w:rsidR="00021002" w:rsidRPr="00290D19">
        <w:rPr>
          <w:rFonts w:cs="Times New Roman"/>
          <w:noProof/>
          <w:szCs w:val="24"/>
        </w:rPr>
        <w:t xml:space="preserve"> transformation-based </w:t>
      </w:r>
      <w:r w:rsidR="004773E9" w:rsidRPr="00290D19">
        <w:rPr>
          <w:rFonts w:cs="Times New Roman"/>
          <w:noProof/>
          <w:szCs w:val="24"/>
        </w:rPr>
        <w:t xml:space="preserve">multivariate </w:t>
      </w:r>
      <w:r w:rsidR="00021002" w:rsidRPr="00290D19">
        <w:rPr>
          <w:rFonts w:cs="Times New Roman"/>
          <w:noProof/>
          <w:szCs w:val="24"/>
        </w:rPr>
        <w:t>inverse YJ</w:t>
      </w:r>
      <w:r w:rsidR="004773E9" w:rsidRPr="00290D19">
        <w:rPr>
          <w:rFonts w:cs="Times New Roman"/>
          <w:noProof/>
          <w:szCs w:val="24"/>
        </w:rPr>
        <w:t xml:space="preserve"> distribution</w:t>
      </w:r>
      <w:r w:rsidR="00021002" w:rsidRPr="00290D19">
        <w:rPr>
          <w:rFonts w:cs="Times New Roman"/>
          <w:noProof/>
          <w:szCs w:val="24"/>
        </w:rPr>
        <w:t xml:space="preserve"> is much </w:t>
      </w:r>
      <w:r w:rsidR="00021002" w:rsidRPr="00290D19">
        <w:rPr>
          <w:rFonts w:eastAsia="CMR12" w:cs="Times New Roman"/>
          <w:szCs w:val="24"/>
        </w:rPr>
        <w:t xml:space="preserve">more parsimonious, while also performing at least as well as </w:t>
      </w:r>
      <w:r w:rsidR="004773E9" w:rsidRPr="00290D19">
        <w:rPr>
          <w:rFonts w:eastAsia="CMR12" w:cs="Times New Roman"/>
          <w:szCs w:val="24"/>
        </w:rPr>
        <w:t xml:space="preserve">even </w:t>
      </w:r>
      <w:r w:rsidR="00021002" w:rsidRPr="00290D19">
        <w:rPr>
          <w:rFonts w:eastAsia="CMR12" w:cs="Times New Roman"/>
          <w:szCs w:val="24"/>
        </w:rPr>
        <w:t xml:space="preserve">complicated mixtures of </w:t>
      </w:r>
      <w:r w:rsidR="004773E9" w:rsidRPr="00290D19">
        <w:rPr>
          <w:rFonts w:eastAsia="CMR12" w:cs="Times New Roman"/>
          <w:szCs w:val="24"/>
        </w:rPr>
        <w:t xml:space="preserve">traditional </w:t>
      </w:r>
      <w:proofErr w:type="spellStart"/>
      <w:r w:rsidR="004773E9" w:rsidRPr="00290D19">
        <w:rPr>
          <w:rFonts w:eastAsia="CMR12" w:cs="Times New Roman"/>
          <w:szCs w:val="24"/>
        </w:rPr>
        <w:t>Azzalini</w:t>
      </w:r>
      <w:proofErr w:type="spellEnd"/>
      <w:r w:rsidR="004773E9" w:rsidRPr="00290D19">
        <w:rPr>
          <w:rFonts w:eastAsia="CMR12" w:cs="Times New Roman"/>
          <w:szCs w:val="24"/>
        </w:rPr>
        <w:t xml:space="preserve">-type multivariate </w:t>
      </w:r>
      <w:r w:rsidR="00021002" w:rsidRPr="00290D19">
        <w:rPr>
          <w:rFonts w:eastAsia="CMR12" w:cs="Times New Roman"/>
          <w:szCs w:val="24"/>
        </w:rPr>
        <w:t xml:space="preserve">skew </w:t>
      </w:r>
      <w:r w:rsidR="00021002" w:rsidRPr="008C71D0">
        <w:rPr>
          <w:rFonts w:eastAsia="CMR12" w:cs="Times New Roman"/>
          <w:szCs w:val="24"/>
        </w:rPr>
        <w:t>distributions</w:t>
      </w:r>
      <w:r w:rsidR="004773E9" w:rsidRPr="008C71D0">
        <w:rPr>
          <w:rFonts w:eastAsia="CMR12" w:cs="Times New Roman"/>
          <w:szCs w:val="24"/>
        </w:rPr>
        <w:t xml:space="preserve"> (see </w:t>
      </w:r>
      <w:proofErr w:type="spellStart"/>
      <w:r w:rsidR="004773E9" w:rsidRPr="008C71D0">
        <w:rPr>
          <w:rFonts w:eastAsia="CMR12" w:cs="Times New Roman"/>
          <w:szCs w:val="24"/>
        </w:rPr>
        <w:t>Azzalin</w:t>
      </w:r>
      <w:r w:rsidR="00395CD9" w:rsidRPr="008C71D0">
        <w:rPr>
          <w:rFonts w:eastAsia="CMR12" w:cs="Times New Roman"/>
          <w:szCs w:val="24"/>
        </w:rPr>
        <w:t>i</w:t>
      </w:r>
      <w:proofErr w:type="spellEnd"/>
      <w:r w:rsidR="004773E9" w:rsidRPr="008C71D0">
        <w:rPr>
          <w:rFonts w:eastAsia="CMR12" w:cs="Times New Roman"/>
          <w:szCs w:val="24"/>
        </w:rPr>
        <w:t>, 200</w:t>
      </w:r>
      <w:r w:rsidR="008C71D0" w:rsidRPr="008C71D0">
        <w:rPr>
          <w:rFonts w:eastAsia="CMR12" w:cs="Times New Roman"/>
          <w:szCs w:val="24"/>
        </w:rPr>
        <w:t>5</w:t>
      </w:r>
      <w:r w:rsidR="004773E9" w:rsidRPr="008C71D0">
        <w:rPr>
          <w:rFonts w:eastAsia="CMR12" w:cs="Times New Roman"/>
          <w:szCs w:val="24"/>
        </w:rPr>
        <w:t xml:space="preserve">, </w:t>
      </w:r>
      <w:proofErr w:type="spellStart"/>
      <w:r w:rsidR="004773E9" w:rsidRPr="008C71D0">
        <w:rPr>
          <w:rFonts w:eastAsia="CMR12" w:cs="Times New Roman"/>
          <w:szCs w:val="24"/>
        </w:rPr>
        <w:t>Ga</w:t>
      </w:r>
      <w:r w:rsidR="004773E9" w:rsidRPr="0093315A">
        <w:rPr>
          <w:rFonts w:eastAsia="CMR12" w:cs="Times New Roman"/>
          <w:szCs w:val="24"/>
        </w:rPr>
        <w:t>llaugher</w:t>
      </w:r>
      <w:proofErr w:type="spellEnd"/>
      <w:r w:rsidR="004773E9" w:rsidRPr="0093315A">
        <w:rPr>
          <w:rFonts w:eastAsia="CMR12" w:cs="Times New Roman"/>
          <w:szCs w:val="24"/>
        </w:rPr>
        <w:t xml:space="preserve"> et al., </w:t>
      </w:r>
      <w:r w:rsidR="004773E9" w:rsidRPr="0086018F">
        <w:rPr>
          <w:rFonts w:eastAsia="CMR12" w:cs="Times New Roman"/>
          <w:szCs w:val="24"/>
        </w:rPr>
        <w:t>2020)</w:t>
      </w:r>
      <w:r w:rsidR="00021002" w:rsidRPr="0086018F">
        <w:rPr>
          <w:rFonts w:eastAsia="CMR12" w:cs="Times New Roman"/>
          <w:szCs w:val="24"/>
        </w:rPr>
        <w:t xml:space="preserve">. </w:t>
      </w:r>
    </w:p>
    <w:p w14:paraId="076D558F" w14:textId="70F37A71" w:rsidR="00021002" w:rsidRDefault="00F41678" w:rsidP="00077490">
      <w:pPr>
        <w:spacing w:line="240" w:lineRule="auto"/>
        <w:ind w:firstLine="432"/>
        <w:rPr>
          <w:rFonts w:cs="Times New Roman"/>
          <w:szCs w:val="24"/>
        </w:rPr>
      </w:pPr>
      <w:r w:rsidRPr="00DD5FA6">
        <w:rPr>
          <w:rFonts w:eastAsia="CMR12" w:cs="Times New Roman"/>
          <w:szCs w:val="24"/>
        </w:rPr>
        <w:t xml:space="preserve">In summary, </w:t>
      </w:r>
      <w:r w:rsidRPr="00DD5FA6">
        <w:rPr>
          <w:rFonts w:cs="Times New Roman"/>
          <w:szCs w:val="24"/>
        </w:rPr>
        <w:t>t</w:t>
      </w:r>
      <w:r w:rsidR="00B07ED8" w:rsidRPr="00DD5FA6">
        <w:rPr>
          <w:rFonts w:cs="Times New Roman"/>
          <w:szCs w:val="24"/>
        </w:rPr>
        <w:t>o our knowle</w:t>
      </w:r>
      <w:r w:rsidR="00B07ED8" w:rsidRPr="009E4296">
        <w:rPr>
          <w:rFonts w:cs="Times New Roman"/>
          <w:szCs w:val="24"/>
        </w:rPr>
        <w:t xml:space="preserve">dge, </w:t>
      </w:r>
      <w:r w:rsidR="00021002" w:rsidRPr="00290D19">
        <w:rPr>
          <w:rFonts w:cs="Times New Roman"/>
          <w:szCs w:val="24"/>
        </w:rPr>
        <w:t xml:space="preserve">the current paper constitutes the first formulation and application of a flexible </w:t>
      </w:r>
      <w:r w:rsidR="00B07ED8" w:rsidRPr="00290D19">
        <w:rPr>
          <w:rFonts w:cs="Times New Roman"/>
          <w:szCs w:val="24"/>
        </w:rPr>
        <w:t>alternati</w:t>
      </w:r>
      <w:r w:rsidR="00F70B6F" w:rsidRPr="00290D19">
        <w:rPr>
          <w:rFonts w:cs="Times New Roman"/>
          <w:szCs w:val="24"/>
        </w:rPr>
        <w:t>ve-specific asymmetric multinomial choice mode</w:t>
      </w:r>
      <w:r w:rsidR="00F27ABC" w:rsidRPr="00290D19">
        <w:rPr>
          <w:rFonts w:cs="Times New Roman"/>
          <w:szCs w:val="24"/>
        </w:rPr>
        <w:t>l. The probability expressions collapse to the form of a mixing (over a univariate normal density function) of an (</w:t>
      </w:r>
      <w:r w:rsidR="00F27ABC" w:rsidRPr="00290D19">
        <w:rPr>
          <w:rFonts w:cs="Times New Roman"/>
          <w:i/>
          <w:iCs/>
          <w:szCs w:val="24"/>
        </w:rPr>
        <w:t>I</w:t>
      </w:r>
      <w:r w:rsidR="00A21572">
        <w:rPr>
          <w:rFonts w:cs="Times New Roman"/>
          <w:szCs w:val="24"/>
        </w:rPr>
        <w:t>–</w:t>
      </w:r>
      <w:r w:rsidR="00F27ABC" w:rsidRPr="00290D19">
        <w:rPr>
          <w:rFonts w:cs="Times New Roman"/>
          <w:szCs w:val="24"/>
        </w:rPr>
        <w:t>1) multivariate normal cumulative distribution function (MVNCD)</w:t>
      </w:r>
      <w:r w:rsidRPr="00290D19">
        <w:rPr>
          <w:rFonts w:cs="Times New Roman"/>
          <w:szCs w:val="24"/>
        </w:rPr>
        <w:t xml:space="preserve">, where </w:t>
      </w:r>
      <w:r w:rsidRPr="00290D19">
        <w:rPr>
          <w:rFonts w:cs="Times New Roman"/>
          <w:i/>
          <w:iCs/>
          <w:szCs w:val="24"/>
        </w:rPr>
        <w:t>I</w:t>
      </w:r>
      <w:r w:rsidRPr="00290D19">
        <w:rPr>
          <w:rFonts w:cs="Times New Roman"/>
          <w:szCs w:val="24"/>
        </w:rPr>
        <w:t xml:space="preserve"> is the number of alternatives</w:t>
      </w:r>
      <w:r w:rsidR="00F27ABC" w:rsidRPr="00290D19">
        <w:rPr>
          <w:rFonts w:cs="Times New Roman"/>
          <w:szCs w:val="24"/>
        </w:rPr>
        <w:t xml:space="preserve">. Random coefficients do not materially change the structure of the model, enabling </w:t>
      </w:r>
      <w:r w:rsidR="00F27ABC" w:rsidRPr="00290D19">
        <w:rPr>
          <w:rFonts w:cs="Times New Roman"/>
          <w:szCs w:val="24"/>
        </w:rPr>
        <w:lastRenderedPageBreak/>
        <w:t xml:space="preserve">the seamless extension to asymmetric random-coefficients specifications along with an asymmetric kernel error term. Estimation is achieved through the use of an analytic evaluation of the MVNCD function based on Bhat (2018), followed by an integration using Gauss-Hermite quadrature. Identification conditions are </w:t>
      </w:r>
      <w:r w:rsidR="00E03EEC" w:rsidRPr="00290D19">
        <w:rPr>
          <w:rFonts w:cs="Times New Roman"/>
          <w:szCs w:val="24"/>
        </w:rPr>
        <w:t xml:space="preserve">quite different from the case of the MNP model, as the nonlinear transforms through the inverse YJ provides for true additional flexibility by way of being able to estimate quite a few more parameters than when the utility difference matrix has a Gaussian covariance structure. </w:t>
      </w:r>
      <w:r w:rsidR="00A65BAA" w:rsidRPr="00290D19">
        <w:rPr>
          <w:rFonts w:cs="Times New Roman"/>
          <w:szCs w:val="24"/>
        </w:rPr>
        <w:t xml:space="preserve">The net result is that </w:t>
      </w:r>
      <w:r w:rsidR="00184153">
        <w:t>the formulation generically enables the identification and interpretation</w:t>
      </w:r>
      <w:r w:rsidR="00184153">
        <w:rPr>
          <w:rFonts w:cs="Times New Roman"/>
          <w:szCs w:val="24"/>
        </w:rPr>
        <w:t xml:space="preserve"> of </w:t>
      </w:r>
      <w:r w:rsidR="00A65BAA" w:rsidRPr="00290D19">
        <w:rPr>
          <w:rFonts w:cs="Times New Roman"/>
          <w:szCs w:val="24"/>
        </w:rPr>
        <w:t xml:space="preserve">relative scales, correlations, and shapes </w:t>
      </w:r>
      <w:r w:rsidR="00184153">
        <w:rPr>
          <w:rFonts w:cs="Times New Roman"/>
          <w:szCs w:val="24"/>
        </w:rPr>
        <w:t>at</w:t>
      </w:r>
      <w:r w:rsidR="00A65BAA" w:rsidRPr="00290D19">
        <w:rPr>
          <w:rFonts w:cs="Times New Roman"/>
          <w:szCs w:val="24"/>
        </w:rPr>
        <w:t xml:space="preserve"> the structural kernel error </w:t>
      </w:r>
      <w:r w:rsidR="00184153">
        <w:rPr>
          <w:rFonts w:cs="Times New Roman"/>
          <w:szCs w:val="24"/>
        </w:rPr>
        <w:t>level</w:t>
      </w:r>
      <w:r w:rsidR="00A65BAA" w:rsidRPr="00290D19">
        <w:rPr>
          <w:rFonts w:cs="Times New Roman"/>
          <w:szCs w:val="24"/>
        </w:rPr>
        <w:t xml:space="preserve">, unlike the case of the MNP where only the error difference covariance matrix is </w:t>
      </w:r>
      <w:r w:rsidR="00184153">
        <w:rPr>
          <w:rFonts w:cs="Times New Roman"/>
          <w:szCs w:val="24"/>
        </w:rPr>
        <w:t>identified</w:t>
      </w:r>
      <w:r w:rsidR="00A65BAA" w:rsidRPr="00290D19">
        <w:rPr>
          <w:rFonts w:cs="Times New Roman"/>
          <w:szCs w:val="24"/>
        </w:rPr>
        <w:t xml:space="preserve"> and it is not possible to interpret the covariance matrix at the structural level of the original utilities. </w:t>
      </w:r>
    </w:p>
    <w:p w14:paraId="7B6269F9" w14:textId="77777777" w:rsidR="00395CD9" w:rsidRPr="00B71211" w:rsidRDefault="00395CD9" w:rsidP="00077490">
      <w:pPr>
        <w:spacing w:line="240" w:lineRule="auto"/>
        <w:ind w:firstLine="432"/>
        <w:rPr>
          <w:rFonts w:cs="Times New Roman"/>
          <w:szCs w:val="24"/>
        </w:rPr>
      </w:pPr>
    </w:p>
    <w:p w14:paraId="4FCE570C" w14:textId="5AE97475" w:rsidR="00F53BDA" w:rsidRPr="0093315A" w:rsidRDefault="00F53BDA" w:rsidP="00077490">
      <w:pPr>
        <w:pStyle w:val="Heading1"/>
        <w:spacing w:before="0" w:after="0" w:line="240" w:lineRule="auto"/>
        <w:rPr>
          <w:rFonts w:cs="Times New Roman"/>
          <w:szCs w:val="24"/>
        </w:rPr>
      </w:pPr>
      <w:r w:rsidRPr="0093315A">
        <w:rPr>
          <w:rFonts w:cs="Times New Roman"/>
          <w:szCs w:val="24"/>
        </w:rPr>
        <w:t>METHODOLOGY</w:t>
      </w:r>
    </w:p>
    <w:p w14:paraId="39EE57C1" w14:textId="5F79CE1A" w:rsidR="00F53BDA" w:rsidRPr="00DD5FA6" w:rsidRDefault="00F53BDA" w:rsidP="00077490">
      <w:pPr>
        <w:pStyle w:val="Heading2"/>
        <w:spacing w:before="0" w:after="0" w:line="240" w:lineRule="auto"/>
        <w:rPr>
          <w:rFonts w:cs="Times New Roman"/>
          <w:szCs w:val="24"/>
        </w:rPr>
      </w:pPr>
      <w:r w:rsidRPr="0086018F">
        <w:rPr>
          <w:rFonts w:cs="Times New Roman"/>
          <w:szCs w:val="24"/>
        </w:rPr>
        <w:t>The YJ T</w:t>
      </w:r>
      <w:r w:rsidRPr="00DD5FA6">
        <w:rPr>
          <w:rFonts w:cs="Times New Roman"/>
          <w:szCs w:val="24"/>
        </w:rPr>
        <w:t>ransformation</w:t>
      </w:r>
    </w:p>
    <w:p w14:paraId="3D8841E9" w14:textId="2B64D6E3" w:rsidR="009E2C9D" w:rsidRPr="0086018F" w:rsidRDefault="00F53BDA" w:rsidP="00077490">
      <w:pPr>
        <w:spacing w:line="240" w:lineRule="auto"/>
        <w:rPr>
          <w:rFonts w:cs="Times New Roman"/>
          <w:szCs w:val="24"/>
        </w:rPr>
      </w:pPr>
      <w:r w:rsidRPr="009E4296">
        <w:rPr>
          <w:rFonts w:cs="Times New Roman"/>
          <w:szCs w:val="24"/>
        </w:rPr>
        <w:t>The Yeo and Johnson (2000) or the YJ transformation</w:t>
      </w:r>
      <w:bookmarkStart w:id="1" w:name="_Hlk163741501"/>
      <w:r w:rsidR="000B4813" w:rsidRPr="00290D19">
        <w:rPr>
          <w:rFonts w:cs="Times New Roman"/>
          <w:szCs w:val="24"/>
        </w:rPr>
        <w:t xml:space="preserve"> is</w:t>
      </w:r>
      <w:r w:rsidRPr="00290D19">
        <w:rPr>
          <w:rFonts w:cs="Times New Roman"/>
          <w:szCs w:val="24"/>
        </w:rPr>
        <w:t xml:space="preserve"> a single-parameter transformation </w:t>
      </w:r>
      <w:r w:rsidR="000B4813" w:rsidRPr="00290D19">
        <w:rPr>
          <w:rFonts w:cs="Times New Roman"/>
          <w:szCs w:val="24"/>
        </w:rPr>
        <w:t xml:space="preserve">from an asymmetric distribution to a more symmetric target distribution. While any symmetric target distribution may be used, it is typical to use the normal distribution because of the nice properties of the normal distribution and the ability to build multivariate </w:t>
      </w:r>
      <w:r w:rsidR="000832D6" w:rsidRPr="00290D19">
        <w:rPr>
          <w:rFonts w:cs="Times New Roman"/>
          <w:szCs w:val="24"/>
        </w:rPr>
        <w:t xml:space="preserve">normal </w:t>
      </w:r>
      <w:r w:rsidR="000B4813" w:rsidRPr="00290D19">
        <w:rPr>
          <w:rFonts w:cs="Times New Roman"/>
          <w:szCs w:val="24"/>
        </w:rPr>
        <w:t xml:space="preserve">distributions using the </w:t>
      </w:r>
      <w:r w:rsidR="000832D6" w:rsidRPr="00290D19">
        <w:rPr>
          <w:rFonts w:cs="Times New Roman"/>
          <w:szCs w:val="24"/>
        </w:rPr>
        <w:t xml:space="preserve">transformed </w:t>
      </w:r>
      <w:r w:rsidR="000B4813" w:rsidRPr="00290D19">
        <w:rPr>
          <w:rFonts w:cs="Times New Roman"/>
          <w:szCs w:val="24"/>
        </w:rPr>
        <w:t>marginal normal</w:t>
      </w:r>
      <w:r w:rsidR="000832D6" w:rsidRPr="00290D19">
        <w:rPr>
          <w:rFonts w:cs="Times New Roman"/>
          <w:szCs w:val="24"/>
        </w:rPr>
        <w:t xml:space="preserve">s. </w:t>
      </w:r>
      <w:r w:rsidR="000E5A8A" w:rsidRPr="00290D19">
        <w:rPr>
          <w:rFonts w:cs="Times New Roman"/>
          <w:szCs w:val="24"/>
        </w:rPr>
        <w:t xml:space="preserve">Consider an asymmetric random error </w:t>
      </w:r>
      <w:bookmarkStart w:id="2" w:name="_Hlk163741550"/>
      <w:bookmarkEnd w:id="1"/>
      <w:r w:rsidR="00A21572" w:rsidRPr="0093315A">
        <w:rPr>
          <w:rFonts w:cs="Times New Roman"/>
          <w:position w:val="-12"/>
          <w:szCs w:val="24"/>
        </w:rPr>
        <w:object w:dxaOrig="240" w:dyaOrig="360" w14:anchorId="0164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o:preferrelative="f">
            <v:imagedata r:id="rId11" o:title=""/>
            <o:lock v:ext="edit" aspectratio="f"/>
          </v:shape>
          <o:OLEObject Type="Embed" ProgID="Equation.DSMT4" ShapeID="_x0000_i1025" DrawAspect="Content" ObjectID="_1841834400" r:id="rId12"/>
        </w:object>
      </w:r>
      <w:r w:rsidR="00EE77BA" w:rsidRPr="00B71211">
        <w:rPr>
          <w:rFonts w:cs="Times New Roman"/>
          <w:szCs w:val="24"/>
        </w:rPr>
        <w:t xml:space="preserve"> that is YJ transformed into a standard normal random term </w:t>
      </w:r>
      <w:r w:rsidR="00A21572" w:rsidRPr="0093315A">
        <w:rPr>
          <w:rFonts w:cs="Times New Roman"/>
          <w:position w:val="-12"/>
          <w:szCs w:val="24"/>
        </w:rPr>
        <w:object w:dxaOrig="240" w:dyaOrig="360" w14:anchorId="5E58D4A9">
          <v:shape id="_x0000_i1026" type="#_x0000_t75" style="width:12pt;height:18pt" o:ole="" o:preferrelative="f">
            <v:imagedata r:id="rId13" o:title=""/>
            <o:lock v:ext="edit" aspectratio="f"/>
          </v:shape>
          <o:OLEObject Type="Embed" ProgID="Equation.DSMT4" ShapeID="_x0000_i1026" DrawAspect="Content" ObjectID="_1841834401" r:id="rId14"/>
        </w:object>
      </w:r>
      <w:r w:rsidR="00EE77BA" w:rsidRPr="00B71211">
        <w:rPr>
          <w:rFonts w:cs="Times New Roman"/>
          <w:szCs w:val="24"/>
        </w:rPr>
        <w:t xml:space="preserve"> as follows</w:t>
      </w:r>
      <w:r w:rsidR="00E71DF3" w:rsidRPr="0093315A">
        <w:rPr>
          <w:rFonts w:cs="Times New Roman"/>
          <w:szCs w:val="24"/>
        </w:rPr>
        <w:t xml:space="preserve"> (</w:t>
      </w:r>
      <w:r w:rsidR="00A21572" w:rsidRPr="0093315A">
        <w:rPr>
          <w:rFonts w:cs="Times New Roman"/>
          <w:position w:val="-12"/>
          <w:szCs w:val="24"/>
        </w:rPr>
        <w:object w:dxaOrig="240" w:dyaOrig="360" w14:anchorId="30B22D05">
          <v:shape id="_x0000_i1027" type="#_x0000_t75" style="width:12pt;height:18pt" o:ole="" o:preferrelative="f">
            <v:imagedata r:id="rId15" o:title=""/>
            <o:lock v:ext="edit" aspectratio="f"/>
          </v:shape>
          <o:OLEObject Type="Embed" ProgID="Equation.DSMT4" ShapeID="_x0000_i1027" DrawAspect="Content" ObjectID="_1841834402" r:id="rId16"/>
        </w:object>
      </w:r>
      <w:r w:rsidR="00E71DF3" w:rsidRPr="00B71211">
        <w:rPr>
          <w:rFonts w:cs="Times New Roman"/>
          <w:szCs w:val="24"/>
        </w:rPr>
        <w:t xml:space="preserve"> is a transformation parameter</w:t>
      </w:r>
      <w:r w:rsidR="00EE77BA" w:rsidRPr="0093315A">
        <w:rPr>
          <w:rFonts w:cs="Times New Roman"/>
          <w:szCs w:val="24"/>
        </w:rPr>
        <w:t>:</w:t>
      </w:r>
      <w:r w:rsidR="00E71DF3" w:rsidRPr="0093315A">
        <w:rPr>
          <w:rFonts w:cs="Times New Roman"/>
          <w:szCs w:val="24"/>
        </w:rPr>
        <w:t xml:space="preserve"> </w:t>
      </w:r>
      <w:r w:rsidR="00E71DF3" w:rsidRPr="0086018F">
        <w:rPr>
          <w:rFonts w:cs="Times New Roman"/>
          <w:szCs w:val="24"/>
        </w:rPr>
        <w:t>0&lt;</w:t>
      </w:r>
      <w:r w:rsidR="00A21572" w:rsidRPr="0093315A">
        <w:rPr>
          <w:rFonts w:cs="Times New Roman"/>
          <w:position w:val="-12"/>
          <w:szCs w:val="24"/>
        </w:rPr>
        <w:object w:dxaOrig="240" w:dyaOrig="360" w14:anchorId="1708D3C5">
          <v:shape id="_x0000_i1028" type="#_x0000_t75" style="width:12pt;height:18pt" o:ole="" o:preferrelative="f">
            <v:imagedata r:id="rId17" o:title=""/>
            <o:lock v:ext="edit" aspectratio="f"/>
          </v:shape>
          <o:OLEObject Type="Embed" ProgID="Equation.DSMT4" ShapeID="_x0000_i1028" DrawAspect="Content" ObjectID="_1841834403" r:id="rId18"/>
        </w:object>
      </w:r>
      <w:r w:rsidR="00E71DF3" w:rsidRPr="00B71211">
        <w:rPr>
          <w:rFonts w:cs="Times New Roman"/>
          <w:szCs w:val="24"/>
        </w:rPr>
        <w:t>&lt;2</w:t>
      </w:r>
      <w:r w:rsidR="00E71DF3" w:rsidRPr="0093315A">
        <w:rPr>
          <w:rFonts w:cs="Times New Roman"/>
          <w:szCs w:val="24"/>
        </w:rPr>
        <w:t>):</w:t>
      </w:r>
      <w:r w:rsidR="00E71DF3" w:rsidRPr="0086018F">
        <w:rPr>
          <w:rFonts w:cs="Times New Roman"/>
          <w:szCs w:val="24"/>
        </w:rPr>
        <w:t xml:space="preserve"> </w:t>
      </w:r>
      <w:r w:rsidR="00EE77BA" w:rsidRPr="0086018F">
        <w:rPr>
          <w:rFonts w:cs="Times New Roman"/>
          <w:szCs w:val="24"/>
        </w:rPr>
        <w:t xml:space="preserve"> </w:t>
      </w:r>
    </w:p>
    <w:p w14:paraId="069B63A6" w14:textId="09DDDD29" w:rsidR="00EE77BA" w:rsidRPr="0093315A" w:rsidRDefault="00077490" w:rsidP="00077490">
      <w:pPr>
        <w:spacing w:before="120" w:after="120" w:line="240" w:lineRule="auto"/>
        <w:rPr>
          <w:rFonts w:cs="Times New Roman"/>
          <w:szCs w:val="24"/>
        </w:rPr>
      </w:pPr>
      <w:r w:rsidRPr="0093315A">
        <w:rPr>
          <w:rFonts w:cs="Times New Roman"/>
          <w:position w:val="-68"/>
          <w:szCs w:val="24"/>
        </w:rPr>
        <w:object w:dxaOrig="4819" w:dyaOrig="1480" w14:anchorId="7D5FC46D">
          <v:shape id="_x0000_i1029" type="#_x0000_t75" style="width:241.3pt;height:73.7pt" o:ole="">
            <v:imagedata r:id="rId19" o:title=""/>
          </v:shape>
          <o:OLEObject Type="Embed" ProgID="Equation.DSMT4" ShapeID="_x0000_i1029" DrawAspect="Content" ObjectID="_1841834404" r:id="rId20"/>
        </w:object>
      </w:r>
      <w:r w:rsidR="009C74AA" w:rsidRPr="00B71211">
        <w:rPr>
          <w:rFonts w:cs="Times New Roman"/>
          <w:szCs w:val="24"/>
        </w:rPr>
        <w:tab/>
      </w:r>
      <w:r w:rsidR="009C74AA" w:rsidRPr="00B71211">
        <w:rPr>
          <w:rFonts w:cs="Times New Roman"/>
          <w:szCs w:val="24"/>
        </w:rPr>
        <w:tab/>
      </w:r>
      <w:r w:rsidR="009C74AA" w:rsidRPr="00B71211">
        <w:rPr>
          <w:rFonts w:cs="Times New Roman"/>
          <w:szCs w:val="24"/>
        </w:rPr>
        <w:tab/>
      </w:r>
      <w:r w:rsidR="009C74AA" w:rsidRPr="00B71211">
        <w:rPr>
          <w:rFonts w:cs="Times New Roman"/>
          <w:szCs w:val="24"/>
        </w:rPr>
        <w:tab/>
      </w:r>
      <w:r w:rsidR="009C74AA" w:rsidRPr="00B71211">
        <w:rPr>
          <w:rFonts w:cs="Times New Roman"/>
          <w:szCs w:val="24"/>
        </w:rPr>
        <w:tab/>
      </w:r>
      <w:r w:rsidR="009C74AA" w:rsidRPr="00B71211">
        <w:rPr>
          <w:rFonts w:cs="Times New Roman"/>
          <w:szCs w:val="24"/>
        </w:rPr>
        <w:tab/>
        <w:t xml:space="preserve">       (1)</w:t>
      </w:r>
    </w:p>
    <w:bookmarkEnd w:id="2"/>
    <w:p w14:paraId="0E7130FB" w14:textId="282A5EE7" w:rsidR="00EE77BA" w:rsidRPr="0086018F" w:rsidRDefault="001D7070" w:rsidP="00077490">
      <w:pPr>
        <w:spacing w:line="240" w:lineRule="auto"/>
        <w:rPr>
          <w:rFonts w:cs="Times New Roman"/>
          <w:szCs w:val="24"/>
        </w:rPr>
      </w:pPr>
      <w:r w:rsidRPr="0093315A">
        <w:rPr>
          <w:rFonts w:cs="Times New Roman"/>
          <w:noProof/>
          <w:szCs w:val="24"/>
        </w:rPr>
        <w:t>T</w:t>
      </w:r>
      <w:r w:rsidR="00EE77BA" w:rsidRPr="0086018F">
        <w:rPr>
          <w:rFonts w:cs="Times New Roman"/>
          <w:noProof/>
          <w:szCs w:val="24"/>
        </w:rPr>
        <w:t xml:space="preserve">he more relevant transformation for discrete choice modeling is the inverse YJ transformation to characterize the asymmetric distribution of </w:t>
      </w:r>
      <w:r w:rsidR="00A21572" w:rsidRPr="0093315A">
        <w:rPr>
          <w:rFonts w:cs="Times New Roman"/>
          <w:position w:val="-12"/>
          <w:szCs w:val="24"/>
        </w:rPr>
        <w:object w:dxaOrig="240" w:dyaOrig="360" w14:anchorId="3D086D5D">
          <v:shape id="_x0000_i1030" type="#_x0000_t75" style="width:12pt;height:18pt" o:ole="" o:preferrelative="f">
            <v:imagedata r:id="rId11" o:title=""/>
            <o:lock v:ext="edit" aspectratio="f"/>
          </v:shape>
          <o:OLEObject Type="Embed" ProgID="Equation.DSMT4" ShapeID="_x0000_i1030" DrawAspect="Content" ObjectID="_1841834405" r:id="rId21"/>
        </w:object>
      </w:r>
      <w:r w:rsidR="00EE77BA" w:rsidRPr="00B71211">
        <w:rPr>
          <w:rFonts w:cs="Times New Roman"/>
          <w:szCs w:val="24"/>
        </w:rPr>
        <w:t xml:space="preserve"> as</w:t>
      </w:r>
      <w:r w:rsidRPr="0093315A">
        <w:rPr>
          <w:rFonts w:cs="Times New Roman"/>
          <w:szCs w:val="24"/>
        </w:rPr>
        <w:t xml:space="preserve"> (note that because the YJ transformation is strictly monotonic, its inverse transformation exists)</w:t>
      </w:r>
      <w:r w:rsidR="00EE77BA" w:rsidRPr="0093315A">
        <w:rPr>
          <w:rFonts w:cs="Times New Roman"/>
          <w:szCs w:val="24"/>
        </w:rPr>
        <w:t>:</w:t>
      </w:r>
    </w:p>
    <w:p w14:paraId="23F5C4B8" w14:textId="04F76FDC" w:rsidR="00F53BDA" w:rsidRPr="0086018F" w:rsidRDefault="00077490" w:rsidP="00077490">
      <w:pPr>
        <w:tabs>
          <w:tab w:val="right" w:pos="9360"/>
        </w:tabs>
        <w:spacing w:before="120" w:after="120" w:line="240" w:lineRule="auto"/>
        <w:rPr>
          <w:rFonts w:cs="Times New Roman"/>
          <w:szCs w:val="24"/>
        </w:rPr>
      </w:pPr>
      <w:r w:rsidRPr="0093315A">
        <w:rPr>
          <w:rFonts w:cs="Times New Roman"/>
          <w:position w:val="-62"/>
          <w:szCs w:val="24"/>
        </w:rPr>
        <w:object w:dxaOrig="4440" w:dyaOrig="1359" w14:anchorId="14EAFFF5">
          <v:shape id="_x0000_i1031" type="#_x0000_t75" style="width:222pt;height:67.7pt" o:ole="" o:preferrelative="f">
            <v:imagedata r:id="rId22" o:title=""/>
            <o:lock v:ext="edit" aspectratio="f"/>
          </v:shape>
          <o:OLEObject Type="Embed" ProgID="Equation.DSMT4" ShapeID="_x0000_i1031" DrawAspect="Content" ObjectID="_1841834406" r:id="rId23"/>
        </w:object>
      </w:r>
      <w:r w:rsidR="00F53BDA" w:rsidRPr="00B71211">
        <w:rPr>
          <w:rFonts w:cs="Times New Roman"/>
          <w:szCs w:val="24"/>
        </w:rPr>
        <w:t xml:space="preserve">                                                                     </w:t>
      </w:r>
      <w:r w:rsidR="009814E2" w:rsidRPr="0093315A">
        <w:rPr>
          <w:rFonts w:cs="Times New Roman"/>
          <w:szCs w:val="24"/>
        </w:rPr>
        <w:tab/>
      </w:r>
      <w:r w:rsidR="00F53BDA" w:rsidRPr="0093315A">
        <w:rPr>
          <w:rFonts w:cs="Times New Roman"/>
          <w:szCs w:val="24"/>
        </w:rPr>
        <w:t>(2)</w:t>
      </w:r>
    </w:p>
    <w:p w14:paraId="27F9E793" w14:textId="21838096" w:rsidR="009765A6" w:rsidRPr="00B71211" w:rsidRDefault="00E71DF3" w:rsidP="00077490">
      <w:pPr>
        <w:autoSpaceDE w:val="0"/>
        <w:autoSpaceDN w:val="0"/>
        <w:adjustRightInd w:val="0"/>
        <w:spacing w:line="240" w:lineRule="auto"/>
        <w:ind w:firstLine="720"/>
        <w:rPr>
          <w:rFonts w:cs="Times New Roman"/>
          <w:szCs w:val="24"/>
        </w:rPr>
      </w:pPr>
      <w:r w:rsidRPr="0086018F">
        <w:rPr>
          <w:rFonts w:cs="Times New Roman"/>
          <w:szCs w:val="24"/>
        </w:rPr>
        <w:t>In the above inverse transformation, w</w:t>
      </w:r>
      <w:r w:rsidR="00F53BDA" w:rsidRPr="0086018F">
        <w:rPr>
          <w:rFonts w:cs="Times New Roman"/>
          <w:szCs w:val="24"/>
        </w:rPr>
        <w:t>hen 0&lt;</w:t>
      </w:r>
      <w:r w:rsidR="00A21572" w:rsidRPr="0093315A">
        <w:rPr>
          <w:rFonts w:cs="Times New Roman"/>
          <w:position w:val="-12"/>
          <w:szCs w:val="24"/>
        </w:rPr>
        <w:object w:dxaOrig="240" w:dyaOrig="360" w14:anchorId="59F98D58">
          <v:shape id="_x0000_i1274" type="#_x0000_t75" style="width:12pt;height:18pt" o:ole="" o:preferrelative="f">
            <v:imagedata r:id="rId17" o:title=""/>
            <o:lock v:ext="edit" aspectratio="f"/>
          </v:shape>
          <o:OLEObject Type="Embed" ProgID="Equation.DSMT4" ShapeID="_x0000_i1274" DrawAspect="Content" ObjectID="_1841834407" r:id="rId24"/>
        </w:object>
      </w:r>
      <w:r w:rsidR="00F53BDA" w:rsidRPr="00B71211">
        <w:rPr>
          <w:rFonts w:cs="Times New Roman"/>
          <w:szCs w:val="24"/>
        </w:rPr>
        <w:t xml:space="preserve">&lt;1, </w:t>
      </w:r>
      <w:r w:rsidR="00A21572" w:rsidRPr="0093315A">
        <w:rPr>
          <w:rFonts w:cs="Times New Roman"/>
          <w:position w:val="-12"/>
          <w:szCs w:val="24"/>
        </w:rPr>
        <w:object w:dxaOrig="240" w:dyaOrig="360" w14:anchorId="261AF3E1">
          <v:shape id="_x0000_i1270" type="#_x0000_t75" style="width:12pt;height:18pt" o:ole="" o:preferrelative="f">
            <v:imagedata r:id="rId11" o:title=""/>
            <o:lock v:ext="edit" aspectratio="f"/>
          </v:shape>
          <o:OLEObject Type="Embed" ProgID="Equation.DSMT4" ShapeID="_x0000_i1270" DrawAspect="Content" ObjectID="_1841834408" r:id="rId25"/>
        </w:object>
      </w:r>
      <w:r w:rsidR="00F53BDA" w:rsidRPr="00B71211">
        <w:rPr>
          <w:rFonts w:cs="Times New Roman"/>
          <w:szCs w:val="24"/>
        </w:rPr>
        <w:t xml:space="preserve"> </w:t>
      </w:r>
      <w:r w:rsidR="00F53BDA" w:rsidRPr="0093315A">
        <w:rPr>
          <w:rFonts w:cs="Times New Roman"/>
          <w:noProof/>
          <w:szCs w:val="24"/>
        </w:rPr>
        <w:t xml:space="preserve">is skewed to the right with a thicker right tail, while if </w:t>
      </w:r>
      <w:r w:rsidR="00F53BDA" w:rsidRPr="0093315A">
        <w:rPr>
          <w:rFonts w:cs="Times New Roman"/>
          <w:szCs w:val="24"/>
        </w:rPr>
        <w:t>1&lt;</w:t>
      </w:r>
      <w:r w:rsidR="00A21572" w:rsidRPr="0093315A">
        <w:rPr>
          <w:rFonts w:cs="Times New Roman"/>
          <w:position w:val="-12"/>
          <w:szCs w:val="24"/>
        </w:rPr>
        <w:object w:dxaOrig="240" w:dyaOrig="360" w14:anchorId="2B7F48B9">
          <v:shape id="_x0000_i1276" type="#_x0000_t75" style="width:12pt;height:18pt" o:ole="" o:preferrelative="f">
            <v:imagedata r:id="rId17" o:title=""/>
            <o:lock v:ext="edit" aspectratio="f"/>
          </v:shape>
          <o:OLEObject Type="Embed" ProgID="Equation.DSMT4" ShapeID="_x0000_i1276" DrawAspect="Content" ObjectID="_1841834409" r:id="rId26"/>
        </w:object>
      </w:r>
      <w:r w:rsidR="00F53BDA" w:rsidRPr="00B71211">
        <w:rPr>
          <w:rFonts w:cs="Times New Roman"/>
          <w:szCs w:val="24"/>
        </w:rPr>
        <w:t xml:space="preserve">&lt;2, </w:t>
      </w:r>
      <w:r w:rsidR="00A21572" w:rsidRPr="0093315A">
        <w:rPr>
          <w:rFonts w:cs="Times New Roman"/>
          <w:position w:val="-12"/>
          <w:szCs w:val="24"/>
        </w:rPr>
        <w:object w:dxaOrig="240" w:dyaOrig="360" w14:anchorId="383733E5">
          <v:shape id="_x0000_i1035" type="#_x0000_t75" style="width:12pt;height:18pt" o:ole="" o:preferrelative="f">
            <v:imagedata r:id="rId27" o:title=""/>
            <o:lock v:ext="edit" aspectratio="f"/>
          </v:shape>
          <o:OLEObject Type="Embed" ProgID="Equation.DSMT4" ShapeID="_x0000_i1035" DrawAspect="Content" ObjectID="_1841834410" r:id="rId28"/>
        </w:object>
      </w:r>
      <w:r w:rsidRPr="00B71211">
        <w:rPr>
          <w:rFonts w:cs="Times New Roman"/>
          <w:szCs w:val="24"/>
        </w:rPr>
        <w:t xml:space="preserve"> </w:t>
      </w:r>
      <w:r w:rsidR="00F53BDA" w:rsidRPr="0093315A">
        <w:rPr>
          <w:rFonts w:cs="Times New Roman"/>
          <w:noProof/>
          <w:szCs w:val="24"/>
        </w:rPr>
        <w:t>is skewed to the left with a thicker left tail. When</w:t>
      </w:r>
      <w:r w:rsidR="00A21572" w:rsidRPr="0093315A">
        <w:rPr>
          <w:rFonts w:cs="Times New Roman"/>
          <w:position w:val="-12"/>
          <w:szCs w:val="24"/>
        </w:rPr>
        <w:object w:dxaOrig="240" w:dyaOrig="360" w14:anchorId="2C5480AE">
          <v:shape id="_x0000_i1036" type="#_x0000_t75" style="width:12pt;height:18pt" o:ole="" o:preferrelative="f">
            <v:imagedata r:id="rId29" o:title=""/>
            <o:lock v:ext="edit" aspectratio="f"/>
          </v:shape>
          <o:OLEObject Type="Embed" ProgID="Equation.DSMT4" ShapeID="_x0000_i1036" DrawAspect="Content" ObjectID="_1841834411" r:id="rId30"/>
        </w:object>
      </w:r>
      <w:r w:rsidR="00F53BDA" w:rsidRPr="00B71211">
        <w:rPr>
          <w:rFonts w:cs="Times New Roman"/>
          <w:szCs w:val="24"/>
        </w:rPr>
        <w:t>=1, the normal distribution is returned for</w:t>
      </w:r>
      <w:r w:rsidRPr="0093315A">
        <w:rPr>
          <w:rFonts w:cs="Times New Roman"/>
          <w:szCs w:val="24"/>
        </w:rPr>
        <w:t xml:space="preserve"> </w:t>
      </w:r>
      <w:r w:rsidR="00A21572" w:rsidRPr="0093315A">
        <w:rPr>
          <w:rFonts w:cs="Times New Roman"/>
          <w:position w:val="-12"/>
          <w:szCs w:val="24"/>
        </w:rPr>
        <w:object w:dxaOrig="240" w:dyaOrig="360" w14:anchorId="3FF7EC5F">
          <v:shape id="_x0000_i1272" type="#_x0000_t75" style="width:12pt;height:18pt" o:ole="" o:preferrelative="f">
            <v:imagedata r:id="rId11" o:title=""/>
            <o:lock v:ext="edit" aspectratio="f"/>
          </v:shape>
          <o:OLEObject Type="Embed" ProgID="Equation.DSMT4" ShapeID="_x0000_i1272" DrawAspect="Content" ObjectID="_1841834412" r:id="rId31"/>
        </w:object>
      </w:r>
      <w:r w:rsidR="00F53BDA" w:rsidRPr="00B71211">
        <w:rPr>
          <w:rFonts w:cs="Times New Roman"/>
          <w:szCs w:val="24"/>
        </w:rPr>
        <w:t xml:space="preserve">. </w:t>
      </w:r>
      <w:r w:rsidR="0021094C" w:rsidRPr="0093315A">
        <w:rPr>
          <w:rFonts w:cs="Times New Roman"/>
          <w:szCs w:val="24"/>
        </w:rPr>
        <w:t xml:space="preserve">The transformation is quite general, and </w:t>
      </w:r>
      <w:r w:rsidRPr="0093315A">
        <w:rPr>
          <w:rFonts w:cs="Times New Roman"/>
          <w:szCs w:val="24"/>
        </w:rPr>
        <w:t xml:space="preserve">is able to </w:t>
      </w:r>
      <w:r w:rsidR="00432A9A" w:rsidRPr="0086018F">
        <w:rPr>
          <w:rFonts w:cs="Times New Roman"/>
          <w:szCs w:val="24"/>
        </w:rPr>
        <w:t>represent a</w:t>
      </w:r>
      <w:r w:rsidR="0021094C" w:rsidRPr="0086018F">
        <w:rPr>
          <w:rFonts w:cs="Times New Roman"/>
          <w:szCs w:val="24"/>
        </w:rPr>
        <w:t xml:space="preserve"> </w:t>
      </w:r>
      <w:r w:rsidRPr="0086018F">
        <w:rPr>
          <w:rFonts w:cs="Times New Roman"/>
          <w:szCs w:val="24"/>
        </w:rPr>
        <w:t xml:space="preserve">whole </w:t>
      </w:r>
      <w:r w:rsidR="0021094C" w:rsidRPr="00DD5FA6">
        <w:rPr>
          <w:rFonts w:cs="Times New Roman"/>
          <w:szCs w:val="24"/>
        </w:rPr>
        <w:t xml:space="preserve">variety of </w:t>
      </w:r>
      <w:r w:rsidRPr="00DD5FA6">
        <w:rPr>
          <w:rFonts w:cs="Times New Roman"/>
          <w:szCs w:val="24"/>
        </w:rPr>
        <w:t xml:space="preserve">asymmetric </w:t>
      </w:r>
      <w:r w:rsidR="0021094C" w:rsidRPr="00DD5FA6">
        <w:rPr>
          <w:rFonts w:cs="Times New Roman"/>
          <w:szCs w:val="24"/>
        </w:rPr>
        <w:t>unimodal distributions very closely</w:t>
      </w:r>
      <w:r w:rsidRPr="009E4296">
        <w:rPr>
          <w:rFonts w:cs="Times New Roman"/>
          <w:szCs w:val="24"/>
        </w:rPr>
        <w:t xml:space="preserve"> (including the skew normal and </w:t>
      </w:r>
      <w:r w:rsidRPr="00290D19">
        <w:rPr>
          <w:rFonts w:cs="Times New Roman"/>
          <w:szCs w:val="24"/>
        </w:rPr>
        <w:t>skew-t) as illustrated in Bhat et al. (2025)</w:t>
      </w:r>
      <w:r w:rsidR="0021094C" w:rsidRPr="00290D19">
        <w:rPr>
          <w:rFonts w:cs="Times New Roman"/>
          <w:szCs w:val="24"/>
        </w:rPr>
        <w:t xml:space="preserve">. </w:t>
      </w:r>
      <w:r w:rsidR="00172D41" w:rsidRPr="00290D19">
        <w:rPr>
          <w:rFonts w:cs="Times New Roman"/>
          <w:szCs w:val="24"/>
        </w:rPr>
        <w:t>T</w:t>
      </w:r>
      <w:r w:rsidR="001D7070" w:rsidRPr="00290D19">
        <w:rPr>
          <w:rFonts w:cs="Times New Roman"/>
          <w:szCs w:val="24"/>
        </w:rPr>
        <w:t xml:space="preserve">he cumulative distribution function (CDF) and probability density function (PDF) of </w:t>
      </w:r>
      <w:r w:rsidR="00A21572" w:rsidRPr="0093315A">
        <w:rPr>
          <w:rFonts w:cs="Times New Roman"/>
          <w:position w:val="-12"/>
          <w:szCs w:val="24"/>
        </w:rPr>
        <w:object w:dxaOrig="240" w:dyaOrig="360" w14:anchorId="2C11BCAF">
          <v:shape id="_x0000_i1038" type="#_x0000_t75" style="width:12.45pt;height:18pt" o:ole="" o:preferrelative="f">
            <v:imagedata r:id="rId32" o:title=""/>
            <o:lock v:ext="edit" aspectratio="f"/>
          </v:shape>
          <o:OLEObject Type="Embed" ProgID="Equation.DSMT4" ShapeID="_x0000_i1038" DrawAspect="Content" ObjectID="_1841834413" r:id="rId33"/>
        </w:object>
      </w:r>
      <w:r w:rsidR="001D7070" w:rsidRPr="00B71211">
        <w:rPr>
          <w:rFonts w:cs="Times New Roman"/>
          <w:szCs w:val="24"/>
        </w:rPr>
        <w:t xml:space="preserve"> may be obtained as:</w:t>
      </w:r>
    </w:p>
    <w:p w14:paraId="39468AB5" w14:textId="1D113910" w:rsidR="009765A6" w:rsidRDefault="00077490" w:rsidP="00077490">
      <w:pPr>
        <w:tabs>
          <w:tab w:val="right" w:pos="9360"/>
        </w:tabs>
        <w:autoSpaceDE w:val="0"/>
        <w:autoSpaceDN w:val="0"/>
        <w:adjustRightInd w:val="0"/>
        <w:spacing w:before="120" w:after="120" w:line="240" w:lineRule="auto"/>
        <w:rPr>
          <w:rFonts w:cs="Times New Roman"/>
          <w:szCs w:val="24"/>
        </w:rPr>
      </w:pPr>
      <w:r w:rsidRPr="00395CD9">
        <w:rPr>
          <w:rFonts w:cs="Times New Roman"/>
          <w:position w:val="-60"/>
          <w:szCs w:val="24"/>
        </w:rPr>
        <w:object w:dxaOrig="8400" w:dyaOrig="1320" w14:anchorId="3F804C88">
          <v:shape id="_x0000_i1039" type="#_x0000_t75" style="width:419.55pt;height:66.45pt" o:ole="" o:preferrelative="f">
            <v:imagedata r:id="rId34" o:title=""/>
            <o:lock v:ext="edit" aspectratio="f"/>
          </v:shape>
          <o:OLEObject Type="Embed" ProgID="Equation.DSMT4" ShapeID="_x0000_i1039" DrawAspect="Content" ObjectID="_1841834414" r:id="rId35"/>
        </w:object>
      </w:r>
      <w:r w:rsidR="00504B2F" w:rsidRPr="00B71211">
        <w:rPr>
          <w:rFonts w:cs="Times New Roman"/>
          <w:szCs w:val="24"/>
        </w:rPr>
        <w:tab/>
      </w:r>
      <w:r w:rsidR="00504B2F" w:rsidRPr="00290D19">
        <w:rPr>
          <w:rFonts w:cs="Times New Roman"/>
          <w:szCs w:val="24"/>
        </w:rPr>
        <w:t>(3</w:t>
      </w:r>
      <w:r w:rsidR="009765A6">
        <w:rPr>
          <w:rFonts w:cs="Times New Roman"/>
          <w:szCs w:val="24"/>
        </w:rPr>
        <w:t>)</w:t>
      </w:r>
    </w:p>
    <w:p w14:paraId="2DFA1B3C" w14:textId="5B367917" w:rsidR="00077EA5" w:rsidRPr="00290D19" w:rsidRDefault="001D7070" w:rsidP="00077490">
      <w:pPr>
        <w:autoSpaceDE w:val="0"/>
        <w:autoSpaceDN w:val="0"/>
        <w:adjustRightInd w:val="0"/>
        <w:spacing w:line="240" w:lineRule="auto"/>
        <w:rPr>
          <w:rFonts w:eastAsia="Times New Roman" w:cs="Times New Roman"/>
          <w:szCs w:val="24"/>
        </w:rPr>
      </w:pPr>
      <w:r w:rsidRPr="0093315A">
        <w:rPr>
          <w:rFonts w:cs="Times New Roman"/>
          <w:position w:val="-4"/>
          <w:szCs w:val="24"/>
        </w:rPr>
        <w:object w:dxaOrig="260" w:dyaOrig="240" w14:anchorId="26E99A0C">
          <v:shape id="_x0000_i1040" type="#_x0000_t75" style="width:12.45pt;height:12pt" o:ole="" o:preferrelative="f">
            <v:imagedata r:id="rId36" o:title=""/>
            <o:lock v:ext="edit" aspectratio="f"/>
          </v:shape>
          <o:OLEObject Type="Embed" ProgID="Equation.DSMT4" ShapeID="_x0000_i1040" DrawAspect="Content" ObjectID="_1841834415" r:id="rId37"/>
        </w:object>
      </w:r>
      <w:r w:rsidRPr="00B71211">
        <w:rPr>
          <w:rFonts w:cs="Times New Roman"/>
          <w:szCs w:val="24"/>
        </w:rPr>
        <w:t xml:space="preserve">(.) and </w:t>
      </w:r>
      <w:r w:rsidR="00A21572" w:rsidRPr="0093315A">
        <w:rPr>
          <w:rFonts w:cs="Times New Roman"/>
          <w:position w:val="-10"/>
          <w:szCs w:val="24"/>
        </w:rPr>
        <w:object w:dxaOrig="420" w:dyaOrig="320" w14:anchorId="6AC78683">
          <v:shape id="_x0000_i1041" type="#_x0000_t75" style="width:21pt;height:15.85pt" o:ole="" o:preferrelative="f">
            <v:imagedata r:id="rId38" o:title=""/>
            <o:lock v:ext="edit" aspectratio="f"/>
          </v:shape>
          <o:OLEObject Type="Embed" ProgID="Equation.DSMT4" ShapeID="_x0000_i1041" DrawAspect="Content" ObjectID="_1841834416" r:id="rId39"/>
        </w:object>
      </w:r>
      <w:r w:rsidRPr="00B71211">
        <w:rPr>
          <w:rFonts w:cs="Times New Roman"/>
          <w:szCs w:val="24"/>
        </w:rPr>
        <w:t xml:space="preserve"> </w:t>
      </w:r>
      <w:r w:rsidR="009765A6">
        <w:rPr>
          <w:rFonts w:cs="Times New Roman"/>
          <w:szCs w:val="24"/>
        </w:rPr>
        <w:t xml:space="preserve">above </w:t>
      </w:r>
      <w:r w:rsidRPr="00B71211">
        <w:rPr>
          <w:rFonts w:cs="Times New Roman"/>
          <w:szCs w:val="24"/>
        </w:rPr>
        <w:t>refer to the CDF and PDF of the standard univariate normal distribution.</w:t>
      </w:r>
      <w:r w:rsidR="00A21572" w:rsidRPr="0093315A">
        <w:rPr>
          <w:rFonts w:cs="Times New Roman"/>
          <w:position w:val="-10"/>
          <w:szCs w:val="24"/>
        </w:rPr>
        <w:object w:dxaOrig="680" w:dyaOrig="320" w14:anchorId="03804CB9">
          <v:shape id="_x0000_i1042" type="#_x0000_t75" style="width:33.85pt;height:15.85pt" o:ole="" o:preferrelative="f">
            <v:imagedata r:id="rId40" o:title=""/>
            <o:lock v:ext="edit" aspectratio="f"/>
          </v:shape>
          <o:OLEObject Type="Embed" ProgID="Equation.DSMT4" ShapeID="_x0000_i1042" DrawAspect="Content" ObjectID="_1841834417" r:id="rId41"/>
        </w:object>
      </w:r>
      <w:r w:rsidRPr="00B71211">
        <w:rPr>
          <w:rFonts w:cs="Times New Roman"/>
          <w:szCs w:val="24"/>
        </w:rPr>
        <w:t xml:space="preserve"> is a sign-based dummy variable with a </w:t>
      </w:r>
      <w:r w:rsidRPr="0093315A">
        <w:rPr>
          <w:rFonts w:cs="Times New Roman"/>
          <w:szCs w:val="24"/>
        </w:rPr>
        <w:t xml:space="preserve">value of 1 if </w:t>
      </w:r>
      <w:r w:rsidR="00A21572" w:rsidRPr="0093315A">
        <w:rPr>
          <w:rFonts w:cs="Times New Roman"/>
          <w:position w:val="-4"/>
          <w:szCs w:val="24"/>
        </w:rPr>
        <w:object w:dxaOrig="200" w:dyaOrig="200" w14:anchorId="6C0C15DE">
          <v:shape id="_x0000_i1043" type="#_x0000_t75" style="width:10.3pt;height:10.3pt" o:ole="">
            <v:imagedata r:id="rId42" o:title=""/>
          </v:shape>
          <o:OLEObject Type="Embed" ProgID="Equation.DSMT4" ShapeID="_x0000_i1043" DrawAspect="Content" ObjectID="_1841834418" r:id="rId43"/>
        </w:object>
      </w:r>
      <w:r w:rsidRPr="00B71211">
        <w:rPr>
          <w:rFonts w:cs="Times New Roman"/>
          <w:szCs w:val="24"/>
        </w:rPr>
        <w:t xml:space="preserve"> </w:t>
      </w:r>
      <w:r w:rsidRPr="0093315A">
        <w:rPr>
          <w:rFonts w:cs="Times New Roman"/>
          <w:szCs w:val="24"/>
        </w:rPr>
        <w:t xml:space="preserve">is positive, a </w:t>
      </w:r>
      <w:r w:rsidRPr="0086018F">
        <w:rPr>
          <w:rFonts w:cs="Times New Roman"/>
          <w:szCs w:val="24"/>
        </w:rPr>
        <w:t xml:space="preserve">value of </w:t>
      </w:r>
      <w:r w:rsidR="00A21572">
        <w:rPr>
          <w:rFonts w:cs="Times New Roman"/>
          <w:szCs w:val="24"/>
        </w:rPr>
        <w:t>–</w:t>
      </w:r>
      <w:r w:rsidRPr="0086018F">
        <w:rPr>
          <w:rFonts w:cs="Times New Roman"/>
          <w:szCs w:val="24"/>
        </w:rPr>
        <w:t xml:space="preserve">1 if </w:t>
      </w:r>
      <w:r w:rsidR="00A21572" w:rsidRPr="0093315A">
        <w:rPr>
          <w:rFonts w:cs="Times New Roman"/>
          <w:position w:val="-4"/>
          <w:szCs w:val="24"/>
        </w:rPr>
        <w:object w:dxaOrig="200" w:dyaOrig="200" w14:anchorId="2A32AE78">
          <v:shape id="_x0000_i1286" type="#_x0000_t75" style="width:10.3pt;height:10.3pt" o:ole="">
            <v:imagedata r:id="rId42" o:title=""/>
          </v:shape>
          <o:OLEObject Type="Embed" ProgID="Equation.DSMT4" ShapeID="_x0000_i1286" DrawAspect="Content" ObjectID="_1841834419" r:id="rId44"/>
        </w:object>
      </w:r>
      <w:r w:rsidRPr="00B71211">
        <w:rPr>
          <w:rFonts w:cs="Times New Roman"/>
          <w:szCs w:val="24"/>
        </w:rPr>
        <w:t xml:space="preserve"> </w:t>
      </w:r>
      <w:r w:rsidRPr="0093315A">
        <w:rPr>
          <w:rFonts w:cs="Times New Roman"/>
          <w:szCs w:val="24"/>
        </w:rPr>
        <w:t>is negative, and a</w:t>
      </w:r>
      <w:r w:rsidRPr="0086018F">
        <w:rPr>
          <w:rFonts w:cs="Times New Roman"/>
          <w:szCs w:val="24"/>
        </w:rPr>
        <w:t xml:space="preserve"> value of 0 if </w:t>
      </w:r>
      <w:r w:rsidR="00A21572" w:rsidRPr="0093315A">
        <w:rPr>
          <w:rFonts w:cs="Times New Roman"/>
          <w:position w:val="-4"/>
          <w:szCs w:val="24"/>
        </w:rPr>
        <w:object w:dxaOrig="200" w:dyaOrig="200" w14:anchorId="26485F56">
          <v:shape id="_x0000_i1288" type="#_x0000_t75" style="width:10.3pt;height:10.3pt" o:ole="">
            <v:imagedata r:id="rId42" o:title=""/>
          </v:shape>
          <o:OLEObject Type="Embed" ProgID="Equation.DSMT4" ShapeID="_x0000_i1288" DrawAspect="Content" ObjectID="_1841834420" r:id="rId45"/>
        </w:object>
      </w:r>
      <w:r w:rsidRPr="00B71211">
        <w:rPr>
          <w:rFonts w:cs="Times New Roman"/>
          <w:szCs w:val="24"/>
        </w:rPr>
        <w:t xml:space="preserve"> is zero.</w:t>
      </w:r>
      <w:r w:rsidR="00A91DCE" w:rsidRPr="0093315A">
        <w:rPr>
          <w:rFonts w:cs="Times New Roman"/>
          <w:szCs w:val="24"/>
        </w:rPr>
        <w:t xml:space="preserve"> The </w:t>
      </w:r>
      <w:r w:rsidR="00627E00" w:rsidRPr="0093315A">
        <w:rPr>
          <w:rFonts w:cs="Times New Roman"/>
          <w:szCs w:val="24"/>
        </w:rPr>
        <w:t xml:space="preserve">moments of </w:t>
      </w:r>
      <w:r w:rsidR="00A21572" w:rsidRPr="0093315A">
        <w:rPr>
          <w:rFonts w:cs="Times New Roman"/>
          <w:position w:val="-12"/>
          <w:szCs w:val="24"/>
        </w:rPr>
        <w:object w:dxaOrig="240" w:dyaOrig="360" w14:anchorId="23BB0F0D">
          <v:shape id="_x0000_i1046" type="#_x0000_t75" style="width:12pt;height:18pt" o:ole="" o:preferrelative="f">
            <v:imagedata r:id="rId27" o:title=""/>
            <o:lock v:ext="edit" aspectratio="f"/>
          </v:shape>
          <o:OLEObject Type="Embed" ProgID="Equation.DSMT4" ShapeID="_x0000_i1046" DrawAspect="Content" ObjectID="_1841834421" r:id="rId46"/>
        </w:object>
      </w:r>
      <w:r w:rsidR="00627E00" w:rsidRPr="00B71211">
        <w:rPr>
          <w:rFonts w:cs="Times New Roman"/>
          <w:szCs w:val="24"/>
        </w:rPr>
        <w:t xml:space="preserve"> (including the mean, standard deviation and the skew/kurtosis) are all dependent upon </w:t>
      </w:r>
      <w:r w:rsidR="00A21572" w:rsidRPr="0093315A">
        <w:rPr>
          <w:rFonts w:eastAsia="Times New Roman" w:cs="Times New Roman"/>
          <w:position w:val="-12"/>
          <w:szCs w:val="24"/>
        </w:rPr>
        <w:object w:dxaOrig="240" w:dyaOrig="360" w14:anchorId="38E84FE5">
          <v:shape id="_x0000_i1047" type="#_x0000_t75" style="width:12pt;height:18pt" o:ole="" o:preferrelative="f">
            <v:imagedata r:id="rId47" o:title=""/>
            <o:lock v:ext="edit" aspectratio="f"/>
          </v:shape>
          <o:OLEObject Type="Embed" ProgID="Equation.DSMT4" ShapeID="_x0000_i1047" DrawAspect="Content" ObjectID="_1841834422" r:id="rId48"/>
        </w:object>
      </w:r>
      <w:r w:rsidR="00627E00" w:rsidRPr="00B71211">
        <w:rPr>
          <w:rFonts w:eastAsia="Times New Roman" w:cs="Times New Roman"/>
          <w:szCs w:val="24"/>
        </w:rPr>
        <w:t>. While there is no known closed form for these moments</w:t>
      </w:r>
      <w:r w:rsidR="00077EA5" w:rsidRPr="0093315A">
        <w:rPr>
          <w:rFonts w:eastAsia="Times New Roman" w:cs="Times New Roman"/>
          <w:szCs w:val="24"/>
        </w:rPr>
        <w:t xml:space="preserve"> as a function of the YJ parameter </w:t>
      </w:r>
      <w:r w:rsidR="00A21572" w:rsidRPr="0093315A">
        <w:rPr>
          <w:rFonts w:eastAsia="Times New Roman" w:cs="Times New Roman"/>
          <w:position w:val="-12"/>
          <w:szCs w:val="24"/>
        </w:rPr>
        <w:object w:dxaOrig="240" w:dyaOrig="360" w14:anchorId="656EB15F">
          <v:shape id="_x0000_i1048" type="#_x0000_t75" style="width:12pt;height:18pt" o:ole="" o:preferrelative="f">
            <v:imagedata r:id="rId47" o:title=""/>
            <o:lock v:ext="edit" aspectratio="f"/>
          </v:shape>
          <o:OLEObject Type="Embed" ProgID="Equation.DSMT4" ShapeID="_x0000_i1048" DrawAspect="Content" ObjectID="_1841834423" r:id="rId49"/>
        </w:object>
      </w:r>
      <w:r w:rsidR="00627E00" w:rsidRPr="00B71211">
        <w:rPr>
          <w:rFonts w:eastAsia="Times New Roman" w:cs="Times New Roman"/>
          <w:szCs w:val="24"/>
        </w:rPr>
        <w:t>, they are easily computed from the density function in Equation (</w:t>
      </w:r>
      <w:r w:rsidR="009765A6">
        <w:rPr>
          <w:rFonts w:eastAsia="Times New Roman" w:cs="Times New Roman"/>
          <w:szCs w:val="24"/>
        </w:rPr>
        <w:t>3</w:t>
      </w:r>
      <w:r w:rsidR="00627E00" w:rsidRPr="00290D19">
        <w:rPr>
          <w:rFonts w:eastAsia="Times New Roman" w:cs="Times New Roman"/>
          <w:szCs w:val="24"/>
        </w:rPr>
        <w:t>)</w:t>
      </w:r>
      <w:r w:rsidR="00077EA5" w:rsidRPr="00290D19">
        <w:rPr>
          <w:rFonts w:eastAsia="Times New Roman" w:cs="Times New Roman"/>
          <w:szCs w:val="24"/>
        </w:rPr>
        <w:t xml:space="preserve"> as:</w:t>
      </w:r>
    </w:p>
    <w:p w14:paraId="3A2A9360" w14:textId="40C77D51" w:rsidR="009765A6" w:rsidRDefault="00077490" w:rsidP="00077490">
      <w:pPr>
        <w:autoSpaceDE w:val="0"/>
        <w:autoSpaceDN w:val="0"/>
        <w:adjustRightInd w:val="0"/>
        <w:spacing w:before="120" w:after="120" w:line="240" w:lineRule="auto"/>
        <w:rPr>
          <w:rFonts w:eastAsia="Times New Roman" w:cs="Times New Roman"/>
          <w:szCs w:val="24"/>
        </w:rPr>
      </w:pPr>
      <w:r w:rsidRPr="0093315A">
        <w:rPr>
          <w:rFonts w:cs="Times New Roman"/>
          <w:position w:val="-78"/>
          <w:szCs w:val="24"/>
        </w:rPr>
        <w:object w:dxaOrig="7200" w:dyaOrig="1680" w14:anchorId="483992A7">
          <v:shape id="_x0000_i1049" type="#_x0000_t75" style="width:5in;height:84.45pt" o:ole="" o:preferrelative="f">
            <v:imagedata r:id="rId50" o:title=""/>
            <o:lock v:ext="edit" aspectratio="f"/>
          </v:shape>
          <o:OLEObject Type="Embed" ProgID="Equation.DSMT4" ShapeID="_x0000_i1049" DrawAspect="Content" ObjectID="_1841834424" r:id="rId51"/>
        </w:object>
      </w:r>
      <w:r w:rsidR="00627E00" w:rsidRPr="00B71211">
        <w:rPr>
          <w:rFonts w:eastAsia="Times New Roman" w:cs="Times New Roman"/>
          <w:szCs w:val="24"/>
        </w:rPr>
        <w:t xml:space="preserve">. </w:t>
      </w:r>
      <w:r w:rsidR="00504B2F" w:rsidRPr="0093315A">
        <w:rPr>
          <w:rFonts w:eastAsia="Times New Roman" w:cs="Times New Roman"/>
          <w:szCs w:val="24"/>
        </w:rPr>
        <w:tab/>
      </w:r>
      <w:r w:rsidR="00504B2F" w:rsidRPr="0093315A">
        <w:rPr>
          <w:rFonts w:eastAsia="Times New Roman" w:cs="Times New Roman"/>
          <w:szCs w:val="24"/>
        </w:rPr>
        <w:tab/>
        <w:t xml:space="preserve">       (4)</w:t>
      </w:r>
    </w:p>
    <w:p w14:paraId="401E4738" w14:textId="46882B1A" w:rsidR="00EA5E2E" w:rsidRPr="00077490" w:rsidRDefault="00077EA5" w:rsidP="00077490">
      <w:pPr>
        <w:autoSpaceDE w:val="0"/>
        <w:autoSpaceDN w:val="0"/>
        <w:adjustRightInd w:val="0"/>
        <w:spacing w:line="240" w:lineRule="auto"/>
        <w:rPr>
          <w:rFonts w:cs="Times New Roman"/>
          <w:szCs w:val="24"/>
        </w:rPr>
      </w:pPr>
      <w:r w:rsidRPr="00B71211">
        <w:rPr>
          <w:rFonts w:eastAsia="Times New Roman" w:cs="Times New Roman"/>
          <w:szCs w:val="24"/>
        </w:rPr>
        <w:t xml:space="preserve">These quantities may be estimated quickly for given </w:t>
      </w:r>
      <w:r w:rsidR="00A21572" w:rsidRPr="00B71211">
        <w:rPr>
          <w:rFonts w:eastAsia="Times New Roman" w:cs="Times New Roman"/>
          <w:position w:val="-12"/>
          <w:szCs w:val="24"/>
        </w:rPr>
        <w:object w:dxaOrig="240" w:dyaOrig="360" w14:anchorId="23A2CB81">
          <v:shape id="_x0000_i1050" type="#_x0000_t75" style="width:12pt;height:18pt" o:ole="" o:preferrelative="f">
            <v:imagedata r:id="rId47" o:title=""/>
            <o:lock v:ext="edit" aspectratio="f"/>
          </v:shape>
          <o:OLEObject Type="Embed" ProgID="Equation.DSMT4" ShapeID="_x0000_i1050" DrawAspect="Content" ObjectID="_1841834425" r:id="rId52"/>
        </w:object>
      </w:r>
      <w:r w:rsidRPr="00B71211">
        <w:rPr>
          <w:rFonts w:eastAsia="Times New Roman" w:cs="Times New Roman"/>
          <w:szCs w:val="24"/>
        </w:rPr>
        <w:t xml:space="preserve"> using Gauss-Hermite quadrature. Then, f</w:t>
      </w:r>
      <w:r w:rsidR="00627E00" w:rsidRPr="00B71211">
        <w:rPr>
          <w:rFonts w:eastAsia="Times New Roman" w:cs="Times New Roman"/>
          <w:szCs w:val="24"/>
        </w:rPr>
        <w:t xml:space="preserve">or future use, and to ensure that the inverse YJ transformation parameter </w:t>
      </w:r>
      <w:r w:rsidR="00A21572" w:rsidRPr="00B71211">
        <w:rPr>
          <w:rFonts w:eastAsia="Times New Roman" w:cs="Times New Roman"/>
          <w:position w:val="-12"/>
          <w:szCs w:val="24"/>
        </w:rPr>
        <w:object w:dxaOrig="240" w:dyaOrig="360" w14:anchorId="7626B8B0">
          <v:shape id="_x0000_i1292" type="#_x0000_t75" style="width:12pt;height:18pt" o:ole="" o:preferrelative="f">
            <v:imagedata r:id="rId47" o:title=""/>
            <o:lock v:ext="edit" aspectratio="f"/>
          </v:shape>
          <o:OLEObject Type="Embed" ProgID="Equation.DSMT4" ShapeID="_x0000_i1292" DrawAspect="Content" ObjectID="_1841834426" r:id="rId53"/>
        </w:object>
      </w:r>
      <w:r w:rsidR="00627E00" w:rsidRPr="00B71211">
        <w:rPr>
          <w:rFonts w:cs="Times New Roman"/>
          <w:szCs w:val="24"/>
        </w:rPr>
        <w:t xml:space="preserve"> </w:t>
      </w:r>
      <w:r w:rsidRPr="00B71211">
        <w:rPr>
          <w:rFonts w:cs="Times New Roman"/>
          <w:szCs w:val="24"/>
        </w:rPr>
        <w:t xml:space="preserve">is estimated solely based on shape (that is, skew and kurtosis), and </w:t>
      </w:r>
      <w:r w:rsidR="00627E00" w:rsidRPr="0093315A">
        <w:rPr>
          <w:rFonts w:cs="Times New Roman"/>
          <w:szCs w:val="24"/>
        </w:rPr>
        <w:t>does not confound location/scale with shap</w:t>
      </w:r>
      <w:r w:rsidRPr="0093315A">
        <w:rPr>
          <w:rFonts w:cs="Times New Roman"/>
          <w:szCs w:val="24"/>
        </w:rPr>
        <w:t xml:space="preserve">e, </w:t>
      </w:r>
      <w:r w:rsidR="00627E00" w:rsidRPr="0086018F">
        <w:rPr>
          <w:rFonts w:cs="Times New Roman"/>
          <w:szCs w:val="24"/>
        </w:rPr>
        <w:t xml:space="preserve">we </w:t>
      </w:r>
      <w:r w:rsidRPr="0086018F">
        <w:rPr>
          <w:rFonts w:cs="Times New Roman"/>
          <w:szCs w:val="24"/>
        </w:rPr>
        <w:t>define a standardized error term as follows:</w:t>
      </w:r>
    </w:p>
    <w:p w14:paraId="4CA137D7" w14:textId="428D6A06" w:rsidR="00077EA5" w:rsidRPr="0086018F" w:rsidRDefault="00D5578F" w:rsidP="00077490">
      <w:pPr>
        <w:autoSpaceDE w:val="0"/>
        <w:autoSpaceDN w:val="0"/>
        <w:adjustRightInd w:val="0"/>
        <w:spacing w:before="120" w:after="120" w:line="240" w:lineRule="auto"/>
        <w:rPr>
          <w:rFonts w:cs="Times New Roman"/>
          <w:szCs w:val="24"/>
        </w:rPr>
      </w:pPr>
      <w:r w:rsidRPr="00B71211">
        <w:rPr>
          <w:rFonts w:cs="Times New Roman"/>
          <w:position w:val="-30"/>
          <w:szCs w:val="24"/>
        </w:rPr>
        <w:object w:dxaOrig="1500" w:dyaOrig="680" w14:anchorId="743DF0BB">
          <v:shape id="_x0000_i1052" type="#_x0000_t75" style="width:75pt;height:33.85pt" o:ole="" o:preferrelative="f">
            <v:imagedata r:id="rId54" o:title=""/>
            <o:lock v:ext="edit" aspectratio="f"/>
          </v:shape>
          <o:OLEObject Type="Embed" ProgID="Equation.DSMT4" ShapeID="_x0000_i1052" DrawAspect="Content" ObjectID="_1841834427" r:id="rId55"/>
        </w:object>
      </w:r>
      <w:r w:rsidR="00077EA5" w:rsidRPr="00B71211">
        <w:rPr>
          <w:rFonts w:cs="Times New Roman"/>
          <w:szCs w:val="24"/>
        </w:rPr>
        <w:t>.</w:t>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t xml:space="preserve">       (5)</w:t>
      </w:r>
    </w:p>
    <w:p w14:paraId="52378416" w14:textId="7ED661CC" w:rsidR="00342169" w:rsidRPr="00B71211" w:rsidRDefault="007B6C8F" w:rsidP="00077490">
      <w:pPr>
        <w:spacing w:line="240" w:lineRule="auto"/>
        <w:rPr>
          <w:rFonts w:cs="Times New Roman"/>
          <w:szCs w:val="24"/>
        </w:rPr>
      </w:pPr>
      <w:r>
        <w:rPr>
          <w:rFonts w:cs="Times New Roman"/>
          <w:szCs w:val="24"/>
        </w:rPr>
        <w:t xml:space="preserve">To illustrate, Figure 1 provides the density for the standardized error term </w:t>
      </w:r>
      <w:r w:rsidR="00A21572" w:rsidRPr="007B6C8F">
        <w:rPr>
          <w:rFonts w:cs="Times New Roman"/>
          <w:position w:val="-12"/>
          <w:szCs w:val="24"/>
        </w:rPr>
        <w:object w:dxaOrig="240" w:dyaOrig="360" w14:anchorId="46A127BF">
          <v:shape id="_x0000_i1053" type="#_x0000_t75" style="width:12pt;height:18pt" o:ole="" o:preferrelative="f">
            <v:imagedata r:id="rId56" o:title=""/>
            <o:lock v:ext="edit" aspectratio="f"/>
          </v:shape>
          <o:OLEObject Type="Embed" ProgID="Equation.DSMT4" ShapeID="_x0000_i1053" DrawAspect="Content" ObjectID="_1841834428" r:id="rId57"/>
        </w:object>
      </w:r>
      <w:r>
        <w:rPr>
          <w:rFonts w:cs="Times New Roman"/>
          <w:szCs w:val="24"/>
        </w:rPr>
        <w:t xml:space="preserve">, for several values of </w:t>
      </w:r>
      <w:r w:rsidR="00A21572" w:rsidRPr="00B71211">
        <w:rPr>
          <w:rFonts w:eastAsia="Times New Roman" w:cs="Times New Roman"/>
          <w:position w:val="-12"/>
          <w:szCs w:val="24"/>
        </w:rPr>
        <w:object w:dxaOrig="240" w:dyaOrig="360" w14:anchorId="0B83189C">
          <v:shape id="_x0000_i1295" type="#_x0000_t75" style="width:12pt;height:18pt" o:ole="" o:preferrelative="f">
            <v:imagedata r:id="rId47" o:title=""/>
            <o:lock v:ext="edit" aspectratio="f"/>
          </v:shape>
          <o:OLEObject Type="Embed" ProgID="Equation.DSMT4" ShapeID="_x0000_i1295" DrawAspect="Content" ObjectID="_1841834429" r:id="rId58"/>
        </w:object>
      </w:r>
      <w:r>
        <w:rPr>
          <w:rFonts w:cs="Times New Roman"/>
          <w:szCs w:val="24"/>
        </w:rPr>
        <w:t xml:space="preserve"> alongside the traditional symmetric standard normal error distribution (which is equivalent to </w:t>
      </w:r>
      <w:r w:rsidR="00A21572" w:rsidRPr="00B71211">
        <w:rPr>
          <w:rFonts w:cs="Times New Roman"/>
          <w:position w:val="-12"/>
          <w:szCs w:val="24"/>
        </w:rPr>
        <w:object w:dxaOrig="580" w:dyaOrig="360" w14:anchorId="5A65F87C">
          <v:shape id="_x0000_i1055" type="#_x0000_t75" style="width:28.7pt;height:18pt" o:ole="">
            <v:imagedata r:id="rId59" o:title=""/>
          </v:shape>
          <o:OLEObject Type="Embed" ProgID="Equation.DSMT4" ShapeID="_x0000_i1055" DrawAspect="Content" ObjectID="_1841834430" r:id="rId60"/>
        </w:object>
      </w:r>
      <w:r>
        <w:rPr>
          <w:rFonts w:cs="Times New Roman"/>
          <w:szCs w:val="24"/>
        </w:rPr>
        <w:t xml:space="preserve">). </w:t>
      </w:r>
      <w:r w:rsidR="00125FA8" w:rsidRPr="0086018F">
        <w:rPr>
          <w:rFonts w:cs="Times New Roman"/>
          <w:szCs w:val="24"/>
        </w:rPr>
        <w:t xml:space="preserve">The inverse YJ transformed error terms </w:t>
      </w:r>
      <w:r w:rsidR="00A21572" w:rsidRPr="00B71211">
        <w:rPr>
          <w:rFonts w:cs="Times New Roman"/>
          <w:position w:val="-12"/>
          <w:szCs w:val="24"/>
        </w:rPr>
        <w:object w:dxaOrig="240" w:dyaOrig="360" w14:anchorId="29B0844C">
          <v:shape id="_x0000_i1056" type="#_x0000_t75" style="width:12pt;height:18pt" o:ole="" o:preferrelative="f">
            <v:imagedata r:id="rId27" o:title=""/>
            <o:lock v:ext="edit" aspectratio="f"/>
          </v:shape>
          <o:OLEObject Type="Embed" ProgID="Equation.DSMT4" ShapeID="_x0000_i1056" DrawAspect="Content" ObjectID="_1841834431" r:id="rId61"/>
        </w:object>
      </w:r>
      <w:r w:rsidR="00125FA8" w:rsidRPr="00B71211">
        <w:rPr>
          <w:rFonts w:cs="Times New Roman"/>
          <w:szCs w:val="24"/>
        </w:rPr>
        <w:t xml:space="preserve"> can be tied together across different error terms (say </w:t>
      </w:r>
      <w:r w:rsidR="00A21572" w:rsidRPr="00B71211">
        <w:rPr>
          <w:rFonts w:cs="Times New Roman"/>
          <w:position w:val="-12"/>
          <w:szCs w:val="24"/>
        </w:rPr>
        <w:object w:dxaOrig="1400" w:dyaOrig="360" w14:anchorId="27C4D040">
          <v:shape id="_x0000_i1057" type="#_x0000_t75" style="width:69.85pt;height:18pt" o:ole="" o:preferrelative="f">
            <v:imagedata r:id="rId62" o:title=""/>
            <o:lock v:ext="edit" aspectratio="f"/>
          </v:shape>
          <o:OLEObject Type="Embed" ProgID="Equation.DSMT4" ShapeID="_x0000_i1057" DrawAspect="Content" ObjectID="_1841834432" r:id="rId63"/>
        </w:object>
      </w:r>
      <w:r w:rsidR="00125FA8" w:rsidRPr="00B71211">
        <w:rPr>
          <w:rFonts w:cs="Times New Roman"/>
          <w:szCs w:val="24"/>
        </w:rPr>
        <w:t xml:space="preserve">) into a multivariate distribution using an implicit Gaussian copula, given that the </w:t>
      </w:r>
      <w:r w:rsidR="007C3ED1" w:rsidRPr="00B71211">
        <w:rPr>
          <w:rFonts w:cs="Times New Roman"/>
          <w:szCs w:val="24"/>
        </w:rPr>
        <w:t xml:space="preserve">standard normal </w:t>
      </w:r>
      <w:r w:rsidR="00A21572" w:rsidRPr="00B71211">
        <w:rPr>
          <w:rFonts w:cs="Times New Roman"/>
          <w:position w:val="-12"/>
          <w:szCs w:val="24"/>
        </w:rPr>
        <w:object w:dxaOrig="240" w:dyaOrig="360" w14:anchorId="73D02C6D">
          <v:shape id="_x0000_i1058" type="#_x0000_t75" style="width:12pt;height:18pt" o:ole="" o:preferrelative="f">
            <v:imagedata r:id="rId13" o:title=""/>
            <o:lock v:ext="edit" aspectratio="f"/>
          </v:shape>
          <o:OLEObject Type="Embed" ProgID="Equation.DSMT4" ShapeID="_x0000_i1058" DrawAspect="Content" ObjectID="_1841834433" r:id="rId64"/>
        </w:object>
      </w:r>
      <w:r w:rsidR="00125FA8" w:rsidRPr="00B71211">
        <w:rPr>
          <w:rFonts w:cs="Times New Roman"/>
          <w:szCs w:val="24"/>
        </w:rPr>
        <w:t xml:space="preserve"> marginals can be brought together in a multivariate normal distribution</w:t>
      </w:r>
      <w:r w:rsidR="007C3ED1" w:rsidRPr="0093315A">
        <w:rPr>
          <w:rFonts w:cs="Times New Roman"/>
          <w:szCs w:val="24"/>
        </w:rPr>
        <w:t xml:space="preserve"> using a correlation matrix </w:t>
      </w:r>
      <w:r w:rsidR="00A21572" w:rsidRPr="00B71211">
        <w:rPr>
          <w:rFonts w:cs="Times New Roman"/>
          <w:position w:val="-4"/>
          <w:szCs w:val="24"/>
        </w:rPr>
        <w:object w:dxaOrig="260" w:dyaOrig="260" w14:anchorId="018BFB64">
          <v:shape id="_x0000_i1059" type="#_x0000_t75" style="width:12.85pt;height:12.85pt" o:ole="">
            <v:imagedata r:id="rId65" o:title=""/>
          </v:shape>
          <o:OLEObject Type="Embed" ProgID="Equation.DSMT4" ShapeID="_x0000_i1059" DrawAspect="Content" ObjectID="_1841834434" r:id="rId66"/>
        </w:object>
      </w:r>
      <w:r w:rsidR="00125FA8" w:rsidRPr="00B71211">
        <w:rPr>
          <w:rFonts w:cs="Times New Roman"/>
          <w:szCs w:val="24"/>
        </w:rPr>
        <w:t>. The direction and intensity of skew/tail can vary across the random terms. D</w:t>
      </w:r>
      <w:r w:rsidR="00125FA8" w:rsidRPr="0093315A">
        <w:rPr>
          <w:rFonts w:cs="Times New Roman"/>
          <w:szCs w:val="24"/>
        </w:rPr>
        <w:t>efine</w:t>
      </w:r>
      <w:r w:rsidR="00504B2F" w:rsidRPr="0093315A">
        <w:rPr>
          <w:rFonts w:cs="Times New Roman"/>
          <w:szCs w:val="24"/>
        </w:rPr>
        <w:t xml:space="preserve"> </w:t>
      </w:r>
      <w:r w:rsidR="00A21572" w:rsidRPr="00B71211">
        <w:rPr>
          <w:rFonts w:cs="Times New Roman"/>
          <w:position w:val="-14"/>
          <w:szCs w:val="24"/>
        </w:rPr>
        <w:object w:dxaOrig="1680" w:dyaOrig="499" w14:anchorId="402C9091">
          <v:shape id="_x0000_i1060" type="#_x0000_t75" style="width:84.45pt;height:25.3pt" o:ole="" o:preferrelative="f">
            <v:imagedata r:id="rId67" o:title=""/>
            <o:lock v:ext="edit" aspectratio="f"/>
          </v:shape>
          <o:OLEObject Type="Embed" ProgID="Equation.DSMT4" ShapeID="_x0000_i1060" DrawAspect="Content" ObjectID="_1841834435" r:id="rId68"/>
        </w:object>
      </w:r>
      <w:r w:rsidR="00125FA8" w:rsidRPr="00B71211">
        <w:rPr>
          <w:rFonts w:cs="Times New Roman"/>
          <w:szCs w:val="24"/>
        </w:rPr>
        <w:t>,</w:t>
      </w:r>
      <w:r w:rsidR="00504B2F" w:rsidRPr="00B71211">
        <w:rPr>
          <w:rFonts w:cs="Times New Roman"/>
          <w:szCs w:val="24"/>
        </w:rPr>
        <w:t xml:space="preserve"> </w:t>
      </w:r>
      <w:r w:rsidR="00A21572" w:rsidRPr="00B71211">
        <w:rPr>
          <w:rFonts w:cs="Times New Roman"/>
          <w:position w:val="-14"/>
          <w:szCs w:val="24"/>
        </w:rPr>
        <w:object w:dxaOrig="1840" w:dyaOrig="499" w14:anchorId="7922C743">
          <v:shape id="_x0000_i1061" type="#_x0000_t75" style="width:92.15pt;height:25.3pt" o:ole="" o:preferrelative="f">
            <v:imagedata r:id="rId69" o:title=""/>
            <o:lock v:ext="edit" aspectratio="f"/>
          </v:shape>
          <o:OLEObject Type="Embed" ProgID="Equation.DSMT4" ShapeID="_x0000_i1061" DrawAspect="Content" ObjectID="_1841834436" r:id="rId70"/>
        </w:object>
      </w:r>
      <w:r w:rsidR="00A21572">
        <w:rPr>
          <w:rFonts w:cs="Times New Roman"/>
          <w:szCs w:val="24"/>
        </w:rPr>
        <w:t xml:space="preserve"> </w:t>
      </w:r>
      <w:r w:rsidR="00A21572" w:rsidRPr="0093315A">
        <w:rPr>
          <w:rFonts w:cs="Times New Roman"/>
          <w:position w:val="-14"/>
          <w:szCs w:val="24"/>
        </w:rPr>
        <w:object w:dxaOrig="1800" w:dyaOrig="499" w14:anchorId="381A68A1">
          <v:shape id="_x0000_i1062" type="#_x0000_t75" style="width:90pt;height:25.3pt" o:ole="" o:preferrelative="f">
            <v:imagedata r:id="rId71" o:title=""/>
            <o:lock v:ext="edit" aspectratio="f"/>
          </v:shape>
          <o:OLEObject Type="Embed" ProgID="Equation.DSMT4" ShapeID="_x0000_i1062" DrawAspect="Content" ObjectID="_1841834437" r:id="rId72"/>
        </w:object>
      </w:r>
      <w:r w:rsidR="00125FA8" w:rsidRPr="00B71211">
        <w:rPr>
          <w:rFonts w:cs="Times New Roman"/>
          <w:szCs w:val="24"/>
        </w:rPr>
        <w:t xml:space="preserve">, </w:t>
      </w:r>
      <w:r w:rsidR="00A21572" w:rsidRPr="00B71211">
        <w:rPr>
          <w:rFonts w:cs="Times New Roman"/>
          <w:position w:val="-16"/>
          <w:szCs w:val="24"/>
        </w:rPr>
        <w:object w:dxaOrig="3640" w:dyaOrig="440" w14:anchorId="591CFDF1">
          <v:shape id="_x0000_i1063" type="#_x0000_t75" style="width:182.15pt;height:22.3pt" o:ole="" o:preferrelative="f">
            <v:imagedata r:id="rId73" o:title=""/>
            <o:lock v:ext="edit" aspectratio="f"/>
          </v:shape>
          <o:OLEObject Type="Embed" ProgID="Equation.DSMT4" ShapeID="_x0000_i1063" DrawAspect="Content" ObjectID="_1841834438" r:id="rId74"/>
        </w:object>
      </w:r>
      <w:r w:rsidR="00125FA8" w:rsidRPr="00B71211">
        <w:rPr>
          <w:rFonts w:cs="Times New Roman"/>
          <w:szCs w:val="24"/>
        </w:rPr>
        <w:t xml:space="preserve">, and so </w:t>
      </w:r>
      <w:r w:rsidR="00A21572" w:rsidRPr="00B71211">
        <w:rPr>
          <w:rFonts w:cs="Times New Roman"/>
          <w:position w:val="-14"/>
          <w:szCs w:val="24"/>
        </w:rPr>
        <w:object w:dxaOrig="1020" w:dyaOrig="400" w14:anchorId="6112B9E5">
          <v:shape id="_x0000_i1064" type="#_x0000_t75" style="width:51pt;height:20.15pt" o:ole="" o:preferrelative="f">
            <v:imagedata r:id="rId75" o:title=""/>
            <o:lock v:ext="edit" aspectratio="f"/>
          </v:shape>
          <o:OLEObject Type="Embed" ProgID="Equation.DSMT4" ShapeID="_x0000_i1064" DrawAspect="Content" ObjectID="_1841834439" r:id="rId76"/>
        </w:object>
      </w:r>
      <w:r w:rsidR="00504B2F" w:rsidRPr="00B71211">
        <w:rPr>
          <w:rFonts w:cs="Times New Roman"/>
          <w:szCs w:val="24"/>
        </w:rPr>
        <w:t xml:space="preserve"> </w:t>
      </w:r>
      <w:r w:rsidR="006573C7" w:rsidRPr="00B71211">
        <w:rPr>
          <w:rFonts w:cs="Times New Roman"/>
          <w:szCs w:val="24"/>
        </w:rPr>
        <w:t xml:space="preserve">Also, define </w:t>
      </w:r>
      <w:r w:rsidR="00A21572" w:rsidRPr="00B71211">
        <w:rPr>
          <w:rFonts w:cs="Times New Roman"/>
          <w:position w:val="-14"/>
          <w:szCs w:val="24"/>
        </w:rPr>
        <w:object w:dxaOrig="1680" w:dyaOrig="499" w14:anchorId="083F0A9A">
          <v:shape id="_x0000_i1065" type="#_x0000_t75" style="width:84.45pt;height:25.3pt" o:ole="" o:preferrelative="f">
            <v:imagedata r:id="rId77" o:title=""/>
            <o:lock v:ext="edit" aspectratio="f"/>
          </v:shape>
          <o:OLEObject Type="Embed" ProgID="Equation.DSMT4" ShapeID="_x0000_i1065" DrawAspect="Content" ObjectID="_1841834440" r:id="rId78"/>
        </w:object>
      </w:r>
      <w:r w:rsidR="006573C7" w:rsidRPr="00B71211">
        <w:rPr>
          <w:rFonts w:cs="Times New Roman"/>
          <w:szCs w:val="24"/>
        </w:rPr>
        <w:t xml:space="preserve">, </w:t>
      </w:r>
      <w:r w:rsidR="00504B2F" w:rsidRPr="00B71211">
        <w:rPr>
          <w:rFonts w:cs="Times New Roman"/>
          <w:szCs w:val="24"/>
        </w:rPr>
        <w:t xml:space="preserve">and </w:t>
      </w:r>
      <w:r w:rsidR="00A21572" w:rsidRPr="00B71211">
        <w:rPr>
          <w:rFonts w:cs="Times New Roman"/>
          <w:position w:val="-14"/>
          <w:szCs w:val="24"/>
        </w:rPr>
        <w:object w:dxaOrig="3400" w:dyaOrig="499" w14:anchorId="2AED82D4">
          <v:shape id="_x0000_i1066" type="#_x0000_t75" style="width:169.7pt;height:25.3pt" o:ole="" o:preferrelative="f">
            <v:imagedata r:id="rId79" o:title=""/>
            <o:lock v:ext="edit" aspectratio="f"/>
          </v:shape>
          <o:OLEObject Type="Embed" ProgID="Equation.DSMT4" ShapeID="_x0000_i1066" DrawAspect="Content" ObjectID="_1841834441" r:id="rId80"/>
        </w:object>
      </w:r>
      <w:r w:rsidR="001A2C26" w:rsidRPr="00B71211">
        <w:rPr>
          <w:rFonts w:cs="Times New Roman"/>
          <w:szCs w:val="24"/>
        </w:rPr>
        <w:t xml:space="preserve"> </w:t>
      </w:r>
      <w:r w:rsidR="007C3ED1" w:rsidRPr="00B71211">
        <w:rPr>
          <w:rFonts w:cs="Times New Roman"/>
          <w:szCs w:val="24"/>
        </w:rPr>
        <w:t xml:space="preserve">All of the above vectors are </w:t>
      </w:r>
      <w:r w:rsidR="00A21572" w:rsidRPr="00B71211">
        <w:rPr>
          <w:rFonts w:cs="Times New Roman"/>
          <w:position w:val="-10"/>
          <w:szCs w:val="24"/>
        </w:rPr>
        <w:object w:dxaOrig="620" w:dyaOrig="320" w14:anchorId="7459E385">
          <v:shape id="_x0000_i1067" type="#_x0000_t75" style="width:31.3pt;height:15.85pt" o:ole="" o:preferrelative="f">
            <v:imagedata r:id="rId81" o:title=""/>
            <o:lock v:ext="edit" aspectratio="f"/>
          </v:shape>
          <o:OLEObject Type="Embed" ProgID="Equation.DSMT4" ShapeID="_x0000_i1067" DrawAspect="Content" ObjectID="_1841834442" r:id="rId82"/>
        </w:object>
      </w:r>
      <w:r w:rsidR="007C3ED1" w:rsidRPr="00B71211">
        <w:rPr>
          <w:rFonts w:cs="Times New Roman"/>
          <w:szCs w:val="24"/>
        </w:rPr>
        <w:t xml:space="preserve"> column vectors. </w:t>
      </w:r>
      <w:r w:rsidR="001A2C26" w:rsidRPr="00B71211">
        <w:rPr>
          <w:rFonts w:cs="Times New Roman"/>
          <w:szCs w:val="24"/>
        </w:rPr>
        <w:t xml:space="preserve">Also, </w:t>
      </w:r>
      <w:r w:rsidR="00342169" w:rsidRPr="0093315A">
        <w:rPr>
          <w:rFonts w:cs="Times New Roman"/>
          <w:szCs w:val="24"/>
        </w:rPr>
        <w:t xml:space="preserve">for later use, define </w:t>
      </w:r>
      <w:r w:rsidR="00A21572" w:rsidRPr="00B71211">
        <w:rPr>
          <w:rFonts w:cs="Times New Roman"/>
          <w:position w:val="-68"/>
          <w:szCs w:val="24"/>
        </w:rPr>
        <w:object w:dxaOrig="3739" w:dyaOrig="1480" w14:anchorId="34612744">
          <v:shape id="_x0000_i1068" type="#_x0000_t75" style="width:187.3pt;height:72.45pt" o:ole="">
            <v:imagedata r:id="rId83" o:title=""/>
          </v:shape>
          <o:OLEObject Type="Embed" ProgID="Equation.DSMT4" ShapeID="_x0000_i1068" DrawAspect="Content" ObjectID="_1841834443" r:id="rId84"/>
        </w:object>
      </w:r>
      <w:r w:rsidR="001A2C26" w:rsidRPr="00B71211">
        <w:rPr>
          <w:rFonts w:cs="Times New Roman"/>
          <w:szCs w:val="24"/>
        </w:rPr>
        <w:t xml:space="preserve">. Then, </w:t>
      </w:r>
      <w:r w:rsidR="00A21572" w:rsidRPr="00B71211">
        <w:rPr>
          <w:rFonts w:cs="Times New Roman"/>
          <w:position w:val="-14"/>
          <w:szCs w:val="24"/>
        </w:rPr>
        <w:object w:dxaOrig="2299" w:dyaOrig="440" w14:anchorId="3A2DA55A">
          <v:shape id="_x0000_i1069" type="#_x0000_t75" style="width:115.3pt;height:22.3pt" o:ole="" o:preferrelative="f">
            <v:imagedata r:id="rId85" o:title=""/>
            <o:lock v:ext="edit" aspectratio="f"/>
          </v:shape>
          <o:OLEObject Type="Embed" ProgID="Equation.DSMT4" ShapeID="_x0000_i1069" DrawAspect="Content" ObjectID="_1841834444" r:id="rId86"/>
        </w:object>
      </w:r>
      <w:r w:rsidR="00342169" w:rsidRPr="00B71211">
        <w:rPr>
          <w:rFonts w:cs="Times New Roman"/>
          <w:szCs w:val="24"/>
        </w:rPr>
        <w:t>.</w:t>
      </w:r>
    </w:p>
    <w:p w14:paraId="37FF4434" w14:textId="6F7EADFF" w:rsidR="007C3ED1" w:rsidRPr="0093315A" w:rsidRDefault="007C3ED1" w:rsidP="00077490">
      <w:pPr>
        <w:spacing w:line="240" w:lineRule="auto"/>
        <w:ind w:firstLine="720"/>
        <w:rPr>
          <w:rFonts w:cs="Times New Roman"/>
          <w:szCs w:val="24"/>
        </w:rPr>
      </w:pPr>
      <w:r w:rsidRPr="0093315A">
        <w:rPr>
          <w:rFonts w:cs="Times New Roman"/>
          <w:szCs w:val="24"/>
        </w:rPr>
        <w:t xml:space="preserve">The cumulative distribution of the asymmetric error vector </w:t>
      </w:r>
      <w:r w:rsidR="00A21572" w:rsidRPr="00B71211">
        <w:rPr>
          <w:rFonts w:cs="Times New Roman"/>
          <w:position w:val="-6"/>
          <w:szCs w:val="24"/>
        </w:rPr>
        <w:object w:dxaOrig="180" w:dyaOrig="220" w14:anchorId="2CD1C730">
          <v:shape id="_x0000_i1070" type="#_x0000_t75" style="width:9pt;height:10.7pt" o:ole="" o:preferrelative="f">
            <v:imagedata r:id="rId87" o:title=""/>
            <o:lock v:ext="edit" aspectratio="f"/>
          </v:shape>
          <o:OLEObject Type="Embed" ProgID="Equation.DSMT4" ShapeID="_x0000_i1070" DrawAspect="Content" ObjectID="_1841834445" r:id="rId88"/>
        </w:object>
      </w:r>
      <w:r w:rsidR="00077490">
        <w:rPr>
          <w:rFonts w:cs="Times New Roman"/>
          <w:szCs w:val="24"/>
        </w:rPr>
        <w:t xml:space="preserve"> </w:t>
      </w:r>
      <w:r w:rsidRPr="00B71211">
        <w:rPr>
          <w:rFonts w:cs="Times New Roman"/>
          <w:szCs w:val="24"/>
        </w:rPr>
        <w:t>may then be written as:</w:t>
      </w:r>
    </w:p>
    <w:p w14:paraId="11DCEAE7" w14:textId="4FE8665A" w:rsidR="00125FA8" w:rsidRPr="00B71211" w:rsidRDefault="00A21572" w:rsidP="00077490">
      <w:pPr>
        <w:spacing w:before="120" w:after="120" w:line="240" w:lineRule="auto"/>
        <w:rPr>
          <w:rFonts w:eastAsia="Times New Roman" w:cs="Times New Roman"/>
          <w:szCs w:val="24"/>
        </w:rPr>
      </w:pPr>
      <w:r w:rsidRPr="00B71211">
        <w:rPr>
          <w:rFonts w:eastAsia="Times New Roman" w:cs="Times New Roman"/>
          <w:position w:val="-16"/>
          <w:szCs w:val="24"/>
        </w:rPr>
        <w:object w:dxaOrig="8460" w:dyaOrig="440" w14:anchorId="34E2228D">
          <v:shape id="_x0000_i1071" type="#_x0000_t75" style="width:423.45pt;height:22.3pt" o:ole="" o:preferrelative="f">
            <v:imagedata r:id="rId89" o:title=""/>
            <o:lock v:ext="edit" aspectratio="f"/>
          </v:shape>
          <o:OLEObject Type="Embed" ProgID="Equation.DSMT4" ShapeID="_x0000_i1071" DrawAspect="Content" ObjectID="_1841834446" r:id="rId90"/>
        </w:object>
      </w:r>
      <w:r w:rsidR="00504B2F" w:rsidRPr="00B71211">
        <w:rPr>
          <w:rFonts w:eastAsia="Times New Roman" w:cs="Times New Roman"/>
          <w:szCs w:val="24"/>
        </w:rPr>
        <w:t xml:space="preserve">        (6)</w:t>
      </w:r>
    </w:p>
    <w:p w14:paraId="2C6A5FC9" w14:textId="56FA1317" w:rsidR="00701A0D" w:rsidRPr="00DD5FA6" w:rsidRDefault="0089244C" w:rsidP="00077490">
      <w:pPr>
        <w:spacing w:line="240" w:lineRule="auto"/>
        <w:ind w:firstLine="720"/>
        <w:rPr>
          <w:rFonts w:cs="Times New Roman"/>
          <w:szCs w:val="24"/>
        </w:rPr>
      </w:pPr>
      <w:r w:rsidRPr="0093315A">
        <w:rPr>
          <w:rFonts w:eastAsia="Times New Roman" w:cs="Times New Roman"/>
          <w:szCs w:val="24"/>
        </w:rPr>
        <w:t xml:space="preserve">For later use, </w:t>
      </w:r>
      <w:r w:rsidR="00CD7520" w:rsidRPr="0093315A">
        <w:rPr>
          <w:rFonts w:eastAsia="Times New Roman" w:cs="Times New Roman"/>
          <w:szCs w:val="24"/>
        </w:rPr>
        <w:t>l</w:t>
      </w:r>
      <w:r w:rsidR="00940784" w:rsidRPr="0086018F">
        <w:rPr>
          <w:rFonts w:eastAsia="Times New Roman" w:cs="Times New Roman"/>
          <w:szCs w:val="24"/>
        </w:rPr>
        <w:t xml:space="preserve">et </w:t>
      </w:r>
      <w:r w:rsidR="00A21572" w:rsidRPr="00B71211">
        <w:rPr>
          <w:rFonts w:cs="Times New Roman"/>
          <w:position w:val="-12"/>
          <w:szCs w:val="24"/>
        </w:rPr>
        <w:object w:dxaOrig="340" w:dyaOrig="360" w14:anchorId="630E60D9">
          <v:shape id="_x0000_i1072" type="#_x0000_t75" style="width:17.15pt;height:18pt" o:ole="" o:preferrelative="f">
            <v:imagedata r:id="rId91" o:title=""/>
            <o:lock v:ext="edit" aspectratio="f"/>
          </v:shape>
          <o:OLEObject Type="Embed" ProgID="Equation.DSMT4" ShapeID="_x0000_i1072" DrawAspect="Content" ObjectID="_1841834447" r:id="rId92"/>
        </w:object>
      </w:r>
      <w:r w:rsidR="00701A0D" w:rsidRPr="00B71211">
        <w:rPr>
          <w:rFonts w:cs="Times New Roman"/>
          <w:szCs w:val="24"/>
        </w:rPr>
        <w:t xml:space="preserve"> </w:t>
      </w:r>
      <w:r w:rsidR="00940784" w:rsidRPr="00B71211">
        <w:rPr>
          <w:rFonts w:cs="Times New Roman"/>
          <w:szCs w:val="24"/>
        </w:rPr>
        <w:t xml:space="preserve">be </w:t>
      </w:r>
      <w:r w:rsidR="00701A0D" w:rsidRPr="0093315A">
        <w:rPr>
          <w:rFonts w:cs="Times New Roman"/>
          <w:szCs w:val="24"/>
        </w:rPr>
        <w:t>the</w:t>
      </w:r>
      <w:r w:rsidR="00A21572" w:rsidRPr="00B71211">
        <w:rPr>
          <w:rFonts w:cs="Times New Roman"/>
          <w:position w:val="-10"/>
          <w:szCs w:val="24"/>
        </w:rPr>
        <w:object w:dxaOrig="1040" w:dyaOrig="320" w14:anchorId="357A873B">
          <v:shape id="_x0000_i1073" type="#_x0000_t75" style="width:51.85pt;height:15.85pt" o:ole="" o:preferrelative="f">
            <v:imagedata r:id="rId93" o:title=""/>
            <o:lock v:ext="edit" aspectratio="f"/>
          </v:shape>
          <o:OLEObject Type="Embed" ProgID="Equation.DSMT4" ShapeID="_x0000_i1073" DrawAspect="Content" ObjectID="_1841834448" r:id="rId94"/>
        </w:object>
      </w:r>
      <w:r w:rsidR="00701A0D" w:rsidRPr="00B71211">
        <w:rPr>
          <w:rFonts w:cs="Times New Roman"/>
          <w:szCs w:val="24"/>
        </w:rPr>
        <w:t xml:space="preserve"> column vector of </w:t>
      </w:r>
      <w:r w:rsidR="00A21572" w:rsidRPr="00B71211">
        <w:rPr>
          <w:rFonts w:cs="Times New Roman"/>
          <w:position w:val="-10"/>
          <w:szCs w:val="24"/>
        </w:rPr>
        <w:object w:dxaOrig="200" w:dyaOrig="260" w14:anchorId="1C183667">
          <v:shape id="_x0000_i1074" type="#_x0000_t75" style="width:10.3pt;height:12.85pt" o:ole="">
            <v:imagedata r:id="rId95" o:title=""/>
          </v:shape>
          <o:OLEObject Type="Embed" ProgID="Equation.DSMT4" ShapeID="_x0000_i1074" DrawAspect="Content" ObjectID="_1841834449" r:id="rId96"/>
        </w:object>
      </w:r>
      <w:r w:rsidR="00701A0D" w:rsidRPr="00B71211">
        <w:rPr>
          <w:rFonts w:cs="Times New Roman"/>
          <w:szCs w:val="24"/>
        </w:rPr>
        <w:t xml:space="preserve"> sans the </w:t>
      </w:r>
      <w:proofErr w:type="spellStart"/>
      <w:r w:rsidR="00701A0D" w:rsidRPr="00B71211">
        <w:rPr>
          <w:rFonts w:cs="Times New Roman"/>
          <w:i/>
          <w:iCs/>
          <w:szCs w:val="24"/>
        </w:rPr>
        <w:t>i</w:t>
      </w:r>
      <w:r w:rsidR="00701A0D" w:rsidRPr="0093315A">
        <w:rPr>
          <w:rFonts w:cs="Times New Roman"/>
          <w:szCs w:val="24"/>
        </w:rPr>
        <w:t>th</w:t>
      </w:r>
      <w:proofErr w:type="spellEnd"/>
      <w:r w:rsidR="00701A0D" w:rsidRPr="0093315A">
        <w:rPr>
          <w:rFonts w:cs="Times New Roman"/>
          <w:szCs w:val="24"/>
        </w:rPr>
        <w:t xml:space="preserve"> element </w:t>
      </w:r>
      <w:r w:rsidR="00A21572" w:rsidRPr="00B71211">
        <w:rPr>
          <w:rFonts w:cs="Times New Roman"/>
          <w:position w:val="-12"/>
          <w:szCs w:val="24"/>
        </w:rPr>
        <w:object w:dxaOrig="240" w:dyaOrig="360" w14:anchorId="064544BE">
          <v:shape id="_x0000_i1075" type="#_x0000_t75" style="width:12pt;height:18pt" o:ole="" o:preferrelative="f">
            <v:imagedata r:id="rId97" o:title=""/>
            <o:lock v:ext="edit" aspectratio="f"/>
          </v:shape>
          <o:OLEObject Type="Embed" ProgID="Equation.DSMT4" ShapeID="_x0000_i1075" DrawAspect="Content" ObjectID="_1841834450" r:id="rId98"/>
        </w:object>
      </w:r>
      <w:r w:rsidRPr="00B71211">
        <w:rPr>
          <w:rFonts w:cs="Times New Roman"/>
          <w:szCs w:val="24"/>
        </w:rPr>
        <w:t>, and similarly for other column vectors</w:t>
      </w:r>
      <w:r w:rsidR="00CD7520" w:rsidRPr="00B71211">
        <w:rPr>
          <w:rFonts w:cs="Times New Roman"/>
          <w:szCs w:val="24"/>
        </w:rPr>
        <w:t xml:space="preserve"> and let </w:t>
      </w:r>
      <w:r w:rsidR="00CD7520" w:rsidRPr="00B71211">
        <w:rPr>
          <w:rFonts w:cs="Times New Roman"/>
          <w:position w:val="-12"/>
          <w:szCs w:val="24"/>
        </w:rPr>
        <w:object w:dxaOrig="480" w:dyaOrig="360" w14:anchorId="2C45E3B6">
          <v:shape id="_x0000_i1076" type="#_x0000_t75" style="width:24.45pt;height:18.45pt" o:ole="">
            <v:imagedata r:id="rId99" o:title=""/>
          </v:shape>
          <o:OLEObject Type="Embed" ProgID="Equation.DSMT4" ShapeID="_x0000_i1076" DrawAspect="Content" ObjectID="_1841834451" r:id="rId100"/>
        </w:object>
      </w:r>
      <w:r w:rsidR="00CD7520" w:rsidRPr="00B71211">
        <w:rPr>
          <w:rFonts w:cs="Times New Roman"/>
          <w:szCs w:val="24"/>
        </w:rPr>
        <w:t xml:space="preserve">(.;.) denote the multivariate cumulative normal distribution (MVNCD) function of dimension </w:t>
      </w:r>
      <w:r w:rsidR="00CD7520" w:rsidRPr="00B71211">
        <w:rPr>
          <w:rFonts w:cs="Times New Roman"/>
          <w:position w:val="-10"/>
          <w:szCs w:val="24"/>
        </w:rPr>
        <w:object w:dxaOrig="639" w:dyaOrig="320" w14:anchorId="0405D2D3">
          <v:shape id="_x0000_i1077" type="#_x0000_t75" style="width:32.55pt;height:16.7pt" o:ole="">
            <v:imagedata r:id="rId101" o:title=""/>
          </v:shape>
          <o:OLEObject Type="Embed" ProgID="Equation.DSMT4" ShapeID="_x0000_i1077" DrawAspect="Content" ObjectID="_1841834452" r:id="rId102"/>
        </w:object>
      </w:r>
      <w:r w:rsidR="00940784" w:rsidRPr="00B71211">
        <w:rPr>
          <w:rFonts w:cs="Times New Roman"/>
          <w:szCs w:val="24"/>
        </w:rPr>
        <w:t xml:space="preserve">. Define an </w:t>
      </w:r>
      <w:r w:rsidR="00940784" w:rsidRPr="00B71211">
        <w:rPr>
          <w:rFonts w:cs="Times New Roman"/>
          <w:position w:val="-10"/>
          <w:szCs w:val="24"/>
        </w:rPr>
        <w:object w:dxaOrig="1080" w:dyaOrig="320" w14:anchorId="4FF92A0E">
          <v:shape id="_x0000_i1078" type="#_x0000_t75" style="width:54.45pt;height:16.7pt" o:ole="">
            <v:imagedata r:id="rId103" o:title=""/>
          </v:shape>
          <o:OLEObject Type="Embed" ProgID="Equation.DSMT4" ShapeID="_x0000_i1078" DrawAspect="Content" ObjectID="_1841834453" r:id="rId104"/>
        </w:object>
      </w:r>
      <w:r w:rsidR="00940784" w:rsidRPr="00B71211">
        <w:rPr>
          <w:rFonts w:cs="Times New Roman"/>
          <w:szCs w:val="24"/>
        </w:rPr>
        <w:t xml:space="preserve"> mask matrix </w:t>
      </w:r>
      <w:r w:rsidR="00A21572" w:rsidRPr="00B71211">
        <w:rPr>
          <w:rFonts w:cs="Times New Roman"/>
          <w:position w:val="-12"/>
          <w:szCs w:val="24"/>
        </w:rPr>
        <w:object w:dxaOrig="300" w:dyaOrig="360" w14:anchorId="0D96467C">
          <v:shape id="_x0000_i1079" type="#_x0000_t75" style="width:15pt;height:18pt" o:ole="" o:preferrelative="f">
            <v:imagedata r:id="rId105" o:title=""/>
            <o:lock v:ext="edit" aspectratio="f"/>
          </v:shape>
          <o:OLEObject Type="Embed" ProgID="Equation.DSMT4" ShapeID="_x0000_i1079" DrawAspect="Content" ObjectID="_1841834454" r:id="rId106"/>
        </w:object>
      </w:r>
      <w:r w:rsidR="00940784" w:rsidRPr="00B71211">
        <w:rPr>
          <w:rFonts w:cs="Times New Roman"/>
          <w:szCs w:val="24"/>
        </w:rPr>
        <w:t xml:space="preserve"> that holds an </w:t>
      </w:r>
      <w:r w:rsidR="00940784" w:rsidRPr="00B71211">
        <w:rPr>
          <w:rFonts w:cs="Times New Roman"/>
          <w:position w:val="-10"/>
          <w:szCs w:val="24"/>
        </w:rPr>
        <w:object w:dxaOrig="1520" w:dyaOrig="320" w14:anchorId="52D16DC8">
          <v:shape id="_x0000_i1080" type="#_x0000_t75" style="width:76.7pt;height:16.7pt" o:ole="">
            <v:imagedata r:id="rId107" o:title=""/>
          </v:shape>
          <o:OLEObject Type="Embed" ProgID="Equation.DSMT4" ShapeID="_x0000_i1080" DrawAspect="Content" ObjectID="_1841834455" r:id="rId108"/>
        </w:object>
      </w:r>
      <w:r w:rsidR="00940784" w:rsidRPr="00B71211">
        <w:rPr>
          <w:rFonts w:cs="Times New Roman"/>
          <w:szCs w:val="24"/>
        </w:rPr>
        <w:t xml:space="preserve"> identity matrix supplemented by an </w:t>
      </w:r>
      <w:r w:rsidR="00940784" w:rsidRPr="00B71211">
        <w:rPr>
          <w:rFonts w:cs="Times New Roman"/>
          <w:position w:val="-10"/>
          <w:szCs w:val="24"/>
        </w:rPr>
        <w:object w:dxaOrig="1040" w:dyaOrig="320" w14:anchorId="2D7B9727">
          <v:shape id="_x0000_i1081" type="#_x0000_t75" style="width:52.7pt;height:16.7pt" o:ole="">
            <v:imagedata r:id="rId93" o:title=""/>
          </v:shape>
          <o:OLEObject Type="Embed" ProgID="Equation.DSMT4" ShapeID="_x0000_i1081" DrawAspect="Content" ObjectID="_1841834456" r:id="rId109"/>
        </w:object>
      </w:r>
      <w:r w:rsidR="00940784" w:rsidRPr="00B71211">
        <w:rPr>
          <w:rFonts w:cs="Times New Roman"/>
          <w:szCs w:val="24"/>
        </w:rPr>
        <w:t xml:space="preserve"> column of zeros in the </w:t>
      </w:r>
      <w:proofErr w:type="spellStart"/>
      <w:r w:rsidR="00940784" w:rsidRPr="00B71211">
        <w:rPr>
          <w:rFonts w:cs="Times New Roman"/>
          <w:i/>
          <w:iCs/>
          <w:szCs w:val="24"/>
        </w:rPr>
        <w:t>i</w:t>
      </w:r>
      <w:r w:rsidR="00940784" w:rsidRPr="0093315A">
        <w:rPr>
          <w:rFonts w:cs="Times New Roman"/>
          <w:szCs w:val="24"/>
        </w:rPr>
        <w:t>th</w:t>
      </w:r>
      <w:proofErr w:type="spellEnd"/>
      <w:r w:rsidR="00940784" w:rsidRPr="0093315A">
        <w:rPr>
          <w:rFonts w:cs="Times New Roman"/>
          <w:szCs w:val="24"/>
        </w:rPr>
        <w:t xml:space="preserve"> column and another </w:t>
      </w:r>
      <w:r w:rsidR="00B801EC" w:rsidRPr="00B71211">
        <w:rPr>
          <w:rFonts w:cs="Times New Roman"/>
          <w:position w:val="-10"/>
          <w:szCs w:val="24"/>
        </w:rPr>
        <w:object w:dxaOrig="620" w:dyaOrig="320" w14:anchorId="7160A26E">
          <v:shape id="_x0000_i1082" type="#_x0000_t75" style="width:31.3pt;height:16.7pt" o:ole="">
            <v:imagedata r:id="rId81" o:title=""/>
          </v:shape>
          <o:OLEObject Type="Embed" ProgID="Equation.DSMT4" ShapeID="_x0000_i1082" DrawAspect="Content" ObjectID="_1841834457" r:id="rId110"/>
        </w:object>
      </w:r>
      <w:r w:rsidR="00940784" w:rsidRPr="00B71211">
        <w:rPr>
          <w:rFonts w:cs="Times New Roman"/>
          <w:szCs w:val="24"/>
        </w:rPr>
        <w:t xml:space="preserve"> matrix (column vector) </w:t>
      </w:r>
      <w:r w:rsidR="00A21572" w:rsidRPr="00B71211">
        <w:rPr>
          <w:rFonts w:cs="Times New Roman"/>
          <w:position w:val="-12"/>
          <w:szCs w:val="24"/>
        </w:rPr>
        <w:object w:dxaOrig="320" w:dyaOrig="360" w14:anchorId="6BB5F9EF">
          <v:shape id="_x0000_i1083" type="#_x0000_t75" style="width:15.85pt;height:18pt" o:ole="" o:preferrelative="f">
            <v:imagedata r:id="rId111" o:title=""/>
            <o:lock v:ext="edit" aspectratio="f"/>
          </v:shape>
          <o:OLEObject Type="Embed" ProgID="Equation.DSMT4" ShapeID="_x0000_i1083" DrawAspect="Content" ObjectID="_1841834458" r:id="rId112"/>
        </w:object>
      </w:r>
      <w:r w:rsidR="00940784" w:rsidRPr="00B71211">
        <w:rPr>
          <w:rFonts w:cs="Times New Roman"/>
          <w:szCs w:val="24"/>
        </w:rPr>
        <w:t xml:space="preserve"> with zero elements in each row except an entr</w:t>
      </w:r>
      <w:r w:rsidR="00940784" w:rsidRPr="0093315A">
        <w:rPr>
          <w:rFonts w:cs="Times New Roman"/>
          <w:szCs w:val="24"/>
        </w:rPr>
        <w:t xml:space="preserve">y of ‘1’ in the </w:t>
      </w:r>
      <w:proofErr w:type="spellStart"/>
      <w:r w:rsidR="00940784" w:rsidRPr="0093315A">
        <w:rPr>
          <w:rFonts w:cs="Times New Roman"/>
          <w:i/>
          <w:iCs/>
          <w:szCs w:val="24"/>
        </w:rPr>
        <w:t>i</w:t>
      </w:r>
      <w:r w:rsidR="00940784" w:rsidRPr="0086018F">
        <w:rPr>
          <w:rFonts w:cs="Times New Roman"/>
          <w:szCs w:val="24"/>
        </w:rPr>
        <w:t>th</w:t>
      </w:r>
      <w:proofErr w:type="spellEnd"/>
      <w:r w:rsidR="00940784" w:rsidRPr="0086018F">
        <w:rPr>
          <w:rFonts w:cs="Times New Roman"/>
          <w:szCs w:val="24"/>
        </w:rPr>
        <w:t xml:space="preserve"> row. Then, using the conditional properties of the multivariate normal distribution, we may write:</w:t>
      </w:r>
    </w:p>
    <w:p w14:paraId="20927781" w14:textId="23AF1859" w:rsidR="00701A0D" w:rsidRPr="00B71211" w:rsidRDefault="00D5578F" w:rsidP="00077490">
      <w:pPr>
        <w:spacing w:before="120" w:line="240" w:lineRule="auto"/>
        <w:rPr>
          <w:rFonts w:cs="Times New Roman"/>
          <w:szCs w:val="24"/>
        </w:rPr>
      </w:pPr>
      <w:r w:rsidRPr="00B71211">
        <w:rPr>
          <w:rFonts w:eastAsia="Times New Roman" w:cs="Times New Roman"/>
          <w:position w:val="-14"/>
          <w:szCs w:val="24"/>
        </w:rPr>
        <w:object w:dxaOrig="3620" w:dyaOrig="400" w14:anchorId="23ADC9D5">
          <v:shape id="_x0000_i1084" type="#_x0000_t75" style="width:180.45pt;height:20.15pt" o:ole="" o:preferrelative="f">
            <v:imagedata r:id="rId113" o:title=""/>
            <o:lock v:ext="edit" aspectratio="f"/>
          </v:shape>
          <o:OLEObject Type="Embed" ProgID="Equation.DSMT4" ShapeID="_x0000_i1084" DrawAspect="Content" ObjectID="_1841834459" r:id="rId114"/>
        </w:object>
      </w:r>
    </w:p>
    <w:p w14:paraId="5689098C" w14:textId="70DBCA6B" w:rsidR="00125FA8" w:rsidRPr="0093315A" w:rsidRDefault="00D5578F" w:rsidP="00077490">
      <w:pPr>
        <w:autoSpaceDE w:val="0"/>
        <w:autoSpaceDN w:val="0"/>
        <w:adjustRightInd w:val="0"/>
        <w:spacing w:after="120" w:line="240" w:lineRule="auto"/>
        <w:rPr>
          <w:rFonts w:cs="Times New Roman"/>
          <w:szCs w:val="24"/>
        </w:rPr>
      </w:pPr>
      <w:r w:rsidRPr="00B71211">
        <w:rPr>
          <w:rFonts w:cs="Times New Roman"/>
          <w:position w:val="-26"/>
          <w:szCs w:val="24"/>
        </w:rPr>
        <w:object w:dxaOrig="7020" w:dyaOrig="639" w14:anchorId="684BF3C8">
          <v:shape id="_x0000_i1085" type="#_x0000_t75" style="width:351.45pt;height:31.7pt" o:ole="" o:preferrelative="f">
            <v:imagedata r:id="rId115" o:title=""/>
            <o:lock v:ext="edit" aspectratio="f"/>
          </v:shape>
          <o:OLEObject Type="Embed" ProgID="Equation.DSMT4" ShapeID="_x0000_i1085" DrawAspect="Content" ObjectID="_1841834460" r:id="rId116"/>
        </w:object>
      </w:r>
      <w:r w:rsidR="0089244C" w:rsidRPr="00B71211">
        <w:rPr>
          <w:rFonts w:cs="Times New Roman"/>
          <w:szCs w:val="24"/>
        </w:rPr>
        <w:t>.</w:t>
      </w:r>
      <w:r w:rsidR="00504B2F" w:rsidRPr="00B71211">
        <w:rPr>
          <w:rFonts w:cs="Times New Roman"/>
          <w:szCs w:val="24"/>
        </w:rPr>
        <w:tab/>
      </w:r>
      <w:r w:rsidR="00504B2F" w:rsidRPr="00B71211">
        <w:rPr>
          <w:rFonts w:cs="Times New Roman"/>
          <w:szCs w:val="24"/>
        </w:rPr>
        <w:tab/>
      </w:r>
      <w:r w:rsidR="00504B2F" w:rsidRPr="00B71211">
        <w:rPr>
          <w:rFonts w:cs="Times New Roman"/>
          <w:szCs w:val="24"/>
        </w:rPr>
        <w:tab/>
        <w:t xml:space="preserve">      (7)</w:t>
      </w:r>
    </w:p>
    <w:p w14:paraId="6D6B3F11" w14:textId="1FBEF218" w:rsidR="0089244C" w:rsidRPr="0093315A" w:rsidRDefault="0089244C" w:rsidP="00077490">
      <w:pPr>
        <w:autoSpaceDE w:val="0"/>
        <w:autoSpaceDN w:val="0"/>
        <w:adjustRightInd w:val="0"/>
        <w:spacing w:line="240" w:lineRule="auto"/>
        <w:rPr>
          <w:rFonts w:cs="Times New Roman"/>
          <w:szCs w:val="24"/>
        </w:rPr>
      </w:pPr>
      <w:r w:rsidRPr="0093315A">
        <w:rPr>
          <w:rFonts w:cs="Times New Roman"/>
          <w:szCs w:val="24"/>
        </w:rPr>
        <w:t xml:space="preserve">From above, </w:t>
      </w:r>
      <w:r w:rsidR="00E30B91" w:rsidRPr="0093315A">
        <w:rPr>
          <w:rFonts w:cs="Times New Roman"/>
          <w:szCs w:val="24"/>
        </w:rPr>
        <w:t xml:space="preserve">and defining </w:t>
      </w:r>
      <w:r w:rsidR="00A21572" w:rsidRPr="00B71211">
        <w:rPr>
          <w:rFonts w:cs="Times New Roman"/>
          <w:position w:val="-12"/>
          <w:szCs w:val="24"/>
        </w:rPr>
        <w:object w:dxaOrig="420" w:dyaOrig="360" w14:anchorId="5CF0F866">
          <v:shape id="_x0000_i1086" type="#_x0000_t75" style="width:21pt;height:18pt" o:ole="">
            <v:imagedata r:id="rId117" o:title=""/>
          </v:shape>
          <o:OLEObject Type="Embed" ProgID="Equation.DSMT4" ShapeID="_x0000_i1086" DrawAspect="Content" ObjectID="_1841834461" r:id="rId118"/>
        </w:object>
      </w:r>
      <w:r w:rsidR="00E30B91" w:rsidRPr="00B71211">
        <w:rPr>
          <w:rFonts w:cs="Times New Roman"/>
          <w:szCs w:val="24"/>
        </w:rPr>
        <w:t xml:space="preserve"> as a diagonal </w:t>
      </w:r>
      <w:r w:rsidR="00E30B91" w:rsidRPr="00B71211">
        <w:rPr>
          <w:rFonts w:cs="Times New Roman"/>
          <w:position w:val="-10"/>
          <w:szCs w:val="24"/>
        </w:rPr>
        <w:object w:dxaOrig="1520" w:dyaOrig="320" w14:anchorId="0839C8CF">
          <v:shape id="_x0000_i1087" type="#_x0000_t75" style="width:76.7pt;height:16.7pt" o:ole="">
            <v:imagedata r:id="rId107" o:title=""/>
          </v:shape>
          <o:OLEObject Type="Embed" ProgID="Equation.DSMT4" ShapeID="_x0000_i1087" DrawAspect="Content" ObjectID="_1841834462" r:id="rId119"/>
        </w:object>
      </w:r>
      <w:r w:rsidR="00E30B91" w:rsidRPr="00B71211">
        <w:rPr>
          <w:rFonts w:cs="Times New Roman"/>
          <w:szCs w:val="24"/>
        </w:rPr>
        <w:t xml:space="preserve"> matrix holding the square root of the diagonal elements of </w:t>
      </w:r>
      <w:r w:rsidR="00A21572" w:rsidRPr="00B71211">
        <w:rPr>
          <w:rFonts w:cs="Times New Roman"/>
          <w:position w:val="-12"/>
          <w:szCs w:val="24"/>
        </w:rPr>
        <w:object w:dxaOrig="420" w:dyaOrig="360" w14:anchorId="433A127D">
          <v:shape id="_x0000_i1088" type="#_x0000_t75" style="width:21pt;height:18pt" o:ole="">
            <v:imagedata r:id="rId120" o:title=""/>
          </v:shape>
          <o:OLEObject Type="Embed" ProgID="Equation.DSMT4" ShapeID="_x0000_i1088" DrawAspect="Content" ObjectID="_1841834463" r:id="rId121"/>
        </w:object>
      </w:r>
      <w:r w:rsidR="00E30B91" w:rsidRPr="00B71211">
        <w:rPr>
          <w:rFonts w:cs="Times New Roman"/>
          <w:szCs w:val="24"/>
        </w:rPr>
        <w:t xml:space="preserve">, </w:t>
      </w:r>
      <w:r w:rsidRPr="00B71211">
        <w:rPr>
          <w:rFonts w:cs="Times New Roman"/>
          <w:szCs w:val="24"/>
        </w:rPr>
        <w:t>we can also write the following conditional probability:</w:t>
      </w:r>
    </w:p>
    <w:p w14:paraId="0C4CD35C" w14:textId="74341489" w:rsidR="0089244C" w:rsidRPr="0093315A" w:rsidRDefault="0089244C" w:rsidP="00077490">
      <w:pPr>
        <w:autoSpaceDE w:val="0"/>
        <w:autoSpaceDN w:val="0"/>
        <w:adjustRightInd w:val="0"/>
        <w:spacing w:before="120" w:after="120" w:line="240" w:lineRule="auto"/>
        <w:rPr>
          <w:rFonts w:eastAsia="Times New Roman" w:cs="Times New Roman"/>
          <w:szCs w:val="24"/>
        </w:rPr>
      </w:pPr>
      <w:r w:rsidRPr="0086018F">
        <w:rPr>
          <w:rFonts w:cs="Times New Roman"/>
          <w:szCs w:val="24"/>
        </w:rPr>
        <w:t xml:space="preserve"> </w:t>
      </w:r>
      <w:r w:rsidR="00D5578F" w:rsidRPr="00B71211">
        <w:rPr>
          <w:rFonts w:eastAsia="Times New Roman" w:cs="Times New Roman"/>
          <w:position w:val="-18"/>
          <w:szCs w:val="24"/>
        </w:rPr>
        <w:object w:dxaOrig="7100" w:dyaOrig="480" w14:anchorId="2E797A4D">
          <v:shape id="_x0000_i1089" type="#_x0000_t75" style="width:354.85pt;height:23.55pt" o:ole="" o:preferrelative="f">
            <v:imagedata r:id="rId122" o:title=""/>
            <o:lock v:ext="edit" aspectratio="f"/>
          </v:shape>
          <o:OLEObject Type="Embed" ProgID="Equation.DSMT4" ShapeID="_x0000_i1089" DrawAspect="Content" ObjectID="_1841834464" r:id="rId123"/>
        </w:object>
      </w:r>
      <w:r w:rsidR="006573C7" w:rsidRPr="00B71211">
        <w:rPr>
          <w:rFonts w:eastAsia="Times New Roman" w:cs="Times New Roman"/>
          <w:szCs w:val="24"/>
        </w:rPr>
        <w:t>.</w:t>
      </w:r>
      <w:r w:rsidR="00504B2F" w:rsidRPr="00B71211">
        <w:rPr>
          <w:rFonts w:eastAsia="Times New Roman" w:cs="Times New Roman"/>
          <w:szCs w:val="24"/>
        </w:rPr>
        <w:tab/>
      </w:r>
      <w:r w:rsidR="002B54C4">
        <w:rPr>
          <w:rFonts w:eastAsia="Times New Roman" w:cs="Times New Roman"/>
          <w:szCs w:val="24"/>
        </w:rPr>
        <w:t xml:space="preserve">    </w:t>
      </w:r>
      <w:r w:rsidR="00504B2F" w:rsidRPr="00B71211">
        <w:rPr>
          <w:rFonts w:eastAsia="Times New Roman" w:cs="Times New Roman"/>
          <w:szCs w:val="24"/>
        </w:rPr>
        <w:tab/>
      </w:r>
      <w:r w:rsidR="002B54C4">
        <w:rPr>
          <w:rFonts w:eastAsia="Times New Roman" w:cs="Times New Roman"/>
          <w:szCs w:val="24"/>
        </w:rPr>
        <w:t xml:space="preserve">  </w:t>
      </w:r>
      <w:r w:rsidR="00504B2F" w:rsidRPr="00B71211">
        <w:rPr>
          <w:rFonts w:eastAsia="Times New Roman" w:cs="Times New Roman"/>
          <w:szCs w:val="24"/>
        </w:rPr>
        <w:t xml:space="preserve">   (8)</w:t>
      </w:r>
    </w:p>
    <w:p w14:paraId="547AEA0A" w14:textId="77777777" w:rsidR="006573C7" w:rsidRPr="0093315A" w:rsidRDefault="006573C7" w:rsidP="00D5578F">
      <w:pPr>
        <w:autoSpaceDE w:val="0"/>
        <w:autoSpaceDN w:val="0"/>
        <w:adjustRightInd w:val="0"/>
        <w:spacing w:line="240" w:lineRule="auto"/>
        <w:rPr>
          <w:rFonts w:cs="Times New Roman"/>
          <w:szCs w:val="24"/>
        </w:rPr>
      </w:pPr>
    </w:p>
    <w:p w14:paraId="4E53B26C" w14:textId="0E64A90A" w:rsidR="00EA5E2E" w:rsidRPr="0093315A" w:rsidRDefault="009845F1" w:rsidP="00D5578F">
      <w:pPr>
        <w:autoSpaceDE w:val="0"/>
        <w:autoSpaceDN w:val="0"/>
        <w:adjustRightInd w:val="0"/>
        <w:spacing w:line="240" w:lineRule="auto"/>
        <w:rPr>
          <w:rFonts w:eastAsia="Times New Roman" w:cs="Times New Roman"/>
          <w:b/>
          <w:bCs/>
          <w:szCs w:val="24"/>
        </w:rPr>
      </w:pPr>
      <w:r w:rsidRPr="00B71211">
        <w:rPr>
          <w:rFonts w:eastAsia="Times New Roman" w:cs="Times New Roman"/>
          <w:b/>
          <w:bCs/>
          <w:szCs w:val="24"/>
        </w:rPr>
        <w:t xml:space="preserve">2.2. </w:t>
      </w:r>
      <w:r w:rsidR="00EA5E2E" w:rsidRPr="00B71211">
        <w:rPr>
          <w:rFonts w:eastAsia="Times New Roman" w:cs="Times New Roman"/>
          <w:b/>
          <w:bCs/>
          <w:szCs w:val="24"/>
        </w:rPr>
        <w:t>The MNYJ Model</w:t>
      </w:r>
      <w:r w:rsidR="00926604" w:rsidRPr="00B71211">
        <w:rPr>
          <w:rFonts w:eastAsia="Times New Roman" w:cs="Times New Roman"/>
          <w:b/>
          <w:bCs/>
          <w:szCs w:val="24"/>
        </w:rPr>
        <w:t xml:space="preserve"> with Fixed Coefficients</w:t>
      </w:r>
    </w:p>
    <w:p w14:paraId="7F5F0CF3" w14:textId="652FE135" w:rsidR="009765A6" w:rsidRPr="00B71211" w:rsidRDefault="00F53BDA" w:rsidP="00D5578F">
      <w:pPr>
        <w:spacing w:line="240" w:lineRule="auto"/>
        <w:rPr>
          <w:rFonts w:cs="Times New Roman"/>
          <w:szCs w:val="24"/>
        </w:rPr>
      </w:pPr>
      <w:r w:rsidRPr="0093315A">
        <w:rPr>
          <w:rFonts w:cs="Times New Roman"/>
          <w:szCs w:val="24"/>
        </w:rPr>
        <w:t xml:space="preserve">Consider a multinomial choice context, with the index </w:t>
      </w:r>
      <w:r w:rsidRPr="0093315A">
        <w:rPr>
          <w:rFonts w:cs="Times New Roman"/>
          <w:i/>
          <w:szCs w:val="24"/>
        </w:rPr>
        <w:t>i</w:t>
      </w:r>
      <w:r w:rsidRPr="0086018F">
        <w:rPr>
          <w:rFonts w:cs="Times New Roman"/>
          <w:szCs w:val="24"/>
        </w:rPr>
        <w:t xml:space="preserve"> for the alternative </w:t>
      </w:r>
      <w:r w:rsidR="00B06414" w:rsidRPr="00B71211">
        <w:rPr>
          <w:rFonts w:cs="Times New Roman"/>
          <w:position w:val="-10"/>
          <w:szCs w:val="24"/>
        </w:rPr>
        <w:object w:dxaOrig="1359" w:dyaOrig="320" w14:anchorId="741D3548">
          <v:shape id="_x0000_i1090" type="#_x0000_t75" style="width:67.7pt;height:15.85pt" o:ole="" o:preferrelative="f">
            <v:imagedata r:id="rId124" o:title=""/>
            <o:lock v:ext="edit" aspectratio="f"/>
          </v:shape>
          <o:OLEObject Type="Embed" ProgID="Equation.3" ShapeID="_x0000_i1090" DrawAspect="Content" ObjectID="_1841834465" r:id="rId125"/>
        </w:object>
      </w:r>
      <w:r w:rsidR="00563198" w:rsidRPr="00B71211">
        <w:rPr>
          <w:rFonts w:cs="Times New Roman"/>
          <w:szCs w:val="24"/>
        </w:rPr>
        <w:t xml:space="preserve"> (we will suppress the index </w:t>
      </w:r>
      <w:r w:rsidR="00563198" w:rsidRPr="00290D19">
        <w:rPr>
          <w:rFonts w:cs="Times New Roman"/>
          <w:i/>
          <w:iCs/>
          <w:szCs w:val="24"/>
        </w:rPr>
        <w:t>q</w:t>
      </w:r>
      <w:r w:rsidR="00563198" w:rsidRPr="00B71211">
        <w:rPr>
          <w:rFonts w:cs="Times New Roman"/>
          <w:szCs w:val="24"/>
        </w:rPr>
        <w:t xml:space="preserve"> for individuals at this point).</w:t>
      </w:r>
      <w:r w:rsidRPr="00B71211">
        <w:rPr>
          <w:rFonts w:cs="Times New Roman"/>
          <w:szCs w:val="24"/>
        </w:rPr>
        <w:t xml:space="preserve"> </w:t>
      </w:r>
      <w:r w:rsidR="00563198" w:rsidRPr="0093315A">
        <w:rPr>
          <w:rFonts w:cs="Times New Roman"/>
          <w:szCs w:val="24"/>
        </w:rPr>
        <w:t>T</w:t>
      </w:r>
      <w:r w:rsidRPr="0093315A">
        <w:rPr>
          <w:rFonts w:cs="Times New Roman"/>
          <w:szCs w:val="24"/>
        </w:rPr>
        <w:t>he utility associate</w:t>
      </w:r>
      <w:r w:rsidR="00563198" w:rsidRPr="0086018F">
        <w:rPr>
          <w:rFonts w:cs="Times New Roman"/>
          <w:szCs w:val="24"/>
        </w:rPr>
        <w:t>d</w:t>
      </w:r>
      <w:r w:rsidRPr="0086018F">
        <w:rPr>
          <w:rFonts w:cs="Times New Roman"/>
          <w:szCs w:val="24"/>
        </w:rPr>
        <w:t xml:space="preserve"> with alternative </w:t>
      </w:r>
      <w:r w:rsidRPr="0086018F">
        <w:rPr>
          <w:rFonts w:cs="Times New Roman"/>
          <w:i/>
          <w:szCs w:val="24"/>
        </w:rPr>
        <w:t>i</w:t>
      </w:r>
      <w:r w:rsidRPr="00DD5FA6">
        <w:rPr>
          <w:rFonts w:cs="Times New Roman"/>
          <w:szCs w:val="24"/>
        </w:rPr>
        <w:t xml:space="preserve"> is written as:</w:t>
      </w:r>
    </w:p>
    <w:p w14:paraId="3528985C" w14:textId="69B13F9C" w:rsidR="00D5578F" w:rsidRDefault="00A21572" w:rsidP="00D5578F">
      <w:pPr>
        <w:tabs>
          <w:tab w:val="right" w:pos="9360"/>
        </w:tabs>
        <w:spacing w:before="120" w:after="120" w:line="240" w:lineRule="auto"/>
        <w:rPr>
          <w:rFonts w:cs="Times New Roman"/>
          <w:szCs w:val="24"/>
        </w:rPr>
      </w:pPr>
      <w:r w:rsidRPr="00B71211">
        <w:rPr>
          <w:rFonts w:cs="Times New Roman"/>
          <w:position w:val="-12"/>
          <w:szCs w:val="24"/>
        </w:rPr>
        <w:object w:dxaOrig="1520" w:dyaOrig="360" w14:anchorId="1F920A03">
          <v:shape id="_x0000_i1091" type="#_x0000_t75" style="width:76.3pt;height:18pt" o:ole="" o:preferrelative="f">
            <v:imagedata r:id="rId126" o:title=""/>
            <o:lock v:ext="edit" aspectratio="f"/>
          </v:shape>
          <o:OLEObject Type="Embed" ProgID="Equation.DSMT4" ShapeID="_x0000_i1091" DrawAspect="Content" ObjectID="_1841834466" r:id="rId127"/>
        </w:object>
      </w:r>
      <w:r w:rsidR="00F53BDA" w:rsidRPr="00B71211">
        <w:rPr>
          <w:rFonts w:cs="Times New Roman"/>
          <w:szCs w:val="24"/>
        </w:rPr>
        <w:t xml:space="preserve"> </w:t>
      </w:r>
      <w:r w:rsidR="00077490">
        <w:rPr>
          <w:rFonts w:cs="Times New Roman"/>
          <w:szCs w:val="24"/>
        </w:rPr>
        <w:tab/>
      </w:r>
      <w:r w:rsidR="00F53BDA" w:rsidRPr="0093315A">
        <w:rPr>
          <w:rFonts w:cs="Times New Roman"/>
          <w:szCs w:val="24"/>
        </w:rPr>
        <w:t>(</w:t>
      </w:r>
      <w:r w:rsidR="00504B2F" w:rsidRPr="0093315A">
        <w:rPr>
          <w:rFonts w:cs="Times New Roman"/>
          <w:szCs w:val="24"/>
        </w:rPr>
        <w:t>9</w:t>
      </w:r>
      <w:r w:rsidR="00F53BDA" w:rsidRPr="0086018F">
        <w:rPr>
          <w:rFonts w:cs="Times New Roman"/>
          <w:szCs w:val="24"/>
        </w:rPr>
        <w:t>)</w:t>
      </w:r>
    </w:p>
    <w:p w14:paraId="25ED760B" w14:textId="247F609F" w:rsidR="001D26A1" w:rsidRPr="00290D19" w:rsidRDefault="00F53BDA" w:rsidP="00D5578F">
      <w:pPr>
        <w:tabs>
          <w:tab w:val="right" w:pos="9360"/>
        </w:tabs>
        <w:spacing w:line="240" w:lineRule="auto"/>
        <w:rPr>
          <w:rFonts w:cs="Times New Roman"/>
          <w:szCs w:val="24"/>
        </w:rPr>
      </w:pPr>
      <w:r w:rsidRPr="00DD5FA6">
        <w:rPr>
          <w:rFonts w:cs="Times New Roman"/>
          <w:szCs w:val="24"/>
        </w:rPr>
        <w:tab/>
      </w:r>
      <w:r w:rsidRPr="00B71211">
        <w:rPr>
          <w:rFonts w:cs="Times New Roman"/>
          <w:szCs w:val="24"/>
        </w:rPr>
        <w:t xml:space="preserve">where </w:t>
      </w:r>
      <w:r w:rsidR="00D5578F" w:rsidRPr="00B71211">
        <w:rPr>
          <w:rFonts w:cs="Times New Roman"/>
          <w:position w:val="-12"/>
          <w:szCs w:val="24"/>
        </w:rPr>
        <w:object w:dxaOrig="240" w:dyaOrig="360" w14:anchorId="4096DC7F">
          <v:shape id="_x0000_i1092" type="#_x0000_t75" style="width:12.45pt;height:18pt" o:ole="" o:preferrelative="f">
            <v:imagedata r:id="rId128" o:title=""/>
            <o:lock v:ext="edit" aspectratio="f"/>
          </v:shape>
          <o:OLEObject Type="Embed" ProgID="Equation.DSMT4" ShapeID="_x0000_i1092" DrawAspect="Content" ObjectID="_1841834467" r:id="rId129"/>
        </w:object>
      </w:r>
      <w:r w:rsidRPr="00B71211">
        <w:rPr>
          <w:rFonts w:cs="Times New Roman"/>
          <w:szCs w:val="24"/>
        </w:rPr>
        <w:t xml:space="preserve"> is a </w:t>
      </w:r>
      <w:r w:rsidR="00B06414" w:rsidRPr="00B71211">
        <w:rPr>
          <w:rFonts w:cs="Times New Roman"/>
          <w:position w:val="-10"/>
          <w:szCs w:val="24"/>
        </w:rPr>
        <w:object w:dxaOrig="700" w:dyaOrig="320" w14:anchorId="7695D1F2">
          <v:shape id="_x0000_i1093" type="#_x0000_t75" style="width:35.15pt;height:15.85pt" o:ole="" o:preferrelative="f">
            <v:imagedata r:id="rId130" o:title=""/>
            <o:lock v:ext="edit" aspectratio="f"/>
          </v:shape>
          <o:OLEObject Type="Embed" ProgID="Equation.3" ShapeID="_x0000_i1093" DrawAspect="Content" ObjectID="_1841834468" r:id="rId131"/>
        </w:object>
      </w:r>
      <w:r w:rsidRPr="00B71211">
        <w:rPr>
          <w:rFonts w:cs="Times New Roman"/>
          <w:szCs w:val="24"/>
        </w:rPr>
        <w:t xml:space="preserve">-column vector of exogenous attributes (including dummy variables for constants, except in one of the </w:t>
      </w:r>
      <w:r w:rsidRPr="00B71211">
        <w:rPr>
          <w:rFonts w:cs="Times New Roman"/>
          <w:i/>
          <w:szCs w:val="24"/>
        </w:rPr>
        <w:t>I</w:t>
      </w:r>
      <w:r w:rsidRPr="0093315A">
        <w:rPr>
          <w:rFonts w:cs="Times New Roman"/>
          <w:szCs w:val="24"/>
        </w:rPr>
        <w:t xml:space="preserve"> alternative utilities, say the first alternative), </w:t>
      </w:r>
      <w:r w:rsidR="00A21572" w:rsidRPr="00B71211">
        <w:rPr>
          <w:rFonts w:cs="Times New Roman"/>
          <w:position w:val="-6"/>
          <w:szCs w:val="24"/>
        </w:rPr>
        <w:object w:dxaOrig="200" w:dyaOrig="279" w14:anchorId="5BE30C2C">
          <v:shape id="_x0000_i1094" type="#_x0000_t75" style="width:10.3pt;height:13.7pt" o:ole="" o:preferrelative="f">
            <v:imagedata r:id="rId132" o:title=""/>
            <o:lock v:ext="edit" aspectratio="f"/>
          </v:shape>
          <o:OLEObject Type="Embed" ProgID="Equation.DSMT4" ShapeID="_x0000_i1094" DrawAspect="Content" ObjectID="_1841834469" r:id="rId133"/>
        </w:object>
      </w:r>
      <w:r w:rsidRPr="00B71211">
        <w:rPr>
          <w:rFonts w:cs="Times New Roman"/>
          <w:szCs w:val="24"/>
        </w:rPr>
        <w:t xml:space="preserve"> is a</w:t>
      </w:r>
      <w:r w:rsidR="00926604" w:rsidRPr="00B71211">
        <w:rPr>
          <w:rFonts w:cs="Times New Roman"/>
          <w:szCs w:val="24"/>
        </w:rPr>
        <w:t xml:space="preserve"> fixed </w:t>
      </w:r>
      <w:r w:rsidR="00A21572" w:rsidRPr="00B71211">
        <w:rPr>
          <w:rFonts w:cs="Times New Roman"/>
          <w:position w:val="-10"/>
          <w:szCs w:val="24"/>
        </w:rPr>
        <w:object w:dxaOrig="700" w:dyaOrig="320" w14:anchorId="3056EE32">
          <v:shape id="_x0000_i1095" type="#_x0000_t75" style="width:35.15pt;height:15.85pt" o:ole="" o:preferrelative="f">
            <v:imagedata r:id="rId134" o:title=""/>
            <o:lock v:ext="edit" aspectratio="f"/>
          </v:shape>
          <o:OLEObject Type="Embed" ProgID="Equation.3" ShapeID="_x0000_i1095" DrawAspect="Content" ObjectID="_1841834470" r:id="rId135"/>
        </w:object>
      </w:r>
      <w:r w:rsidRPr="00B71211">
        <w:rPr>
          <w:rFonts w:cs="Times New Roman"/>
          <w:szCs w:val="24"/>
        </w:rPr>
        <w:t>-column vector of coefficients</w:t>
      </w:r>
      <w:r w:rsidR="0069106C" w:rsidRPr="00B71211">
        <w:rPr>
          <w:rFonts w:cs="Times New Roman"/>
          <w:szCs w:val="24"/>
        </w:rPr>
        <w:t xml:space="preserve">, </w:t>
      </w:r>
      <w:r w:rsidR="00A21572" w:rsidRPr="00B71211">
        <w:rPr>
          <w:rFonts w:cs="Times New Roman"/>
          <w:position w:val="-12"/>
          <w:szCs w:val="24"/>
        </w:rPr>
        <w:object w:dxaOrig="220" w:dyaOrig="360" w14:anchorId="49D39068">
          <v:shape id="_x0000_i1096" type="#_x0000_t75" style="width:10.7pt;height:18pt" o:ole="" o:preferrelative="f">
            <v:imagedata r:id="rId136" o:title=""/>
            <o:lock v:ext="edit" aspectratio="f"/>
          </v:shape>
          <o:OLEObject Type="Embed" ProgID="Equation.DSMT4" ShapeID="_x0000_i1096" DrawAspect="Content" ObjectID="_1841834471" r:id="rId137"/>
        </w:object>
      </w:r>
      <w:r w:rsidR="0069106C" w:rsidRPr="00B71211">
        <w:rPr>
          <w:rFonts w:cs="Times New Roman"/>
          <w:szCs w:val="24"/>
        </w:rPr>
        <w:t xml:space="preserve"> is an alternative-specific scale parameter</w:t>
      </w:r>
      <w:r w:rsidR="0055709C" w:rsidRPr="00B71211">
        <w:rPr>
          <w:rFonts w:cs="Times New Roman"/>
          <w:szCs w:val="24"/>
        </w:rPr>
        <w:t>, and</w:t>
      </w:r>
      <w:r w:rsidR="0069106C" w:rsidRPr="0093315A">
        <w:rPr>
          <w:rFonts w:cs="Times New Roman"/>
          <w:szCs w:val="24"/>
        </w:rPr>
        <w:t xml:space="preserve"> </w:t>
      </w:r>
      <w:r w:rsidR="00A21572" w:rsidRPr="00B71211">
        <w:rPr>
          <w:rFonts w:cs="Times New Roman"/>
          <w:position w:val="-12"/>
          <w:szCs w:val="24"/>
        </w:rPr>
        <w:object w:dxaOrig="240" w:dyaOrig="360" w14:anchorId="43E94917">
          <v:shape id="_x0000_i1097" type="#_x0000_t75" style="width:12pt;height:18pt" o:ole="" o:preferrelative="f">
            <v:imagedata r:id="rId138" o:title=""/>
            <o:lock v:ext="edit" aspectratio="f"/>
          </v:shape>
          <o:OLEObject Type="Embed" ProgID="Equation.DSMT4" ShapeID="_x0000_i1097" DrawAspect="Content" ObjectID="_1841834472" r:id="rId139"/>
        </w:object>
      </w:r>
      <w:r w:rsidR="0055709C" w:rsidRPr="00B71211">
        <w:rPr>
          <w:rFonts w:cs="Times New Roman"/>
          <w:szCs w:val="24"/>
        </w:rPr>
        <w:t xml:space="preserve"> is a standardized asymmetric error form as defined in Equation (</w:t>
      </w:r>
      <w:r w:rsidR="00504B2F" w:rsidRPr="0093315A">
        <w:rPr>
          <w:rFonts w:cs="Times New Roman"/>
          <w:szCs w:val="24"/>
        </w:rPr>
        <w:t>5</w:t>
      </w:r>
      <w:r w:rsidR="0055709C" w:rsidRPr="0093315A">
        <w:rPr>
          <w:rFonts w:cs="Times New Roman"/>
          <w:szCs w:val="24"/>
        </w:rPr>
        <w:t>). As in any discrete choice model, only utility differences matter, but now the differen</w:t>
      </w:r>
      <w:r w:rsidR="0055709C" w:rsidRPr="0086018F">
        <w:rPr>
          <w:rFonts w:cs="Times New Roman"/>
          <w:szCs w:val="24"/>
        </w:rPr>
        <w:t xml:space="preserve">ces correspond to nonlinear and asymmetric transformations of normal errors, which enables the estimation of </w:t>
      </w:r>
      <w:r w:rsidR="00504B2F" w:rsidRPr="0086018F">
        <w:rPr>
          <w:rFonts w:cs="Times New Roman"/>
          <w:szCs w:val="24"/>
        </w:rPr>
        <w:t xml:space="preserve">alternative-specific </w:t>
      </w:r>
      <w:r w:rsidR="0055709C" w:rsidRPr="0086018F">
        <w:rPr>
          <w:rFonts w:cs="Times New Roman"/>
          <w:szCs w:val="24"/>
        </w:rPr>
        <w:t>scale</w:t>
      </w:r>
      <w:r w:rsidR="00504B2F" w:rsidRPr="00DD5FA6">
        <w:rPr>
          <w:rFonts w:cs="Times New Roman"/>
          <w:szCs w:val="24"/>
        </w:rPr>
        <w:t xml:space="preserve">s </w:t>
      </w:r>
      <w:r w:rsidR="0055709C" w:rsidRPr="00DD5FA6">
        <w:rPr>
          <w:rFonts w:cs="Times New Roman"/>
          <w:szCs w:val="24"/>
        </w:rPr>
        <w:t>and shape</w:t>
      </w:r>
      <w:r w:rsidR="00504B2F" w:rsidRPr="009E4296">
        <w:rPr>
          <w:rFonts w:cs="Times New Roman"/>
          <w:szCs w:val="24"/>
        </w:rPr>
        <w:t xml:space="preserve">s for the </w:t>
      </w:r>
      <w:r w:rsidR="0055709C" w:rsidRPr="00290D19">
        <w:rPr>
          <w:rFonts w:cs="Times New Roman"/>
          <w:szCs w:val="24"/>
        </w:rPr>
        <w:t>structural errors</w:t>
      </w:r>
      <w:r w:rsidR="00504B2F" w:rsidRPr="00290D19">
        <w:rPr>
          <w:rFonts w:cs="Times New Roman"/>
          <w:szCs w:val="24"/>
        </w:rPr>
        <w:t>, as well as a full correlation matrix for the structural errors</w:t>
      </w:r>
      <w:r w:rsidR="0055709C" w:rsidRPr="00290D19">
        <w:rPr>
          <w:rFonts w:cs="Times New Roman"/>
          <w:szCs w:val="24"/>
        </w:rPr>
        <w:t xml:space="preserve">. </w:t>
      </w:r>
      <w:r w:rsidR="00660B72" w:rsidRPr="00290D19">
        <w:rPr>
          <w:rFonts w:cs="Times New Roman"/>
          <w:szCs w:val="24"/>
        </w:rPr>
        <w:t>That is, the probability functions in the MNYJ model depend on more than a Gaussian difference covariance, and so we are able to work directly with the structural errors without needing to work in the differenced covariance space as in the MNP</w:t>
      </w:r>
      <w:r w:rsidR="003348EF" w:rsidRPr="00290D19">
        <w:rPr>
          <w:rFonts w:cs="Times New Roman"/>
          <w:szCs w:val="24"/>
        </w:rPr>
        <w:t xml:space="preserve"> (this is an issue that has not been realized or discussed in any earlier literature, as far as we are aware)</w:t>
      </w:r>
      <w:r w:rsidR="00660B72" w:rsidRPr="00290D19">
        <w:rPr>
          <w:rFonts w:cs="Times New Roman"/>
          <w:szCs w:val="24"/>
        </w:rPr>
        <w:t xml:space="preserve">. This has important interpretation benefits in addition to flexibility benefits. </w:t>
      </w:r>
      <w:r w:rsidR="00504B2F" w:rsidRPr="00290D19">
        <w:rPr>
          <w:rFonts w:cs="Times New Roman"/>
          <w:szCs w:val="24"/>
        </w:rPr>
        <w:t>However, t</w:t>
      </w:r>
      <w:r w:rsidR="0055709C" w:rsidRPr="00290D19">
        <w:rPr>
          <w:rFonts w:cs="Times New Roman"/>
          <w:szCs w:val="24"/>
        </w:rPr>
        <w:t xml:space="preserve">here is one normalization needed </w:t>
      </w:r>
      <w:r w:rsidR="00660B72" w:rsidRPr="00290D19">
        <w:rPr>
          <w:rFonts w:cs="Times New Roman"/>
          <w:szCs w:val="24"/>
        </w:rPr>
        <w:t xml:space="preserve">in </w:t>
      </w:r>
      <w:r w:rsidR="00504B2F" w:rsidRPr="00290D19">
        <w:rPr>
          <w:rFonts w:cs="Times New Roman"/>
          <w:szCs w:val="24"/>
        </w:rPr>
        <w:t xml:space="preserve">the MNYJ model in </w:t>
      </w:r>
      <w:r w:rsidR="00660B72" w:rsidRPr="00290D19">
        <w:rPr>
          <w:rFonts w:cs="Times New Roman"/>
          <w:szCs w:val="24"/>
        </w:rPr>
        <w:t>relation to the structural scales</w:t>
      </w:r>
      <w:r w:rsidR="00504B2F" w:rsidRPr="00290D19">
        <w:rPr>
          <w:rFonts w:cs="Times New Roman"/>
          <w:szCs w:val="24"/>
        </w:rPr>
        <w:t xml:space="preserve"> because t</w:t>
      </w:r>
      <w:r w:rsidR="00B87B9A" w:rsidRPr="00290D19">
        <w:rPr>
          <w:rFonts w:cs="Times New Roman"/>
          <w:szCs w:val="24"/>
        </w:rPr>
        <w:t>he multiplication of utilities by a common factor does not change the ordering of utilities. Thus, t</w:t>
      </w:r>
      <w:r w:rsidR="0055709C" w:rsidRPr="00290D19">
        <w:rPr>
          <w:rFonts w:cs="Times New Roman"/>
          <w:szCs w:val="24"/>
        </w:rPr>
        <w:t xml:space="preserve">he scale </w:t>
      </w:r>
      <w:r w:rsidR="00DD69EB" w:rsidRPr="00B71211">
        <w:rPr>
          <w:rFonts w:cs="Times New Roman"/>
          <w:position w:val="-12"/>
          <w:szCs w:val="24"/>
        </w:rPr>
        <w:object w:dxaOrig="220" w:dyaOrig="360" w14:anchorId="08D1C9B8">
          <v:shape id="_x0000_i1098" type="#_x0000_t75" style="width:10.7pt;height:18pt" o:ole="" o:preferrelative="f">
            <v:imagedata r:id="rId136" o:title=""/>
            <o:lock v:ext="edit" aspectratio="f"/>
          </v:shape>
          <o:OLEObject Type="Embed" ProgID="Equation.DSMT4" ShapeID="_x0000_i1098" DrawAspect="Content" ObjectID="_1841834473" r:id="rId140"/>
        </w:object>
      </w:r>
      <w:r w:rsidR="00B87B9A" w:rsidRPr="00B71211">
        <w:rPr>
          <w:rFonts w:cs="Times New Roman"/>
          <w:szCs w:val="24"/>
        </w:rPr>
        <w:t xml:space="preserve"> for one alternative needs to be </w:t>
      </w:r>
      <w:r w:rsidR="000F7DE0" w:rsidRPr="0093315A">
        <w:rPr>
          <w:rFonts w:cs="Times New Roman"/>
          <w:szCs w:val="24"/>
        </w:rPr>
        <w:t xml:space="preserve">normalized </w:t>
      </w:r>
      <w:r w:rsidR="00B87B9A" w:rsidRPr="0093315A">
        <w:rPr>
          <w:rFonts w:cs="Times New Roman"/>
          <w:szCs w:val="24"/>
        </w:rPr>
        <w:t xml:space="preserve">(say to </w:t>
      </w:r>
      <w:r w:rsidR="000F7DE0" w:rsidRPr="0086018F">
        <w:rPr>
          <w:rFonts w:cs="Times New Roman"/>
          <w:szCs w:val="24"/>
        </w:rPr>
        <w:t>one</w:t>
      </w:r>
      <w:r w:rsidR="00B87B9A" w:rsidRPr="0086018F">
        <w:rPr>
          <w:rFonts w:cs="Times New Roman"/>
          <w:szCs w:val="24"/>
        </w:rPr>
        <w:t>)</w:t>
      </w:r>
      <w:r w:rsidR="000F7DE0" w:rsidRPr="0086018F">
        <w:rPr>
          <w:rFonts w:cs="Times New Roman"/>
          <w:szCs w:val="24"/>
        </w:rPr>
        <w:t xml:space="preserve"> and other</w:t>
      </w:r>
      <w:r w:rsidR="00B87B9A" w:rsidRPr="00DD5FA6">
        <w:rPr>
          <w:rFonts w:cs="Times New Roman"/>
          <w:szCs w:val="24"/>
        </w:rPr>
        <w:t xml:space="preserve"> scales would be </w:t>
      </w:r>
      <w:r w:rsidR="000F7DE0" w:rsidRPr="00DD5FA6">
        <w:rPr>
          <w:rFonts w:cs="Times New Roman"/>
          <w:szCs w:val="24"/>
        </w:rPr>
        <w:t>estimated as relative scales</w:t>
      </w:r>
      <w:r w:rsidR="00B87B9A" w:rsidRPr="009E4296">
        <w:rPr>
          <w:rFonts w:cs="Times New Roman"/>
          <w:szCs w:val="24"/>
        </w:rPr>
        <w:t>. The choice of which alternative’s utility to scale is innocuo</w:t>
      </w:r>
      <w:r w:rsidR="00C36E6E" w:rsidRPr="00290D19">
        <w:rPr>
          <w:rFonts w:cs="Times New Roman"/>
          <w:szCs w:val="24"/>
        </w:rPr>
        <w:t>u</w:t>
      </w:r>
      <w:r w:rsidR="00B87B9A" w:rsidRPr="00290D19">
        <w:rPr>
          <w:rFonts w:cs="Times New Roman"/>
          <w:szCs w:val="24"/>
        </w:rPr>
        <w:t>s, as the results are invariant to th</w:t>
      </w:r>
      <w:r w:rsidR="0079643C" w:rsidRPr="00290D19">
        <w:rPr>
          <w:rFonts w:cs="Times New Roman"/>
          <w:szCs w:val="24"/>
        </w:rPr>
        <w:t>is</w:t>
      </w:r>
      <w:r w:rsidR="00B87B9A" w:rsidRPr="00290D19">
        <w:rPr>
          <w:rFonts w:cs="Times New Roman"/>
          <w:szCs w:val="24"/>
        </w:rPr>
        <w:t xml:space="preserve"> choice </w:t>
      </w:r>
      <w:r w:rsidR="0079643C" w:rsidRPr="00290D19">
        <w:rPr>
          <w:rFonts w:cs="Times New Roman"/>
          <w:szCs w:val="24"/>
        </w:rPr>
        <w:t>(</w:t>
      </w:r>
      <w:r w:rsidR="00B87B9A" w:rsidRPr="00290D19">
        <w:rPr>
          <w:rFonts w:cs="Times New Roman"/>
          <w:szCs w:val="24"/>
        </w:rPr>
        <w:t xml:space="preserve">except </w:t>
      </w:r>
      <w:r w:rsidR="0079643C" w:rsidRPr="00290D19">
        <w:rPr>
          <w:rFonts w:cs="Times New Roman"/>
          <w:szCs w:val="24"/>
        </w:rPr>
        <w:t xml:space="preserve">that </w:t>
      </w:r>
      <w:r w:rsidR="00B87B9A" w:rsidRPr="00290D19">
        <w:rPr>
          <w:rFonts w:cs="Times New Roman"/>
          <w:szCs w:val="24"/>
        </w:rPr>
        <w:t xml:space="preserve">the scales of </w:t>
      </w:r>
      <w:r w:rsidR="0079643C" w:rsidRPr="00290D19">
        <w:rPr>
          <w:rFonts w:cs="Times New Roman"/>
          <w:szCs w:val="24"/>
        </w:rPr>
        <w:t xml:space="preserve">the </w:t>
      </w:r>
      <w:r w:rsidR="00B87B9A" w:rsidRPr="00290D19">
        <w:rPr>
          <w:rFonts w:cs="Times New Roman"/>
          <w:szCs w:val="24"/>
        </w:rPr>
        <w:t xml:space="preserve">alternatives and the </w:t>
      </w:r>
      <w:r w:rsidR="00DD69EB" w:rsidRPr="00B71211">
        <w:rPr>
          <w:rFonts w:cs="Times New Roman"/>
          <w:position w:val="-6"/>
          <w:szCs w:val="24"/>
        </w:rPr>
        <w:object w:dxaOrig="200" w:dyaOrig="279" w14:anchorId="7030CF9D">
          <v:shape id="_x0000_i1099" type="#_x0000_t75" style="width:10.3pt;height:13.7pt" o:ole="" o:preferrelative="f">
            <v:imagedata r:id="rId141" o:title=""/>
            <o:lock v:ext="edit" aspectratio="f"/>
          </v:shape>
          <o:OLEObject Type="Embed" ProgID="Equation.DSMT4" ShapeID="_x0000_i1099" DrawAspect="Content" ObjectID="_1841834474" r:id="rId142"/>
        </w:object>
      </w:r>
      <w:r w:rsidR="00B87B9A" w:rsidRPr="00B71211">
        <w:rPr>
          <w:rFonts w:cs="Times New Roman"/>
          <w:szCs w:val="24"/>
        </w:rPr>
        <w:t xml:space="preserve">vector </w:t>
      </w:r>
      <w:r w:rsidR="0079643C" w:rsidRPr="00B71211">
        <w:rPr>
          <w:rFonts w:cs="Times New Roman"/>
          <w:szCs w:val="24"/>
        </w:rPr>
        <w:t xml:space="preserve">will be </w:t>
      </w:r>
      <w:r w:rsidR="00B87B9A" w:rsidRPr="0093315A">
        <w:rPr>
          <w:rFonts w:cs="Times New Roman"/>
          <w:szCs w:val="24"/>
        </w:rPr>
        <w:t>rescaled appropriately</w:t>
      </w:r>
      <w:r w:rsidR="0079643C" w:rsidRPr="0093315A">
        <w:rPr>
          <w:rFonts w:cs="Times New Roman"/>
          <w:szCs w:val="24"/>
        </w:rPr>
        <w:t>)</w:t>
      </w:r>
      <w:r w:rsidR="00B87B9A" w:rsidRPr="0086018F">
        <w:rPr>
          <w:rFonts w:cs="Times New Roman"/>
          <w:szCs w:val="24"/>
        </w:rPr>
        <w:t xml:space="preserve">. Alternatively, the analyst </w:t>
      </w:r>
      <w:r w:rsidR="00B87B9A" w:rsidRPr="0086018F">
        <w:rPr>
          <w:rFonts w:cs="Times New Roman"/>
          <w:szCs w:val="24"/>
        </w:rPr>
        <w:lastRenderedPageBreak/>
        <w:t xml:space="preserve">may also impose </w:t>
      </w:r>
      <w:r w:rsidR="00E675A9" w:rsidRPr="0086018F">
        <w:rPr>
          <w:rFonts w:cs="Times New Roman"/>
          <w:szCs w:val="24"/>
        </w:rPr>
        <w:t xml:space="preserve">an across-alternatives scale constraint such as </w:t>
      </w:r>
      <w:r w:rsidR="00DD69EB" w:rsidRPr="00B71211">
        <w:rPr>
          <w:rFonts w:cs="Times New Roman"/>
          <w:position w:val="-28"/>
          <w:szCs w:val="24"/>
        </w:rPr>
        <w:object w:dxaOrig="880" w:dyaOrig="680" w14:anchorId="0F7E4A00">
          <v:shape id="_x0000_i1100" type="#_x0000_t75" style="width:43.7pt;height:33.85pt" o:ole="" o:preferrelative="f">
            <v:imagedata r:id="rId143" o:title=""/>
            <o:lock v:ext="edit" aspectratio="f"/>
          </v:shape>
          <o:OLEObject Type="Embed" ProgID="Equation.DSMT4" ShapeID="_x0000_i1100" DrawAspect="Content" ObjectID="_1841834475" r:id="rId144"/>
        </w:object>
      </w:r>
      <w:r w:rsidR="00B06414">
        <w:rPr>
          <w:rFonts w:cs="Times New Roman"/>
          <w:szCs w:val="24"/>
        </w:rPr>
        <w:t xml:space="preserve"> </w:t>
      </w:r>
      <w:r w:rsidR="00E675A9" w:rsidRPr="00B71211">
        <w:rPr>
          <w:rFonts w:cs="Times New Roman"/>
          <w:szCs w:val="24"/>
        </w:rPr>
        <w:t>to obtain a single set of coefficient estimates and scales. In this paper, we adopt the latter normalization</w:t>
      </w:r>
      <w:r w:rsidR="009765A6">
        <w:rPr>
          <w:rFonts w:cs="Times New Roman"/>
          <w:szCs w:val="24"/>
        </w:rPr>
        <w:t xml:space="preserve"> (we will return to this issue later). </w:t>
      </w:r>
    </w:p>
    <w:p w14:paraId="31718D7E" w14:textId="168A6AAE" w:rsidR="00572060" w:rsidRPr="00290D19" w:rsidRDefault="00572060" w:rsidP="00D5578F">
      <w:pPr>
        <w:spacing w:line="240" w:lineRule="auto"/>
        <w:rPr>
          <w:rFonts w:cs="Times New Roman"/>
          <w:szCs w:val="24"/>
        </w:rPr>
      </w:pPr>
      <w:r w:rsidRPr="00290D19">
        <w:rPr>
          <w:rFonts w:cs="Times New Roman"/>
          <w:szCs w:val="24"/>
        </w:rPr>
        <w:tab/>
        <w:t xml:space="preserve">The probability of choice of alternative </w:t>
      </w:r>
      <w:r w:rsidRPr="00290D19">
        <w:rPr>
          <w:rFonts w:cs="Times New Roman"/>
          <w:i/>
          <w:iCs/>
          <w:szCs w:val="24"/>
        </w:rPr>
        <w:t>i</w:t>
      </w:r>
      <w:r w:rsidRPr="00290D19">
        <w:rPr>
          <w:rFonts w:cs="Times New Roman"/>
          <w:szCs w:val="24"/>
        </w:rPr>
        <w:t xml:space="preserve"> may be written as:</w:t>
      </w:r>
    </w:p>
    <w:p w14:paraId="0654B536" w14:textId="47293FF0" w:rsidR="00572060" w:rsidRPr="00B71211" w:rsidRDefault="00B06414" w:rsidP="00B06414">
      <w:pPr>
        <w:spacing w:before="120" w:after="120" w:line="240" w:lineRule="auto"/>
        <w:rPr>
          <w:rFonts w:cs="Times New Roman"/>
          <w:szCs w:val="24"/>
        </w:rPr>
      </w:pPr>
      <w:r w:rsidRPr="00B71211">
        <w:rPr>
          <w:rFonts w:cs="Times New Roman"/>
          <w:position w:val="-234"/>
          <w:szCs w:val="24"/>
        </w:rPr>
        <w:object w:dxaOrig="8760" w:dyaOrig="3879" w14:anchorId="7158D22C">
          <v:shape id="_x0000_i1101" type="#_x0000_t75" style="width:438pt;height:193.7pt" o:ole="" o:preferrelative="f">
            <v:imagedata r:id="rId145" o:title=""/>
            <o:lock v:ext="edit" aspectratio="f"/>
          </v:shape>
          <o:OLEObject Type="Embed" ProgID="Equation.DSMT4" ShapeID="_x0000_i1101" DrawAspect="Content" ObjectID="_1841834476" r:id="rId146"/>
        </w:object>
      </w:r>
      <w:r w:rsidR="00504B2F" w:rsidRPr="00B71211">
        <w:rPr>
          <w:rFonts w:cs="Times New Roman"/>
          <w:szCs w:val="24"/>
        </w:rPr>
        <w:t xml:space="preserve">    (10)</w:t>
      </w:r>
    </w:p>
    <w:p w14:paraId="53E5C31C" w14:textId="193DE876" w:rsidR="000F7DE0" w:rsidRPr="00290D19" w:rsidRDefault="00D055BD" w:rsidP="00D5578F">
      <w:pPr>
        <w:spacing w:line="240" w:lineRule="auto"/>
        <w:rPr>
          <w:rFonts w:cs="Times New Roman"/>
          <w:szCs w:val="24"/>
        </w:rPr>
      </w:pPr>
      <w:r w:rsidRPr="0093315A">
        <w:rPr>
          <w:rFonts w:cs="Times New Roman"/>
          <w:szCs w:val="24"/>
        </w:rPr>
        <w:t>Next, conforming with the earlier notati</w:t>
      </w:r>
      <w:r w:rsidR="009765A6">
        <w:rPr>
          <w:rFonts w:cs="Times New Roman"/>
          <w:szCs w:val="24"/>
        </w:rPr>
        <w:t>ons</w:t>
      </w:r>
      <w:r w:rsidRPr="00290D19">
        <w:rPr>
          <w:rFonts w:cs="Times New Roman"/>
          <w:szCs w:val="24"/>
        </w:rPr>
        <w:t>, define the following:</w:t>
      </w:r>
    </w:p>
    <w:p w14:paraId="6C3382D1" w14:textId="317BB32D" w:rsidR="00D055BD" w:rsidRPr="00B71211" w:rsidRDefault="00B06414" w:rsidP="00B06414">
      <w:pPr>
        <w:spacing w:before="120" w:after="120" w:line="240" w:lineRule="auto"/>
        <w:rPr>
          <w:rFonts w:cs="Times New Roman"/>
          <w:szCs w:val="24"/>
        </w:rPr>
      </w:pPr>
      <w:r w:rsidRPr="00B71211">
        <w:rPr>
          <w:rFonts w:cs="Times New Roman"/>
          <w:position w:val="-42"/>
          <w:szCs w:val="24"/>
        </w:rPr>
        <w:object w:dxaOrig="8080" w:dyaOrig="960" w14:anchorId="6531D4D4">
          <v:shape id="_x0000_i1102" type="#_x0000_t75" style="width:404.15pt;height:48pt" o:ole="">
            <v:imagedata r:id="rId147" o:title=""/>
          </v:shape>
          <o:OLEObject Type="Embed" ProgID="Equation.DSMT4" ShapeID="_x0000_i1102" DrawAspect="Content" ObjectID="_1841834477" r:id="rId148"/>
        </w:object>
      </w:r>
      <w:r w:rsidR="00504B2F" w:rsidRPr="00B71211">
        <w:rPr>
          <w:rFonts w:cs="Times New Roman"/>
          <w:szCs w:val="24"/>
        </w:rPr>
        <w:tab/>
        <w:t xml:space="preserve">     (11)</w:t>
      </w:r>
    </w:p>
    <w:p w14:paraId="3EA95CFE" w14:textId="4D1764A1" w:rsidR="00D055BD" w:rsidRPr="00B71211" w:rsidRDefault="00843584" w:rsidP="00D5578F">
      <w:pPr>
        <w:spacing w:line="240" w:lineRule="auto"/>
        <w:rPr>
          <w:rFonts w:cs="Times New Roman"/>
          <w:szCs w:val="24"/>
        </w:rPr>
      </w:pPr>
      <w:r w:rsidRPr="00B71211">
        <w:rPr>
          <w:rFonts w:cs="Times New Roman"/>
          <w:szCs w:val="24"/>
        </w:rPr>
        <w:t xml:space="preserve">Collect all the </w:t>
      </w:r>
      <w:r w:rsidR="00DD69EB" w:rsidRPr="00B71211">
        <w:rPr>
          <w:rFonts w:cs="Times New Roman"/>
          <w:position w:val="-14"/>
          <w:szCs w:val="24"/>
        </w:rPr>
        <w:object w:dxaOrig="1180" w:dyaOrig="400" w14:anchorId="4918F560">
          <v:shape id="_x0000_i1103" type="#_x0000_t75" style="width:59.15pt;height:19.7pt" o:ole="">
            <v:imagedata r:id="rId149" o:title=""/>
          </v:shape>
          <o:OLEObject Type="Embed" ProgID="Equation.DSMT4" ShapeID="_x0000_i1103" DrawAspect="Content" ObjectID="_1841834478" r:id="rId150"/>
        </w:object>
      </w:r>
      <w:r w:rsidRPr="00B71211">
        <w:rPr>
          <w:rFonts w:cs="Times New Roman"/>
          <w:szCs w:val="24"/>
        </w:rPr>
        <w:t xml:space="preserve"> </w:t>
      </w:r>
      <w:r w:rsidR="00DD69EB" w:rsidRPr="00B71211">
        <w:rPr>
          <w:rFonts w:cs="Times New Roman"/>
          <w:position w:val="-10"/>
          <w:szCs w:val="24"/>
        </w:rPr>
        <w:object w:dxaOrig="700" w:dyaOrig="320" w14:anchorId="4BDF0308">
          <v:shape id="_x0000_i1104" type="#_x0000_t75" style="width:35.15pt;height:15.85pt" o:ole="" o:preferrelative="f">
            <v:imagedata r:id="rId151" o:title=""/>
            <o:lock v:ext="edit" aspectratio="f"/>
          </v:shape>
          <o:OLEObject Type="Embed" ProgID="Equation.DSMT4" ShapeID="_x0000_i1104" DrawAspect="Content" ObjectID="_1841834479" r:id="rId152"/>
        </w:object>
      </w:r>
      <w:r w:rsidRPr="00B71211">
        <w:rPr>
          <w:rFonts w:cs="Times New Roman"/>
          <w:szCs w:val="24"/>
        </w:rPr>
        <w:t xml:space="preserve">into a vector </w:t>
      </w:r>
      <w:r w:rsidR="00DD69EB" w:rsidRPr="00B71211">
        <w:rPr>
          <w:rFonts w:cs="Times New Roman"/>
          <w:position w:val="-14"/>
          <w:szCs w:val="24"/>
        </w:rPr>
        <w:object w:dxaOrig="1359" w:dyaOrig="400" w14:anchorId="21381493">
          <v:shape id="_x0000_i1105" type="#_x0000_t75" style="width:67.7pt;height:20.15pt" o:ole="" o:preferrelative="f">
            <v:imagedata r:id="rId153" o:title=""/>
            <o:lock v:ext="edit" aspectratio="f"/>
          </v:shape>
          <o:OLEObject Type="Embed" ProgID="Equation.DSMT4" ShapeID="_x0000_i1105" DrawAspect="Content" ObjectID="_1841834480" r:id="rId154"/>
        </w:object>
      </w:r>
    </w:p>
    <w:p w14:paraId="5F3EEA4B" w14:textId="572B4038" w:rsidR="00112708" w:rsidRPr="0086018F" w:rsidRDefault="00843584" w:rsidP="00B06414">
      <w:pPr>
        <w:spacing w:line="240" w:lineRule="auto"/>
        <w:ind w:firstLine="720"/>
        <w:rPr>
          <w:rFonts w:cs="Times New Roman"/>
          <w:szCs w:val="24"/>
        </w:rPr>
      </w:pPr>
      <w:r w:rsidRPr="0093315A">
        <w:rPr>
          <w:rFonts w:cs="Times New Roman"/>
          <w:szCs w:val="24"/>
        </w:rPr>
        <w:t>Then, we may write:</w:t>
      </w:r>
    </w:p>
    <w:p w14:paraId="43086016" w14:textId="6C1BEE26" w:rsidR="009765A6" w:rsidRDefault="00B06414" w:rsidP="00B06414">
      <w:pPr>
        <w:spacing w:before="120" w:after="120" w:line="240" w:lineRule="auto"/>
        <w:rPr>
          <w:rFonts w:cs="Times New Roman"/>
          <w:szCs w:val="24"/>
        </w:rPr>
      </w:pPr>
      <w:r w:rsidRPr="00B71211">
        <w:rPr>
          <w:rFonts w:cs="Times New Roman"/>
          <w:position w:val="-72"/>
          <w:szCs w:val="24"/>
        </w:rPr>
        <w:object w:dxaOrig="7500" w:dyaOrig="1560" w14:anchorId="37460EE6">
          <v:shape id="_x0000_i1106" type="#_x0000_t75" style="width:375pt;height:77.55pt" o:ole="" o:preferrelative="f">
            <v:imagedata r:id="rId155" o:title=""/>
            <o:lock v:ext="edit" aspectratio="f"/>
          </v:shape>
          <o:OLEObject Type="Embed" ProgID="Equation.DSMT4" ShapeID="_x0000_i1106" DrawAspect="Content" ObjectID="_1841834481" r:id="rId156"/>
        </w:object>
      </w:r>
      <w:r w:rsidR="00504B2F" w:rsidRPr="00B71211">
        <w:rPr>
          <w:rFonts w:cs="Times New Roman"/>
          <w:szCs w:val="24"/>
        </w:rPr>
        <w:tab/>
      </w:r>
      <w:r w:rsidR="00504B2F" w:rsidRPr="00B71211">
        <w:rPr>
          <w:rFonts w:cs="Times New Roman"/>
          <w:szCs w:val="24"/>
        </w:rPr>
        <w:tab/>
        <w:t xml:space="preserve">     (12)</w:t>
      </w:r>
    </w:p>
    <w:p w14:paraId="584B0830" w14:textId="387E9FED" w:rsidR="00112708" w:rsidRPr="00B71211" w:rsidRDefault="0079643C" w:rsidP="00B06414">
      <w:pPr>
        <w:spacing w:line="240" w:lineRule="auto"/>
        <w:rPr>
          <w:rFonts w:cs="Times New Roman"/>
          <w:szCs w:val="24"/>
        </w:rPr>
      </w:pPr>
      <w:r w:rsidRPr="00B71211">
        <w:rPr>
          <w:rFonts w:cs="Times New Roman"/>
          <w:szCs w:val="24"/>
        </w:rPr>
        <w:t xml:space="preserve">The above probability expression can be evaluated using Bhat’s </w:t>
      </w:r>
      <w:r w:rsidR="00E46D5E" w:rsidRPr="00B71211">
        <w:rPr>
          <w:rFonts w:cs="Times New Roman"/>
          <w:szCs w:val="24"/>
        </w:rPr>
        <w:t xml:space="preserve">(2018) </w:t>
      </w:r>
      <w:r w:rsidRPr="00B71211">
        <w:rPr>
          <w:rFonts w:cs="Times New Roman"/>
          <w:szCs w:val="24"/>
        </w:rPr>
        <w:t xml:space="preserve">analytic approximation for the </w:t>
      </w:r>
      <w:r w:rsidR="00DD69EB" w:rsidRPr="00B71211">
        <w:rPr>
          <w:rFonts w:cs="Times New Roman"/>
          <w:position w:val="-10"/>
          <w:szCs w:val="24"/>
        </w:rPr>
        <w:object w:dxaOrig="639" w:dyaOrig="320" w14:anchorId="10464F13">
          <v:shape id="_x0000_i1107" type="#_x0000_t75" style="width:31.7pt;height:15.85pt" o:ole="" o:preferrelative="f">
            <v:imagedata r:id="rId157" o:title=""/>
            <o:lock v:ext="edit" aspectratio="f"/>
          </v:shape>
          <o:OLEObject Type="Embed" ProgID="Equation.DSMT4" ShapeID="_x0000_i1107" DrawAspect="Content" ObjectID="_1841834482" r:id="rId158"/>
        </w:object>
      </w:r>
      <w:r w:rsidRPr="00B71211">
        <w:rPr>
          <w:rFonts w:cs="Times New Roman"/>
          <w:szCs w:val="24"/>
        </w:rPr>
        <w:t xml:space="preserve">-dimensional MVNCD function within the one-dimensional integral, followed by a Gauss-Hermite quadrature procedure to evaluate the one-dimensional integral over the standardized normal density function. </w:t>
      </w:r>
      <w:r w:rsidR="00971526" w:rsidRPr="0093315A">
        <w:rPr>
          <w:rFonts w:cs="Times New Roman"/>
          <w:szCs w:val="24"/>
        </w:rPr>
        <w:t xml:space="preserve">A maximum likelihood estimation procedure is adopted for </w:t>
      </w:r>
      <w:r w:rsidR="002F65E3" w:rsidRPr="0093315A">
        <w:rPr>
          <w:rFonts w:cs="Times New Roman"/>
          <w:szCs w:val="24"/>
        </w:rPr>
        <w:t xml:space="preserve">estimation of the parameter set </w:t>
      </w:r>
      <w:r w:rsidR="00DD69EB" w:rsidRPr="00B71211">
        <w:rPr>
          <w:rFonts w:cs="Times New Roman"/>
          <w:position w:val="-12"/>
          <w:szCs w:val="24"/>
        </w:rPr>
        <w:object w:dxaOrig="1960" w:dyaOrig="360" w14:anchorId="0A40EEA0">
          <v:shape id="_x0000_i1108" type="#_x0000_t75" style="width:97.7pt;height:18pt" o:ole="" o:preferrelative="f">
            <v:imagedata r:id="rId159" o:title=""/>
            <o:lock v:ext="edit" aspectratio="f"/>
          </v:shape>
          <o:OLEObject Type="Embed" ProgID="Equation.DSMT4" ShapeID="_x0000_i1108" DrawAspect="Content" ObjectID="_1841834483" r:id="rId160"/>
        </w:object>
      </w:r>
      <w:r w:rsidR="002F65E3" w:rsidRPr="00B71211">
        <w:rPr>
          <w:rFonts w:cs="Times New Roman"/>
          <w:szCs w:val="24"/>
        </w:rPr>
        <w:t xml:space="preserve">where </w:t>
      </w:r>
      <w:proofErr w:type="spellStart"/>
      <w:r w:rsidR="002F65E3" w:rsidRPr="00B71211">
        <w:rPr>
          <w:rFonts w:cs="Times New Roman"/>
          <w:szCs w:val="24"/>
        </w:rPr>
        <w:t>Vech</w:t>
      </w:r>
      <w:proofErr w:type="spellEnd"/>
      <w:r w:rsidR="002F65E3" w:rsidRPr="00B71211">
        <w:rPr>
          <w:rFonts w:cs="Times New Roman"/>
          <w:szCs w:val="24"/>
        </w:rPr>
        <w:t>(.) vectorizes the upper diagonal elements (ignoring the diagonal elements) of the correlation matrix it operates on</w:t>
      </w:r>
      <w:r w:rsidR="004127B5" w:rsidRPr="0093315A">
        <w:rPr>
          <w:rFonts w:cs="Times New Roman"/>
          <w:szCs w:val="24"/>
        </w:rPr>
        <w:t xml:space="preserve">, and </w:t>
      </w:r>
      <w:r w:rsidR="00DD69EB" w:rsidRPr="00B71211">
        <w:rPr>
          <w:rFonts w:cs="Times New Roman"/>
          <w:position w:val="-12"/>
          <w:szCs w:val="24"/>
        </w:rPr>
        <w:object w:dxaOrig="1640" w:dyaOrig="360" w14:anchorId="75596284">
          <v:shape id="_x0000_i1109" type="#_x0000_t75" style="width:82.3pt;height:18pt" o:ole="" o:preferrelative="f">
            <v:imagedata r:id="rId161" o:title=""/>
            <o:lock v:ext="edit" aspectratio="f"/>
          </v:shape>
          <o:OLEObject Type="Embed" ProgID="Equation.DSMT4" ShapeID="_x0000_i1109" DrawAspect="Content" ObjectID="_1841834484" r:id="rId162"/>
        </w:object>
      </w:r>
      <w:r w:rsidR="00BF2DB2" w:rsidRPr="00B71211">
        <w:rPr>
          <w:rFonts w:cs="Times New Roman"/>
          <w:szCs w:val="24"/>
        </w:rPr>
        <w:t xml:space="preserve"> To ensure that all elements of </w:t>
      </w:r>
      <w:r w:rsidR="00DD69EB" w:rsidRPr="00B71211">
        <w:rPr>
          <w:rFonts w:cs="Times New Roman"/>
          <w:position w:val="-12"/>
          <w:szCs w:val="24"/>
        </w:rPr>
        <w:object w:dxaOrig="279" w:dyaOrig="360" w14:anchorId="18960FB8">
          <v:shape id="_x0000_i1110" type="#_x0000_t75" style="width:13.7pt;height:18pt" o:ole="" o:preferrelative="f">
            <v:imagedata r:id="rId163" o:title=""/>
            <o:lock v:ext="edit" aspectratio="f"/>
          </v:shape>
          <o:OLEObject Type="Embed" ProgID="Equation.DSMT4" ShapeID="_x0000_i1110" DrawAspect="Content" ObjectID="_1841834485" r:id="rId164"/>
        </w:object>
      </w:r>
      <w:r w:rsidR="00BF2DB2" w:rsidRPr="00B71211">
        <w:rPr>
          <w:rFonts w:cs="Times New Roman"/>
          <w:szCs w:val="24"/>
        </w:rPr>
        <w:t xml:space="preserve"> are within the bound of 0 to 2, we use the following elementwise parameterization for the vector </w:t>
      </w:r>
      <w:r w:rsidR="00DD69EB" w:rsidRPr="00B71211">
        <w:rPr>
          <w:rFonts w:cs="Times New Roman"/>
          <w:position w:val="-12"/>
          <w:szCs w:val="24"/>
        </w:rPr>
        <w:object w:dxaOrig="279" w:dyaOrig="360" w14:anchorId="627770AE">
          <v:shape id="_x0000_i1111" type="#_x0000_t75" style="width:13.7pt;height:18pt" o:ole="" o:preferrelative="f">
            <v:imagedata r:id="rId165" o:title=""/>
            <o:lock v:ext="edit" aspectratio="f"/>
          </v:shape>
          <o:OLEObject Type="Embed" ProgID="Equation.DSMT4" ShapeID="_x0000_i1111" DrawAspect="Content" ObjectID="_1841834486" r:id="rId166"/>
        </w:object>
      </w:r>
      <w:r w:rsidR="00BF2DB2" w:rsidRPr="00B71211">
        <w:rPr>
          <w:rFonts w:cs="Times New Roman"/>
          <w:szCs w:val="24"/>
        </w:rPr>
        <w:t xml:space="preserve">: </w:t>
      </w:r>
    </w:p>
    <w:p w14:paraId="3484F3E5" w14:textId="14405831" w:rsidR="00BF2DB2" w:rsidRPr="0086018F" w:rsidRDefault="00B06414" w:rsidP="00B06414">
      <w:pPr>
        <w:tabs>
          <w:tab w:val="left" w:pos="7920"/>
          <w:tab w:val="right" w:pos="9360"/>
        </w:tabs>
        <w:spacing w:before="120" w:after="120" w:line="240" w:lineRule="auto"/>
        <w:rPr>
          <w:rFonts w:cs="Times New Roman"/>
          <w:szCs w:val="24"/>
        </w:rPr>
      </w:pPr>
      <w:r w:rsidRPr="00B71211">
        <w:rPr>
          <w:rFonts w:cs="Times New Roman"/>
          <w:position w:val="-30"/>
          <w:szCs w:val="24"/>
        </w:rPr>
        <w:object w:dxaOrig="3240" w:dyaOrig="680" w14:anchorId="4282CFFC">
          <v:shape id="_x0000_i1112" type="#_x0000_t75" style="width:162pt;height:33.85pt" o:ole="" o:preferrelative="f">
            <v:imagedata r:id="rId167" o:title=""/>
            <o:lock v:ext="edit" aspectratio="f"/>
          </v:shape>
          <o:OLEObject Type="Embed" ProgID="Equation.DSMT4" ShapeID="_x0000_i1112" DrawAspect="Content" ObjectID="_1841834487" r:id="rId168"/>
        </w:object>
      </w:r>
      <w:r w:rsidR="00BF2DB2" w:rsidRPr="00B71211">
        <w:rPr>
          <w:rFonts w:cs="Times New Roman"/>
          <w:szCs w:val="24"/>
        </w:rPr>
        <w:tab/>
        <w:t xml:space="preserve">                </w:t>
      </w:r>
      <w:r w:rsidR="00504B2F" w:rsidRPr="00B71211">
        <w:rPr>
          <w:rFonts w:cs="Times New Roman"/>
          <w:szCs w:val="24"/>
        </w:rPr>
        <w:t xml:space="preserve"> </w:t>
      </w:r>
      <w:r w:rsidR="00BF2DB2" w:rsidRPr="0093315A">
        <w:rPr>
          <w:rFonts w:cs="Times New Roman"/>
          <w:szCs w:val="24"/>
        </w:rPr>
        <w:t>(1</w:t>
      </w:r>
      <w:r w:rsidR="00504B2F" w:rsidRPr="0093315A">
        <w:rPr>
          <w:rFonts w:cs="Times New Roman"/>
          <w:szCs w:val="24"/>
        </w:rPr>
        <w:t>3</w:t>
      </w:r>
      <w:r w:rsidR="00BF2DB2" w:rsidRPr="0093315A">
        <w:rPr>
          <w:rFonts w:cs="Times New Roman"/>
          <w:szCs w:val="24"/>
        </w:rPr>
        <w:t>)</w:t>
      </w:r>
      <w:r w:rsidR="00BF2DB2" w:rsidRPr="0093315A">
        <w:rPr>
          <w:rFonts w:cs="Times New Roman"/>
          <w:szCs w:val="24"/>
        </w:rPr>
        <w:tab/>
      </w:r>
    </w:p>
    <w:p w14:paraId="6B8D6D9B" w14:textId="4D1B7DFD" w:rsidR="00BF2DB2" w:rsidRPr="00B71211" w:rsidRDefault="00BF2DB2" w:rsidP="00B06414">
      <w:pPr>
        <w:tabs>
          <w:tab w:val="right" w:pos="9360"/>
        </w:tabs>
        <w:spacing w:line="240" w:lineRule="auto"/>
        <w:rPr>
          <w:rFonts w:cs="Times New Roman"/>
          <w:szCs w:val="24"/>
        </w:rPr>
      </w:pPr>
      <w:r w:rsidRPr="0086018F">
        <w:rPr>
          <w:rFonts w:cs="Times New Roman"/>
          <w:szCs w:val="24"/>
        </w:rPr>
        <w:lastRenderedPageBreak/>
        <w:t xml:space="preserve">Similarly, to honor the identification constraint that </w:t>
      </w:r>
      <w:r w:rsidRPr="00B71211">
        <w:rPr>
          <w:rFonts w:cs="Times New Roman"/>
          <w:position w:val="-28"/>
          <w:szCs w:val="24"/>
        </w:rPr>
        <w:object w:dxaOrig="880" w:dyaOrig="680" w14:anchorId="1C9E49DC">
          <v:shape id="_x0000_i1113" type="#_x0000_t75" style="width:46.7pt;height:31.7pt" o:ole="" o:preferrelative="f">
            <v:imagedata r:id="rId143" o:title=""/>
            <o:lock v:ext="edit" aspectratio="f"/>
          </v:shape>
          <o:OLEObject Type="Embed" ProgID="Equation.DSMT4" ShapeID="_x0000_i1113" DrawAspect="Content" ObjectID="_1841834488" r:id="rId169"/>
        </w:object>
      </w:r>
      <w:r w:rsidRPr="00B71211">
        <w:rPr>
          <w:rFonts w:cs="Times New Roman"/>
          <w:szCs w:val="24"/>
        </w:rPr>
        <w:t xml:space="preserve">, we parameterize each </w:t>
      </w:r>
      <w:r w:rsidR="00DD69EB" w:rsidRPr="00B71211">
        <w:rPr>
          <w:rFonts w:cs="Times New Roman"/>
          <w:position w:val="-12"/>
          <w:szCs w:val="24"/>
        </w:rPr>
        <w:object w:dxaOrig="260" w:dyaOrig="380" w14:anchorId="0753C9B3">
          <v:shape id="_x0000_i1114" type="#_x0000_t75" style="width:12.85pt;height:18.85pt" o:ole="" o:preferrelative="f">
            <v:imagedata r:id="rId170" o:title=""/>
            <o:lock v:ext="edit" aspectratio="f"/>
          </v:shape>
          <o:OLEObject Type="Embed" ProgID="Equation.DSMT4" ShapeID="_x0000_i1114" DrawAspect="Content" ObjectID="_1841834489" r:id="rId171"/>
        </w:object>
      </w:r>
      <w:r w:rsidR="00DD69EB">
        <w:rPr>
          <w:rFonts w:cs="Times New Roman"/>
          <w:szCs w:val="24"/>
        </w:rPr>
        <w:t xml:space="preserve"> </w:t>
      </w:r>
      <w:r w:rsidRPr="00B71211">
        <w:rPr>
          <w:rFonts w:cs="Times New Roman"/>
          <w:szCs w:val="24"/>
        </w:rPr>
        <w:t>as:</w:t>
      </w:r>
    </w:p>
    <w:p w14:paraId="70F92FA0" w14:textId="38800811" w:rsidR="00BF2DB2" w:rsidRPr="00B71211" w:rsidRDefault="00B06414" w:rsidP="00B06414">
      <w:pPr>
        <w:tabs>
          <w:tab w:val="right" w:pos="9360"/>
        </w:tabs>
        <w:spacing w:before="120" w:after="120" w:line="240" w:lineRule="auto"/>
        <w:rPr>
          <w:rFonts w:cs="Times New Roman"/>
          <w:szCs w:val="24"/>
        </w:rPr>
      </w:pPr>
      <w:r w:rsidRPr="00B71211">
        <w:rPr>
          <w:rFonts w:cs="Times New Roman"/>
          <w:position w:val="-64"/>
          <w:szCs w:val="24"/>
        </w:rPr>
        <w:object w:dxaOrig="1719" w:dyaOrig="1100" w14:anchorId="22A51306">
          <v:shape id="_x0000_i1115" type="#_x0000_t75" style="width:84.85pt;height:54.85pt" o:ole="">
            <v:imagedata r:id="rId172" o:title=""/>
          </v:shape>
          <o:OLEObject Type="Embed" ProgID="Equation.DSMT4" ShapeID="_x0000_i1115" DrawAspect="Content" ObjectID="_1841834490" r:id="rId173"/>
        </w:object>
      </w:r>
      <w:r w:rsidRPr="0093315A">
        <w:rPr>
          <w:rFonts w:cs="Times New Roman"/>
          <w:position w:val="-10"/>
          <w:szCs w:val="24"/>
        </w:rPr>
        <w:object w:dxaOrig="1480" w:dyaOrig="320" w14:anchorId="00977E30">
          <v:shape id="_x0000_i1116" type="#_x0000_t75" style="width:74.15pt;height:16.7pt" o:ole="">
            <v:imagedata r:id="rId174" o:title=""/>
          </v:shape>
          <o:OLEObject Type="Embed" ProgID="Equation.DSMT4" ShapeID="_x0000_i1116" DrawAspect="Content" ObjectID="_1841834491" r:id="rId175"/>
        </w:object>
      </w:r>
      <w:r w:rsidR="00691121" w:rsidRPr="00B71211">
        <w:rPr>
          <w:rFonts w:cs="Times New Roman"/>
          <w:szCs w:val="24"/>
        </w:rPr>
        <w:t>.</w:t>
      </w:r>
      <w:r w:rsidR="00504B2F" w:rsidRPr="00B71211">
        <w:rPr>
          <w:rFonts w:cs="Times New Roman"/>
          <w:szCs w:val="24"/>
        </w:rPr>
        <w:tab/>
        <w:t>(14)</w:t>
      </w:r>
    </w:p>
    <w:p w14:paraId="0A515A33" w14:textId="660BCD80" w:rsidR="00C3099D" w:rsidRPr="00B71211" w:rsidRDefault="00691121" w:rsidP="00B06414">
      <w:pPr>
        <w:tabs>
          <w:tab w:val="right" w:pos="9360"/>
        </w:tabs>
        <w:spacing w:line="240" w:lineRule="auto"/>
        <w:rPr>
          <w:rFonts w:cs="Times New Roman"/>
          <w:szCs w:val="24"/>
        </w:rPr>
      </w:pPr>
      <w:r w:rsidRPr="0093315A">
        <w:rPr>
          <w:rFonts w:cs="Times New Roman"/>
          <w:szCs w:val="24"/>
        </w:rPr>
        <w:t xml:space="preserve">Once the model is estimated with the </w:t>
      </w:r>
      <w:r w:rsidR="00DD69EB" w:rsidRPr="00B71211">
        <w:rPr>
          <w:rFonts w:cs="Times New Roman"/>
          <w:position w:val="-12"/>
          <w:szCs w:val="24"/>
        </w:rPr>
        <w:object w:dxaOrig="279" w:dyaOrig="380" w14:anchorId="44349E97">
          <v:shape id="_x0000_i1117" type="#_x0000_t75" style="width:13.7pt;height:18.85pt" o:ole="" o:preferrelative="f">
            <v:imagedata r:id="rId176" o:title=""/>
            <o:lock v:ext="edit" aspectratio="f"/>
          </v:shape>
          <o:OLEObject Type="Embed" ProgID="Equation.DSMT4" ShapeID="_x0000_i1117" DrawAspect="Content" ObjectID="_1841834492" r:id="rId177"/>
        </w:object>
      </w:r>
      <w:r w:rsidRPr="00B71211">
        <w:rPr>
          <w:rFonts w:cs="Times New Roman"/>
          <w:szCs w:val="24"/>
        </w:rPr>
        <w:t xml:space="preserve"> and </w:t>
      </w:r>
      <w:r w:rsidRPr="00B71211">
        <w:rPr>
          <w:rFonts w:cs="Times New Roman"/>
          <w:position w:val="-12"/>
          <w:szCs w:val="24"/>
        </w:rPr>
        <w:object w:dxaOrig="240" w:dyaOrig="380" w14:anchorId="38A1B026">
          <v:shape id="_x0000_i1118" type="#_x0000_t75" style="width:12pt;height:19.3pt" o:ole="">
            <v:imagedata r:id="rId178" o:title=""/>
          </v:shape>
          <o:OLEObject Type="Embed" ProgID="Equation.DSMT4" ShapeID="_x0000_i1118" DrawAspect="Content" ObjectID="_1841834493" r:id="rId179"/>
        </w:object>
      </w:r>
      <w:r w:rsidRPr="00B71211">
        <w:rPr>
          <w:rFonts w:cs="Times New Roman"/>
          <w:szCs w:val="24"/>
        </w:rPr>
        <w:t xml:space="preserve"> values, we run a final iteration with the implied values for the parameters </w:t>
      </w:r>
      <w:r w:rsidR="00DD69EB" w:rsidRPr="00B71211">
        <w:rPr>
          <w:rFonts w:cs="Times New Roman"/>
          <w:position w:val="-12"/>
          <w:szCs w:val="24"/>
        </w:rPr>
        <w:object w:dxaOrig="300" w:dyaOrig="380" w14:anchorId="31B4D90E">
          <v:shape id="_x0000_i1119" type="#_x0000_t75" style="width:15pt;height:18.85pt" o:ole="" o:preferrelative="f">
            <v:imagedata r:id="rId180" o:title=""/>
            <o:lock v:ext="edit" aspectratio="f"/>
          </v:shape>
          <o:OLEObject Type="Embed" ProgID="Equation.DSMT4" ShapeID="_x0000_i1119" DrawAspect="Content" ObjectID="_1841834494" r:id="rId181"/>
        </w:object>
      </w:r>
      <w:r w:rsidRPr="00B71211">
        <w:rPr>
          <w:rFonts w:cs="Times New Roman"/>
          <w:szCs w:val="24"/>
        </w:rPr>
        <w:t xml:space="preserve">and </w:t>
      </w:r>
      <w:r w:rsidR="00DD69EB" w:rsidRPr="00B71211">
        <w:rPr>
          <w:rFonts w:cs="Times New Roman"/>
          <w:position w:val="-12"/>
          <w:szCs w:val="24"/>
        </w:rPr>
        <w:object w:dxaOrig="260" w:dyaOrig="380" w14:anchorId="57F86AAE">
          <v:shape id="_x0000_i1339" type="#_x0000_t75" style="width:12.85pt;height:18.85pt" o:ole="" o:preferrelative="f">
            <v:imagedata r:id="rId170" o:title=""/>
            <o:lock v:ext="edit" aspectratio="f"/>
          </v:shape>
          <o:OLEObject Type="Embed" ProgID="Equation.DSMT4" ShapeID="_x0000_i1339" DrawAspect="Content" ObjectID="_1841834495" r:id="rId182"/>
        </w:object>
      </w:r>
      <w:r w:rsidRPr="00B71211">
        <w:rPr>
          <w:rFonts w:cs="Times New Roman"/>
          <w:szCs w:val="24"/>
        </w:rPr>
        <w:t>.</w:t>
      </w:r>
    </w:p>
    <w:p w14:paraId="77E6B942" w14:textId="457EFBDE" w:rsidR="00B96BFF" w:rsidRDefault="006D2A9D" w:rsidP="00B06414">
      <w:pPr>
        <w:pStyle w:val="NormalWeb"/>
        <w:spacing w:before="0" w:beforeAutospacing="0" w:after="0" w:afterAutospacing="0"/>
      </w:pPr>
      <w:r w:rsidRPr="00B71211">
        <w:tab/>
        <w:t xml:space="preserve">A few other notes </w:t>
      </w:r>
      <w:r w:rsidR="009765A6">
        <w:t xml:space="preserve">are in order here </w:t>
      </w:r>
      <w:r w:rsidRPr="00B71211">
        <w:t>relat</w:t>
      </w:r>
      <w:r w:rsidR="009765A6">
        <w:t>ing</w:t>
      </w:r>
      <w:r w:rsidRPr="00290D19">
        <w:t xml:space="preserve"> to the estimation procedure</w:t>
      </w:r>
      <w:r w:rsidR="00334102" w:rsidRPr="00290D19">
        <w:t xml:space="preserve"> in the case of the MNYJ with fixed coefficients</w:t>
      </w:r>
      <w:r w:rsidRPr="00290D19">
        <w:t xml:space="preserve">. As indicated earlier in Equation (4), for a given value of </w:t>
      </w:r>
      <w:r w:rsidRPr="00B71211">
        <w:rPr>
          <w:position w:val="-12"/>
        </w:rPr>
        <w:object w:dxaOrig="240" w:dyaOrig="360" w14:anchorId="0BB89FE4">
          <v:shape id="_x0000_i1121" type="#_x0000_t75" style="width:12pt;height:18.45pt" o:ole="">
            <v:imagedata r:id="rId183" o:title=""/>
          </v:shape>
          <o:OLEObject Type="Embed" ProgID="Equation.DSMT4" ShapeID="_x0000_i1121" DrawAspect="Content" ObjectID="_1841834496" r:id="rId184"/>
        </w:object>
      </w:r>
      <w:r w:rsidRPr="00B71211">
        <w:t xml:space="preserve"> during the maximum likelihood iterations, </w:t>
      </w:r>
      <w:r w:rsidR="00B06414" w:rsidRPr="00B71211">
        <w:rPr>
          <w:position w:val="-12"/>
        </w:rPr>
        <w:object w:dxaOrig="639" w:dyaOrig="360" w14:anchorId="37F3367E">
          <v:shape id="_x0000_i1122" type="#_x0000_t75" style="width:31.7pt;height:18pt" o:ole="" o:preferrelative="f">
            <v:imagedata r:id="rId185" o:title=""/>
            <o:lock v:ext="edit" aspectratio="f"/>
          </v:shape>
          <o:OLEObject Type="Embed" ProgID="Equation.DSMT4" ShapeID="_x0000_i1122" DrawAspect="Content" ObjectID="_1841834497" r:id="rId186"/>
        </w:object>
      </w:r>
      <w:r w:rsidR="008D2E0C">
        <w:t xml:space="preserve"> </w:t>
      </w:r>
      <w:r w:rsidRPr="00B71211">
        <w:t xml:space="preserve">and </w:t>
      </w:r>
      <w:r w:rsidR="00B06414" w:rsidRPr="00B71211">
        <w:rPr>
          <w:position w:val="-12"/>
        </w:rPr>
        <w:object w:dxaOrig="660" w:dyaOrig="360" w14:anchorId="343DC9D7">
          <v:shape id="_x0000_i1123" type="#_x0000_t75" style="width:33pt;height:18pt" o:ole="" o:preferrelative="f">
            <v:imagedata r:id="rId187" o:title=""/>
            <o:lock v:ext="edit" aspectratio="f"/>
          </v:shape>
          <o:OLEObject Type="Embed" ProgID="Equation.DSMT4" ShapeID="_x0000_i1123" DrawAspect="Content" ObjectID="_1841834498" r:id="rId188"/>
        </w:object>
      </w:r>
      <w:r w:rsidR="008D2E0C">
        <w:t xml:space="preserve"> </w:t>
      </w:r>
      <w:r w:rsidRPr="00B71211">
        <w:t xml:space="preserve">may be computed using one-dimensional Gauss-Hermite quadrature. In our </w:t>
      </w:r>
      <w:r w:rsidR="00334102" w:rsidRPr="0093315A">
        <w:t xml:space="preserve">simulation runs discussed </w:t>
      </w:r>
      <w:r w:rsidR="002B54C4">
        <w:t>in Section 3</w:t>
      </w:r>
      <w:r w:rsidRPr="0093315A">
        <w:t xml:space="preserve">, we used a 92-point quadrature </w:t>
      </w:r>
      <w:r w:rsidRPr="00290D19">
        <w:t xml:space="preserve">that is still very fast and </w:t>
      </w:r>
      <w:r w:rsidRPr="00B71211">
        <w:t>makes the standardization highly</w:t>
      </w:r>
      <w:r w:rsidRPr="0093315A">
        <w:t xml:space="preserve"> accurate. </w:t>
      </w:r>
      <w:r w:rsidR="00A5077C" w:rsidRPr="0086018F">
        <w:t xml:space="preserve">The issue with the quadrature evaluation of the outer integral </w:t>
      </w:r>
      <w:r w:rsidR="002B54C4">
        <w:t xml:space="preserve">(that is, the integral in Equation (12)) </w:t>
      </w:r>
      <w:r w:rsidR="00A5077C" w:rsidRPr="0086018F">
        <w:t xml:space="preserve">is more tricky. </w:t>
      </w:r>
      <w:r w:rsidR="00A5077C" w:rsidRPr="00DD5FA6">
        <w:t xml:space="preserve">A sensitivity analysis was undertaken </w:t>
      </w:r>
      <w:r w:rsidR="002B54C4">
        <w:t xml:space="preserve">in our simulation runs </w:t>
      </w:r>
      <w:r w:rsidR="00A5077C" w:rsidRPr="00DD5FA6">
        <w:t>with respect to the number of Gauss–Hermite quadrature nodes used for th</w:t>
      </w:r>
      <w:r w:rsidR="00A5077C" w:rsidRPr="009E4296">
        <w:t>is</w:t>
      </w:r>
      <w:r w:rsidR="00A5077C" w:rsidRPr="00290D19">
        <w:t xml:space="preserve"> outer one-dimensional integral evaluation. Specifically, values of 10, 20, 30, 50, and 92 quadrature points were examined. The results indicated that moving from 10 to 20 nodes produced a substantial improvement in parameter recovery, with the estimates becoming much closer to the true parameter values. Increasing the quadrature order further from 20 to 30 provided additional improvement, although the gains were noticeably smaller than those observed when moving from 10 to 20 nodes. Comparisons between 30 and 50 nodes revealed very little difference in the resulting parameter estimates whenever the 50-node specification successfully converged. However, occasional convergence failures began to emerge at 50 nodes. When the quadrature order was increased to 92 nodes, convergence failures became substantially more frequent, and the numerical stability of the covariance matrix computations deteriorated considerably.</w:t>
      </w:r>
      <w:r w:rsidR="003B10F7" w:rsidRPr="00290D19">
        <w:t xml:space="preserve"> </w:t>
      </w:r>
      <w:r w:rsidR="00A5077C" w:rsidRPr="00290D19">
        <w:t xml:space="preserve">These findings suggest that, for the </w:t>
      </w:r>
      <w:r w:rsidR="003B10F7" w:rsidRPr="00290D19">
        <w:t>MNYJ</w:t>
      </w:r>
      <w:r w:rsidR="00A5077C" w:rsidRPr="00290D19">
        <w:t xml:space="preserve"> model, increasing the </w:t>
      </w:r>
      <w:r w:rsidR="00305CFD">
        <w:t xml:space="preserve">outer integral </w:t>
      </w:r>
      <w:r w:rsidR="00A5077C" w:rsidRPr="00B71211">
        <w:t>quadrature order beyond a moderate level does not necessarily improve estimation performance. While</w:t>
      </w:r>
      <w:r w:rsidR="00A5077C" w:rsidRPr="0093315A">
        <w:t xml:space="preserve"> higher-order quadrature rules provide a more accurate approximation to the underlying integral, they also evaluate the integrand more finely in the tails of the </w:t>
      </w:r>
      <w:r w:rsidR="003B10F7" w:rsidRPr="0093315A">
        <w:t xml:space="preserve">kernel </w:t>
      </w:r>
      <w:r w:rsidR="00A5077C" w:rsidRPr="0093315A">
        <w:t>distribution</w:t>
      </w:r>
      <w:r w:rsidR="003B10F7" w:rsidRPr="0086018F">
        <w:t xml:space="preserve"> </w:t>
      </w:r>
      <w:r w:rsidR="00DD69EB" w:rsidRPr="00B71211">
        <w:rPr>
          <w:position w:val="-12"/>
        </w:rPr>
        <w:object w:dxaOrig="240" w:dyaOrig="360" w14:anchorId="13AFB9C4">
          <v:shape id="_x0000_i1124" type="#_x0000_t75" style="width:12pt;height:18pt" o:ole="" o:preferrelative="f">
            <v:imagedata r:id="rId189" o:title=""/>
            <o:lock v:ext="edit" aspectratio="f"/>
          </v:shape>
          <o:OLEObject Type="Embed" ProgID="Equation.DSMT4" ShapeID="_x0000_i1124" DrawAspect="Content" ObjectID="_1841834499" r:id="rId190"/>
        </w:object>
      </w:r>
      <w:r w:rsidR="003B10F7" w:rsidRPr="00B71211">
        <w:t xml:space="preserve"> of the chosen alternative as </w:t>
      </w:r>
      <w:r w:rsidR="00A5077C" w:rsidRPr="00B71211">
        <w:t>contain</w:t>
      </w:r>
      <w:r w:rsidR="003B10F7" w:rsidRPr="0093315A">
        <w:t>ed in the</w:t>
      </w:r>
      <w:r w:rsidR="00A5077C" w:rsidRPr="0093315A">
        <w:t xml:space="preserve"> nonlinear inverse Yeo–Johnson transformations </w:t>
      </w:r>
      <w:r w:rsidR="00B06414" w:rsidRPr="00B71211">
        <w:rPr>
          <w:position w:val="-12"/>
        </w:rPr>
        <w:object w:dxaOrig="240" w:dyaOrig="360" w14:anchorId="60CE88FC">
          <v:shape id="_x0000_i1125" type="#_x0000_t75" style="width:12pt;height:18pt" o:ole="" o:preferrelative="f">
            <v:imagedata r:id="rId191" o:title=""/>
            <o:lock v:ext="edit" aspectratio="f"/>
          </v:shape>
          <o:OLEObject Type="Embed" ProgID="Equation.DSMT4" ShapeID="_x0000_i1125" DrawAspect="Content" ObjectID="_1841834500" r:id="rId192"/>
        </w:object>
      </w:r>
      <w:r w:rsidR="003B10F7" w:rsidRPr="00B71211">
        <w:t>=</w:t>
      </w:r>
      <w:r w:rsidR="00DD69EB" w:rsidRPr="00B71211">
        <w:rPr>
          <w:position w:val="-14"/>
        </w:rPr>
        <w:object w:dxaOrig="680" w:dyaOrig="400" w14:anchorId="6E8C808F">
          <v:shape id="_x0000_i1126" type="#_x0000_t75" style="width:33.85pt;height:20.15pt" o:ole="" o:preferrelative="f">
            <v:imagedata r:id="rId193" o:title=""/>
            <o:lock v:ext="edit" aspectratio="f"/>
          </v:shape>
          <o:OLEObject Type="Embed" ProgID="Equation.DSMT4" ShapeID="_x0000_i1126" DrawAspect="Content" ObjectID="_1841834501" r:id="rId194"/>
        </w:object>
      </w:r>
      <w:r w:rsidR="003B10F7" w:rsidRPr="00B71211">
        <w:t>. This</w:t>
      </w:r>
      <w:r w:rsidR="00305CFD">
        <w:t>,</w:t>
      </w:r>
      <w:r w:rsidR="003B10F7" w:rsidRPr="00B71211">
        <w:t xml:space="preserve"> together </w:t>
      </w:r>
      <w:r w:rsidR="00A5077C" w:rsidRPr="00B71211">
        <w:t>with multivariate normal cumulative distribution function evaluations embedded within the integrand itself</w:t>
      </w:r>
      <w:r w:rsidR="00305CFD">
        <w:t>,</w:t>
      </w:r>
      <w:r w:rsidR="00A5077C" w:rsidRPr="00B71211">
        <w:t xml:space="preserve"> can expose regions of the likelihoo</w:t>
      </w:r>
      <w:r w:rsidR="00A5077C" w:rsidRPr="0093315A">
        <w:t>d surface with very weak curvature</w:t>
      </w:r>
      <w:r w:rsidR="007B6FDB" w:rsidRPr="0093315A">
        <w:t>, sharper ridges, more local roughness, and</w:t>
      </w:r>
      <w:r w:rsidR="00A5077C" w:rsidRPr="0093315A">
        <w:t xml:space="preserve"> </w:t>
      </w:r>
      <w:r w:rsidR="007B6FDB" w:rsidRPr="0086018F">
        <w:t xml:space="preserve">overall </w:t>
      </w:r>
      <w:r w:rsidR="00A5077C" w:rsidRPr="00DD5FA6">
        <w:t>increased numerical irregularity</w:t>
      </w:r>
      <w:r w:rsidR="003B10F7" w:rsidRPr="00DD5FA6">
        <w:t xml:space="preserve"> when higher-order quadrature is used</w:t>
      </w:r>
      <w:r w:rsidR="00A5077C" w:rsidRPr="00DD5FA6">
        <w:t>, particularly in the correlation and sh</w:t>
      </w:r>
      <w:r w:rsidR="00A5077C" w:rsidRPr="009E4296">
        <w:t>ape-parameter directions. Th</w:t>
      </w:r>
      <w:r w:rsidR="00305CFD">
        <w:t>e net result</w:t>
      </w:r>
      <w:r w:rsidR="00A5077C" w:rsidRPr="00290D19">
        <w:t xml:space="preserve"> </w:t>
      </w:r>
      <w:r w:rsidR="00305CFD">
        <w:t xml:space="preserve">is </w:t>
      </w:r>
      <w:r w:rsidR="00A5077C" w:rsidRPr="00290D19">
        <w:t xml:space="preserve">near-singular Hessians, unstable covariance matrix calculations, and convergence difficulties, even when lower-order quadrature rules already provide sufficiently accurate approximations to the likelihood function. </w:t>
      </w:r>
      <w:r w:rsidR="007B6FDB" w:rsidRPr="00290D19">
        <w:t xml:space="preserve">Overall, the correlation block is numerically fragile under sharper outer quadrature (high quadrature nodes), and a lower quadrature order can provide a more stable approximation without materially changing the fitted likelihood. </w:t>
      </w:r>
      <w:r w:rsidR="00A5077C" w:rsidRPr="00290D19">
        <w:t xml:space="preserve">Based on the overall tradeoff between numerical stability, convergence behavior, and parameter recovery, a quadrature order of 30 was selected for the </w:t>
      </w:r>
      <w:r w:rsidR="003B10F7" w:rsidRPr="00290D19">
        <w:t xml:space="preserve">simulation analysis </w:t>
      </w:r>
      <w:r w:rsidR="00305CFD">
        <w:t xml:space="preserve">of Section 3 </w:t>
      </w:r>
      <w:r w:rsidR="003B10F7" w:rsidRPr="00B71211">
        <w:t>in the current paper</w:t>
      </w:r>
      <w:r w:rsidR="00A5077C" w:rsidRPr="00B71211">
        <w:t>.</w:t>
      </w:r>
      <w:r w:rsidR="00A10571" w:rsidRPr="00290D19">
        <w:tab/>
      </w:r>
      <w:r w:rsidR="00B96BFF" w:rsidRPr="00290D19">
        <w:t xml:space="preserve"> </w:t>
      </w:r>
    </w:p>
    <w:p w14:paraId="48C76C15" w14:textId="77777777" w:rsidR="002B54C4" w:rsidRPr="00290D19" w:rsidRDefault="002B54C4" w:rsidP="00B06414">
      <w:pPr>
        <w:pStyle w:val="NormalWeb"/>
        <w:spacing w:before="0" w:beforeAutospacing="0" w:after="0" w:afterAutospacing="0"/>
      </w:pPr>
    </w:p>
    <w:p w14:paraId="64EAAC52" w14:textId="7C3FF29C" w:rsidR="00926604" w:rsidRPr="00290D19" w:rsidRDefault="009845F1" w:rsidP="00B06414">
      <w:pPr>
        <w:autoSpaceDE w:val="0"/>
        <w:autoSpaceDN w:val="0"/>
        <w:adjustRightInd w:val="0"/>
        <w:spacing w:line="240" w:lineRule="auto"/>
        <w:rPr>
          <w:rFonts w:eastAsia="Times New Roman" w:cs="Times New Roman"/>
          <w:b/>
          <w:bCs/>
          <w:szCs w:val="24"/>
        </w:rPr>
      </w:pPr>
      <w:r w:rsidRPr="00290D19">
        <w:rPr>
          <w:rFonts w:eastAsia="Times New Roman" w:cs="Times New Roman"/>
          <w:b/>
          <w:bCs/>
          <w:szCs w:val="24"/>
        </w:rPr>
        <w:lastRenderedPageBreak/>
        <w:t xml:space="preserve">2.3. </w:t>
      </w:r>
      <w:r w:rsidR="00926604" w:rsidRPr="00290D19">
        <w:rPr>
          <w:rFonts w:eastAsia="Times New Roman" w:cs="Times New Roman"/>
          <w:b/>
          <w:bCs/>
          <w:szCs w:val="24"/>
        </w:rPr>
        <w:t xml:space="preserve">The MNYJ Model with </w:t>
      </w:r>
      <w:r w:rsidR="00AF57D0" w:rsidRPr="00290D19">
        <w:rPr>
          <w:rFonts w:eastAsia="Times New Roman" w:cs="Times New Roman"/>
          <w:b/>
          <w:bCs/>
          <w:szCs w:val="24"/>
        </w:rPr>
        <w:t>Random</w:t>
      </w:r>
      <w:r w:rsidR="00926604" w:rsidRPr="00290D19">
        <w:rPr>
          <w:rFonts w:eastAsia="Times New Roman" w:cs="Times New Roman"/>
          <w:b/>
          <w:bCs/>
          <w:szCs w:val="24"/>
        </w:rPr>
        <w:t xml:space="preserve"> Coefficients</w:t>
      </w:r>
    </w:p>
    <w:p w14:paraId="54F1325B" w14:textId="7A972586" w:rsidR="00926604" w:rsidRPr="0086018F" w:rsidRDefault="00926604" w:rsidP="00B06414">
      <w:pPr>
        <w:spacing w:line="240" w:lineRule="auto"/>
        <w:rPr>
          <w:rFonts w:cs="Times New Roman"/>
          <w:szCs w:val="24"/>
        </w:rPr>
      </w:pPr>
      <w:r w:rsidRPr="00290D19">
        <w:rPr>
          <w:rFonts w:cs="Times New Roman"/>
          <w:szCs w:val="24"/>
        </w:rPr>
        <w:t xml:space="preserve">The MNYJ model can be extended in a straightforward manner to include asymmetric (inverse YJ transformation based) random coefficients on exogenous variables. Further, we </w:t>
      </w:r>
      <w:r w:rsidR="00305CFD">
        <w:rPr>
          <w:rFonts w:cs="Times New Roman"/>
          <w:szCs w:val="24"/>
        </w:rPr>
        <w:t>can a</w:t>
      </w:r>
      <w:r w:rsidRPr="00B71211">
        <w:rPr>
          <w:rFonts w:cs="Times New Roman"/>
          <w:szCs w:val="24"/>
        </w:rPr>
        <w:t>lso relax the assumption that random coefficients are distributed independent of the kernel error terms (or independent of any</w:t>
      </w:r>
      <w:r w:rsidRPr="0093315A">
        <w:rPr>
          <w:rFonts w:cs="Times New Roman"/>
          <w:szCs w:val="24"/>
        </w:rPr>
        <w:t xml:space="preserve"> error components if error components are the vehicle to engender correlations across utilities).</w:t>
      </w:r>
      <w:r w:rsidR="00F25229" w:rsidRPr="00B71211">
        <w:rPr>
          <w:rStyle w:val="FootnoteReference"/>
          <w:szCs w:val="24"/>
        </w:rPr>
        <w:footnoteReference w:id="2"/>
      </w:r>
      <w:r w:rsidR="00F25229" w:rsidRPr="00B71211">
        <w:rPr>
          <w:rFonts w:cs="Times New Roman"/>
          <w:szCs w:val="24"/>
        </w:rPr>
        <w:t xml:space="preserve"> </w:t>
      </w:r>
      <w:r w:rsidRPr="00B71211">
        <w:rPr>
          <w:rFonts w:cs="Times New Roman"/>
          <w:szCs w:val="24"/>
        </w:rPr>
        <w:t>In this regard, our model not only extends the traditional mixed logit and MNP models to asymmetric kernel error terms with a full covariance matrix, but a</w:t>
      </w:r>
      <w:r w:rsidRPr="0093315A">
        <w:rPr>
          <w:rFonts w:cs="Times New Roman"/>
          <w:szCs w:val="24"/>
        </w:rPr>
        <w:t xml:space="preserve">lso allows asymmetric random coefficients as well as correlation effects between the random coefficient vector and the kernel error vector. </w:t>
      </w:r>
    </w:p>
    <w:p w14:paraId="52AE2B1C" w14:textId="77777777" w:rsidR="008F7C12" w:rsidRPr="0086018F" w:rsidRDefault="00926604" w:rsidP="00B06414">
      <w:pPr>
        <w:spacing w:line="240" w:lineRule="auto"/>
        <w:ind w:firstLine="720"/>
        <w:rPr>
          <w:rFonts w:cs="Times New Roman"/>
          <w:szCs w:val="24"/>
        </w:rPr>
      </w:pPr>
      <w:r w:rsidRPr="0086018F">
        <w:rPr>
          <w:rFonts w:cs="Times New Roman"/>
          <w:szCs w:val="24"/>
        </w:rPr>
        <w:t xml:space="preserve">The random coefficients formulation begins with </w:t>
      </w:r>
      <w:r w:rsidR="008F7C12" w:rsidRPr="0086018F">
        <w:rPr>
          <w:rFonts w:cs="Times New Roman"/>
          <w:szCs w:val="24"/>
        </w:rPr>
        <w:t>the equation below:</w:t>
      </w:r>
    </w:p>
    <w:p w14:paraId="73ED997D" w14:textId="5514D294" w:rsidR="002E7C1E" w:rsidRPr="00B71211" w:rsidRDefault="00B06414" w:rsidP="00B06414">
      <w:pPr>
        <w:tabs>
          <w:tab w:val="right" w:pos="9360"/>
        </w:tabs>
        <w:spacing w:before="120" w:after="120" w:line="240" w:lineRule="auto"/>
        <w:rPr>
          <w:rFonts w:cs="Times New Roman"/>
          <w:szCs w:val="24"/>
        </w:rPr>
      </w:pPr>
      <w:r w:rsidRPr="00B71211">
        <w:rPr>
          <w:rFonts w:cs="Times New Roman"/>
          <w:position w:val="-20"/>
          <w:szCs w:val="24"/>
        </w:rPr>
        <w:object w:dxaOrig="9160" w:dyaOrig="540" w14:anchorId="7EB8A936">
          <v:shape id="_x0000_i1127" type="#_x0000_t75" style="width:432.85pt;height:25.7pt" o:ole="">
            <v:imagedata r:id="rId195" o:title=""/>
          </v:shape>
          <o:OLEObject Type="Embed" ProgID="Equation.DSMT4" ShapeID="_x0000_i1127" DrawAspect="Content" ObjectID="_1841834502" r:id="rId196"/>
        </w:object>
      </w:r>
      <w:r>
        <w:rPr>
          <w:rFonts w:cs="Times New Roman"/>
          <w:szCs w:val="24"/>
        </w:rPr>
        <w:t xml:space="preserve"> </w:t>
      </w:r>
      <w:r>
        <w:rPr>
          <w:rFonts w:cs="Times New Roman"/>
          <w:szCs w:val="24"/>
        </w:rPr>
        <w:tab/>
      </w:r>
      <w:r w:rsidR="00504B2F" w:rsidRPr="00B71211">
        <w:rPr>
          <w:rFonts w:cs="Times New Roman"/>
          <w:szCs w:val="24"/>
        </w:rPr>
        <w:t>(15)</w:t>
      </w:r>
    </w:p>
    <w:p w14:paraId="50C47CE6" w14:textId="7BE05154" w:rsidR="00CE44EC" w:rsidRPr="0093315A" w:rsidRDefault="00FB079B" w:rsidP="00B06414">
      <w:pPr>
        <w:spacing w:line="240" w:lineRule="auto"/>
        <w:rPr>
          <w:rFonts w:cs="Times New Roman"/>
          <w:szCs w:val="24"/>
        </w:rPr>
      </w:pPr>
      <w:r w:rsidRPr="0093315A">
        <w:rPr>
          <w:rFonts w:cs="Times New Roman"/>
          <w:szCs w:val="24"/>
        </w:rPr>
        <w:t xml:space="preserve">with </w:t>
      </w:r>
      <w:r w:rsidR="00DD69EB" w:rsidRPr="00B71211">
        <w:rPr>
          <w:rFonts w:cs="Times New Roman"/>
          <w:position w:val="-6"/>
          <w:szCs w:val="24"/>
        </w:rPr>
        <w:object w:dxaOrig="220" w:dyaOrig="220" w14:anchorId="5DBB5823">
          <v:shape id="_x0000_i1128" type="#_x0000_t75" style="width:10.7pt;height:10.7pt" o:ole="">
            <v:imagedata r:id="rId197" o:title=""/>
          </v:shape>
          <o:OLEObject Type="Embed" ProgID="Equation.DSMT4" ShapeID="_x0000_i1128" DrawAspect="Content" ObjectID="_1841834503" r:id="rId198"/>
        </w:object>
      </w:r>
      <w:r w:rsidRPr="00B71211">
        <w:rPr>
          <w:rFonts w:cs="Times New Roman"/>
          <w:szCs w:val="24"/>
        </w:rPr>
        <w:t xml:space="preserve"> being a </w:t>
      </w:r>
      <w:r w:rsidRPr="00B71211">
        <w:rPr>
          <w:rFonts w:cs="Times New Roman"/>
          <w:position w:val="-10"/>
          <w:szCs w:val="24"/>
        </w:rPr>
        <w:object w:dxaOrig="760" w:dyaOrig="320" w14:anchorId="20129187">
          <v:shape id="_x0000_i1129" type="#_x0000_t75" style="width:37.7pt;height:15.45pt" o:ole="" o:preferrelative="f">
            <v:imagedata r:id="rId199" o:title=""/>
            <o:lock v:ext="edit" aspectratio="f"/>
          </v:shape>
          <o:OLEObject Type="Embed" ProgID="Equation.DSMT4" ShapeID="_x0000_i1129" DrawAspect="Content" ObjectID="_1841834504" r:id="rId200"/>
        </w:object>
      </w:r>
      <w:r w:rsidRPr="00B71211">
        <w:rPr>
          <w:rFonts w:cs="Times New Roman"/>
          <w:szCs w:val="24"/>
        </w:rPr>
        <w:t xml:space="preserve"> diagonal matrix containing the scale associated with each element of </w:t>
      </w:r>
      <w:r w:rsidR="00DD69EB" w:rsidRPr="00B71211">
        <w:rPr>
          <w:rFonts w:cs="Times New Roman"/>
          <w:position w:val="-10"/>
          <w:szCs w:val="24"/>
        </w:rPr>
        <w:object w:dxaOrig="200" w:dyaOrig="380" w14:anchorId="6BCE0A9B">
          <v:shape id="_x0000_i1130" type="#_x0000_t75" style="width:10.3pt;height:18.85pt" o:ole="" o:preferrelative="f">
            <v:imagedata r:id="rId201" o:title=""/>
            <o:lock v:ext="edit" aspectratio="f"/>
          </v:shape>
          <o:OLEObject Type="Embed" ProgID="Equation.DSMT4" ShapeID="_x0000_i1130" DrawAspect="Content" ObjectID="_1841834505" r:id="rId202"/>
        </w:object>
      </w:r>
      <w:r w:rsidRPr="00B71211">
        <w:rPr>
          <w:rFonts w:cs="Times New Roman"/>
          <w:szCs w:val="24"/>
        </w:rPr>
        <w:t xml:space="preserve">, </w:t>
      </w:r>
      <w:r w:rsidR="00DD69EB" w:rsidRPr="00B71211">
        <w:rPr>
          <w:rFonts w:cs="Times New Roman"/>
          <w:position w:val="-20"/>
          <w:szCs w:val="24"/>
        </w:rPr>
        <w:object w:dxaOrig="999" w:dyaOrig="460" w14:anchorId="25975E70">
          <v:shape id="_x0000_i1131" type="#_x0000_t75" style="width:49.7pt;height:23.15pt" o:ole="" o:preferrelative="f">
            <v:imagedata r:id="rId203" o:title=""/>
            <o:lock v:ext="edit" aspectratio="f"/>
          </v:shape>
          <o:OLEObject Type="Embed" ProgID="Equation.DSMT4" ShapeID="_x0000_i1131" DrawAspect="Content" ObjectID="_1841834506" r:id="rId204"/>
        </w:object>
      </w:r>
      <w:r w:rsidRPr="00B71211">
        <w:rPr>
          <w:rFonts w:cs="Times New Roman"/>
          <w:szCs w:val="24"/>
        </w:rPr>
        <w:t xml:space="preserve"> </w:t>
      </w:r>
      <w:r w:rsidR="00546BEA" w:rsidRPr="00B71211">
        <w:rPr>
          <w:rFonts w:cs="Times New Roman"/>
          <w:szCs w:val="24"/>
        </w:rPr>
        <w:t>being an inverse YJ-transformed asymmetric random coefficient (</w:t>
      </w:r>
      <w:r w:rsidR="00DD69EB" w:rsidRPr="00B71211">
        <w:rPr>
          <w:rFonts w:cs="Times New Roman"/>
          <w:position w:val="-10"/>
          <w:szCs w:val="24"/>
        </w:rPr>
        <w:object w:dxaOrig="200" w:dyaOrig="260" w14:anchorId="2B18E8ED">
          <v:shape id="_x0000_i1132" type="#_x0000_t75" style="width:10.3pt;height:12.85pt" o:ole="" o:preferrelative="f">
            <v:imagedata r:id="rId205" o:title=""/>
            <o:lock v:ext="edit" aspectratio="f"/>
          </v:shape>
          <o:OLEObject Type="Embed" ProgID="Equation.DSMT4" ShapeID="_x0000_i1132" DrawAspect="Content" ObjectID="_1841834507" r:id="rId206"/>
        </w:object>
      </w:r>
      <w:r w:rsidRPr="00B71211">
        <w:rPr>
          <w:rFonts w:cs="Times New Roman"/>
          <w:szCs w:val="24"/>
        </w:rPr>
        <w:t xml:space="preserve"> </w:t>
      </w:r>
      <w:r w:rsidR="00546BEA" w:rsidRPr="00B71211">
        <w:rPr>
          <w:rFonts w:cs="Times New Roman"/>
          <w:szCs w:val="24"/>
        </w:rPr>
        <w:t xml:space="preserve">is </w:t>
      </w:r>
      <w:r w:rsidRPr="0093315A">
        <w:rPr>
          <w:rFonts w:cs="Times New Roman"/>
          <w:szCs w:val="24"/>
        </w:rPr>
        <w:t>a standardized normal vector</w:t>
      </w:r>
      <w:r w:rsidR="00546BEA" w:rsidRPr="0093315A">
        <w:rPr>
          <w:rFonts w:cs="Times New Roman"/>
          <w:szCs w:val="24"/>
        </w:rPr>
        <w:t>)</w:t>
      </w:r>
      <w:r w:rsidRPr="0093315A">
        <w:rPr>
          <w:rFonts w:cs="Times New Roman"/>
          <w:szCs w:val="24"/>
        </w:rPr>
        <w:t xml:space="preserve">, </w:t>
      </w:r>
      <w:r w:rsidR="00DD69EB" w:rsidRPr="00B71211">
        <w:rPr>
          <w:rFonts w:cs="Times New Roman"/>
          <w:position w:val="-18"/>
          <w:szCs w:val="24"/>
        </w:rPr>
        <w:object w:dxaOrig="700" w:dyaOrig="480" w14:anchorId="11CABBFD">
          <v:shape id="_x0000_i1133" type="#_x0000_t75" style="width:35.15pt;height:23.55pt" o:ole="" o:preferrelative="f">
            <v:imagedata r:id="rId207" o:title=""/>
            <o:lock v:ext="edit" aspectratio="f"/>
          </v:shape>
          <o:OLEObject Type="Embed" ProgID="Equation.DSMT4" ShapeID="_x0000_i1133" DrawAspect="Content" ObjectID="_1841834508" r:id="rId208"/>
        </w:object>
      </w:r>
      <w:r w:rsidRPr="00B71211">
        <w:rPr>
          <w:rFonts w:cs="Times New Roman"/>
          <w:szCs w:val="24"/>
        </w:rPr>
        <w:t xml:space="preserve"> </w:t>
      </w:r>
      <w:r w:rsidR="00546BEA" w:rsidRPr="00B71211">
        <w:rPr>
          <w:rFonts w:cs="Times New Roman"/>
          <w:szCs w:val="24"/>
        </w:rPr>
        <w:t xml:space="preserve">being a </w:t>
      </w:r>
      <w:r w:rsidRPr="0093315A">
        <w:rPr>
          <w:rFonts w:eastAsia="Times New Roman" w:cs="Times New Roman"/>
          <w:szCs w:val="24"/>
        </w:rPr>
        <w:t xml:space="preserve">vector of means </w:t>
      </w:r>
      <w:r w:rsidR="007C10BC" w:rsidRPr="0093315A">
        <w:rPr>
          <w:rFonts w:eastAsia="Times New Roman" w:cs="Times New Roman"/>
          <w:szCs w:val="24"/>
        </w:rPr>
        <w:t xml:space="preserve">due purely to </w:t>
      </w:r>
      <w:r w:rsidRPr="0093315A">
        <w:rPr>
          <w:rFonts w:eastAsia="Times New Roman" w:cs="Times New Roman"/>
          <w:szCs w:val="24"/>
        </w:rPr>
        <w:t xml:space="preserve">the </w:t>
      </w:r>
      <w:r w:rsidR="007C10BC" w:rsidRPr="0093315A">
        <w:rPr>
          <w:rFonts w:eastAsia="Times New Roman" w:cs="Times New Roman"/>
          <w:szCs w:val="24"/>
        </w:rPr>
        <w:t xml:space="preserve">inverse </w:t>
      </w:r>
      <w:r w:rsidRPr="0086018F">
        <w:rPr>
          <w:rFonts w:eastAsia="Times New Roman" w:cs="Times New Roman"/>
          <w:szCs w:val="24"/>
        </w:rPr>
        <w:t>YJ transformation</w:t>
      </w:r>
      <w:r w:rsidR="007C10BC" w:rsidRPr="0086018F">
        <w:rPr>
          <w:rFonts w:eastAsia="Times New Roman" w:cs="Times New Roman"/>
          <w:szCs w:val="24"/>
        </w:rPr>
        <w:t>, and</w:t>
      </w:r>
      <w:r w:rsidRPr="0086018F">
        <w:rPr>
          <w:rFonts w:eastAsia="Times New Roman" w:cs="Times New Roman"/>
          <w:szCs w:val="24"/>
        </w:rPr>
        <w:t xml:space="preserve"> </w:t>
      </w:r>
      <w:r w:rsidR="00DD69EB" w:rsidRPr="00B71211">
        <w:rPr>
          <w:rFonts w:cs="Times New Roman"/>
          <w:position w:val="-14"/>
          <w:szCs w:val="24"/>
        </w:rPr>
        <w:object w:dxaOrig="620" w:dyaOrig="420" w14:anchorId="52A08CD9">
          <v:shape id="_x0000_i1134" type="#_x0000_t75" style="width:30.85pt;height:21pt" o:ole="">
            <v:imagedata r:id="rId209" o:title=""/>
          </v:shape>
          <o:OLEObject Type="Embed" ProgID="Equation.DSMT4" ShapeID="_x0000_i1134" DrawAspect="Content" ObjectID="_1841834509" r:id="rId210"/>
        </w:object>
      </w:r>
      <w:r w:rsidR="007C10BC" w:rsidRPr="00B71211">
        <w:rPr>
          <w:rFonts w:cs="Times New Roman"/>
          <w:szCs w:val="24"/>
        </w:rPr>
        <w:t xml:space="preserve"> </w:t>
      </w:r>
      <w:r w:rsidR="00546BEA" w:rsidRPr="00B71211">
        <w:rPr>
          <w:rFonts w:cs="Times New Roman"/>
          <w:szCs w:val="24"/>
        </w:rPr>
        <w:t xml:space="preserve">being </w:t>
      </w:r>
      <w:r w:rsidR="007C10BC" w:rsidRPr="0093315A">
        <w:rPr>
          <w:rFonts w:cs="Times New Roman"/>
          <w:szCs w:val="24"/>
        </w:rPr>
        <w:t xml:space="preserve">the diagonal standard deviation matrix due to the inverse YJ transformation. As in the previous section, the use of </w:t>
      </w:r>
      <w:r w:rsidR="00DD69EB" w:rsidRPr="00B71211">
        <w:rPr>
          <w:rFonts w:cs="Times New Roman"/>
          <w:position w:val="-10"/>
          <w:szCs w:val="24"/>
        </w:rPr>
        <w:object w:dxaOrig="200" w:dyaOrig="380" w14:anchorId="04FDA0CA">
          <v:shape id="_x0000_i1135" type="#_x0000_t75" style="width:10.3pt;height:18.85pt" o:ole="" o:preferrelative="f">
            <v:imagedata r:id="rId211" o:title=""/>
            <o:lock v:ext="edit" aspectratio="f"/>
          </v:shape>
          <o:OLEObject Type="Embed" ProgID="Equation.DSMT4" ShapeID="_x0000_i1135" DrawAspect="Content" ObjectID="_1841834510" r:id="rId212"/>
        </w:object>
      </w:r>
      <w:r w:rsidR="007C10BC" w:rsidRPr="00B71211">
        <w:rPr>
          <w:rFonts w:cs="Times New Roman"/>
          <w:szCs w:val="24"/>
        </w:rPr>
        <w:t xml:space="preserve"> rather than </w:t>
      </w:r>
      <w:r w:rsidR="00DD69EB" w:rsidRPr="00B71211">
        <w:rPr>
          <w:rFonts w:cs="Times New Roman"/>
          <w:position w:val="-10"/>
          <w:szCs w:val="24"/>
        </w:rPr>
        <w:object w:dxaOrig="200" w:dyaOrig="320" w14:anchorId="7D8D31BA">
          <v:shape id="_x0000_i1136" type="#_x0000_t75" style="width:10.3pt;height:15.85pt" o:ole="" o:preferrelative="f">
            <v:imagedata r:id="rId213" o:title=""/>
            <o:lock v:ext="edit" aspectratio="f"/>
          </v:shape>
          <o:OLEObject Type="Embed" ProgID="Equation.DSMT4" ShapeID="_x0000_i1136" DrawAspect="Content" ObjectID="_1841834511" r:id="rId214"/>
        </w:object>
      </w:r>
      <w:r w:rsidR="007C10BC" w:rsidRPr="00B71211">
        <w:rPr>
          <w:rFonts w:cs="Times New Roman"/>
          <w:szCs w:val="24"/>
        </w:rPr>
        <w:t xml:space="preserve"> in the utility function above ensures that </w:t>
      </w:r>
      <w:r w:rsidRPr="00B71211">
        <w:rPr>
          <w:rFonts w:eastAsia="Times New Roman" w:cs="Times New Roman"/>
          <w:szCs w:val="24"/>
        </w:rPr>
        <w:t>the inverse YJ transformation p</w:t>
      </w:r>
      <w:r w:rsidRPr="0093315A">
        <w:rPr>
          <w:rFonts w:eastAsia="Times New Roman" w:cs="Times New Roman"/>
          <w:szCs w:val="24"/>
        </w:rPr>
        <w:t xml:space="preserve">arameter </w:t>
      </w:r>
      <w:r w:rsidR="007C10BC" w:rsidRPr="0093315A">
        <w:rPr>
          <w:rFonts w:eastAsia="Times New Roman" w:cs="Times New Roman"/>
          <w:szCs w:val="24"/>
        </w:rPr>
        <w:t xml:space="preserve">vector </w:t>
      </w:r>
      <w:r w:rsidR="00DD69EB" w:rsidRPr="00B71211">
        <w:rPr>
          <w:rFonts w:cs="Times New Roman"/>
          <w:position w:val="-14"/>
          <w:szCs w:val="24"/>
        </w:rPr>
        <w:object w:dxaOrig="300" w:dyaOrig="420" w14:anchorId="15190411">
          <v:shape id="_x0000_i1137" type="#_x0000_t75" style="width:15pt;height:21pt" o:ole="" o:preferrelative="f">
            <v:imagedata r:id="rId215" o:title=""/>
            <o:lock v:ext="edit" aspectratio="f"/>
          </v:shape>
          <o:OLEObject Type="Embed" ProgID="Equation.DSMT4" ShapeID="_x0000_i1137" DrawAspect="Content" ObjectID="_1841834512" r:id="rId216"/>
        </w:object>
      </w:r>
      <w:r w:rsidR="007C10BC" w:rsidRPr="00B71211">
        <w:rPr>
          <w:rFonts w:cs="Times New Roman"/>
          <w:szCs w:val="24"/>
        </w:rPr>
        <w:t xml:space="preserve"> solely captures </w:t>
      </w:r>
      <w:r w:rsidRPr="00B71211">
        <w:rPr>
          <w:rFonts w:cs="Times New Roman"/>
          <w:szCs w:val="24"/>
        </w:rPr>
        <w:t>shape</w:t>
      </w:r>
      <w:r w:rsidR="007C10BC" w:rsidRPr="0093315A">
        <w:rPr>
          <w:rFonts w:cs="Times New Roman"/>
          <w:szCs w:val="24"/>
        </w:rPr>
        <w:t>.</w:t>
      </w:r>
      <w:r w:rsidR="00546BEA" w:rsidRPr="00B71211">
        <w:rPr>
          <w:rStyle w:val="FootnoteReference"/>
          <w:szCs w:val="24"/>
        </w:rPr>
        <w:footnoteReference w:id="3"/>
      </w:r>
      <w:r w:rsidR="007C10BC" w:rsidRPr="00B71211">
        <w:rPr>
          <w:rFonts w:cs="Times New Roman"/>
          <w:szCs w:val="24"/>
        </w:rPr>
        <w:t xml:space="preserve"> </w:t>
      </w:r>
      <w:r w:rsidR="00C938BB" w:rsidRPr="00B71211">
        <w:rPr>
          <w:rFonts w:cs="Times New Roman"/>
          <w:szCs w:val="24"/>
        </w:rPr>
        <w:t xml:space="preserve">Next, let the correlation matrix of </w:t>
      </w:r>
      <w:r w:rsidR="00DD69EB" w:rsidRPr="00B71211">
        <w:rPr>
          <w:rFonts w:cs="Times New Roman"/>
          <w:position w:val="-14"/>
          <w:szCs w:val="24"/>
        </w:rPr>
        <w:object w:dxaOrig="1180" w:dyaOrig="499" w14:anchorId="555263C8">
          <v:shape id="_x0000_i1138" type="#_x0000_t75" style="width:59.15pt;height:24.85pt" o:ole="">
            <v:imagedata r:id="rId217" o:title=""/>
          </v:shape>
          <o:OLEObject Type="Embed" ProgID="Equation.DSMT4" ShapeID="_x0000_i1138" DrawAspect="Content" ObjectID="_1841834513" r:id="rId218"/>
        </w:object>
      </w:r>
      <w:r w:rsidR="00C938BB" w:rsidRPr="00B71211">
        <w:rPr>
          <w:rFonts w:cs="Times New Roman"/>
          <w:szCs w:val="24"/>
        </w:rPr>
        <w:t xml:space="preserve">be </w:t>
      </w:r>
      <w:r w:rsidR="00DD69EB" w:rsidRPr="00305CFD">
        <w:rPr>
          <w:rFonts w:cs="Times New Roman"/>
          <w:position w:val="-6"/>
          <w:szCs w:val="24"/>
        </w:rPr>
        <w:object w:dxaOrig="260" w:dyaOrig="279" w14:anchorId="19D45360">
          <v:shape id="_x0000_i1139" type="#_x0000_t75" style="width:12.85pt;height:13.7pt" o:ole="" o:preferrelative="f">
            <v:imagedata r:id="rId219" o:title=""/>
            <o:lock v:ext="edit" aspectratio="f"/>
          </v:shape>
          <o:OLEObject Type="Embed" ProgID="Equation.DSMT4" ShapeID="_x0000_i1139" DrawAspect="Content" ObjectID="_1841834514" r:id="rId220"/>
        </w:object>
      </w:r>
      <w:r w:rsidR="00051DB0" w:rsidRPr="00B71211">
        <w:rPr>
          <w:rFonts w:cs="Times New Roman"/>
          <w:szCs w:val="24"/>
        </w:rPr>
        <w:t xml:space="preserve"> (an </w:t>
      </w:r>
      <w:r w:rsidR="00DD69EB" w:rsidRPr="00B71211">
        <w:rPr>
          <w:rFonts w:cs="Times New Roman"/>
          <w:position w:val="-10"/>
          <w:szCs w:val="24"/>
        </w:rPr>
        <w:object w:dxaOrig="1719" w:dyaOrig="320" w14:anchorId="7C7FD236">
          <v:shape id="_x0000_i1140" type="#_x0000_t75" style="width:85.7pt;height:15.85pt" o:ole="" o:preferrelative="f">
            <v:imagedata r:id="rId221" o:title=""/>
            <o:lock v:ext="edit" aspectratio="f"/>
          </v:shape>
          <o:OLEObject Type="Embed" ProgID="Equation.DSMT4" ShapeID="_x0000_i1140" DrawAspect="Content" ObjectID="_1841834515" r:id="rId222"/>
        </w:object>
      </w:r>
      <w:r w:rsidR="00051DB0" w:rsidRPr="00B71211">
        <w:rPr>
          <w:rFonts w:cs="Times New Roman"/>
          <w:szCs w:val="24"/>
        </w:rPr>
        <w:t xml:space="preserve"> matrix)</w:t>
      </w:r>
      <w:r w:rsidR="00C938BB" w:rsidRPr="00B71211">
        <w:rPr>
          <w:rFonts w:cs="Times New Roman"/>
          <w:szCs w:val="24"/>
        </w:rPr>
        <w:t>.</w:t>
      </w:r>
      <w:r w:rsidRPr="0093315A">
        <w:rPr>
          <w:rFonts w:cs="Times New Roman"/>
          <w:szCs w:val="24"/>
        </w:rPr>
        <w:t xml:space="preserve"> </w:t>
      </w:r>
      <w:r w:rsidR="00051DB0" w:rsidRPr="0093315A">
        <w:rPr>
          <w:rFonts w:cs="Times New Roman"/>
          <w:szCs w:val="24"/>
        </w:rPr>
        <w:t xml:space="preserve">Define </w:t>
      </w:r>
      <w:r w:rsidR="00CE44EC" w:rsidRPr="0093315A">
        <w:rPr>
          <w:rFonts w:cs="Times New Roman"/>
          <w:szCs w:val="24"/>
        </w:rPr>
        <w:t>the following:</w:t>
      </w:r>
    </w:p>
    <w:p w14:paraId="40DC3FCF" w14:textId="77777777" w:rsidR="00B31755" w:rsidRPr="0086018F" w:rsidRDefault="00B31755" w:rsidP="00B06414">
      <w:pPr>
        <w:spacing w:line="240" w:lineRule="auto"/>
        <w:rPr>
          <w:rFonts w:cs="Times New Roman"/>
          <w:szCs w:val="24"/>
        </w:rPr>
      </w:pPr>
    </w:p>
    <w:p w14:paraId="220E7D9E" w14:textId="2407293D" w:rsidR="00CE44EC" w:rsidRPr="0093315A" w:rsidRDefault="00CE44EC" w:rsidP="00B06414">
      <w:pPr>
        <w:pStyle w:val="ListParagraph"/>
        <w:numPr>
          <w:ilvl w:val="0"/>
          <w:numId w:val="16"/>
        </w:numPr>
        <w:spacing w:line="240" w:lineRule="auto"/>
        <w:ind w:left="360"/>
        <w:rPr>
          <w:rFonts w:cs="Times New Roman"/>
          <w:szCs w:val="24"/>
        </w:rPr>
      </w:pPr>
      <w:r w:rsidRPr="0086018F">
        <w:rPr>
          <w:rFonts w:cs="Times New Roman"/>
          <w:szCs w:val="24"/>
        </w:rPr>
        <w:t>A</w:t>
      </w:r>
      <w:r w:rsidR="00051DB0" w:rsidRPr="0086018F">
        <w:rPr>
          <w:rFonts w:cs="Times New Roman"/>
          <w:szCs w:val="24"/>
        </w:rPr>
        <w:t xml:space="preserve">n </w:t>
      </w:r>
      <w:r w:rsidR="00DD69EB" w:rsidRPr="00B71211">
        <w:rPr>
          <w:rFonts w:cs="Times New Roman"/>
          <w:position w:val="-10"/>
          <w:szCs w:val="24"/>
        </w:rPr>
        <w:object w:dxaOrig="1620" w:dyaOrig="320" w14:anchorId="5D149826">
          <v:shape id="_x0000_i1141" type="#_x0000_t75" style="width:81pt;height:15.85pt" o:ole="" o:preferrelative="f">
            <v:imagedata r:id="rId223" o:title=""/>
            <o:lock v:ext="edit" aspectratio="f"/>
          </v:shape>
          <o:OLEObject Type="Embed" ProgID="Equation.DSMT4" ShapeID="_x0000_i1141" DrawAspect="Content" ObjectID="_1841834516" r:id="rId224"/>
        </w:object>
      </w:r>
      <w:r w:rsidR="00051DB0" w:rsidRPr="00B71211">
        <w:rPr>
          <w:rFonts w:cs="Times New Roman"/>
          <w:szCs w:val="24"/>
        </w:rPr>
        <w:t xml:space="preserve"> mask matrix </w:t>
      </w:r>
      <w:r w:rsidR="00DD69EB" w:rsidRPr="00B71211">
        <w:rPr>
          <w:rFonts w:cs="Times New Roman"/>
          <w:position w:val="-12"/>
          <w:szCs w:val="24"/>
        </w:rPr>
        <w:object w:dxaOrig="300" w:dyaOrig="380" w14:anchorId="7A1DDC5E">
          <v:shape id="_x0000_i1142" type="#_x0000_t75" style="width:15pt;height:18.85pt" o:ole="" o:preferrelative="f">
            <v:imagedata r:id="rId225" o:title=""/>
            <o:lock v:ext="edit" aspectratio="f"/>
          </v:shape>
          <o:OLEObject Type="Embed" ProgID="Equation.DSMT4" ShapeID="_x0000_i1142" DrawAspect="Content" ObjectID="_1841834517" r:id="rId226"/>
        </w:object>
      </w:r>
      <w:r w:rsidR="00051DB0" w:rsidRPr="00B71211">
        <w:rPr>
          <w:rFonts w:cs="Times New Roman"/>
          <w:szCs w:val="24"/>
        </w:rPr>
        <w:t xml:space="preserve"> that holds </w:t>
      </w:r>
      <w:r w:rsidRPr="00B71211">
        <w:rPr>
          <w:rFonts w:cs="Times New Roman"/>
          <w:szCs w:val="24"/>
        </w:rPr>
        <w:t xml:space="preserve">zeros in all rows of the first </w:t>
      </w:r>
      <w:r w:rsidRPr="0093315A">
        <w:rPr>
          <w:rFonts w:cs="Times New Roman"/>
          <w:i/>
          <w:iCs/>
          <w:szCs w:val="24"/>
        </w:rPr>
        <w:t>E</w:t>
      </w:r>
      <w:r w:rsidRPr="0093315A">
        <w:rPr>
          <w:rFonts w:cs="Times New Roman"/>
          <w:szCs w:val="24"/>
        </w:rPr>
        <w:t xml:space="preserve"> columns, followed by </w:t>
      </w:r>
      <w:r w:rsidR="00051DB0" w:rsidRPr="0093315A">
        <w:rPr>
          <w:rFonts w:cs="Times New Roman"/>
          <w:szCs w:val="24"/>
        </w:rPr>
        <w:t xml:space="preserve">an </w:t>
      </w:r>
      <w:r w:rsidR="00DD69EB" w:rsidRPr="00B71211">
        <w:rPr>
          <w:rFonts w:cs="Times New Roman"/>
          <w:position w:val="-10"/>
          <w:szCs w:val="24"/>
        </w:rPr>
        <w:object w:dxaOrig="1520" w:dyaOrig="320" w14:anchorId="669BF7EF">
          <v:shape id="_x0000_i1143" type="#_x0000_t75" style="width:76.3pt;height:15.85pt" o:ole="" o:preferrelative="f">
            <v:imagedata r:id="rId227" o:title=""/>
            <o:lock v:ext="edit" aspectratio="f"/>
          </v:shape>
          <o:OLEObject Type="Embed" ProgID="Equation.DSMT4" ShapeID="_x0000_i1143" DrawAspect="Content" ObjectID="_1841834518" r:id="rId228"/>
        </w:object>
      </w:r>
      <w:r w:rsidR="00051DB0" w:rsidRPr="00B71211">
        <w:rPr>
          <w:rFonts w:cs="Times New Roman"/>
          <w:szCs w:val="24"/>
        </w:rPr>
        <w:t xml:space="preserve"> identity matrix supplemented by a</w:t>
      </w:r>
      <w:r w:rsidRPr="00B71211">
        <w:rPr>
          <w:rFonts w:cs="Times New Roman"/>
          <w:szCs w:val="24"/>
        </w:rPr>
        <w:t xml:space="preserve"> </w:t>
      </w:r>
      <w:r w:rsidR="00051DB0" w:rsidRPr="0093315A">
        <w:rPr>
          <w:rFonts w:cs="Times New Roman"/>
          <w:szCs w:val="24"/>
        </w:rPr>
        <w:t>column of zeros in the</w:t>
      </w:r>
      <w:r w:rsidR="00B801EC" w:rsidRPr="0093315A">
        <w:rPr>
          <w:rFonts w:cs="Times New Roman"/>
          <w:szCs w:val="24"/>
        </w:rPr>
        <w:t xml:space="preserve"> </w:t>
      </w:r>
      <w:r w:rsidR="00B801EC" w:rsidRPr="00B71211">
        <w:rPr>
          <w:rFonts w:cs="Times New Roman"/>
          <w:position w:val="-10"/>
          <w:szCs w:val="24"/>
        </w:rPr>
        <w:object w:dxaOrig="800" w:dyaOrig="360" w14:anchorId="3ED34E3B">
          <v:shape id="_x0000_i1144" type="#_x0000_t75" style="width:40.7pt;height:18.45pt" o:ole="">
            <v:imagedata r:id="rId229" o:title=""/>
          </v:shape>
          <o:OLEObject Type="Embed" ProgID="Equation.DSMT4" ShapeID="_x0000_i1144" DrawAspect="Content" ObjectID="_1841834519" r:id="rId230"/>
        </w:object>
      </w:r>
      <w:r w:rsidR="00051DB0" w:rsidRPr="00B71211">
        <w:rPr>
          <w:rFonts w:cs="Times New Roman"/>
          <w:szCs w:val="24"/>
        </w:rPr>
        <w:t xml:space="preserve"> column</w:t>
      </w:r>
      <w:r w:rsidR="00B801EC" w:rsidRPr="00B71211">
        <w:rPr>
          <w:rFonts w:cs="Times New Roman"/>
          <w:szCs w:val="24"/>
        </w:rPr>
        <w:t>,</w:t>
      </w:r>
    </w:p>
    <w:p w14:paraId="32EE1E89" w14:textId="0B833722" w:rsidR="003140D5" w:rsidRPr="00B06414" w:rsidRDefault="00CE44EC" w:rsidP="00B06414">
      <w:pPr>
        <w:pStyle w:val="ListParagraph"/>
        <w:numPr>
          <w:ilvl w:val="0"/>
          <w:numId w:val="16"/>
        </w:numPr>
        <w:spacing w:line="240" w:lineRule="auto"/>
        <w:ind w:left="360"/>
        <w:rPr>
          <w:rFonts w:cs="Times New Roman"/>
          <w:szCs w:val="24"/>
        </w:rPr>
      </w:pPr>
      <w:r w:rsidRPr="0093315A">
        <w:rPr>
          <w:rFonts w:cs="Times New Roman"/>
          <w:szCs w:val="24"/>
        </w:rPr>
        <w:t>An</w:t>
      </w:r>
      <w:r w:rsidR="00051DB0" w:rsidRPr="0093315A">
        <w:rPr>
          <w:rFonts w:cs="Times New Roman"/>
          <w:szCs w:val="24"/>
        </w:rPr>
        <w:t xml:space="preserve"> </w:t>
      </w:r>
      <w:r w:rsidR="00DD69EB" w:rsidRPr="00B71211">
        <w:rPr>
          <w:rFonts w:cs="Times New Roman"/>
          <w:position w:val="-10"/>
          <w:szCs w:val="24"/>
        </w:rPr>
        <w:object w:dxaOrig="1680" w:dyaOrig="320" w14:anchorId="36F958BD">
          <v:shape id="_x0000_i1145" type="#_x0000_t75" style="width:84.45pt;height:15.85pt" o:ole="" o:preferrelative="f">
            <v:imagedata r:id="rId231" o:title=""/>
            <o:lock v:ext="edit" aspectratio="f"/>
          </v:shape>
          <o:OLEObject Type="Embed" ProgID="Equation.DSMT4" ShapeID="_x0000_i1145" DrawAspect="Content" ObjectID="_1841834520" r:id="rId232"/>
        </w:object>
      </w:r>
      <w:r w:rsidR="00051DB0" w:rsidRPr="00B71211">
        <w:rPr>
          <w:rFonts w:cs="Times New Roman"/>
          <w:szCs w:val="24"/>
        </w:rPr>
        <w:t xml:space="preserve"> matrix </w:t>
      </w:r>
      <w:r w:rsidR="00DD69EB" w:rsidRPr="00B71211">
        <w:rPr>
          <w:rFonts w:cs="Times New Roman"/>
          <w:position w:val="-12"/>
          <w:szCs w:val="24"/>
        </w:rPr>
        <w:object w:dxaOrig="320" w:dyaOrig="400" w14:anchorId="16CE0B2D">
          <v:shape id="_x0000_i1146" type="#_x0000_t75" style="width:15.85pt;height:20.15pt" o:ole="" o:preferrelative="f">
            <v:imagedata r:id="rId233" o:title=""/>
            <o:lock v:ext="edit" aspectratio="f"/>
          </v:shape>
          <o:OLEObject Type="Embed" ProgID="Equation.DSMT4" ShapeID="_x0000_i1146" DrawAspect="Content" ObjectID="_1841834521" r:id="rId234"/>
        </w:object>
      </w:r>
      <w:r w:rsidR="00051DB0" w:rsidRPr="00B71211">
        <w:rPr>
          <w:rFonts w:cs="Times New Roman"/>
          <w:szCs w:val="24"/>
        </w:rPr>
        <w:t xml:space="preserve"> with </w:t>
      </w:r>
      <w:r w:rsidRPr="00B71211">
        <w:rPr>
          <w:rFonts w:cs="Times New Roman"/>
          <w:szCs w:val="24"/>
        </w:rPr>
        <w:t xml:space="preserve">an identity matrix </w:t>
      </w:r>
      <w:r w:rsidR="00B801EC" w:rsidRPr="0093315A">
        <w:rPr>
          <w:rFonts w:cs="Times New Roman"/>
          <w:szCs w:val="24"/>
        </w:rPr>
        <w:t xml:space="preserve">in the first </w:t>
      </w:r>
      <w:r w:rsidR="00B801EC" w:rsidRPr="0093315A">
        <w:rPr>
          <w:rFonts w:cs="Times New Roman"/>
          <w:i/>
          <w:iCs/>
          <w:szCs w:val="24"/>
        </w:rPr>
        <w:t>E</w:t>
      </w:r>
      <w:r w:rsidR="00B801EC" w:rsidRPr="0093315A">
        <w:rPr>
          <w:rFonts w:cs="Times New Roman"/>
          <w:szCs w:val="24"/>
        </w:rPr>
        <w:t xml:space="preserve"> rows</w:t>
      </w:r>
      <w:r w:rsidRPr="0093315A">
        <w:rPr>
          <w:rFonts w:cs="Times New Roman"/>
          <w:szCs w:val="24"/>
        </w:rPr>
        <w:t xml:space="preserve"> and first </w:t>
      </w:r>
      <w:r w:rsidRPr="0086018F">
        <w:rPr>
          <w:rFonts w:cs="Times New Roman"/>
          <w:i/>
          <w:iCs/>
          <w:szCs w:val="24"/>
        </w:rPr>
        <w:t>E</w:t>
      </w:r>
      <w:r w:rsidRPr="0086018F">
        <w:rPr>
          <w:rFonts w:cs="Times New Roman"/>
          <w:szCs w:val="24"/>
        </w:rPr>
        <w:t xml:space="preserve"> columns</w:t>
      </w:r>
      <w:r w:rsidR="00B801EC" w:rsidRPr="0086018F">
        <w:rPr>
          <w:rFonts w:cs="Times New Roman"/>
          <w:szCs w:val="24"/>
        </w:rPr>
        <w:t xml:space="preserve">, an entry of ‘1’ in the </w:t>
      </w:r>
      <w:r w:rsidR="00DD69EB" w:rsidRPr="00B71211">
        <w:rPr>
          <w:rFonts w:cs="Times New Roman"/>
          <w:position w:val="-10"/>
          <w:szCs w:val="24"/>
        </w:rPr>
        <w:object w:dxaOrig="800" w:dyaOrig="360" w14:anchorId="7B6D77EF">
          <v:shape id="_x0000_i1147" type="#_x0000_t75" style="width:40.3pt;height:18pt" o:ole="" o:preferrelative="f">
            <v:imagedata r:id="rId235" o:title=""/>
            <o:lock v:ext="edit" aspectratio="f"/>
          </v:shape>
          <o:OLEObject Type="Embed" ProgID="Equation.DSMT4" ShapeID="_x0000_i1147" DrawAspect="Content" ObjectID="_1841834522" r:id="rId236"/>
        </w:object>
      </w:r>
      <w:r w:rsidR="00F41B0B" w:rsidRPr="00B71211">
        <w:rPr>
          <w:rFonts w:cs="Times New Roman"/>
          <w:szCs w:val="24"/>
        </w:rPr>
        <w:t xml:space="preserve"> </w:t>
      </w:r>
      <w:r w:rsidR="003140D5" w:rsidRPr="00B71211">
        <w:rPr>
          <w:rFonts w:cs="Times New Roman"/>
          <w:szCs w:val="24"/>
        </w:rPr>
        <w:t>row</w:t>
      </w:r>
      <w:r w:rsidR="00B801EC" w:rsidRPr="0093315A">
        <w:rPr>
          <w:rFonts w:cs="Times New Roman"/>
          <w:szCs w:val="24"/>
        </w:rPr>
        <w:t xml:space="preserve"> a</w:t>
      </w:r>
      <w:r w:rsidR="00F41B0B" w:rsidRPr="0093315A">
        <w:rPr>
          <w:rFonts w:cs="Times New Roman"/>
          <w:szCs w:val="24"/>
        </w:rPr>
        <w:t xml:space="preserve">nd last </w:t>
      </w:r>
      <w:r w:rsidR="003140D5" w:rsidRPr="0093315A">
        <w:rPr>
          <w:rFonts w:cs="Times New Roman"/>
          <w:szCs w:val="24"/>
        </w:rPr>
        <w:t xml:space="preserve">column, and </w:t>
      </w:r>
      <w:r w:rsidR="00B801EC" w:rsidRPr="0093315A">
        <w:rPr>
          <w:rFonts w:cs="Times New Roman"/>
          <w:szCs w:val="24"/>
        </w:rPr>
        <w:t xml:space="preserve">zero </w:t>
      </w:r>
      <w:r w:rsidR="00B801EC" w:rsidRPr="0086018F">
        <w:rPr>
          <w:rFonts w:cs="Times New Roman"/>
          <w:szCs w:val="24"/>
        </w:rPr>
        <w:t>elsewhere</w:t>
      </w:r>
      <w:r w:rsidR="008B30EA" w:rsidRPr="0086018F">
        <w:rPr>
          <w:rFonts w:cs="Times New Roman"/>
          <w:szCs w:val="24"/>
        </w:rPr>
        <w:t>.</w:t>
      </w:r>
    </w:p>
    <w:p w14:paraId="320A8A46" w14:textId="652AD92B" w:rsidR="009F71B4" w:rsidRPr="00B71211" w:rsidRDefault="009323C0" w:rsidP="009323C0">
      <w:pPr>
        <w:tabs>
          <w:tab w:val="right" w:pos="9360"/>
        </w:tabs>
        <w:spacing w:before="120" w:after="120" w:line="240" w:lineRule="auto"/>
        <w:rPr>
          <w:rFonts w:cs="Times New Roman"/>
          <w:szCs w:val="24"/>
        </w:rPr>
      </w:pPr>
      <w:r w:rsidRPr="00B71211">
        <w:rPr>
          <w:rFonts w:cs="Times New Roman"/>
          <w:position w:val="-56"/>
          <w:szCs w:val="24"/>
        </w:rPr>
        <w:object w:dxaOrig="6280" w:dyaOrig="1240" w14:anchorId="55D71E19">
          <v:shape id="_x0000_i1148" type="#_x0000_t75" style="width:314.15pt;height:62.55pt" o:ole="">
            <v:imagedata r:id="rId237" o:title=""/>
          </v:shape>
          <o:OLEObject Type="Embed" ProgID="Equation.DSMT4" ShapeID="_x0000_i1148" DrawAspect="Content" ObjectID="_1841834523" r:id="rId238"/>
        </w:object>
      </w:r>
      <w:r w:rsidR="003348EF" w:rsidRPr="00B71211">
        <w:rPr>
          <w:rFonts w:cs="Times New Roman"/>
          <w:szCs w:val="24"/>
        </w:rPr>
        <w:tab/>
        <w:t>(16)</w:t>
      </w:r>
    </w:p>
    <w:p w14:paraId="45AC7D12" w14:textId="77777777" w:rsidR="009323C0" w:rsidRDefault="009F71B4" w:rsidP="00B06414">
      <w:pPr>
        <w:spacing w:line="240" w:lineRule="auto"/>
        <w:rPr>
          <w:rFonts w:cs="Times New Roman"/>
          <w:szCs w:val="24"/>
        </w:rPr>
      </w:pPr>
      <w:r w:rsidRPr="00B71211">
        <w:rPr>
          <w:rFonts w:cs="Times New Roman"/>
          <w:szCs w:val="24"/>
        </w:rPr>
        <w:t xml:space="preserve">define </w:t>
      </w:r>
      <w:r w:rsidR="009323C0" w:rsidRPr="00B71211">
        <w:rPr>
          <w:rFonts w:cs="Times New Roman"/>
          <w:position w:val="-12"/>
          <w:szCs w:val="24"/>
        </w:rPr>
        <w:object w:dxaOrig="420" w:dyaOrig="360" w14:anchorId="7997C9E7">
          <v:shape id="_x0000_i1149" type="#_x0000_t75" style="width:21pt;height:18pt" o:ole="">
            <v:imagedata r:id="rId239" o:title=""/>
          </v:shape>
          <o:OLEObject Type="Embed" ProgID="Equation.DSMT4" ShapeID="_x0000_i1149" DrawAspect="Content" ObjectID="_1841834524" r:id="rId240"/>
        </w:object>
      </w:r>
      <w:r w:rsidRPr="00B71211">
        <w:rPr>
          <w:rFonts w:cs="Times New Roman"/>
          <w:szCs w:val="24"/>
        </w:rPr>
        <w:t xml:space="preserve"> as a diagonal </w:t>
      </w:r>
      <w:r w:rsidR="009323C0" w:rsidRPr="00B71211">
        <w:rPr>
          <w:rFonts w:cs="Times New Roman"/>
          <w:position w:val="-10"/>
          <w:szCs w:val="24"/>
        </w:rPr>
        <w:object w:dxaOrig="1520" w:dyaOrig="320" w14:anchorId="4F29A358">
          <v:shape id="_x0000_i1150" type="#_x0000_t75" style="width:76.3pt;height:15.85pt" o:ole="" o:preferrelative="f">
            <v:imagedata r:id="rId107" o:title=""/>
            <o:lock v:ext="edit" aspectratio="f"/>
          </v:shape>
          <o:OLEObject Type="Embed" ProgID="Equation.DSMT4" ShapeID="_x0000_i1150" DrawAspect="Content" ObjectID="_1841834525" r:id="rId241"/>
        </w:object>
      </w:r>
      <w:r w:rsidRPr="00B71211">
        <w:rPr>
          <w:rFonts w:cs="Times New Roman"/>
          <w:szCs w:val="24"/>
        </w:rPr>
        <w:t xml:space="preserve"> matrix holding the square root of the diagonal elements of </w:t>
      </w:r>
      <w:r w:rsidR="009323C0" w:rsidRPr="00B71211">
        <w:rPr>
          <w:rFonts w:cs="Times New Roman"/>
          <w:position w:val="-12"/>
          <w:szCs w:val="24"/>
        </w:rPr>
        <w:object w:dxaOrig="420" w:dyaOrig="400" w14:anchorId="0B6C4DB3">
          <v:shape id="_x0000_i1151" type="#_x0000_t75" style="width:21pt;height:20.15pt" o:ole="" o:preferrelative="f">
            <v:imagedata r:id="rId242" o:title=""/>
            <o:lock v:ext="edit" aspectratio="f"/>
          </v:shape>
          <o:OLEObject Type="Embed" ProgID="Equation.DSMT4" ShapeID="_x0000_i1151" DrawAspect="Content" ObjectID="_1841834526" r:id="rId243"/>
        </w:object>
      </w:r>
      <w:r w:rsidR="009323C0">
        <w:rPr>
          <w:rFonts w:cs="Times New Roman"/>
          <w:szCs w:val="24"/>
        </w:rPr>
        <w:t>.</w:t>
      </w:r>
    </w:p>
    <w:p w14:paraId="17F40403" w14:textId="0546FE13" w:rsidR="009323C0" w:rsidRDefault="002210AF" w:rsidP="009323C0">
      <w:pPr>
        <w:spacing w:line="240" w:lineRule="auto"/>
        <w:rPr>
          <w:rFonts w:cs="Times New Roman"/>
          <w:szCs w:val="24"/>
        </w:rPr>
      </w:pPr>
      <w:r w:rsidRPr="0093315A">
        <w:rPr>
          <w:rFonts w:cs="Times New Roman"/>
          <w:szCs w:val="24"/>
        </w:rPr>
        <w:t>Define</w:t>
      </w:r>
      <w:r w:rsidR="003348EF" w:rsidRPr="0093315A">
        <w:rPr>
          <w:rFonts w:cs="Times New Roman"/>
          <w:szCs w:val="24"/>
        </w:rPr>
        <w:t xml:space="preserve"> the following:</w:t>
      </w:r>
    </w:p>
    <w:p w14:paraId="44E2CCEF" w14:textId="50A14948" w:rsidR="009323C0" w:rsidRDefault="009323C0" w:rsidP="009323C0">
      <w:pPr>
        <w:spacing w:before="120" w:after="120" w:line="240" w:lineRule="auto"/>
        <w:rPr>
          <w:rFonts w:cs="Times New Roman"/>
          <w:szCs w:val="24"/>
        </w:rPr>
      </w:pPr>
      <w:r w:rsidRPr="00B71211">
        <w:rPr>
          <w:rFonts w:cs="Times New Roman"/>
          <w:position w:val="-66"/>
          <w:szCs w:val="24"/>
        </w:rPr>
        <w:object w:dxaOrig="9980" w:dyaOrig="1440" w14:anchorId="44A9F259">
          <v:shape id="_x0000_i1152" type="#_x0000_t75" style="width:437.55pt;height:63.45pt" o:ole="">
            <v:imagedata r:id="rId244" o:title=""/>
          </v:shape>
          <o:OLEObject Type="Embed" ProgID="Equation.DSMT4" ShapeID="_x0000_i1152" DrawAspect="Content" ObjectID="_1841834527" r:id="rId245"/>
        </w:object>
      </w:r>
      <w:r w:rsidR="00BF290E" w:rsidRPr="00B71211">
        <w:rPr>
          <w:rFonts w:cs="Times New Roman"/>
          <w:szCs w:val="24"/>
        </w:rPr>
        <w:t xml:space="preserve"> </w:t>
      </w:r>
      <w:r w:rsidR="003348EF" w:rsidRPr="00B71211">
        <w:rPr>
          <w:rFonts w:cs="Times New Roman"/>
          <w:szCs w:val="24"/>
        </w:rPr>
        <w:t xml:space="preserve">   (17) </w:t>
      </w:r>
    </w:p>
    <w:p w14:paraId="1AEA6BE9" w14:textId="2D686B54" w:rsidR="00115ACE" w:rsidRPr="00B71211" w:rsidRDefault="00BF290E" w:rsidP="009323C0">
      <w:pPr>
        <w:spacing w:before="120" w:after="120" w:line="240" w:lineRule="auto"/>
        <w:rPr>
          <w:rFonts w:cs="Times New Roman"/>
          <w:szCs w:val="24"/>
        </w:rPr>
      </w:pPr>
      <w:r w:rsidRPr="00B71211">
        <w:rPr>
          <w:rFonts w:cs="Times New Roman"/>
          <w:szCs w:val="24"/>
        </w:rPr>
        <w:t xml:space="preserve">Collect all the </w:t>
      </w:r>
      <w:r w:rsidR="00DD69EB" w:rsidRPr="00B71211">
        <w:rPr>
          <w:rFonts w:cs="Times New Roman"/>
          <w:position w:val="-16"/>
          <w:szCs w:val="24"/>
        </w:rPr>
        <w:object w:dxaOrig="1780" w:dyaOrig="440" w14:anchorId="62DE106F">
          <v:shape id="_x0000_i1153" type="#_x0000_t75" style="width:89.15pt;height:22.3pt" o:ole="">
            <v:imagedata r:id="rId246" o:title=""/>
          </v:shape>
          <o:OLEObject Type="Embed" ProgID="Equation.DSMT4" ShapeID="_x0000_i1153" DrawAspect="Content" ObjectID="_1841834528" r:id="rId247"/>
        </w:object>
      </w:r>
      <w:r w:rsidRPr="00B71211">
        <w:rPr>
          <w:rFonts w:cs="Times New Roman"/>
          <w:szCs w:val="24"/>
        </w:rPr>
        <w:t xml:space="preserve"> </w:t>
      </w:r>
      <w:r w:rsidR="00DD69EB" w:rsidRPr="00B71211">
        <w:rPr>
          <w:rFonts w:cs="Times New Roman"/>
          <w:position w:val="-10"/>
          <w:szCs w:val="24"/>
        </w:rPr>
        <w:object w:dxaOrig="700" w:dyaOrig="320" w14:anchorId="7C2966C2">
          <v:shape id="_x0000_i1154" type="#_x0000_t75" style="width:35.15pt;height:15.85pt" o:ole="" o:preferrelative="f">
            <v:imagedata r:id="rId151" o:title=""/>
            <o:lock v:ext="edit" aspectratio="f"/>
          </v:shape>
          <o:OLEObject Type="Embed" ProgID="Equation.DSMT4" ShapeID="_x0000_i1154" DrawAspect="Content" ObjectID="_1841834529" r:id="rId248"/>
        </w:object>
      </w:r>
      <w:r w:rsidR="00DD69EB">
        <w:rPr>
          <w:rFonts w:cs="Times New Roman"/>
          <w:szCs w:val="24"/>
        </w:rPr>
        <w:t xml:space="preserve"> </w:t>
      </w:r>
      <w:r w:rsidRPr="00B71211">
        <w:rPr>
          <w:rFonts w:cs="Times New Roman"/>
          <w:szCs w:val="24"/>
        </w:rPr>
        <w:t xml:space="preserve">into a vector </w:t>
      </w:r>
      <w:r w:rsidRPr="00B71211">
        <w:rPr>
          <w:rFonts w:cs="Times New Roman"/>
          <w:position w:val="-14"/>
          <w:szCs w:val="24"/>
        </w:rPr>
        <w:object w:dxaOrig="1939" w:dyaOrig="400" w14:anchorId="5B582B05">
          <v:shape id="_x0000_i1155" type="#_x0000_t75" style="width:98.55pt;height:19.3pt" o:ole="">
            <v:imagedata r:id="rId249" o:title=""/>
          </v:shape>
          <o:OLEObject Type="Embed" ProgID="Equation.DSMT4" ShapeID="_x0000_i1155" DrawAspect="Content" ObjectID="_1841834530" r:id="rId250"/>
        </w:object>
      </w:r>
    </w:p>
    <w:p w14:paraId="135DBF5F" w14:textId="69F8754C" w:rsidR="00115ACE" w:rsidRPr="00823982" w:rsidRDefault="00824580" w:rsidP="00B06414">
      <w:pPr>
        <w:spacing w:line="240" w:lineRule="auto"/>
        <w:rPr>
          <w:rFonts w:cs="Times New Roman"/>
          <w:szCs w:val="24"/>
        </w:rPr>
      </w:pPr>
      <w:r w:rsidRPr="0093315A">
        <w:rPr>
          <w:rFonts w:cs="Times New Roman"/>
          <w:szCs w:val="24"/>
        </w:rPr>
        <w:t xml:space="preserve">Then we may write the probability of choice of alternative </w:t>
      </w:r>
      <w:r w:rsidRPr="0093315A">
        <w:rPr>
          <w:rFonts w:cs="Times New Roman"/>
          <w:i/>
          <w:iCs/>
          <w:szCs w:val="24"/>
        </w:rPr>
        <w:t>i</w:t>
      </w:r>
      <w:r w:rsidRPr="0093315A">
        <w:rPr>
          <w:rFonts w:cs="Times New Roman"/>
          <w:szCs w:val="24"/>
        </w:rPr>
        <w:t xml:space="preserve"> as:</w:t>
      </w:r>
    </w:p>
    <w:p w14:paraId="11A4328A" w14:textId="14C4067A" w:rsidR="00824580" w:rsidRPr="0093315A" w:rsidRDefault="009323C0" w:rsidP="009323C0">
      <w:pPr>
        <w:tabs>
          <w:tab w:val="right" w:pos="9360"/>
        </w:tabs>
        <w:spacing w:before="120" w:after="120" w:line="240" w:lineRule="auto"/>
        <w:rPr>
          <w:rFonts w:cs="Times New Roman"/>
          <w:szCs w:val="24"/>
        </w:rPr>
      </w:pPr>
      <w:r w:rsidRPr="00B71211">
        <w:rPr>
          <w:rFonts w:cs="Times New Roman"/>
          <w:position w:val="-72"/>
          <w:szCs w:val="24"/>
        </w:rPr>
        <w:object w:dxaOrig="10320" w:dyaOrig="1560" w14:anchorId="4A4E6D77">
          <v:shape id="_x0000_i1156" type="#_x0000_t75" style="width:444.85pt;height:66.85pt" o:ole="">
            <v:imagedata r:id="rId251" o:title=""/>
          </v:shape>
          <o:OLEObject Type="Embed" ProgID="Equation.DSMT4" ShapeID="_x0000_i1156" DrawAspect="Content" ObjectID="_1841834531" r:id="rId252"/>
        </w:object>
      </w:r>
      <w:r w:rsidR="00115ACE">
        <w:rPr>
          <w:rFonts w:cs="Times New Roman"/>
          <w:szCs w:val="24"/>
        </w:rPr>
        <w:t xml:space="preserve"> </w:t>
      </w:r>
      <w:r>
        <w:rPr>
          <w:rFonts w:cs="Times New Roman"/>
          <w:szCs w:val="24"/>
        </w:rPr>
        <w:tab/>
      </w:r>
      <w:r w:rsidR="003348EF" w:rsidRPr="00B71211">
        <w:rPr>
          <w:rFonts w:cs="Times New Roman"/>
          <w:szCs w:val="24"/>
        </w:rPr>
        <w:t>(18)</w:t>
      </w:r>
    </w:p>
    <w:p w14:paraId="6E70B8DE" w14:textId="3D9D18CE" w:rsidR="00926604" w:rsidRPr="0086018F" w:rsidRDefault="001C6C22" w:rsidP="00B06414">
      <w:pPr>
        <w:spacing w:line="240" w:lineRule="auto"/>
        <w:rPr>
          <w:rFonts w:cs="Times New Roman"/>
          <w:szCs w:val="24"/>
        </w:rPr>
      </w:pPr>
      <w:r w:rsidRPr="0093315A">
        <w:rPr>
          <w:rFonts w:cs="Times New Roman"/>
          <w:szCs w:val="24"/>
        </w:rPr>
        <w:t xml:space="preserve">where </w:t>
      </w:r>
      <w:r w:rsidR="00DD69EB" w:rsidRPr="00B71211">
        <w:rPr>
          <w:rFonts w:cs="Times New Roman"/>
          <w:position w:val="-14"/>
          <w:szCs w:val="24"/>
        </w:rPr>
        <w:object w:dxaOrig="800" w:dyaOrig="400" w14:anchorId="4FA17E8A">
          <v:shape id="_x0000_i1157" type="#_x0000_t75" style="width:40.3pt;height:20.15pt" o:ole="" o:preferrelative="f">
            <v:imagedata r:id="rId253" o:title=""/>
            <o:lock v:ext="edit" aspectratio="f"/>
          </v:shape>
          <o:OLEObject Type="Embed" ProgID="Equation.DSMT4" ShapeID="_x0000_i1157" DrawAspect="Content" ObjectID="_1841834532" r:id="rId254"/>
        </w:object>
      </w:r>
      <w:r w:rsidRPr="00B71211">
        <w:rPr>
          <w:rFonts w:cs="Times New Roman"/>
          <w:szCs w:val="24"/>
        </w:rPr>
        <w:t xml:space="preserve"> represents the (</w:t>
      </w:r>
      <w:r w:rsidRPr="00B71211">
        <w:rPr>
          <w:rFonts w:cs="Times New Roman"/>
          <w:i/>
          <w:iCs/>
          <w:szCs w:val="24"/>
        </w:rPr>
        <w:t>E</w:t>
      </w:r>
      <w:r w:rsidRPr="00B71211">
        <w:rPr>
          <w:rFonts w:cs="Times New Roman"/>
          <w:szCs w:val="24"/>
        </w:rPr>
        <w:t>+1)-dimensional multivariate normal density function. The integration of the (</w:t>
      </w:r>
      <w:r w:rsidRPr="0093315A">
        <w:rPr>
          <w:rFonts w:cs="Times New Roman"/>
          <w:i/>
          <w:iCs/>
          <w:szCs w:val="24"/>
        </w:rPr>
        <w:t>E</w:t>
      </w:r>
      <w:r w:rsidRPr="0093315A">
        <w:rPr>
          <w:rFonts w:cs="Times New Roman"/>
          <w:szCs w:val="24"/>
        </w:rPr>
        <w:t>+1) infinite integral in Equation (</w:t>
      </w:r>
      <w:r w:rsidR="006D2A9D" w:rsidRPr="00823982">
        <w:rPr>
          <w:rFonts w:cs="Times New Roman"/>
          <w:szCs w:val="24"/>
        </w:rPr>
        <w:t>18</w:t>
      </w:r>
      <w:r w:rsidRPr="0086018F">
        <w:rPr>
          <w:rFonts w:cs="Times New Roman"/>
          <w:szCs w:val="24"/>
        </w:rPr>
        <w:t xml:space="preserve">) over the multivariate normal </w:t>
      </w:r>
      <w:r w:rsidR="00E46D5E" w:rsidRPr="0086018F">
        <w:rPr>
          <w:rFonts w:cs="Times New Roman"/>
          <w:szCs w:val="24"/>
        </w:rPr>
        <w:t>density</w:t>
      </w:r>
      <w:r w:rsidRPr="0086018F">
        <w:rPr>
          <w:rFonts w:cs="Times New Roman"/>
          <w:szCs w:val="24"/>
        </w:rPr>
        <w:t xml:space="preserve"> function can be undertake</w:t>
      </w:r>
      <w:r w:rsidR="008D2E0C">
        <w:rPr>
          <w:rFonts w:cs="Times New Roman"/>
          <w:szCs w:val="24"/>
        </w:rPr>
        <w:t>n</w:t>
      </w:r>
      <w:r w:rsidRPr="0086018F">
        <w:rPr>
          <w:rFonts w:cs="Times New Roman"/>
          <w:szCs w:val="24"/>
        </w:rPr>
        <w:t xml:space="preserve"> using Halton sequences as prop</w:t>
      </w:r>
      <w:r w:rsidRPr="00DD5FA6">
        <w:rPr>
          <w:rFonts w:cs="Times New Roman"/>
          <w:szCs w:val="24"/>
        </w:rPr>
        <w:t xml:space="preserve">osed by Bhat (1999), </w:t>
      </w:r>
      <w:r w:rsidR="00E46D5E" w:rsidRPr="00DD5FA6">
        <w:rPr>
          <w:rFonts w:cs="Times New Roman"/>
          <w:szCs w:val="24"/>
        </w:rPr>
        <w:t xml:space="preserve">and </w:t>
      </w:r>
      <w:r w:rsidRPr="00DD5FA6">
        <w:rPr>
          <w:rFonts w:cs="Times New Roman"/>
          <w:szCs w:val="24"/>
        </w:rPr>
        <w:t xml:space="preserve">subsequently published as Bhat </w:t>
      </w:r>
      <w:r w:rsidR="008D2E0C">
        <w:rPr>
          <w:rFonts w:cs="Times New Roman"/>
          <w:szCs w:val="24"/>
        </w:rPr>
        <w:t>(</w:t>
      </w:r>
      <w:r w:rsidRPr="00DD5FA6">
        <w:rPr>
          <w:rFonts w:cs="Times New Roman"/>
          <w:szCs w:val="24"/>
        </w:rPr>
        <w:t>2001</w:t>
      </w:r>
      <w:r w:rsidR="008D2E0C">
        <w:rPr>
          <w:rFonts w:cs="Times New Roman"/>
          <w:szCs w:val="24"/>
        </w:rPr>
        <w:t>)</w:t>
      </w:r>
      <w:r w:rsidR="00E46D5E" w:rsidRPr="009E4296">
        <w:rPr>
          <w:rFonts w:cs="Times New Roman"/>
          <w:szCs w:val="24"/>
        </w:rPr>
        <w:t xml:space="preserve"> and disseminated by </w:t>
      </w:r>
      <w:r w:rsidRPr="00290D19">
        <w:rPr>
          <w:rFonts w:cs="Times New Roman"/>
          <w:szCs w:val="24"/>
        </w:rPr>
        <w:t>Train (1999)</w:t>
      </w:r>
      <w:r w:rsidR="00E46D5E" w:rsidRPr="00290D19">
        <w:rPr>
          <w:rFonts w:cs="Times New Roman"/>
          <w:szCs w:val="24"/>
        </w:rPr>
        <w:t xml:space="preserve"> with</w:t>
      </w:r>
      <w:r w:rsidRPr="00290D19">
        <w:rPr>
          <w:rFonts w:cs="Times New Roman"/>
          <w:szCs w:val="24"/>
        </w:rPr>
        <w:t xml:space="preserve"> explici</w:t>
      </w:r>
      <w:r w:rsidR="00E46D5E" w:rsidRPr="00290D19">
        <w:rPr>
          <w:rFonts w:cs="Times New Roman"/>
          <w:szCs w:val="24"/>
        </w:rPr>
        <w:t>t</w:t>
      </w:r>
      <w:r w:rsidRPr="00290D19">
        <w:rPr>
          <w:rFonts w:cs="Times New Roman"/>
          <w:szCs w:val="24"/>
        </w:rPr>
        <w:t xml:space="preserve"> acknowledg</w:t>
      </w:r>
      <w:r w:rsidR="00E46D5E" w:rsidRPr="00290D19">
        <w:rPr>
          <w:rFonts w:cs="Times New Roman"/>
          <w:szCs w:val="24"/>
        </w:rPr>
        <w:t>ment of</w:t>
      </w:r>
      <w:r w:rsidRPr="00290D19">
        <w:rPr>
          <w:rFonts w:cs="Times New Roman"/>
          <w:szCs w:val="24"/>
        </w:rPr>
        <w:t xml:space="preserve"> Bhat (1999) as the </w:t>
      </w:r>
      <w:r w:rsidR="00E46D5E" w:rsidRPr="00290D19">
        <w:rPr>
          <w:rFonts w:cs="Times New Roman"/>
          <w:szCs w:val="24"/>
        </w:rPr>
        <w:t xml:space="preserve">source </w:t>
      </w:r>
      <w:r w:rsidRPr="00290D19">
        <w:rPr>
          <w:rFonts w:cs="Times New Roman"/>
          <w:szCs w:val="24"/>
        </w:rPr>
        <w:t xml:space="preserve">origin. </w:t>
      </w:r>
      <w:r w:rsidR="002F65E3" w:rsidRPr="00290D19">
        <w:rPr>
          <w:rFonts w:cs="Times New Roman"/>
          <w:szCs w:val="24"/>
        </w:rPr>
        <w:t xml:space="preserve">A maximum likelihood estimation procedure is again adopted for estimation of the parameter set </w:t>
      </w:r>
      <w:r w:rsidR="00DD69EB" w:rsidRPr="00B71211">
        <w:rPr>
          <w:rFonts w:cs="Times New Roman"/>
          <w:position w:val="-14"/>
          <w:szCs w:val="24"/>
        </w:rPr>
        <w:object w:dxaOrig="3180" w:dyaOrig="400" w14:anchorId="2BBC9074">
          <v:shape id="_x0000_i1158" type="#_x0000_t75" style="width:159pt;height:20.15pt" o:ole="" o:preferrelative="f">
            <v:imagedata r:id="rId255" o:title=""/>
            <o:lock v:ext="edit" aspectratio="f"/>
          </v:shape>
          <o:OLEObject Type="Embed" ProgID="Equation.DSMT4" ShapeID="_x0000_i1158" DrawAspect="Content" ObjectID="_1841834533" r:id="rId256"/>
        </w:object>
      </w:r>
      <w:r w:rsidR="004127B5" w:rsidRPr="00B71211">
        <w:rPr>
          <w:rFonts w:cs="Times New Roman"/>
          <w:szCs w:val="24"/>
        </w:rPr>
        <w:t xml:space="preserve">with </w:t>
      </w:r>
      <w:proofErr w:type="spellStart"/>
      <w:r w:rsidR="004127B5" w:rsidRPr="00B71211">
        <w:rPr>
          <w:rFonts w:cs="Times New Roman"/>
          <w:szCs w:val="24"/>
        </w:rPr>
        <w:t>diag</w:t>
      </w:r>
      <w:proofErr w:type="spellEnd"/>
      <w:r w:rsidR="004127B5" w:rsidRPr="00B71211">
        <w:rPr>
          <w:rFonts w:cs="Times New Roman"/>
          <w:szCs w:val="24"/>
        </w:rPr>
        <w:t xml:space="preserve">(.) being an operator that extracts the diagonal elements of the matrix it operates on. </w:t>
      </w:r>
      <w:r w:rsidR="00AE2205" w:rsidRPr="0093315A">
        <w:rPr>
          <w:rFonts w:cs="Times New Roman"/>
          <w:szCs w:val="24"/>
        </w:rPr>
        <w:t xml:space="preserve">Extensive testing during the empirical analysis suggested </w:t>
      </w:r>
      <w:r w:rsidR="00AE2205" w:rsidRPr="008C71D0">
        <w:rPr>
          <w:rFonts w:cs="Times New Roman"/>
          <w:szCs w:val="24"/>
        </w:rPr>
        <w:t xml:space="preserve">that </w:t>
      </w:r>
      <w:r w:rsidR="00A06A79" w:rsidRPr="008C71D0">
        <w:rPr>
          <w:rFonts w:cs="Times New Roman"/>
          <w:szCs w:val="24"/>
        </w:rPr>
        <w:t>125</w:t>
      </w:r>
      <w:r w:rsidR="00AE2205" w:rsidRPr="008C71D0">
        <w:rPr>
          <w:rFonts w:cs="Times New Roman"/>
          <w:szCs w:val="24"/>
        </w:rPr>
        <w:t xml:space="preserve"> Halt</w:t>
      </w:r>
      <w:r w:rsidR="00AE2205" w:rsidRPr="00B71211">
        <w:rPr>
          <w:rFonts w:cs="Times New Roman"/>
          <w:szCs w:val="24"/>
        </w:rPr>
        <w:t>on draws were adequate, with the parameter estimates stabilizing and exhibiting little variation beyond this number of draws.</w:t>
      </w:r>
      <w:r w:rsidR="007B6FDB" w:rsidRPr="0093315A">
        <w:rPr>
          <w:rFonts w:cs="Times New Roman"/>
          <w:szCs w:val="24"/>
        </w:rPr>
        <w:t xml:space="preserve"> At the same time, stable convergence for all our simulation runs was obtained at this order of the number of Halto</w:t>
      </w:r>
      <w:r w:rsidR="00AD0F95">
        <w:rPr>
          <w:rFonts w:cs="Times New Roman"/>
          <w:szCs w:val="24"/>
        </w:rPr>
        <w:t>n</w:t>
      </w:r>
      <w:r w:rsidR="007B6FDB" w:rsidRPr="0093315A">
        <w:rPr>
          <w:rFonts w:cs="Times New Roman"/>
          <w:szCs w:val="24"/>
        </w:rPr>
        <w:t xml:space="preserve"> draws. </w:t>
      </w:r>
    </w:p>
    <w:p w14:paraId="4696113E" w14:textId="06204561" w:rsidR="00C3099D" w:rsidRPr="00DD5FA6" w:rsidRDefault="00C3099D" w:rsidP="00B06414">
      <w:pPr>
        <w:spacing w:line="240" w:lineRule="auto"/>
        <w:rPr>
          <w:rFonts w:cs="Times New Roman"/>
          <w:szCs w:val="24"/>
        </w:rPr>
      </w:pPr>
    </w:p>
    <w:p w14:paraId="75367081" w14:textId="0362BA4E" w:rsidR="00C3099D" w:rsidRPr="00DD5FA6" w:rsidRDefault="00C3099D" w:rsidP="00B06414">
      <w:pPr>
        <w:tabs>
          <w:tab w:val="right" w:pos="9360"/>
        </w:tabs>
        <w:spacing w:line="240" w:lineRule="auto"/>
        <w:rPr>
          <w:rFonts w:cs="Times New Roman"/>
          <w:b/>
          <w:bCs/>
          <w:szCs w:val="24"/>
        </w:rPr>
      </w:pPr>
      <w:r w:rsidRPr="00DD5FA6">
        <w:rPr>
          <w:rFonts w:cs="Times New Roman"/>
          <w:b/>
          <w:bCs/>
          <w:szCs w:val="24"/>
        </w:rPr>
        <w:t>2.4. MNYJ Model Identification</w:t>
      </w:r>
    </w:p>
    <w:p w14:paraId="0C10A0F5" w14:textId="6B4AF656" w:rsidR="00C3099D" w:rsidRPr="00510411" w:rsidRDefault="00510411" w:rsidP="00B06414">
      <w:pPr>
        <w:tabs>
          <w:tab w:val="right" w:pos="9360"/>
        </w:tabs>
        <w:spacing w:line="240" w:lineRule="auto"/>
        <w:rPr>
          <w:rFonts w:cs="Times New Roman"/>
          <w:b/>
          <w:bCs/>
          <w:i/>
          <w:iCs/>
          <w:szCs w:val="24"/>
        </w:rPr>
      </w:pPr>
      <w:r w:rsidRPr="00510411">
        <w:rPr>
          <w:rFonts w:cs="Times New Roman"/>
          <w:b/>
          <w:bCs/>
          <w:i/>
          <w:iCs/>
          <w:szCs w:val="24"/>
        </w:rPr>
        <w:t xml:space="preserve">2.4.1 </w:t>
      </w:r>
      <w:r w:rsidR="00C3099D" w:rsidRPr="00510411">
        <w:rPr>
          <w:rFonts w:cs="Times New Roman"/>
          <w:b/>
          <w:bCs/>
          <w:i/>
          <w:iCs/>
          <w:szCs w:val="24"/>
        </w:rPr>
        <w:t xml:space="preserve">The Multinomial </w:t>
      </w:r>
      <w:r w:rsidRPr="00510411">
        <w:rPr>
          <w:rFonts w:cs="Times New Roman"/>
          <w:b/>
          <w:bCs/>
          <w:i/>
          <w:iCs/>
          <w:position w:val="-10"/>
          <w:szCs w:val="24"/>
        </w:rPr>
        <w:object w:dxaOrig="700" w:dyaOrig="320" w14:anchorId="1AA6E964">
          <v:shape id="_x0000_i1159" type="#_x0000_t75" style="width:34.7pt;height:16.7pt" o:ole="">
            <v:imagedata r:id="rId257" o:title=""/>
          </v:shape>
          <o:OLEObject Type="Embed" ProgID="Equation.DSMT4" ShapeID="_x0000_i1159" DrawAspect="Content" ObjectID="_1841834534" r:id="rId258"/>
        </w:object>
      </w:r>
      <w:r w:rsidR="00C3099D" w:rsidRPr="00510411">
        <w:rPr>
          <w:rFonts w:cs="Times New Roman"/>
          <w:b/>
          <w:bCs/>
          <w:i/>
          <w:iCs/>
          <w:szCs w:val="24"/>
        </w:rPr>
        <w:t>Case</w:t>
      </w:r>
    </w:p>
    <w:p w14:paraId="7440DCB8" w14:textId="4D887775" w:rsidR="00C3099D" w:rsidRPr="0086018F" w:rsidRDefault="00C3099D" w:rsidP="00B06414">
      <w:pPr>
        <w:tabs>
          <w:tab w:val="right" w:pos="9360"/>
        </w:tabs>
        <w:spacing w:line="240" w:lineRule="auto"/>
        <w:rPr>
          <w:rFonts w:cs="Times New Roman"/>
          <w:szCs w:val="24"/>
        </w:rPr>
      </w:pPr>
      <w:r w:rsidRPr="0093315A">
        <w:rPr>
          <w:rFonts w:cs="Times New Roman"/>
          <w:szCs w:val="24"/>
        </w:rPr>
        <w:tab/>
        <w:t xml:space="preserve">To examine identification issues, we start with the independent MNYJ model (with the correlation matrix </w:t>
      </w:r>
      <w:r w:rsidR="00DD69EB" w:rsidRPr="00B71211">
        <w:rPr>
          <w:rFonts w:cs="Times New Roman"/>
          <w:position w:val="-4"/>
          <w:szCs w:val="24"/>
        </w:rPr>
        <w:object w:dxaOrig="260" w:dyaOrig="260" w14:anchorId="105459FA">
          <v:shape id="_x0000_i1160" type="#_x0000_t75" style="width:12.85pt;height:12.85pt" o:ole="" o:preferrelative="f">
            <v:imagedata r:id="rId259" o:title=""/>
            <o:lock v:ext="edit" aspectratio="f"/>
          </v:shape>
          <o:OLEObject Type="Embed" ProgID="Equation.DSMT4" ShapeID="_x0000_i1160" DrawAspect="Content" ObjectID="_1841834535" r:id="rId260"/>
        </w:object>
      </w:r>
      <w:r w:rsidRPr="00B71211">
        <w:rPr>
          <w:rFonts w:cs="Times New Roman"/>
          <w:szCs w:val="24"/>
        </w:rPr>
        <w:t xml:space="preserve">underlying the vector </w:t>
      </w:r>
      <w:r w:rsidR="00DD69EB" w:rsidRPr="00B71211">
        <w:rPr>
          <w:rFonts w:cs="Times New Roman"/>
          <w:position w:val="-10"/>
          <w:szCs w:val="24"/>
        </w:rPr>
        <w:object w:dxaOrig="200" w:dyaOrig="260" w14:anchorId="0F0C8B96">
          <v:shape id="_x0000_i1161" type="#_x0000_t75" style="width:10.3pt;height:12.85pt" o:ole="">
            <v:imagedata r:id="rId95" o:title=""/>
          </v:shape>
          <o:OLEObject Type="Embed" ProgID="Equation.DSMT4" ShapeID="_x0000_i1161" DrawAspect="Content" ObjectID="_1841834536" r:id="rId261"/>
        </w:object>
      </w:r>
      <w:r w:rsidRPr="00B71211">
        <w:rPr>
          <w:rFonts w:cs="Times New Roman"/>
          <w:szCs w:val="24"/>
        </w:rPr>
        <w:t xml:space="preserve"> being the identity matrix) and with fixed coefficients. As in any discrete choice model, only utility differences matter. Taking differences with respect to the first alternative in Equation (9), let</w:t>
      </w:r>
    </w:p>
    <w:p w14:paraId="4A6A12F4" w14:textId="40C3118C" w:rsidR="00C3099D" w:rsidRPr="0093315A" w:rsidRDefault="009323C0" w:rsidP="00B06414">
      <w:pPr>
        <w:tabs>
          <w:tab w:val="right" w:pos="9360"/>
        </w:tabs>
        <w:spacing w:before="120" w:after="120" w:line="240" w:lineRule="auto"/>
        <w:rPr>
          <w:rFonts w:cs="Times New Roman"/>
          <w:szCs w:val="24"/>
        </w:rPr>
      </w:pPr>
      <w:r w:rsidRPr="00B71211">
        <w:rPr>
          <w:rFonts w:cs="Times New Roman"/>
          <w:position w:val="-12"/>
          <w:szCs w:val="24"/>
        </w:rPr>
        <w:object w:dxaOrig="5980" w:dyaOrig="380" w14:anchorId="6F53C312">
          <v:shape id="_x0000_i1162" type="#_x0000_t75" style="width:299.15pt;height:18.85pt" o:ole="" o:preferrelative="f">
            <v:imagedata r:id="rId262" o:title=""/>
            <o:lock v:ext="edit" aspectratio="f"/>
          </v:shape>
          <o:OLEObject Type="Embed" ProgID="Equation.DSMT4" ShapeID="_x0000_i1162" DrawAspect="Content" ObjectID="_1841834537" r:id="rId263"/>
        </w:object>
      </w:r>
      <w:r w:rsidR="00305CFD">
        <w:rPr>
          <w:rFonts w:cs="Times New Roman"/>
          <w:szCs w:val="24"/>
        </w:rPr>
        <w:tab/>
        <w:t>(19)</w:t>
      </w:r>
    </w:p>
    <w:p w14:paraId="7C5B249C" w14:textId="71219F61" w:rsidR="00C3099D" w:rsidRPr="0093315A" w:rsidRDefault="00C3099D" w:rsidP="00B06414">
      <w:pPr>
        <w:tabs>
          <w:tab w:val="right" w:pos="9360"/>
        </w:tabs>
        <w:spacing w:line="240" w:lineRule="auto"/>
        <w:rPr>
          <w:rFonts w:cs="Times New Roman"/>
          <w:szCs w:val="24"/>
        </w:rPr>
      </w:pPr>
      <w:r w:rsidRPr="0086018F">
        <w:rPr>
          <w:rFonts w:cs="Times New Roman"/>
          <w:szCs w:val="24"/>
        </w:rPr>
        <w:t>The usual location normalization is needed (so that one alternative needs to be the base for any alternative-invariant exogenous variable as well as for the constant). Similarly, a global scale normalization is needed because multiplying the utilities by an</w:t>
      </w:r>
      <w:r w:rsidRPr="00DD5FA6">
        <w:rPr>
          <w:rFonts w:cs="Times New Roman"/>
          <w:szCs w:val="24"/>
        </w:rPr>
        <w:t xml:space="preserve">y positive constant does not change </w:t>
      </w:r>
      <w:r w:rsidRPr="00DD5FA6">
        <w:rPr>
          <w:rFonts w:cs="Times New Roman"/>
          <w:szCs w:val="24"/>
        </w:rPr>
        <w:lastRenderedPageBreak/>
        <w:t xml:space="preserve">the relative utility ordering, which is the reason for the normalization </w:t>
      </w:r>
      <w:r w:rsidR="00B06414" w:rsidRPr="00B71211">
        <w:rPr>
          <w:rFonts w:cs="Times New Roman"/>
          <w:position w:val="-28"/>
          <w:szCs w:val="24"/>
        </w:rPr>
        <w:object w:dxaOrig="880" w:dyaOrig="680" w14:anchorId="7B6F719C">
          <v:shape id="_x0000_i1163" type="#_x0000_t75" style="width:43.7pt;height:33.85pt" o:ole="" o:preferrelative="f">
            <v:imagedata r:id="rId143" o:title=""/>
            <o:lock v:ext="edit" aspectratio="f"/>
          </v:shape>
          <o:OLEObject Type="Embed" ProgID="Equation.DSMT4" ShapeID="_x0000_i1163" DrawAspect="Content" ObjectID="_1841834538" r:id="rId264"/>
        </w:object>
      </w:r>
      <w:r w:rsidRPr="00B71211">
        <w:rPr>
          <w:rFonts w:cs="Times New Roman"/>
          <w:szCs w:val="24"/>
        </w:rPr>
        <w:t>. Then, we get the following:</w:t>
      </w:r>
    </w:p>
    <w:p w14:paraId="27F379AC" w14:textId="444044A0" w:rsidR="00C3099D" w:rsidRPr="0093315A" w:rsidRDefault="00B06414" w:rsidP="00B06414">
      <w:pPr>
        <w:tabs>
          <w:tab w:val="right" w:pos="9360"/>
        </w:tabs>
        <w:spacing w:before="120" w:after="120" w:line="240" w:lineRule="auto"/>
        <w:rPr>
          <w:rFonts w:cs="Times New Roman"/>
          <w:szCs w:val="24"/>
        </w:rPr>
      </w:pPr>
      <w:r w:rsidRPr="00B71211">
        <w:rPr>
          <w:rFonts w:cs="Times New Roman"/>
          <w:position w:val="-14"/>
          <w:szCs w:val="24"/>
        </w:rPr>
        <w:object w:dxaOrig="4920" w:dyaOrig="400" w14:anchorId="7D667969">
          <v:shape id="_x0000_i1164" type="#_x0000_t75" style="width:246pt;height:20.15pt" o:ole="" o:preferrelative="f">
            <v:imagedata r:id="rId265" o:title=""/>
            <o:lock v:ext="edit" aspectratio="f"/>
          </v:shape>
          <o:OLEObject Type="Embed" ProgID="Equation.DSMT4" ShapeID="_x0000_i1164" DrawAspect="Content" ObjectID="_1841834539" r:id="rId266"/>
        </w:object>
      </w:r>
      <w:r w:rsidR="00305CFD">
        <w:rPr>
          <w:rFonts w:cs="Times New Roman"/>
          <w:szCs w:val="24"/>
        </w:rPr>
        <w:tab/>
        <w:t>(20)</w:t>
      </w:r>
    </w:p>
    <w:p w14:paraId="195D82F5" w14:textId="0229DC6C" w:rsidR="00C3099D" w:rsidRPr="00B71211" w:rsidRDefault="00C3099D" w:rsidP="00B06414">
      <w:pPr>
        <w:tabs>
          <w:tab w:val="right" w:pos="9360"/>
        </w:tabs>
        <w:spacing w:line="240" w:lineRule="auto"/>
        <w:rPr>
          <w:rFonts w:cs="Times New Roman"/>
          <w:szCs w:val="24"/>
        </w:rPr>
      </w:pPr>
      <w:r w:rsidRPr="0093315A">
        <w:rPr>
          <w:rFonts w:cs="Times New Roman"/>
          <w:szCs w:val="24"/>
        </w:rPr>
        <w:t xml:space="preserve">Thus, the off-diagonal elements of the differenced covariance matrix identify </w:t>
      </w:r>
      <w:r w:rsidR="00DD69EB" w:rsidRPr="00B71211">
        <w:rPr>
          <w:rFonts w:cs="Times New Roman"/>
          <w:position w:val="-12"/>
          <w:szCs w:val="24"/>
        </w:rPr>
        <w:object w:dxaOrig="260" w:dyaOrig="380" w14:anchorId="5F4CA834">
          <v:shape id="_x0000_i1165" type="#_x0000_t75" style="width:12.85pt;height:18.85pt" o:ole="" o:preferrelative="f">
            <v:imagedata r:id="rId267" o:title=""/>
            <o:lock v:ext="edit" aspectratio="f"/>
          </v:shape>
          <o:OLEObject Type="Embed" ProgID="Equation.DSMT4" ShapeID="_x0000_i1165" DrawAspect="Content" ObjectID="_1841834540" r:id="rId268"/>
        </w:object>
      </w:r>
      <w:r w:rsidRPr="00B71211">
        <w:rPr>
          <w:rFonts w:cs="Times New Roman"/>
          <w:szCs w:val="24"/>
        </w:rPr>
        <w:t>, which leaves the (</w:t>
      </w:r>
      <w:r w:rsidRPr="00B71211">
        <w:rPr>
          <w:rFonts w:cs="Times New Roman"/>
          <w:i/>
          <w:iCs/>
          <w:szCs w:val="24"/>
        </w:rPr>
        <w:t>I</w:t>
      </w:r>
      <w:r w:rsidR="00DD69EB">
        <w:rPr>
          <w:rFonts w:cs="Times New Roman"/>
          <w:szCs w:val="24"/>
        </w:rPr>
        <w:t>–</w:t>
      </w:r>
      <w:r w:rsidRPr="0093315A">
        <w:rPr>
          <w:rFonts w:cs="Times New Roman"/>
          <w:szCs w:val="24"/>
        </w:rPr>
        <w:t xml:space="preserve">1) structural variances </w:t>
      </w:r>
      <w:r w:rsidR="00DD69EB" w:rsidRPr="00B71211">
        <w:rPr>
          <w:rFonts w:cs="Times New Roman"/>
          <w:position w:val="-12"/>
          <w:szCs w:val="24"/>
        </w:rPr>
        <w:object w:dxaOrig="900" w:dyaOrig="380" w14:anchorId="1ADDC4DC">
          <v:shape id="_x0000_i1166" type="#_x0000_t75" style="width:43.7pt;height:18.85pt" o:ole="">
            <v:imagedata r:id="rId269" o:title=""/>
          </v:shape>
          <o:OLEObject Type="Embed" ProgID="Equation.DSMT4" ShapeID="_x0000_i1166" DrawAspect="Content" ObjectID="_1841834541" r:id="rId270"/>
        </w:object>
      </w:r>
      <w:r w:rsidRPr="00B71211">
        <w:rPr>
          <w:rFonts w:cs="Times New Roman"/>
          <w:szCs w:val="24"/>
        </w:rPr>
        <w:t xml:space="preserve">. When </w:t>
      </w:r>
      <w:r w:rsidRPr="00B71211">
        <w:rPr>
          <w:rFonts w:cs="Times New Roman"/>
          <w:position w:val="-10"/>
          <w:szCs w:val="24"/>
        </w:rPr>
        <w:object w:dxaOrig="580" w:dyaOrig="320" w14:anchorId="48D5E9F6">
          <v:shape id="_x0000_i1167" type="#_x0000_t75" style="width:29.55pt;height:16.7pt" o:ole="">
            <v:imagedata r:id="rId271" o:title=""/>
          </v:shape>
          <o:OLEObject Type="Embed" ProgID="Equation.DSMT4" ShapeID="_x0000_i1167" DrawAspect="Content" ObjectID="_1841834542" r:id="rId272"/>
        </w:object>
      </w:r>
      <w:r w:rsidRPr="00B71211">
        <w:rPr>
          <w:rFonts w:cs="Times New Roman"/>
          <w:szCs w:val="24"/>
        </w:rPr>
        <w:t xml:space="preserve"> all of these can be uniquely determined from the (</w:t>
      </w:r>
      <w:r w:rsidRPr="00B71211">
        <w:rPr>
          <w:rFonts w:cs="Times New Roman"/>
          <w:i/>
          <w:iCs/>
          <w:szCs w:val="24"/>
        </w:rPr>
        <w:t>I</w:t>
      </w:r>
      <w:r w:rsidR="00DD69EB">
        <w:rPr>
          <w:rFonts w:cs="Times New Roman"/>
          <w:szCs w:val="24"/>
        </w:rPr>
        <w:t>–</w:t>
      </w:r>
      <w:r w:rsidRPr="0093315A">
        <w:rPr>
          <w:rFonts w:cs="Times New Roman"/>
          <w:szCs w:val="24"/>
        </w:rPr>
        <w:t>1) diagonals of the utility-differenced covariance matrix up to the global scale normalization.</w:t>
      </w:r>
      <w:r w:rsidR="001949C8" w:rsidRPr="00B71211">
        <w:rPr>
          <w:rStyle w:val="FootnoteReference"/>
          <w:szCs w:val="24"/>
        </w:rPr>
        <w:footnoteReference w:id="4"/>
      </w:r>
      <w:r w:rsidRPr="00B71211">
        <w:rPr>
          <w:rFonts w:cs="Times New Roman"/>
          <w:szCs w:val="24"/>
        </w:rPr>
        <w:t xml:space="preserve"> Next, define the third marginal cumulant (skewness measure) of the transformed errors as </w:t>
      </w:r>
      <w:r w:rsidRPr="00B71211">
        <w:rPr>
          <w:rFonts w:cs="Times New Roman"/>
          <w:position w:val="-12"/>
          <w:szCs w:val="24"/>
        </w:rPr>
        <w:object w:dxaOrig="1040" w:dyaOrig="380" w14:anchorId="517D6B7E">
          <v:shape id="_x0000_i1168" type="#_x0000_t75" style="width:52.7pt;height:19.3pt" o:ole="">
            <v:imagedata r:id="rId273" o:title=""/>
          </v:shape>
          <o:OLEObject Type="Embed" ProgID="Equation.DSMT4" ShapeID="_x0000_i1168" DrawAspect="Content" ObjectID="_1841834543" r:id="rId274"/>
        </w:object>
      </w:r>
      <w:r w:rsidRPr="00B71211">
        <w:rPr>
          <w:rFonts w:cs="Times New Roman"/>
          <w:szCs w:val="24"/>
        </w:rPr>
        <w:t>. The third marginal cumulants of the differenced error terms satisfy:</w:t>
      </w:r>
    </w:p>
    <w:p w14:paraId="43C0AE05" w14:textId="2E20548C" w:rsidR="00C3099D" w:rsidRPr="00B71211" w:rsidRDefault="00B06414" w:rsidP="00B06414">
      <w:pPr>
        <w:tabs>
          <w:tab w:val="right" w:pos="9360"/>
        </w:tabs>
        <w:spacing w:before="120" w:after="120" w:line="240" w:lineRule="auto"/>
        <w:rPr>
          <w:rFonts w:cs="Times New Roman"/>
          <w:szCs w:val="24"/>
        </w:rPr>
      </w:pPr>
      <w:r w:rsidRPr="00B71211">
        <w:rPr>
          <w:rFonts w:cs="Times New Roman"/>
          <w:position w:val="-12"/>
          <w:szCs w:val="24"/>
        </w:rPr>
        <w:object w:dxaOrig="1860" w:dyaOrig="380" w14:anchorId="12FC752F">
          <v:shape id="_x0000_i1169" type="#_x0000_t75" style="width:93pt;height:18.85pt" o:ole="" o:preferrelative="f">
            <v:imagedata r:id="rId275" o:title=""/>
            <o:lock v:ext="edit" aspectratio="f"/>
          </v:shape>
          <o:OLEObject Type="Embed" ProgID="Equation.DSMT4" ShapeID="_x0000_i1169" DrawAspect="Content" ObjectID="_1841834544" r:id="rId276"/>
        </w:object>
      </w:r>
      <w:r w:rsidR="00305CFD">
        <w:rPr>
          <w:rFonts w:cs="Times New Roman"/>
          <w:szCs w:val="24"/>
        </w:rPr>
        <w:tab/>
        <w:t>(21)</w:t>
      </w:r>
    </w:p>
    <w:p w14:paraId="36F5E3F0" w14:textId="5989B8D1" w:rsidR="00C3099D" w:rsidRPr="00B71211" w:rsidRDefault="00C3099D" w:rsidP="00B06414">
      <w:pPr>
        <w:tabs>
          <w:tab w:val="right" w:pos="9360"/>
        </w:tabs>
        <w:spacing w:line="240" w:lineRule="auto"/>
        <w:rPr>
          <w:rFonts w:cs="Times New Roman"/>
          <w:szCs w:val="24"/>
        </w:rPr>
      </w:pPr>
      <w:r w:rsidRPr="0093315A">
        <w:rPr>
          <w:rFonts w:cs="Times New Roman"/>
          <w:szCs w:val="24"/>
        </w:rPr>
        <w:t>The expressions for the mixed third cumulant with one index repeated as well as the fully mixed third cumulant are given by an identical expression as follows:</w:t>
      </w:r>
    </w:p>
    <w:p w14:paraId="483C5D4B" w14:textId="6D8B0205" w:rsidR="00C3099D" w:rsidRPr="0093315A" w:rsidRDefault="00B06414" w:rsidP="00B06414">
      <w:pPr>
        <w:tabs>
          <w:tab w:val="right" w:pos="9360"/>
        </w:tabs>
        <w:spacing w:before="120" w:after="120" w:line="240" w:lineRule="auto"/>
        <w:rPr>
          <w:rFonts w:cs="Times New Roman"/>
          <w:szCs w:val="24"/>
        </w:rPr>
      </w:pPr>
      <w:r w:rsidRPr="00B71211">
        <w:rPr>
          <w:rFonts w:cs="Times New Roman"/>
          <w:position w:val="-14"/>
          <w:szCs w:val="24"/>
        </w:rPr>
        <w:object w:dxaOrig="5600" w:dyaOrig="400" w14:anchorId="7911883D">
          <v:shape id="_x0000_i1170" type="#_x0000_t75" style="width:279.85pt;height:20.15pt" o:ole="" o:preferrelative="f">
            <v:imagedata r:id="rId277" o:title=""/>
            <o:lock v:ext="edit" aspectratio="f"/>
          </v:shape>
          <o:OLEObject Type="Embed" ProgID="Equation.DSMT4" ShapeID="_x0000_i1170" DrawAspect="Content" ObjectID="_1841834545" r:id="rId278"/>
        </w:object>
      </w:r>
      <w:r w:rsidR="00C3099D" w:rsidRPr="00B71211">
        <w:rPr>
          <w:rFonts w:cs="Times New Roman"/>
          <w:szCs w:val="24"/>
        </w:rPr>
        <w:t xml:space="preserve">. </w:t>
      </w:r>
      <w:r w:rsidR="00305CFD">
        <w:rPr>
          <w:rFonts w:cs="Times New Roman"/>
          <w:szCs w:val="24"/>
        </w:rPr>
        <w:tab/>
        <w:t>(22)</w:t>
      </w:r>
    </w:p>
    <w:p w14:paraId="106F2EDB" w14:textId="6979B5E2" w:rsidR="007B69B0" w:rsidRPr="009E4296" w:rsidRDefault="00C3099D" w:rsidP="00B06414">
      <w:pPr>
        <w:spacing w:line="240" w:lineRule="auto"/>
        <w:ind w:firstLine="720"/>
        <w:rPr>
          <w:rFonts w:cs="Times New Roman"/>
          <w:szCs w:val="24"/>
        </w:rPr>
      </w:pPr>
      <w:r w:rsidRPr="0086018F">
        <w:rPr>
          <w:rFonts w:cs="Times New Roman"/>
          <w:szCs w:val="24"/>
        </w:rPr>
        <w:t xml:space="preserve">The above result emerges because under independence, all mixed cumulants vanish unless all three factors come from the </w:t>
      </w:r>
      <w:r w:rsidRPr="00DD5FA6">
        <w:rPr>
          <w:rStyle w:val="Strong"/>
          <w:rFonts w:cs="Times New Roman"/>
          <w:b w:val="0"/>
          <w:bCs w:val="0"/>
          <w:szCs w:val="24"/>
        </w:rPr>
        <w:t>same underlying structural shock</w:t>
      </w:r>
      <w:r w:rsidRPr="00DD5FA6">
        <w:rPr>
          <w:rFonts w:cs="Times New Roman"/>
          <w:szCs w:val="24"/>
        </w:rPr>
        <w:t xml:space="preserve">. The only shock common to every differenced utility is the base shock </w:t>
      </w:r>
      <w:r w:rsidRPr="00B71211">
        <w:rPr>
          <w:rFonts w:cs="Times New Roman"/>
          <w:position w:val="-12"/>
          <w:szCs w:val="24"/>
        </w:rPr>
        <w:object w:dxaOrig="240" w:dyaOrig="360" w14:anchorId="30A48F10">
          <v:shape id="_x0000_i1171" type="#_x0000_t75" style="width:12pt;height:18.45pt" o:ole="">
            <v:imagedata r:id="rId279" o:title=""/>
          </v:shape>
          <o:OLEObject Type="Embed" ProgID="Equation.DSMT4" ShapeID="_x0000_i1171" DrawAspect="Content" ObjectID="_1841834546" r:id="rId280"/>
        </w:object>
      </w:r>
      <w:r w:rsidRPr="00B71211">
        <w:rPr>
          <w:rFonts w:cs="Times New Roman"/>
          <w:szCs w:val="24"/>
        </w:rPr>
        <w:t xml:space="preserve">. </w:t>
      </w:r>
      <w:proofErr w:type="gramStart"/>
      <w:r w:rsidRPr="00B71211">
        <w:rPr>
          <w:rFonts w:cs="Times New Roman"/>
          <w:szCs w:val="24"/>
        </w:rPr>
        <w:t>So</w:t>
      </w:r>
      <w:proofErr w:type="gramEnd"/>
      <w:r w:rsidRPr="00B71211">
        <w:rPr>
          <w:rFonts w:cs="Times New Roman"/>
          <w:szCs w:val="24"/>
        </w:rPr>
        <w:t xml:space="preserve"> every off-diagonal third cumulant isolates the base-alternative asymmetry, from which </w:t>
      </w:r>
      <w:r w:rsidRPr="00B71211">
        <w:rPr>
          <w:rFonts w:cs="Times New Roman"/>
          <w:position w:val="-12"/>
          <w:szCs w:val="24"/>
        </w:rPr>
        <w:object w:dxaOrig="260" w:dyaOrig="360" w14:anchorId="341118E1">
          <v:shape id="_x0000_i1172" type="#_x0000_t75" style="width:13.7pt;height:18.45pt" o:ole="">
            <v:imagedata r:id="rId281" o:title=""/>
          </v:shape>
          <o:OLEObject Type="Embed" ProgID="Equation.DSMT4" ShapeID="_x0000_i1172" DrawAspect="Content" ObjectID="_1841834547" r:id="rId282"/>
        </w:object>
      </w:r>
      <w:r w:rsidRPr="00B71211">
        <w:rPr>
          <w:rFonts w:cs="Times New Roman"/>
          <w:szCs w:val="24"/>
        </w:rPr>
        <w:t xml:space="preserve"> gets identified. Then, from Equation (</w:t>
      </w:r>
      <w:r w:rsidR="00305CFD">
        <w:rPr>
          <w:rFonts w:cs="Times New Roman"/>
          <w:szCs w:val="24"/>
        </w:rPr>
        <w:t>21</w:t>
      </w:r>
      <w:r w:rsidRPr="00B71211">
        <w:rPr>
          <w:rFonts w:cs="Times New Roman"/>
          <w:szCs w:val="24"/>
        </w:rPr>
        <w:t xml:space="preserve">), each </w:t>
      </w:r>
      <w:r w:rsidR="009323C0" w:rsidRPr="00B71211">
        <w:rPr>
          <w:rFonts w:cs="Times New Roman"/>
          <w:position w:val="-12"/>
          <w:szCs w:val="24"/>
        </w:rPr>
        <w:object w:dxaOrig="260" w:dyaOrig="360" w14:anchorId="0EF42ED5">
          <v:shape id="_x0000_i1173" type="#_x0000_t75" style="width:12.85pt;height:18pt" o:ole="" o:preferrelative="f">
            <v:imagedata r:id="rId283" o:title=""/>
            <o:lock v:ext="edit" aspectratio="f"/>
          </v:shape>
          <o:OLEObject Type="Embed" ProgID="Equation.DSMT4" ShapeID="_x0000_i1173" DrawAspect="Content" ObjectID="_1841834548" r:id="rId284"/>
        </w:object>
      </w:r>
      <w:r w:rsidRPr="00B71211">
        <w:rPr>
          <w:rFonts w:cs="Times New Roman"/>
          <w:szCs w:val="24"/>
        </w:rPr>
        <w:t xml:space="preserve"> </w:t>
      </w:r>
      <w:r w:rsidR="009323C0" w:rsidRPr="00B71211">
        <w:rPr>
          <w:rFonts w:cs="Times New Roman"/>
          <w:position w:val="-10"/>
          <w:szCs w:val="24"/>
        </w:rPr>
        <w:object w:dxaOrig="620" w:dyaOrig="320" w14:anchorId="48B5529B">
          <v:shape id="_x0000_i1174" type="#_x0000_t75" style="width:31.3pt;height:15.85pt" o:ole="" o:preferrelative="f">
            <v:imagedata r:id="rId285" o:title=""/>
            <o:lock v:ext="edit" aspectratio="f"/>
          </v:shape>
          <o:OLEObject Type="Embed" ProgID="Equation.DSMT4" ShapeID="_x0000_i1174" DrawAspect="Content" ObjectID="_1841834549" r:id="rId286"/>
        </w:object>
      </w:r>
      <w:r w:rsidRPr="00B71211">
        <w:rPr>
          <w:rFonts w:cs="Times New Roman"/>
          <w:szCs w:val="24"/>
        </w:rPr>
        <w:t xml:space="preserve"> gets identified from the marginal third cu</w:t>
      </w:r>
      <w:r w:rsidRPr="0093315A">
        <w:rPr>
          <w:rFonts w:cs="Times New Roman"/>
          <w:szCs w:val="24"/>
        </w:rPr>
        <w:t xml:space="preserve">mulant of the differenced error terms. Thus, all third cumulants </w:t>
      </w:r>
      <w:r w:rsidRPr="00B71211">
        <w:rPr>
          <w:rFonts w:cs="Times New Roman"/>
          <w:position w:val="-12"/>
          <w:szCs w:val="24"/>
        </w:rPr>
        <w:object w:dxaOrig="260" w:dyaOrig="360" w14:anchorId="6F2EEB1C">
          <v:shape id="_x0000_i1175" type="#_x0000_t75" style="width:13.7pt;height:18.45pt" o:ole="">
            <v:imagedata r:id="rId287" o:title=""/>
          </v:shape>
          <o:OLEObject Type="Embed" ProgID="Equation.DSMT4" ShapeID="_x0000_i1175" DrawAspect="Content" ObjectID="_1841834550" r:id="rId288"/>
        </w:object>
      </w:r>
      <w:r w:rsidRPr="00B71211">
        <w:rPr>
          <w:rFonts w:cs="Times New Roman"/>
          <w:szCs w:val="24"/>
        </w:rPr>
        <w:t xml:space="preserve"> are identified when </w:t>
      </w:r>
      <w:r w:rsidRPr="00B71211">
        <w:rPr>
          <w:rFonts w:cs="Times New Roman"/>
          <w:position w:val="-6"/>
          <w:szCs w:val="24"/>
        </w:rPr>
        <w:object w:dxaOrig="580" w:dyaOrig="279" w14:anchorId="75FE731A">
          <v:shape id="_x0000_i1176" type="#_x0000_t75" style="width:29.55pt;height:13.7pt" o:ole="">
            <v:imagedata r:id="rId289" o:title=""/>
          </v:shape>
          <o:OLEObject Type="Embed" ProgID="Equation.DSMT4" ShapeID="_x0000_i1176" DrawAspect="Content" ObjectID="_1841834551" r:id="rId290"/>
        </w:object>
      </w:r>
      <w:r w:rsidRPr="00B71211">
        <w:rPr>
          <w:rFonts w:cs="Times New Roman"/>
          <w:szCs w:val="24"/>
        </w:rPr>
        <w:t xml:space="preserve"> Then, s</w:t>
      </w:r>
      <w:r w:rsidRPr="00B71211">
        <w:rPr>
          <w:rFonts w:eastAsia="Times New Roman" w:cs="Times New Roman"/>
          <w:szCs w:val="24"/>
        </w:rPr>
        <w:t xml:space="preserve">ince the mapping from the YJ parameter </w:t>
      </w:r>
      <w:r w:rsidRPr="00B71211">
        <w:rPr>
          <w:rFonts w:cs="Times New Roman"/>
          <w:position w:val="-12"/>
          <w:szCs w:val="24"/>
        </w:rPr>
        <w:object w:dxaOrig="240" w:dyaOrig="360" w14:anchorId="3D9295DF">
          <v:shape id="_x0000_i1177" type="#_x0000_t75" style="width:12pt;height:18.45pt" o:ole="">
            <v:imagedata r:id="rId291" o:title=""/>
          </v:shape>
          <o:OLEObject Type="Embed" ProgID="Equation.DSMT4" ShapeID="_x0000_i1177" DrawAspect="Content" ObjectID="_1841834552" r:id="rId292"/>
        </w:object>
      </w:r>
      <w:r w:rsidRPr="00B71211">
        <w:rPr>
          <w:rFonts w:cs="Times New Roman"/>
          <w:szCs w:val="24"/>
        </w:rPr>
        <w:t xml:space="preserve"> </w:t>
      </w:r>
      <w:r w:rsidRPr="00B71211">
        <w:rPr>
          <w:rFonts w:eastAsia="Times New Roman" w:cs="Times New Roman"/>
          <w:szCs w:val="24"/>
        </w:rPr>
        <w:t xml:space="preserve">to the shape </w:t>
      </w:r>
      <w:r w:rsidRPr="0093315A">
        <w:rPr>
          <w:rFonts w:eastAsia="Times New Roman" w:cs="Times New Roman"/>
          <w:szCs w:val="24"/>
        </w:rPr>
        <w:t xml:space="preserve">distribution of </w:t>
      </w:r>
      <w:r w:rsidR="009323C0" w:rsidRPr="00B71211">
        <w:rPr>
          <w:rFonts w:cs="Times New Roman"/>
          <w:position w:val="-14"/>
          <w:szCs w:val="24"/>
        </w:rPr>
        <w:object w:dxaOrig="639" w:dyaOrig="380" w14:anchorId="3B8C555E">
          <v:shape id="_x0000_i1178" type="#_x0000_t75" style="width:31.7pt;height:18.85pt" o:ole="" o:preferrelative="f">
            <v:imagedata r:id="rId293" o:title=""/>
            <o:lock v:ext="edit" aspectratio="f"/>
          </v:shape>
          <o:OLEObject Type="Embed" ProgID="Equation.DSMT4" ShapeID="_x0000_i1178" DrawAspect="Content" ObjectID="_1841834553" r:id="rId294"/>
        </w:object>
      </w:r>
      <w:r w:rsidRPr="00B71211">
        <w:rPr>
          <w:rFonts w:cs="Times New Roman"/>
          <w:szCs w:val="24"/>
        </w:rPr>
        <w:t xml:space="preserve"> </w:t>
      </w:r>
      <w:r w:rsidRPr="00B71211">
        <w:rPr>
          <w:rFonts w:eastAsia="Times New Roman" w:cs="Times New Roman"/>
          <w:szCs w:val="24"/>
        </w:rPr>
        <w:t>is locally one-to-one (because of the normalization in Equation (5)</w:t>
      </w:r>
      <w:r w:rsidR="00305CFD">
        <w:rPr>
          <w:rFonts w:eastAsia="Times New Roman" w:cs="Times New Roman"/>
          <w:szCs w:val="24"/>
        </w:rPr>
        <w:t>)</w:t>
      </w:r>
      <w:r w:rsidRPr="00B71211">
        <w:rPr>
          <w:rFonts w:eastAsia="Times New Roman" w:cs="Times New Roman"/>
          <w:szCs w:val="24"/>
        </w:rPr>
        <w:t xml:space="preserve">, the </w:t>
      </w:r>
      <w:r w:rsidRPr="00B71211">
        <w:rPr>
          <w:rFonts w:cs="Times New Roman"/>
          <w:position w:val="-12"/>
          <w:szCs w:val="24"/>
        </w:rPr>
        <w:object w:dxaOrig="240" w:dyaOrig="360" w14:anchorId="11B3CA52">
          <v:shape id="_x0000_i1179" type="#_x0000_t75" style="width:12pt;height:18.45pt" o:ole="">
            <v:imagedata r:id="rId291" o:title=""/>
          </v:shape>
          <o:OLEObject Type="Embed" ProgID="Equation.DSMT4" ShapeID="_x0000_i1179" DrawAspect="Content" ObjectID="_1841834554" r:id="rId295"/>
        </w:object>
      </w:r>
      <w:r w:rsidRPr="00B71211">
        <w:rPr>
          <w:rFonts w:cs="Times New Roman"/>
          <w:szCs w:val="24"/>
        </w:rPr>
        <w:t xml:space="preserve"> </w:t>
      </w:r>
      <w:r w:rsidRPr="00B71211">
        <w:rPr>
          <w:rFonts w:eastAsia="Times New Roman" w:cs="Times New Roman"/>
          <w:szCs w:val="24"/>
        </w:rPr>
        <w:t xml:space="preserve">parameters </w:t>
      </w:r>
      <w:r w:rsidRPr="00B71211">
        <w:rPr>
          <w:rFonts w:cs="Times New Roman"/>
          <w:szCs w:val="24"/>
        </w:rPr>
        <w:t xml:space="preserve">of each alternative </w:t>
      </w:r>
      <w:r w:rsidRPr="0093315A">
        <w:rPr>
          <w:rFonts w:eastAsia="Times New Roman" w:cs="Times New Roman"/>
          <w:szCs w:val="24"/>
        </w:rPr>
        <w:t xml:space="preserve">are </w:t>
      </w:r>
      <w:r w:rsidRPr="0093315A">
        <w:rPr>
          <w:rFonts w:cs="Times New Roman"/>
          <w:szCs w:val="24"/>
        </w:rPr>
        <w:t>generically</w:t>
      </w:r>
      <w:r w:rsidRPr="0093315A">
        <w:rPr>
          <w:rFonts w:eastAsia="Times New Roman" w:cs="Times New Roman"/>
          <w:szCs w:val="24"/>
        </w:rPr>
        <w:t xml:space="preserve"> identified.</w:t>
      </w:r>
      <w:r w:rsidRPr="0093315A">
        <w:rPr>
          <w:rFonts w:cs="Times New Roman"/>
          <w:szCs w:val="24"/>
        </w:rPr>
        <w:t xml:space="preserve"> </w:t>
      </w:r>
      <w:r w:rsidR="007B69B0" w:rsidRPr="00823982">
        <w:rPr>
          <w:rFonts w:cs="Times New Roman"/>
          <w:szCs w:val="24"/>
        </w:rPr>
        <w:t xml:space="preserve">That is, the </w:t>
      </w:r>
      <w:r w:rsidR="007B69B0" w:rsidRPr="0086018F">
        <w:rPr>
          <w:rStyle w:val="Strong"/>
          <w:rFonts w:cs="Times New Roman"/>
          <w:b w:val="0"/>
          <w:bCs w:val="0"/>
          <w:szCs w:val="24"/>
        </w:rPr>
        <w:t>joint</w:t>
      </w:r>
      <w:r w:rsidR="007B69B0" w:rsidRPr="0086018F">
        <w:rPr>
          <w:rFonts w:cs="Times New Roman"/>
          <w:szCs w:val="24"/>
        </w:rPr>
        <w:t xml:space="preserve"> distribution of </w:t>
      </w:r>
      <w:r w:rsidR="007B69B0" w:rsidRPr="00DD5FA6">
        <w:rPr>
          <w:rStyle w:val="katex-mathml"/>
          <w:rFonts w:cs="Times New Roman"/>
          <w:szCs w:val="24"/>
        </w:rPr>
        <w:t xml:space="preserve">utility differences </w:t>
      </w:r>
      <w:r w:rsidR="007B69B0" w:rsidRPr="00DD5FA6">
        <w:rPr>
          <w:rFonts w:cs="Times New Roman"/>
          <w:szCs w:val="24"/>
        </w:rPr>
        <w:t xml:space="preserve">contains mixed higher-order moments/cumulants that can separate the base alternative’s asymmetry from the other alternatives’ asymmetries. </w:t>
      </w:r>
    </w:p>
    <w:p w14:paraId="4ED3CFD3" w14:textId="45DD4715" w:rsidR="00C3099D" w:rsidRPr="00290D19" w:rsidRDefault="00C3099D" w:rsidP="00B06414">
      <w:pPr>
        <w:spacing w:line="240" w:lineRule="auto"/>
        <w:ind w:firstLine="720"/>
        <w:rPr>
          <w:rFonts w:cs="Times New Roman"/>
          <w:szCs w:val="24"/>
        </w:rPr>
      </w:pPr>
      <w:r w:rsidRPr="00290D19">
        <w:rPr>
          <w:rFonts w:cs="Times New Roman"/>
          <w:szCs w:val="24"/>
        </w:rPr>
        <w:lastRenderedPageBreak/>
        <w:t xml:space="preserve">In summary, in the independent case and for </w:t>
      </w:r>
      <w:r w:rsidRPr="00B71211">
        <w:rPr>
          <w:rFonts w:cs="Times New Roman"/>
          <w:position w:val="-10"/>
          <w:szCs w:val="24"/>
        </w:rPr>
        <w:object w:dxaOrig="580" w:dyaOrig="320" w14:anchorId="39657718">
          <v:shape id="_x0000_i1180" type="#_x0000_t75" style="width:29.55pt;height:16.7pt" o:ole="">
            <v:imagedata r:id="rId271" o:title=""/>
          </v:shape>
          <o:OLEObject Type="Embed" ProgID="Equation.DSMT4" ShapeID="_x0000_i1180" DrawAspect="Content" ObjectID="_1841834555" r:id="rId296"/>
        </w:object>
      </w:r>
      <w:r w:rsidRPr="00B71211">
        <w:rPr>
          <w:rFonts w:cs="Times New Roman"/>
          <w:szCs w:val="24"/>
        </w:rPr>
        <w:t xml:space="preserve"> the joint distribution of utility differences</w:t>
      </w:r>
      <w:r w:rsidRPr="0093315A">
        <w:rPr>
          <w:rFonts w:cs="Times New Roman"/>
          <w:szCs w:val="24"/>
        </w:rPr>
        <w:t xml:space="preserve"> contains sufficient information to recover all the structural scale parameters </w:t>
      </w:r>
      <w:r w:rsidR="009323C0" w:rsidRPr="00B71211">
        <w:rPr>
          <w:rFonts w:cs="Times New Roman"/>
          <w:position w:val="-12"/>
          <w:szCs w:val="24"/>
        </w:rPr>
        <w:object w:dxaOrig="1520" w:dyaOrig="380" w14:anchorId="04969C41">
          <v:shape id="_x0000_i1181" type="#_x0000_t75" style="width:75.85pt;height:18.85pt" o:ole="" o:preferrelative="f">
            <v:imagedata r:id="rId297" o:title=""/>
            <o:lock v:ext="edit" aspectratio="f"/>
          </v:shape>
          <o:OLEObject Type="Embed" ProgID="Equation.DSMT4" ShapeID="_x0000_i1181" DrawAspect="Content" ObjectID="_1841834556" r:id="rId298"/>
        </w:object>
      </w:r>
      <w:r w:rsidRPr="00B71211">
        <w:rPr>
          <w:rFonts w:cs="Times New Roman"/>
          <w:szCs w:val="24"/>
        </w:rPr>
        <w:t xml:space="preserve"> and the YJ shape parameters </w:t>
      </w:r>
      <w:r w:rsidR="00DD69EB" w:rsidRPr="00B71211">
        <w:rPr>
          <w:rFonts w:cs="Times New Roman"/>
          <w:position w:val="-12"/>
          <w:szCs w:val="24"/>
        </w:rPr>
        <w:object w:dxaOrig="1500" w:dyaOrig="360" w14:anchorId="20F5167F">
          <v:shape id="_x0000_i1182" type="#_x0000_t75" style="width:75pt;height:18pt" o:ole="" o:preferrelative="f">
            <v:imagedata r:id="rId299" o:title=""/>
            <o:lock v:ext="edit" aspectratio="f"/>
          </v:shape>
          <o:OLEObject Type="Embed" ProgID="Equation.DSMT4" ShapeID="_x0000_i1182" DrawAspect="Content" ObjectID="_1841834557" r:id="rId300"/>
        </w:object>
      </w:r>
      <w:r w:rsidR="009D0E76">
        <w:rPr>
          <w:rFonts w:cs="Times New Roman"/>
          <w:szCs w:val="24"/>
        </w:rPr>
        <w:t xml:space="preserve"> </w:t>
      </w:r>
      <w:r w:rsidRPr="00B71211">
        <w:rPr>
          <w:rFonts w:cs="Times New Roman"/>
          <w:szCs w:val="24"/>
        </w:rPr>
        <w:t xml:space="preserve">after imposing one location normalization and one global scale normalization. This identification is </w:t>
      </w:r>
      <w:r w:rsidRPr="0093315A">
        <w:rPr>
          <w:rStyle w:val="Strong"/>
          <w:rFonts w:cs="Times New Roman"/>
          <w:b w:val="0"/>
          <w:bCs w:val="0"/>
          <w:szCs w:val="24"/>
        </w:rPr>
        <w:t>generic</w:t>
      </w:r>
      <w:r w:rsidRPr="0093315A">
        <w:rPr>
          <w:rFonts w:cs="Times New Roman"/>
          <w:szCs w:val="24"/>
        </w:rPr>
        <w:t xml:space="preserve">, in the sense that it holds for almost all parameter values except in special cases, most notably </w:t>
      </w:r>
      <w:r w:rsidR="005C0A53" w:rsidRPr="0093315A">
        <w:rPr>
          <w:rFonts w:cs="Times New Roman"/>
          <w:szCs w:val="24"/>
        </w:rPr>
        <w:t xml:space="preserve">when </w:t>
      </w:r>
      <w:r w:rsidRPr="0093315A">
        <w:rPr>
          <w:rFonts w:cs="Times New Roman"/>
          <w:szCs w:val="24"/>
        </w:rPr>
        <w:t xml:space="preserve">all the </w:t>
      </w:r>
      <w:r w:rsidR="00DD69EB" w:rsidRPr="00B71211">
        <w:rPr>
          <w:rFonts w:cs="Times New Roman"/>
          <w:position w:val="-12"/>
          <w:szCs w:val="24"/>
        </w:rPr>
        <w:object w:dxaOrig="240" w:dyaOrig="360" w14:anchorId="756CD868">
          <v:shape id="_x0000_i1183" type="#_x0000_t75" style="width:12pt;height:18pt" o:ole="" o:preferrelative="f">
            <v:imagedata r:id="rId301" o:title=""/>
            <o:lock v:ext="edit" aspectratio="f"/>
          </v:shape>
          <o:OLEObject Type="Embed" ProgID="Equation.DSMT4" ShapeID="_x0000_i1183" DrawAspect="Content" ObjectID="_1841834558" r:id="rId302"/>
        </w:object>
      </w:r>
      <w:r w:rsidRPr="00B71211">
        <w:rPr>
          <w:rFonts w:cs="Times New Roman"/>
          <w:szCs w:val="24"/>
        </w:rPr>
        <w:t xml:space="preserve"> terms are</w:t>
      </w:r>
      <w:r w:rsidRPr="0093315A">
        <w:rPr>
          <w:rFonts w:cs="Times New Roman"/>
          <w:szCs w:val="24"/>
        </w:rPr>
        <w:t xml:space="preserve"> uniformly equal to one</w:t>
      </w:r>
      <w:r w:rsidR="005C0A53" w:rsidRPr="0093315A">
        <w:rPr>
          <w:rFonts w:cs="Times New Roman"/>
          <w:szCs w:val="24"/>
        </w:rPr>
        <w:t xml:space="preserve"> (when the independent MNYJ collapses to the independent MNP)</w:t>
      </w:r>
      <w:r w:rsidRPr="0093315A">
        <w:rPr>
          <w:rFonts w:cs="Times New Roman"/>
          <w:szCs w:val="24"/>
        </w:rPr>
        <w:t xml:space="preserve">. </w:t>
      </w:r>
      <w:r w:rsidR="000D326A" w:rsidRPr="0093315A">
        <w:rPr>
          <w:rFonts w:cs="Times New Roman"/>
          <w:szCs w:val="24"/>
        </w:rPr>
        <w:t xml:space="preserve">Even beyond the case of all the </w:t>
      </w:r>
      <w:r w:rsidR="009323C0" w:rsidRPr="00B71211">
        <w:rPr>
          <w:rFonts w:cs="Times New Roman"/>
          <w:position w:val="-12"/>
          <w:szCs w:val="24"/>
        </w:rPr>
        <w:object w:dxaOrig="240" w:dyaOrig="360" w14:anchorId="380E8971">
          <v:shape id="_x0000_i1184" type="#_x0000_t75" style="width:12pt;height:18pt" o:ole="" o:preferrelative="f">
            <v:imagedata r:id="rId301" o:title=""/>
            <o:lock v:ext="edit" aspectratio="f"/>
          </v:shape>
          <o:OLEObject Type="Embed" ProgID="Equation.DSMT4" ShapeID="_x0000_i1184" DrawAspect="Content" ObjectID="_1841834559" r:id="rId303"/>
        </w:object>
      </w:r>
      <w:r w:rsidR="000D326A" w:rsidRPr="00B71211">
        <w:rPr>
          <w:rFonts w:cs="Times New Roman"/>
          <w:szCs w:val="24"/>
        </w:rPr>
        <w:t xml:space="preserve"> parameters being uniformly equal to one, empirical identification can become tenuous under other circumstances. In particular, if all the </w:t>
      </w:r>
      <w:r w:rsidR="00DD69EB" w:rsidRPr="00B71211">
        <w:rPr>
          <w:rFonts w:cs="Times New Roman"/>
          <w:position w:val="-12"/>
          <w:szCs w:val="24"/>
        </w:rPr>
        <w:object w:dxaOrig="240" w:dyaOrig="360" w14:anchorId="13DB9FC1">
          <v:shape id="_x0000_i1185" type="#_x0000_t75" style="width:12pt;height:18pt" o:ole="" o:preferrelative="f">
            <v:imagedata r:id="rId301" o:title=""/>
            <o:lock v:ext="edit" aspectratio="f"/>
          </v:shape>
          <o:OLEObject Type="Embed" ProgID="Equation.DSMT4" ShapeID="_x0000_i1185" DrawAspect="Content" ObjectID="_1841834560" r:id="rId304"/>
        </w:object>
      </w:r>
      <w:r w:rsidR="000D326A" w:rsidRPr="00B71211">
        <w:rPr>
          <w:rFonts w:cs="Times New Roman"/>
          <w:szCs w:val="24"/>
        </w:rPr>
        <w:t xml:space="preserve"> parameters approach the symmetric Gaussian case (even if not exactly all equal to one),</w:t>
      </w:r>
      <w:r w:rsidR="000D326A" w:rsidRPr="0093315A">
        <w:rPr>
          <w:rFonts w:cs="Times New Roman"/>
          <w:szCs w:val="24"/>
        </w:rPr>
        <w:t xml:space="preserve"> the identifying information from asymmetry diminishes. </w:t>
      </w:r>
      <w:r w:rsidR="000D326A" w:rsidRPr="0086018F">
        <w:rPr>
          <w:rFonts w:cs="Times New Roman"/>
          <w:szCs w:val="24"/>
        </w:rPr>
        <w:t>In this region, the model becomes close to the MNP, and the separation between the second and third moments of the error terms becomes weak. As a result, estimation may exhibit large variability in the shape parameters, even though the model remains generi</w:t>
      </w:r>
      <w:r w:rsidR="000D326A" w:rsidRPr="00DD5FA6">
        <w:rPr>
          <w:rFonts w:cs="Times New Roman"/>
          <w:szCs w:val="24"/>
        </w:rPr>
        <w:t xml:space="preserve">cally identified. </w:t>
      </w:r>
      <w:r w:rsidR="000D326A" w:rsidRPr="009E4296">
        <w:rPr>
          <w:rFonts w:cs="Times New Roman"/>
          <w:szCs w:val="24"/>
        </w:rPr>
        <w:t>Similarly, the likelihood can become nearly flat if one or more alternatives have very low market shares or have kernel error varia</w:t>
      </w:r>
      <w:r w:rsidR="000D326A" w:rsidRPr="00290D19">
        <w:rPr>
          <w:rFonts w:cs="Times New Roman"/>
          <w:szCs w:val="24"/>
        </w:rPr>
        <w:t xml:space="preserve">nces that are relatively miniscule. In </w:t>
      </w:r>
      <w:r w:rsidR="000E7C04" w:rsidRPr="00290D19">
        <w:rPr>
          <w:rFonts w:cs="Times New Roman"/>
          <w:szCs w:val="24"/>
        </w:rPr>
        <w:t xml:space="preserve">the first case of low market shares, the deterministic component would dominate too strongly, pushing the probability of some alternatives close to </w:t>
      </w:r>
      <w:r w:rsidR="009D0E76">
        <w:rPr>
          <w:rFonts w:cs="Times New Roman"/>
          <w:szCs w:val="24"/>
        </w:rPr>
        <w:t>one</w:t>
      </w:r>
      <w:r w:rsidR="000E7C04" w:rsidRPr="00290D19">
        <w:rPr>
          <w:rFonts w:cs="Times New Roman"/>
          <w:szCs w:val="24"/>
        </w:rPr>
        <w:t xml:space="preserve"> and other alternatives close to zero, making many observations become nearly deterministic and reducing the information available for identifying the scale, shape, and dependence structure of the kernel errors. In the second case,</w:t>
      </w:r>
      <w:r w:rsidR="000D326A" w:rsidRPr="00290D19">
        <w:rPr>
          <w:rFonts w:cs="Times New Roman"/>
          <w:szCs w:val="24"/>
        </w:rPr>
        <w:t xml:space="preserve"> the shape contribution can become so tiny as to effectively provide little asymmetry to aid in the identification of the shape parameters. </w:t>
      </w:r>
      <w:r w:rsidR="00216B8E" w:rsidRPr="00290D19">
        <w:rPr>
          <w:rFonts w:cs="Times New Roman"/>
          <w:szCs w:val="24"/>
        </w:rPr>
        <w:t>Another instance when identification can become fragile is if the shape parameters (after standardization as introduced in our model) and scale parameters of two or more alternatives are very close to one another. In this instance, the difference in utilities of these two alternatives becomes close to being symmetric,</w:t>
      </w:r>
      <w:r w:rsidR="007B69B0" w:rsidRPr="00290D19">
        <w:rPr>
          <w:rFonts w:cs="Times New Roman"/>
          <w:szCs w:val="24"/>
        </w:rPr>
        <w:t xml:space="preserve"> which can cause estimation instability. In all of these cases,</w:t>
      </w:r>
      <w:r w:rsidR="00334102" w:rsidRPr="00290D19">
        <w:rPr>
          <w:rFonts w:cs="Times New Roman"/>
          <w:szCs w:val="24"/>
        </w:rPr>
        <w:t xml:space="preserve"> the situation may be diagnosed by examining the local behavior of the likelihood function in the neighborhood of the optimum. In particular, profile likelihood plots for individual parameters provide a useful diagnostic tool: flat or weakly curved profile likelihoods indicate that the likelihood changes very little over a broad range of parameter values, suggesting weak identification or limited information in the data for those parameters. </w:t>
      </w:r>
    </w:p>
    <w:p w14:paraId="1E05E55B" w14:textId="79CE8202" w:rsidR="00F73491" w:rsidRPr="00290D19" w:rsidRDefault="00C3099D" w:rsidP="00B06414">
      <w:pPr>
        <w:pStyle w:val="NormalWeb"/>
        <w:spacing w:before="0" w:beforeAutospacing="0" w:after="0" w:afterAutospacing="0"/>
        <w:ind w:firstLine="720"/>
      </w:pPr>
      <w:r w:rsidRPr="00290D19">
        <w:t xml:space="preserve">In the </w:t>
      </w:r>
      <w:r w:rsidR="002F6E49" w:rsidRPr="00290D19">
        <w:t xml:space="preserve">more interesting and much richer specification of </w:t>
      </w:r>
      <w:r w:rsidRPr="00290D19">
        <w:t xml:space="preserve">non-independent </w:t>
      </w:r>
      <w:r w:rsidR="002F6E49" w:rsidRPr="00290D19">
        <w:t xml:space="preserve">kernel errors </w:t>
      </w:r>
      <w:r w:rsidRPr="00290D19">
        <w:t xml:space="preserve">with a full copula-based structural correlation structure for </w:t>
      </w:r>
      <w:r w:rsidRPr="00290D19">
        <w:rPr>
          <w:b/>
          <w:bCs/>
        </w:rPr>
        <w:t>R</w:t>
      </w:r>
      <w:r w:rsidRPr="00290D19">
        <w:t xml:space="preserve">, the same broad logic as above survives, but the algebra is less clean because mixed moments now also contain correlation contributions. Still, asymmetry gives information beyond second moments, so the joint law of the differenced utilities is no longer summarized by a Gaussian covariance matrix. This allows the generic identification of the structural correlation matrix rather than only the covariance of differenced errors. In essence, the combination of alternative-specific nonlinear transformations and Gaussian copula dependence generates a joint distribution of utility differences that depends on higher-order features beyond covariance, enabling generic identification for </w:t>
      </w:r>
      <w:r w:rsidRPr="00290D19">
        <w:rPr>
          <w:rStyle w:val="katex-mathml"/>
          <w:i/>
          <w:iCs/>
        </w:rPr>
        <w:t>I</w:t>
      </w:r>
      <w:r w:rsidRPr="00290D19">
        <w:rPr>
          <w:rStyle w:val="katex-mathml"/>
        </w:rPr>
        <w:t>≥</w:t>
      </w:r>
      <w:r w:rsidRPr="00290D19">
        <w:rPr>
          <w:rStyle w:val="mord"/>
        </w:rPr>
        <w:t>3</w:t>
      </w:r>
      <w:r w:rsidRPr="00290D19">
        <w:t xml:space="preserve">. </w:t>
      </w:r>
      <w:r w:rsidR="00216B8E" w:rsidRPr="00290D19">
        <w:t xml:space="preserve">Of course, weak identification may be achieved under any of the conditions already discussed for the independent case. In the non-independent case, the identification situation can become further fragile </w:t>
      </w:r>
      <w:r w:rsidR="003417AC" w:rsidRPr="00290D19">
        <w:t xml:space="preserve">exactly because marginal asymmetry (along with marginal scale of the kernel errors) and the dependence among the kernel errors all jointly shape the distribution of utility differences. Thus, when two or more alternatives have very similar standardized shape parameters, their marginal distributions exhibit similar skewness and tail behavior, making it more difficult for the likelihood function to distinguish between dependence arising from the correlation structure and similarity arising from nearly identical marginal asymmetry. As a result, correlation and shape effects may become </w:t>
      </w:r>
      <w:r w:rsidR="003417AC" w:rsidRPr="00290D19">
        <w:lastRenderedPageBreak/>
        <w:t>partially substitutable, leading to weak local curvature of the likelihood surface, instability in the estimated covariance matrix, and inflated standard errors for both the correlation and shape parameters. Distinct alternative-specific shape parameters help mitigate this issue by generating more differentiated higher-order behavior across alternatives, thereby improving empirical identification of the correlation structure.</w:t>
      </w:r>
    </w:p>
    <w:p w14:paraId="4B59F9DF" w14:textId="60A70F92" w:rsidR="00C3099D" w:rsidRDefault="00C3099D" w:rsidP="00B06414">
      <w:pPr>
        <w:pStyle w:val="NormalWeb"/>
        <w:spacing w:before="0" w:beforeAutospacing="0" w:after="0" w:afterAutospacing="0"/>
        <w:ind w:firstLine="720"/>
      </w:pPr>
      <w:r w:rsidRPr="00290D19">
        <w:t xml:space="preserve">Finally, the introduction of random coefficients does not introduce any substantial additional complications, especially for continuous random variables that vary across alternatives and individuals. </w:t>
      </w:r>
    </w:p>
    <w:p w14:paraId="7A829E58" w14:textId="77777777" w:rsidR="00305CFD" w:rsidRPr="00B71211" w:rsidRDefault="00305CFD" w:rsidP="00B06414">
      <w:pPr>
        <w:pStyle w:val="NormalWeb"/>
        <w:spacing w:before="0" w:beforeAutospacing="0" w:after="0" w:afterAutospacing="0"/>
        <w:ind w:firstLine="720"/>
      </w:pPr>
    </w:p>
    <w:p w14:paraId="55D3D007" w14:textId="2AF3817A" w:rsidR="00C3099D" w:rsidRPr="00510411" w:rsidRDefault="00510411" w:rsidP="00B06414">
      <w:pPr>
        <w:pStyle w:val="NormalWeb"/>
        <w:spacing w:before="0" w:beforeAutospacing="0" w:after="0" w:afterAutospacing="0"/>
        <w:rPr>
          <w:b/>
          <w:bCs/>
          <w:i/>
          <w:iCs/>
        </w:rPr>
      </w:pPr>
      <w:r w:rsidRPr="00510411">
        <w:rPr>
          <w:b/>
          <w:bCs/>
          <w:i/>
          <w:iCs/>
        </w:rPr>
        <w:t xml:space="preserve">2.4.2 </w:t>
      </w:r>
      <w:r w:rsidR="00C3099D" w:rsidRPr="00510411">
        <w:rPr>
          <w:b/>
          <w:bCs/>
          <w:i/>
          <w:iCs/>
        </w:rPr>
        <w:t xml:space="preserve">The Binary </w:t>
      </w:r>
      <w:r w:rsidRPr="00510411">
        <w:rPr>
          <w:b/>
          <w:bCs/>
          <w:i/>
          <w:iCs/>
          <w:position w:val="-10"/>
        </w:rPr>
        <w:object w:dxaOrig="700" w:dyaOrig="320" w14:anchorId="57162A3C">
          <v:shape id="_x0000_i1186" type="#_x0000_t75" style="width:34.7pt;height:16.7pt" o:ole="">
            <v:imagedata r:id="rId305" o:title=""/>
          </v:shape>
          <o:OLEObject Type="Embed" ProgID="Equation.DSMT4" ShapeID="_x0000_i1186" DrawAspect="Content" ObjectID="_1841834561" r:id="rId306"/>
        </w:object>
      </w:r>
      <w:r w:rsidR="00C3099D" w:rsidRPr="00510411">
        <w:rPr>
          <w:b/>
          <w:bCs/>
          <w:i/>
          <w:iCs/>
        </w:rPr>
        <w:t xml:space="preserve"> Case</w:t>
      </w:r>
    </w:p>
    <w:p w14:paraId="39E08B96" w14:textId="70B25BF0" w:rsidR="00C3099D" w:rsidRPr="00290D19" w:rsidRDefault="00C3099D" w:rsidP="00B06414">
      <w:pPr>
        <w:pStyle w:val="NormalWeb"/>
        <w:spacing w:before="0" w:beforeAutospacing="0" w:after="0" w:afterAutospacing="0"/>
      </w:pPr>
      <w:r w:rsidRPr="0093315A">
        <w:t>For the binary case, we discuss identification only for the independent case because the resulting model does not allow the separate identification of</w:t>
      </w:r>
      <w:r w:rsidRPr="00B71211">
        <w:rPr>
          <w:position w:val="-6"/>
        </w:rPr>
        <w:object w:dxaOrig="220" w:dyaOrig="279" w14:anchorId="290F5FA2">
          <v:shape id="_x0000_i1187" type="#_x0000_t75" style="width:12pt;height:13.7pt" o:ole="">
            <v:imagedata r:id="rId307" o:title=""/>
          </v:shape>
          <o:OLEObject Type="Embed" ProgID="Equation.DSMT4" ShapeID="_x0000_i1187" DrawAspect="Content" ObjectID="_1841834562" r:id="rId308"/>
        </w:object>
      </w:r>
      <w:r w:rsidRPr="00B71211">
        <w:t xml:space="preserve"> parameters and scales. In particular, with only two alternatives, only a single utility difference is observed: </w:t>
      </w:r>
      <w:r w:rsidR="00DD69EB" w:rsidRPr="00B71211">
        <w:rPr>
          <w:position w:val="-12"/>
        </w:rPr>
        <w:object w:dxaOrig="1640" w:dyaOrig="360" w14:anchorId="4DD493F5">
          <v:shape id="_x0000_i1375" type="#_x0000_t75" style="width:81.85pt;height:18pt" o:ole="" o:preferrelative="f">
            <v:imagedata r:id="rId309" o:title=""/>
            <o:lock v:ext="edit" aspectratio="f"/>
          </v:shape>
          <o:OLEObject Type="Embed" ProgID="Equation.DSMT4" ShapeID="_x0000_i1375" DrawAspect="Content" ObjectID="_1841834563" r:id="rId310"/>
        </w:object>
      </w:r>
      <w:r w:rsidRPr="00B71211">
        <w:t xml:space="preserve">Then, </w:t>
      </w:r>
      <w:r w:rsidR="00DD69EB" w:rsidRPr="00B71211">
        <w:rPr>
          <w:position w:val="-12"/>
        </w:rPr>
        <w:object w:dxaOrig="1700" w:dyaOrig="380" w14:anchorId="6F3CEA21">
          <v:shape id="_x0000_i1189" type="#_x0000_t75" style="width:84.85pt;height:18.85pt" o:ole="" o:preferrelative="f">
            <v:imagedata r:id="rId311" o:title=""/>
            <o:lock v:ext="edit" aspectratio="f"/>
          </v:shape>
          <o:OLEObject Type="Embed" ProgID="Equation.DSMT4" ShapeID="_x0000_i1189" DrawAspect="Content" ObjectID="_1841834564" r:id="rId312"/>
        </w:object>
      </w:r>
      <w:r w:rsidRPr="00B71211">
        <w:t xml:space="preserve"> and </w:t>
      </w:r>
      <w:r w:rsidR="009323C0" w:rsidRPr="00B71211">
        <w:rPr>
          <w:position w:val="-12"/>
        </w:rPr>
        <w:object w:dxaOrig="1880" w:dyaOrig="380" w14:anchorId="0EEEE2D0">
          <v:shape id="_x0000_i1190" type="#_x0000_t75" style="width:94.3pt;height:18.85pt" o:ole="" o:preferrelative="f">
            <v:imagedata r:id="rId313" o:title=""/>
            <o:lock v:ext="edit" aspectratio="f"/>
          </v:shape>
          <o:OLEObject Type="Embed" ProgID="Equation.DSMT4" ShapeID="_x0000_i1190" DrawAspect="Content" ObjectID="_1841834565" r:id="rId314"/>
        </w:object>
      </w:r>
      <w:r w:rsidRPr="00B71211">
        <w:t xml:space="preserve">. These give us two equations, but, even with the global scale normalization of </w:t>
      </w:r>
      <w:r w:rsidR="00DD69EB" w:rsidRPr="00B71211">
        <w:rPr>
          <w:position w:val="-12"/>
        </w:rPr>
        <w:object w:dxaOrig="680" w:dyaOrig="380" w14:anchorId="7D7FEB8C">
          <v:shape id="_x0000_i1191" type="#_x0000_t75" style="width:33.85pt;height:18.85pt" o:ole="">
            <v:imagedata r:id="rId315" o:title=""/>
          </v:shape>
          <o:OLEObject Type="Embed" ProgID="Equation.DSMT4" ShapeID="_x0000_i1191" DrawAspect="Content" ObjectID="_1841834566" r:id="rId316"/>
        </w:object>
      </w:r>
      <w:r w:rsidRPr="00B71211">
        <w:t>=1, there are three remaining unknowns (</w:t>
      </w:r>
      <w:r w:rsidRPr="00B71211">
        <w:rPr>
          <w:position w:val="-12"/>
        </w:rPr>
        <w:object w:dxaOrig="260" w:dyaOrig="360" w14:anchorId="2F7C5D96">
          <v:shape id="_x0000_i1192" type="#_x0000_t75" style="width:13.7pt;height:18.45pt" o:ole="">
            <v:imagedata r:id="rId317" o:title=""/>
          </v:shape>
          <o:OLEObject Type="Embed" ProgID="Equation.DSMT4" ShapeID="_x0000_i1192" DrawAspect="Content" ObjectID="_1841834567" r:id="rId318"/>
        </w:object>
      </w:r>
      <w:r w:rsidRPr="00B71211">
        <w:t>,</w:t>
      </w:r>
      <w:r w:rsidRPr="00B71211">
        <w:rPr>
          <w:position w:val="-12"/>
        </w:rPr>
        <w:object w:dxaOrig="279" w:dyaOrig="360" w14:anchorId="511F038E">
          <v:shape id="_x0000_i1193" type="#_x0000_t75" style="width:13.7pt;height:18.45pt" o:ole="">
            <v:imagedata r:id="rId319" o:title=""/>
          </v:shape>
          <o:OLEObject Type="Embed" ProgID="Equation.DSMT4" ShapeID="_x0000_i1193" DrawAspect="Content" ObjectID="_1841834568" r:id="rId320"/>
        </w:object>
      </w:r>
      <w:r w:rsidRPr="00B71211">
        <w:t>, and one of the scale parameters) that cannot be estimated from two equations. Also,</w:t>
      </w:r>
      <w:r w:rsidRPr="0093315A">
        <w:t xml:space="preserve"> while higher-order moments such as the fourth and fifth moments add information in the binary case, they are functions of a single scalar utility difference and do not fully resolve the decomposition into alternative-specific components without additional restrictions. That is, the mapping from structural parameters to the distribution of the utility difference is not one-to-one. Specifically, distinct parameter triples (</w:t>
      </w:r>
      <w:r w:rsidRPr="0093315A">
        <w:rPr>
          <w:position w:val="-12"/>
        </w:rPr>
        <w:object w:dxaOrig="260" w:dyaOrig="360" w14:anchorId="2DD8440A">
          <v:shape id="_x0000_i1194" type="#_x0000_t75" style="width:13.7pt;height:18.45pt" o:ole="">
            <v:imagedata r:id="rId317" o:title=""/>
          </v:shape>
          <o:OLEObject Type="Embed" ProgID="Equation.DSMT4" ShapeID="_x0000_i1194" DrawAspect="Content" ObjectID="_1841834569" r:id="rId321"/>
        </w:object>
      </w:r>
      <w:r w:rsidRPr="00B71211">
        <w:t>,</w:t>
      </w:r>
      <w:r w:rsidRPr="0093315A">
        <w:rPr>
          <w:position w:val="-12"/>
        </w:rPr>
        <w:object w:dxaOrig="279" w:dyaOrig="360" w14:anchorId="5CB70B39">
          <v:shape id="_x0000_i1195" type="#_x0000_t75" style="width:13.7pt;height:18.45pt" o:ole="">
            <v:imagedata r:id="rId319" o:title=""/>
          </v:shape>
          <o:OLEObject Type="Embed" ProgID="Equation.DSMT4" ShapeID="_x0000_i1195" DrawAspect="Content" ObjectID="_1841834570" r:id="rId322"/>
        </w:object>
      </w:r>
      <w:r w:rsidRPr="00B71211">
        <w:t xml:space="preserve">, and one of the scale parameters) </w:t>
      </w:r>
      <w:r w:rsidRPr="0093315A">
        <w:t xml:space="preserve">can generate identical third and fourth moments of the utility difference. This arises because the inverse Yeo–Johnson transformation induces a symmetry in the higher-order moments around the Gaussian benchmark. </w:t>
      </w:r>
      <w:r w:rsidRPr="0086018F">
        <w:t>For instance, shape parameters equidistant from unity produce opposite skewness but identical kurtosis after standardization. By appropriately reallocating scale across the two alternatives, it is possible to offset these changes in skewness and preserve the overal</w:t>
      </w:r>
      <w:r w:rsidRPr="00DD5FA6">
        <w:t>l distribution of the utility difference. Thus, even when higher-order moments such as skewness and kurtosis are taken into account, the binary case does not provide sufficient information to uniquely recover alternative-sp</w:t>
      </w:r>
      <w:r w:rsidRPr="009E4296">
        <w:t xml:space="preserve">ecific scale and shape parameters. </w:t>
      </w:r>
      <w:r w:rsidRPr="00290D19">
        <w:t xml:space="preserve">At the same time, in this binary case, imposing equality of the shape parameters across alternatives does not resolve the identification problem. When the kernel error distributions are identical across alternatives, the resulting utility difference is symmetrically distributed, even if the underlying marginal distributions are asymmetric. As a result, all odd moments (such as the third moment) of the utility difference vanish, eliminating the primary source of identifying information for the shape parameters. Consequently, the model collapses to a symmetric error structure, and the common shape parameter is not identified. Effectively then, in the binary case, both the cases of having separate shape parameters across both alternatives as well as having equal shape parameters across both alternatives are not identified. </w:t>
      </w:r>
    </w:p>
    <w:p w14:paraId="1F124327" w14:textId="040D47A8" w:rsidR="00C3099D" w:rsidRPr="00290D19" w:rsidRDefault="00C3099D" w:rsidP="009323C0">
      <w:pPr>
        <w:spacing w:line="240" w:lineRule="auto"/>
        <w:ind w:firstLine="720"/>
        <w:rPr>
          <w:rFonts w:cs="Times New Roman"/>
          <w:szCs w:val="24"/>
        </w:rPr>
      </w:pPr>
      <w:r w:rsidRPr="00290D19">
        <w:rPr>
          <w:rFonts w:eastAsia="Times New Roman" w:cs="Times New Roman"/>
          <w:szCs w:val="24"/>
        </w:rPr>
        <w:t>A coherent and invariant approach in the binary setting is to parameterize the distribution of the utility difference directly, using a single asymmetry parameter with a normalized scale. Under this reduced-form representation, reversing the direction of differencing simply changes the sign of the asymmetry parameter, preserving observational equivalence. However, this reduced-form asymmetry parameter is not equivalent to alternative-specific structural shape parameters. Thus, while binary choice data can identify the asymmetry of the utility difference, they do not</w:t>
      </w:r>
      <w:r w:rsidR="00305CFD">
        <w:rPr>
          <w:rFonts w:eastAsia="Times New Roman" w:cs="Times New Roman"/>
          <w:szCs w:val="24"/>
        </w:rPr>
        <w:t xml:space="preserve"> </w:t>
      </w:r>
      <w:r w:rsidRPr="00290D19">
        <w:rPr>
          <w:rFonts w:eastAsia="Times New Roman" w:cs="Times New Roman"/>
          <w:szCs w:val="24"/>
        </w:rPr>
        <w:t xml:space="preserve">provide sufficient information to separately recover the alternative-specific kernel-error shape or </w:t>
      </w:r>
      <w:r w:rsidRPr="00290D19">
        <w:rPr>
          <w:rFonts w:eastAsia="Times New Roman" w:cs="Times New Roman"/>
          <w:szCs w:val="24"/>
        </w:rPr>
        <w:lastRenderedPageBreak/>
        <w:t>scale parameters. This contrasts with the multinomial case, where cross-alternative differences generate additional moment conditions to estimate all scales and all shape parameters up to the global scaling normalization.</w:t>
      </w:r>
    </w:p>
    <w:p w14:paraId="3F534411" w14:textId="22C64CFC" w:rsidR="000C0B75" w:rsidRPr="00290D19" w:rsidRDefault="000C0B75" w:rsidP="009323C0">
      <w:pPr>
        <w:spacing w:line="240" w:lineRule="auto"/>
        <w:rPr>
          <w:rFonts w:cs="Times New Roman"/>
          <w:szCs w:val="24"/>
        </w:rPr>
      </w:pPr>
    </w:p>
    <w:p w14:paraId="4E3C845C" w14:textId="2D67DD70" w:rsidR="005F57A7" w:rsidRPr="00290D19" w:rsidRDefault="009845F1" w:rsidP="009323C0">
      <w:pPr>
        <w:spacing w:line="240" w:lineRule="auto"/>
        <w:rPr>
          <w:rFonts w:cs="Times New Roman"/>
          <w:b/>
          <w:szCs w:val="24"/>
        </w:rPr>
      </w:pPr>
      <w:r w:rsidRPr="00290D19">
        <w:rPr>
          <w:rFonts w:cs="Times New Roman"/>
          <w:b/>
          <w:szCs w:val="24"/>
        </w:rPr>
        <w:t>3</w:t>
      </w:r>
      <w:r w:rsidR="005F57A7" w:rsidRPr="00290D19">
        <w:rPr>
          <w:rFonts w:cs="Times New Roman"/>
          <w:b/>
          <w:szCs w:val="24"/>
        </w:rPr>
        <w:t>. SIMULATION ANALYSIS</w:t>
      </w:r>
    </w:p>
    <w:p w14:paraId="02AEA799" w14:textId="6F62DCED" w:rsidR="005F57A7" w:rsidRPr="00290D19" w:rsidRDefault="00104C65" w:rsidP="009323C0">
      <w:pPr>
        <w:spacing w:line="240" w:lineRule="auto"/>
        <w:rPr>
          <w:rFonts w:cs="Times New Roman"/>
          <w:szCs w:val="24"/>
        </w:rPr>
      </w:pPr>
      <w:r w:rsidRPr="00290D19">
        <w:rPr>
          <w:rFonts w:cs="Times New Roman"/>
          <w:szCs w:val="24"/>
        </w:rPr>
        <w:t>T</w:t>
      </w:r>
      <w:r w:rsidR="005F57A7" w:rsidRPr="00290D19">
        <w:rPr>
          <w:rFonts w:cs="Times New Roman"/>
          <w:szCs w:val="24"/>
        </w:rPr>
        <w:t>he simulation analysis undertaken here</w:t>
      </w:r>
      <w:r w:rsidRPr="00290D19">
        <w:rPr>
          <w:rFonts w:cs="Times New Roman"/>
          <w:szCs w:val="24"/>
        </w:rPr>
        <w:t xml:space="preserve"> </w:t>
      </w:r>
      <w:r w:rsidR="003348EF" w:rsidRPr="00290D19">
        <w:rPr>
          <w:rFonts w:cs="Times New Roman"/>
          <w:szCs w:val="24"/>
        </w:rPr>
        <w:t xml:space="preserve">is </w:t>
      </w:r>
      <w:r w:rsidRPr="00290D19">
        <w:rPr>
          <w:rFonts w:cs="Times New Roman"/>
          <w:szCs w:val="24"/>
        </w:rPr>
        <w:t>centered around two objectives</w:t>
      </w:r>
      <w:r w:rsidR="005F57A7" w:rsidRPr="00290D19">
        <w:rPr>
          <w:rFonts w:cs="Times New Roman"/>
          <w:szCs w:val="24"/>
        </w:rPr>
        <w:t>. The first is to empirica</w:t>
      </w:r>
      <w:r w:rsidRPr="00290D19">
        <w:rPr>
          <w:rFonts w:cs="Times New Roman"/>
          <w:szCs w:val="24"/>
        </w:rPr>
        <w:t>l</w:t>
      </w:r>
      <w:r w:rsidR="005F57A7" w:rsidRPr="00290D19">
        <w:rPr>
          <w:rFonts w:cs="Times New Roman"/>
          <w:szCs w:val="24"/>
        </w:rPr>
        <w:t xml:space="preserve">ly demonstrate the identifiability of the </w:t>
      </w:r>
      <w:r w:rsidR="009845F1" w:rsidRPr="00290D19">
        <w:rPr>
          <w:rFonts w:cs="Times New Roman"/>
          <w:szCs w:val="24"/>
        </w:rPr>
        <w:t xml:space="preserve">(a) </w:t>
      </w:r>
      <w:r w:rsidRPr="00290D19">
        <w:rPr>
          <w:rFonts w:cs="Times New Roman"/>
          <w:szCs w:val="24"/>
        </w:rPr>
        <w:t xml:space="preserve">inverse YJ-transformed </w:t>
      </w:r>
      <w:r w:rsidR="005F57A7" w:rsidRPr="00290D19">
        <w:rPr>
          <w:rFonts w:cs="Times New Roman"/>
          <w:szCs w:val="24"/>
        </w:rPr>
        <w:t xml:space="preserve">kernel </w:t>
      </w:r>
      <w:r w:rsidR="003348EF" w:rsidRPr="00290D19">
        <w:rPr>
          <w:rFonts w:cs="Times New Roman"/>
          <w:szCs w:val="24"/>
        </w:rPr>
        <w:t xml:space="preserve">structural error </w:t>
      </w:r>
      <w:r w:rsidRPr="00290D19">
        <w:rPr>
          <w:rFonts w:cs="Times New Roman"/>
          <w:szCs w:val="24"/>
        </w:rPr>
        <w:t>distributions</w:t>
      </w:r>
      <w:r w:rsidR="009845F1" w:rsidRPr="00290D19">
        <w:rPr>
          <w:rFonts w:cs="Times New Roman"/>
          <w:szCs w:val="24"/>
        </w:rPr>
        <w:t xml:space="preserve">, (b) </w:t>
      </w:r>
      <w:r w:rsidR="003348EF" w:rsidRPr="00290D19">
        <w:rPr>
          <w:rFonts w:cs="Times New Roman"/>
          <w:szCs w:val="24"/>
        </w:rPr>
        <w:t>the full correlation matrix for the structural error terms</w:t>
      </w:r>
      <w:r w:rsidR="009845F1" w:rsidRPr="00290D19">
        <w:rPr>
          <w:rFonts w:cs="Times New Roman"/>
          <w:szCs w:val="24"/>
        </w:rPr>
        <w:t>, and (</w:t>
      </w:r>
      <w:r w:rsidR="00FF57E1" w:rsidRPr="00290D19">
        <w:rPr>
          <w:rFonts w:cs="Times New Roman"/>
          <w:szCs w:val="24"/>
        </w:rPr>
        <w:t>c</w:t>
      </w:r>
      <w:r w:rsidR="009845F1" w:rsidRPr="00290D19">
        <w:rPr>
          <w:rFonts w:cs="Times New Roman"/>
          <w:szCs w:val="24"/>
        </w:rPr>
        <w:t xml:space="preserve">) the </w:t>
      </w:r>
      <w:r w:rsidRPr="00290D19">
        <w:rPr>
          <w:rFonts w:cs="Times New Roman"/>
          <w:szCs w:val="24"/>
        </w:rPr>
        <w:t xml:space="preserve">ability </w:t>
      </w:r>
      <w:r w:rsidR="003348EF" w:rsidRPr="00290D19">
        <w:rPr>
          <w:rFonts w:cs="Times New Roman"/>
          <w:szCs w:val="24"/>
        </w:rPr>
        <w:t xml:space="preserve">of </w:t>
      </w:r>
      <w:r w:rsidRPr="00290D19">
        <w:rPr>
          <w:rFonts w:cs="Times New Roman"/>
          <w:szCs w:val="24"/>
        </w:rPr>
        <w:t xml:space="preserve">the estimation </w:t>
      </w:r>
      <w:r w:rsidR="003348EF" w:rsidRPr="00290D19">
        <w:rPr>
          <w:rFonts w:cs="Times New Roman"/>
          <w:szCs w:val="24"/>
        </w:rPr>
        <w:t xml:space="preserve">process </w:t>
      </w:r>
      <w:r w:rsidRPr="00290D19">
        <w:rPr>
          <w:rFonts w:cs="Times New Roman"/>
          <w:szCs w:val="24"/>
        </w:rPr>
        <w:t xml:space="preserve">to recover all parameters in the MNYJ model. </w:t>
      </w:r>
      <w:r w:rsidR="005F57A7" w:rsidRPr="00290D19">
        <w:rPr>
          <w:rFonts w:cs="Times New Roman"/>
          <w:szCs w:val="24"/>
        </w:rPr>
        <w:t xml:space="preserve">The second is to illustrate the problems that may arise from ignoring </w:t>
      </w:r>
      <w:r w:rsidRPr="00290D19">
        <w:rPr>
          <w:rFonts w:cs="Times New Roman"/>
          <w:szCs w:val="24"/>
        </w:rPr>
        <w:t xml:space="preserve">skew/heavy-tailed kernel error terms and how these may incorrectly manifest themselves </w:t>
      </w:r>
      <w:r w:rsidR="00B663BB" w:rsidRPr="00290D19">
        <w:rPr>
          <w:rFonts w:cs="Times New Roman"/>
          <w:szCs w:val="24"/>
        </w:rPr>
        <w:t xml:space="preserve">in restrictive models. </w:t>
      </w:r>
    </w:p>
    <w:p w14:paraId="01605AD3" w14:textId="77777777" w:rsidR="005F57A7" w:rsidRPr="00290D19" w:rsidRDefault="005F57A7" w:rsidP="009323C0">
      <w:pPr>
        <w:spacing w:line="240" w:lineRule="auto"/>
        <w:ind w:firstLine="720"/>
        <w:rPr>
          <w:rFonts w:cs="Times New Roman"/>
          <w:szCs w:val="24"/>
        </w:rPr>
      </w:pPr>
    </w:p>
    <w:p w14:paraId="6888F3A5" w14:textId="0F0035C0" w:rsidR="005F57A7" w:rsidRPr="00290D19" w:rsidRDefault="009845F1" w:rsidP="009323C0">
      <w:pPr>
        <w:spacing w:line="240" w:lineRule="auto"/>
        <w:rPr>
          <w:rFonts w:cs="Times New Roman"/>
          <w:b/>
          <w:szCs w:val="24"/>
        </w:rPr>
      </w:pPr>
      <w:r w:rsidRPr="00290D19">
        <w:rPr>
          <w:rFonts w:cs="Times New Roman"/>
          <w:b/>
          <w:szCs w:val="24"/>
        </w:rPr>
        <w:t>3</w:t>
      </w:r>
      <w:r w:rsidR="005F57A7" w:rsidRPr="00290D19">
        <w:rPr>
          <w:rFonts w:cs="Times New Roman"/>
          <w:b/>
          <w:szCs w:val="24"/>
        </w:rPr>
        <w:t>.1. Experimental Set-Up</w:t>
      </w:r>
    </w:p>
    <w:p w14:paraId="1BE7F227" w14:textId="3AFE544A" w:rsidR="00392ADD" w:rsidRPr="00290D19" w:rsidRDefault="00652725" w:rsidP="009323C0">
      <w:pPr>
        <w:spacing w:line="240" w:lineRule="auto"/>
        <w:rPr>
          <w:rFonts w:cs="Times New Roman"/>
          <w:szCs w:val="24"/>
        </w:rPr>
      </w:pPr>
      <w:r w:rsidRPr="00290D19">
        <w:rPr>
          <w:rFonts w:cs="Times New Roman"/>
          <w:szCs w:val="24"/>
        </w:rPr>
        <w:t>The MNYJ model is versatile</w:t>
      </w:r>
      <w:r w:rsidR="003348EF" w:rsidRPr="00290D19">
        <w:rPr>
          <w:rFonts w:cs="Times New Roman"/>
          <w:szCs w:val="24"/>
        </w:rPr>
        <w:t>,</w:t>
      </w:r>
      <w:r w:rsidRPr="00290D19">
        <w:rPr>
          <w:rFonts w:cs="Times New Roman"/>
          <w:szCs w:val="24"/>
        </w:rPr>
        <w:t xml:space="preserve"> and </w:t>
      </w:r>
      <w:r w:rsidR="00083D84">
        <w:rPr>
          <w:rFonts w:cs="Times New Roman"/>
          <w:szCs w:val="24"/>
        </w:rPr>
        <w:t xml:space="preserve">the </w:t>
      </w:r>
      <w:r w:rsidRPr="00290D19">
        <w:rPr>
          <w:rFonts w:cs="Times New Roman"/>
          <w:szCs w:val="24"/>
        </w:rPr>
        <w:t>recent analytic-based evaluation of the MVNCD function (Bhat, 2018)</w:t>
      </w:r>
      <w:r w:rsidR="00083D84">
        <w:rPr>
          <w:rFonts w:cs="Times New Roman"/>
          <w:szCs w:val="24"/>
        </w:rPr>
        <w:t>,</w:t>
      </w:r>
      <w:r w:rsidRPr="00290D19">
        <w:rPr>
          <w:rFonts w:cs="Times New Roman"/>
          <w:szCs w:val="24"/>
        </w:rPr>
        <w:t xml:space="preserve"> combined with the use of </w:t>
      </w:r>
      <w:r w:rsidR="003417AC" w:rsidRPr="00290D19">
        <w:rPr>
          <w:rFonts w:cs="Times New Roman"/>
          <w:szCs w:val="24"/>
        </w:rPr>
        <w:t xml:space="preserve">Gaussian quadrature or </w:t>
      </w:r>
      <w:r w:rsidRPr="00290D19">
        <w:rPr>
          <w:rFonts w:cs="Times New Roman"/>
          <w:szCs w:val="24"/>
        </w:rPr>
        <w:t>Halto</w:t>
      </w:r>
      <w:r w:rsidR="003348EF" w:rsidRPr="00290D19">
        <w:rPr>
          <w:rFonts w:cs="Times New Roman"/>
          <w:szCs w:val="24"/>
        </w:rPr>
        <w:t>n</w:t>
      </w:r>
      <w:r w:rsidRPr="00290D19">
        <w:rPr>
          <w:rFonts w:cs="Times New Roman"/>
          <w:szCs w:val="24"/>
        </w:rPr>
        <w:t xml:space="preserve"> sequences for the mixing integration (Bhat, 1999, 2001)</w:t>
      </w:r>
      <w:r w:rsidR="003348EF" w:rsidRPr="00290D19">
        <w:rPr>
          <w:rFonts w:cs="Times New Roman"/>
          <w:szCs w:val="24"/>
        </w:rPr>
        <w:t>,</w:t>
      </w:r>
      <w:r w:rsidRPr="00290D19">
        <w:rPr>
          <w:rFonts w:cs="Times New Roman"/>
          <w:szCs w:val="24"/>
        </w:rPr>
        <w:t xml:space="preserve"> make</w:t>
      </w:r>
      <w:r w:rsidR="00083D84">
        <w:rPr>
          <w:rFonts w:cs="Times New Roman"/>
          <w:szCs w:val="24"/>
        </w:rPr>
        <w:t>s</w:t>
      </w:r>
      <w:r w:rsidRPr="00290D19">
        <w:rPr>
          <w:rFonts w:cs="Times New Roman"/>
          <w:szCs w:val="24"/>
        </w:rPr>
        <w:t xml:space="preserve"> it feasible to estimate </w:t>
      </w:r>
      <w:r w:rsidR="00953988" w:rsidRPr="00290D19">
        <w:rPr>
          <w:rFonts w:cs="Times New Roman"/>
          <w:szCs w:val="24"/>
        </w:rPr>
        <w:t>such a</w:t>
      </w:r>
      <w:r w:rsidRPr="00290D19">
        <w:rPr>
          <w:rFonts w:cs="Times New Roman"/>
          <w:szCs w:val="24"/>
        </w:rPr>
        <w:t xml:space="preserve"> model</w:t>
      </w:r>
      <w:r w:rsidR="00953988" w:rsidRPr="00290D19">
        <w:rPr>
          <w:rFonts w:cs="Times New Roman"/>
          <w:szCs w:val="24"/>
        </w:rPr>
        <w:t>.</w:t>
      </w:r>
      <w:r w:rsidRPr="00290D19">
        <w:rPr>
          <w:rFonts w:cs="Times New Roman"/>
          <w:szCs w:val="24"/>
        </w:rPr>
        <w:t xml:space="preserve"> In this simulation, </w:t>
      </w:r>
      <w:r w:rsidR="00C64B7D" w:rsidRPr="00290D19">
        <w:rPr>
          <w:rFonts w:cs="Times New Roman"/>
          <w:szCs w:val="24"/>
        </w:rPr>
        <w:t>to focus attention on the YJ kernel errors, we consider the case without random coefficients, because the case with random coefficients is a form of mixing that has already been studie</w:t>
      </w:r>
      <w:r w:rsidR="00305CFD">
        <w:rPr>
          <w:rFonts w:cs="Times New Roman"/>
          <w:szCs w:val="24"/>
        </w:rPr>
        <w:t>d</w:t>
      </w:r>
      <w:r w:rsidR="00C64B7D" w:rsidRPr="00290D19">
        <w:rPr>
          <w:rFonts w:cs="Times New Roman"/>
          <w:szCs w:val="24"/>
        </w:rPr>
        <w:t xml:space="preserve"> substantially in the literature. In particular, </w:t>
      </w:r>
      <w:r w:rsidR="009D7015" w:rsidRPr="00290D19">
        <w:rPr>
          <w:rFonts w:cs="Times New Roman"/>
          <w:szCs w:val="24"/>
        </w:rPr>
        <w:t xml:space="preserve">we </w:t>
      </w:r>
      <w:r w:rsidR="006D26C7" w:rsidRPr="00290D19">
        <w:rPr>
          <w:rFonts w:cs="Times New Roman"/>
          <w:szCs w:val="24"/>
        </w:rPr>
        <w:t xml:space="preserve">consider </w:t>
      </w:r>
      <w:r w:rsidR="0004625F" w:rsidRPr="00290D19">
        <w:rPr>
          <w:rFonts w:cs="Times New Roman"/>
          <w:szCs w:val="24"/>
        </w:rPr>
        <w:t>three</w:t>
      </w:r>
      <w:r w:rsidR="006D26C7" w:rsidRPr="00290D19">
        <w:rPr>
          <w:rFonts w:cs="Times New Roman"/>
          <w:szCs w:val="24"/>
        </w:rPr>
        <w:t xml:space="preserve"> alternatives and </w:t>
      </w:r>
      <w:r w:rsidR="009D7015" w:rsidRPr="00290D19">
        <w:rPr>
          <w:rFonts w:cs="Times New Roman"/>
          <w:szCs w:val="24"/>
        </w:rPr>
        <w:t>ignore constants in the utilities, with the focus being on the parameters on the independent variables and the kernel error term distributions. Two</w:t>
      </w:r>
      <w:r w:rsidR="00A87D52" w:rsidRPr="00290D19">
        <w:rPr>
          <w:rFonts w:cs="Times New Roman"/>
          <w:szCs w:val="24"/>
        </w:rPr>
        <w:t xml:space="preserve"> </w:t>
      </w:r>
      <w:r w:rsidR="009D7015" w:rsidRPr="00290D19">
        <w:rPr>
          <w:rFonts w:cs="Times New Roman"/>
          <w:szCs w:val="24"/>
        </w:rPr>
        <w:t xml:space="preserve">exogenous variables </w:t>
      </w:r>
      <w:r w:rsidR="00BD7557" w:rsidRPr="00290D19">
        <w:rPr>
          <w:rFonts w:cs="Times New Roman"/>
          <w:szCs w:val="24"/>
        </w:rPr>
        <w:t>are considered, the first being a continuous variable</w:t>
      </w:r>
      <w:r w:rsidR="00876B0C" w:rsidRPr="00290D19">
        <w:rPr>
          <w:rFonts w:cs="Times New Roman"/>
          <w:szCs w:val="24"/>
        </w:rPr>
        <w:t xml:space="preserve"> </w:t>
      </w:r>
      <w:r w:rsidR="00BD7557" w:rsidRPr="00290D19">
        <w:rPr>
          <w:rFonts w:cs="Times New Roman"/>
          <w:szCs w:val="24"/>
        </w:rPr>
        <w:t>that varies across alternatives and the second being a dummy variable that is alternative-invariant</w:t>
      </w:r>
      <w:r w:rsidR="009D7015" w:rsidRPr="00290D19">
        <w:rPr>
          <w:rFonts w:cs="Times New Roman"/>
          <w:szCs w:val="24"/>
        </w:rPr>
        <w:t>. For th</w:t>
      </w:r>
      <w:r w:rsidR="00A87D52" w:rsidRPr="00290D19">
        <w:rPr>
          <w:rFonts w:cs="Times New Roman"/>
          <w:szCs w:val="24"/>
        </w:rPr>
        <w:t>e</w:t>
      </w:r>
      <w:r w:rsidR="009D7015" w:rsidRPr="00290D19">
        <w:rPr>
          <w:rFonts w:cs="Times New Roman"/>
          <w:szCs w:val="24"/>
        </w:rPr>
        <w:t xml:space="preserve"> first independent variable</w:t>
      </w:r>
      <w:r w:rsidR="00C36F89" w:rsidRPr="00290D19">
        <w:rPr>
          <w:rFonts w:cs="Times New Roman"/>
          <w:szCs w:val="24"/>
        </w:rPr>
        <w:t>,</w:t>
      </w:r>
      <w:r w:rsidR="009C6185" w:rsidRPr="00290D19">
        <w:rPr>
          <w:rFonts w:cs="Times New Roman"/>
          <w:szCs w:val="24"/>
        </w:rPr>
        <w:t xml:space="preserve"> </w:t>
      </w:r>
      <w:r w:rsidR="009D7015" w:rsidRPr="00290D19">
        <w:rPr>
          <w:rFonts w:cs="Times New Roman"/>
          <w:szCs w:val="24"/>
        </w:rPr>
        <w:t xml:space="preserve">the values for the </w:t>
      </w:r>
      <w:r w:rsidR="00305CFD">
        <w:rPr>
          <w:rFonts w:cs="Times New Roman"/>
          <w:szCs w:val="24"/>
        </w:rPr>
        <w:t>three</w:t>
      </w:r>
      <w:r w:rsidR="00876B0C" w:rsidRPr="00290D19">
        <w:rPr>
          <w:rFonts w:cs="Times New Roman"/>
          <w:szCs w:val="24"/>
        </w:rPr>
        <w:t xml:space="preserve"> </w:t>
      </w:r>
      <w:r w:rsidR="009D7015" w:rsidRPr="00290D19">
        <w:rPr>
          <w:rFonts w:cs="Times New Roman"/>
          <w:szCs w:val="24"/>
        </w:rPr>
        <w:t xml:space="preserve">alternatives </w:t>
      </w:r>
      <w:bookmarkStart w:id="3" w:name="_Hlk209079166"/>
      <w:r w:rsidR="009D7015" w:rsidRPr="00290D19">
        <w:rPr>
          <w:rFonts w:cs="Times New Roman"/>
          <w:szCs w:val="24"/>
        </w:rPr>
        <w:t>are generated from</w:t>
      </w:r>
      <w:r w:rsidR="00C36F89" w:rsidRPr="00290D19">
        <w:rPr>
          <w:rFonts w:cs="Times New Roman"/>
          <w:szCs w:val="24"/>
        </w:rPr>
        <w:t xml:space="preserve"> </w:t>
      </w:r>
      <w:r w:rsidR="009D7015" w:rsidRPr="00290D19">
        <w:rPr>
          <w:rFonts w:cs="Times New Roman"/>
          <w:szCs w:val="24"/>
        </w:rPr>
        <w:t>univariate normal distribution</w:t>
      </w:r>
      <w:bookmarkEnd w:id="3"/>
      <w:r w:rsidR="00876B0C" w:rsidRPr="00290D19">
        <w:rPr>
          <w:rFonts w:cs="Times New Roman"/>
          <w:szCs w:val="24"/>
        </w:rPr>
        <w:t xml:space="preserve">s as follows: </w:t>
      </w:r>
      <w:r w:rsidR="009323C0" w:rsidRPr="00B71211">
        <w:rPr>
          <w:rFonts w:cs="Times New Roman"/>
          <w:position w:val="-12"/>
          <w:szCs w:val="24"/>
        </w:rPr>
        <w:object w:dxaOrig="2439" w:dyaOrig="380" w14:anchorId="150A36B5">
          <v:shape id="_x0000_i1196" type="#_x0000_t75" style="width:121.7pt;height:18.85pt" o:ole="" o:preferrelative="f">
            <v:imagedata r:id="rId323" o:title=""/>
            <o:lock v:ext="edit" aspectratio="f"/>
          </v:shape>
          <o:OLEObject Type="Embed" ProgID="Equation.DSMT4" ShapeID="_x0000_i1196" DrawAspect="Content" ObjectID="_1841834571" r:id="rId324"/>
        </w:object>
      </w:r>
      <w:r w:rsidR="00876B0C" w:rsidRPr="00B71211">
        <w:rPr>
          <w:rFonts w:cs="Times New Roman"/>
          <w:szCs w:val="24"/>
        </w:rPr>
        <w:t xml:space="preserve">, with </w:t>
      </w:r>
      <w:r w:rsidR="009323C0" w:rsidRPr="00B71211">
        <w:rPr>
          <w:rFonts w:cs="Times New Roman"/>
          <w:position w:val="-12"/>
          <w:szCs w:val="24"/>
        </w:rPr>
        <w:object w:dxaOrig="2500" w:dyaOrig="360" w14:anchorId="2A56EDDB">
          <v:shape id="_x0000_i1197" type="#_x0000_t75" style="width:125.15pt;height:18pt" o:ole="" o:preferrelative="f">
            <v:imagedata r:id="rId325" o:title=""/>
            <o:lock v:ext="edit" aspectratio="f"/>
          </v:shape>
          <o:OLEObject Type="Embed" ProgID="Equation.DSMT4" ShapeID="_x0000_i1197" DrawAspect="Content" ObjectID="_1841834572" r:id="rId326"/>
        </w:object>
      </w:r>
      <w:r w:rsidR="00876B0C" w:rsidRPr="00B71211">
        <w:rPr>
          <w:rFonts w:cs="Times New Roman"/>
          <w:szCs w:val="24"/>
        </w:rPr>
        <w:t xml:space="preserve"> and </w:t>
      </w:r>
      <w:r w:rsidR="009323C0" w:rsidRPr="00B71211">
        <w:rPr>
          <w:rFonts w:cs="Times New Roman"/>
          <w:position w:val="-12"/>
          <w:szCs w:val="24"/>
        </w:rPr>
        <w:object w:dxaOrig="2980" w:dyaOrig="380" w14:anchorId="14CBD38A">
          <v:shape id="_x0000_i1198" type="#_x0000_t75" style="width:149.15pt;height:18.85pt" o:ole="" o:preferrelative="f">
            <v:imagedata r:id="rId327" o:title=""/>
            <o:lock v:ext="edit" aspectratio="f"/>
          </v:shape>
          <o:OLEObject Type="Embed" ProgID="Equation.DSMT4" ShapeID="_x0000_i1198" DrawAspect="Content" ObjectID="_1841834573" r:id="rId328"/>
        </w:object>
      </w:r>
      <w:r w:rsidR="001B7EB4" w:rsidRPr="00B71211">
        <w:rPr>
          <w:rFonts w:cs="Times New Roman"/>
          <w:szCs w:val="24"/>
        </w:rPr>
        <w:t xml:space="preserve">. </w:t>
      </w:r>
      <w:r w:rsidR="00392ADD" w:rsidRPr="00B71211">
        <w:rPr>
          <w:rFonts w:cs="Times New Roman"/>
          <w:szCs w:val="24"/>
        </w:rPr>
        <w:t xml:space="preserve">For the second dummy variable, independent values </w:t>
      </w:r>
      <w:r w:rsidR="003348EF" w:rsidRPr="0093315A">
        <w:rPr>
          <w:rFonts w:cs="Times New Roman"/>
          <w:szCs w:val="24"/>
        </w:rPr>
        <w:t xml:space="preserve">are </w:t>
      </w:r>
      <w:r w:rsidR="00392ADD" w:rsidRPr="0093315A">
        <w:rPr>
          <w:rFonts w:cs="Times New Roman"/>
          <w:szCs w:val="24"/>
        </w:rPr>
        <w:t>drawn from the standard uniform distribution. If the value drawn</w:t>
      </w:r>
      <w:r w:rsidR="003348EF" w:rsidRPr="0093315A">
        <w:rPr>
          <w:rFonts w:cs="Times New Roman"/>
          <w:szCs w:val="24"/>
        </w:rPr>
        <w:t xml:space="preserve"> is</w:t>
      </w:r>
      <w:r w:rsidR="00392ADD" w:rsidRPr="0093315A">
        <w:rPr>
          <w:rFonts w:cs="Times New Roman"/>
          <w:szCs w:val="24"/>
        </w:rPr>
        <w:t xml:space="preserve"> less than 0.5, the value of ‘0’ </w:t>
      </w:r>
      <w:r w:rsidR="003348EF" w:rsidRPr="0086018F">
        <w:rPr>
          <w:rFonts w:cs="Times New Roman"/>
          <w:szCs w:val="24"/>
        </w:rPr>
        <w:t>is</w:t>
      </w:r>
      <w:r w:rsidR="00392ADD" w:rsidRPr="0086018F">
        <w:rPr>
          <w:rFonts w:cs="Times New Roman"/>
          <w:szCs w:val="24"/>
        </w:rPr>
        <w:t xml:space="preserve"> assigned for the dummy variable. Otherwise, the value of ‘1’</w:t>
      </w:r>
      <w:r w:rsidR="003348EF" w:rsidRPr="0086018F">
        <w:rPr>
          <w:rFonts w:cs="Times New Roman"/>
          <w:szCs w:val="24"/>
        </w:rPr>
        <w:t xml:space="preserve"> i</w:t>
      </w:r>
      <w:r w:rsidR="00392ADD" w:rsidRPr="0086018F">
        <w:rPr>
          <w:rFonts w:cs="Times New Roman"/>
          <w:szCs w:val="24"/>
        </w:rPr>
        <w:t xml:space="preserve">s assigned. A sample of </w:t>
      </w:r>
      <w:r w:rsidR="008035F3" w:rsidRPr="00DD5FA6">
        <w:rPr>
          <w:rFonts w:cs="Times New Roman"/>
          <w:szCs w:val="24"/>
        </w:rPr>
        <w:t>6</w:t>
      </w:r>
      <w:r w:rsidR="00F143A7" w:rsidRPr="00DD5FA6">
        <w:rPr>
          <w:rFonts w:cs="Times New Roman"/>
          <w:szCs w:val="24"/>
        </w:rPr>
        <w:t>,0</w:t>
      </w:r>
      <w:r w:rsidR="00392ADD" w:rsidRPr="00DD5FA6">
        <w:rPr>
          <w:rFonts w:cs="Times New Roman"/>
          <w:szCs w:val="24"/>
        </w:rPr>
        <w:t xml:space="preserve">00 realizations of the exogenous variables is generated corresponding to </w:t>
      </w:r>
      <w:r w:rsidR="008035F3" w:rsidRPr="009E4296">
        <w:rPr>
          <w:rFonts w:cs="Times New Roman"/>
          <w:szCs w:val="24"/>
        </w:rPr>
        <w:t>6</w:t>
      </w:r>
      <w:r w:rsidR="00F143A7" w:rsidRPr="009E4296">
        <w:rPr>
          <w:rFonts w:cs="Times New Roman"/>
          <w:szCs w:val="24"/>
        </w:rPr>
        <w:t>,0</w:t>
      </w:r>
      <w:r w:rsidR="00392ADD" w:rsidRPr="00290D19">
        <w:rPr>
          <w:rFonts w:cs="Times New Roman"/>
          <w:szCs w:val="24"/>
        </w:rPr>
        <w:t xml:space="preserve">00 individuals. </w:t>
      </w:r>
      <w:r w:rsidR="009D7015" w:rsidRPr="00290D19">
        <w:rPr>
          <w:rFonts w:cs="Times New Roman"/>
          <w:szCs w:val="24"/>
        </w:rPr>
        <w:t>Once generated, these independent variable values are held fixed in the rest of the simulation exercise.</w:t>
      </w:r>
      <w:r w:rsidR="00E80B0B" w:rsidRPr="00290D19">
        <w:rPr>
          <w:rFonts w:cs="Times New Roman"/>
          <w:szCs w:val="24"/>
        </w:rPr>
        <w:t xml:space="preserve">  </w:t>
      </w:r>
    </w:p>
    <w:p w14:paraId="1D5F7BF4" w14:textId="5E639226" w:rsidR="000445BA" w:rsidRPr="0086018F" w:rsidRDefault="005F57A7" w:rsidP="009323C0">
      <w:pPr>
        <w:spacing w:line="240" w:lineRule="auto"/>
        <w:ind w:firstLine="720"/>
        <w:rPr>
          <w:rFonts w:cs="Times New Roman"/>
          <w:szCs w:val="24"/>
        </w:rPr>
      </w:pPr>
      <w:r w:rsidRPr="00290D19">
        <w:rPr>
          <w:rFonts w:cs="Times New Roman"/>
          <w:szCs w:val="24"/>
        </w:rPr>
        <w:t xml:space="preserve">The </w:t>
      </w:r>
      <w:r w:rsidR="009323C0" w:rsidRPr="00B71211">
        <w:rPr>
          <w:rFonts w:cs="Times New Roman"/>
          <w:position w:val="-12"/>
          <w:szCs w:val="24"/>
        </w:rPr>
        <w:object w:dxaOrig="1340" w:dyaOrig="360" w14:anchorId="7E0A8AC0">
          <v:shape id="_x0000_i1199" type="#_x0000_t75" style="width:66.85pt;height:18pt" o:ole="" o:preferrelative="f">
            <v:imagedata r:id="rId329" o:title=""/>
            <o:lock v:ext="edit" aspectratio="f"/>
          </v:shape>
          <o:OLEObject Type="Embed" ProgID="Equation.DSMT4" ShapeID="_x0000_i1199" DrawAspect="Content" ObjectID="_1841834574" r:id="rId330"/>
        </w:object>
      </w:r>
      <w:r w:rsidR="004B7C69" w:rsidRPr="00B71211">
        <w:rPr>
          <w:rFonts w:cs="Times New Roman"/>
          <w:szCs w:val="24"/>
        </w:rPr>
        <w:t xml:space="preserve"> vector is specified as </w:t>
      </w:r>
      <w:r w:rsidR="00E071E3" w:rsidRPr="00B71211">
        <w:rPr>
          <w:rFonts w:cs="Times New Roman"/>
          <w:position w:val="-10"/>
          <w:szCs w:val="24"/>
        </w:rPr>
        <w:object w:dxaOrig="2220" w:dyaOrig="320" w14:anchorId="3A7BBDEC">
          <v:shape id="_x0000_i1200" type="#_x0000_t75" style="width:111pt;height:16.7pt" o:ole="">
            <v:imagedata r:id="rId331" o:title=""/>
          </v:shape>
          <o:OLEObject Type="Embed" ProgID="Equation.DSMT4" ShapeID="_x0000_i1200" DrawAspect="Content" ObjectID="_1841834575" r:id="rId332"/>
        </w:object>
      </w:r>
      <w:r w:rsidR="007E2AEF" w:rsidRPr="00B71211">
        <w:rPr>
          <w:rFonts w:cs="Times New Roman"/>
          <w:szCs w:val="24"/>
        </w:rPr>
        <w:t xml:space="preserve">with </w:t>
      </w:r>
      <w:r w:rsidR="0080626A" w:rsidRPr="00B71211">
        <w:rPr>
          <w:rFonts w:cs="Times New Roman"/>
          <w:position w:val="-12"/>
          <w:szCs w:val="24"/>
        </w:rPr>
        <w:object w:dxaOrig="920" w:dyaOrig="360" w14:anchorId="0727AB9A">
          <v:shape id="_x0000_i1201" type="#_x0000_t75" style="width:45.45pt;height:18.45pt" o:ole="">
            <v:imagedata r:id="rId333" o:title=""/>
          </v:shape>
          <o:OLEObject Type="Embed" ProgID="Equation.DSMT4" ShapeID="_x0000_i1201" DrawAspect="Content" ObjectID="_1841834576" r:id="rId334"/>
        </w:object>
      </w:r>
      <w:r w:rsidR="00C36F89" w:rsidRPr="00B71211">
        <w:rPr>
          <w:rFonts w:cs="Times New Roman"/>
          <w:szCs w:val="24"/>
        </w:rPr>
        <w:t xml:space="preserve"> </w:t>
      </w:r>
      <w:r w:rsidR="007E2AEF" w:rsidRPr="00B71211">
        <w:rPr>
          <w:rFonts w:cs="Times New Roman"/>
          <w:szCs w:val="24"/>
        </w:rPr>
        <w:t xml:space="preserve">being the </w:t>
      </w:r>
      <w:r w:rsidR="00B71211">
        <w:rPr>
          <w:rFonts w:cs="Times New Roman"/>
          <w:szCs w:val="24"/>
        </w:rPr>
        <w:t xml:space="preserve">generic </w:t>
      </w:r>
      <w:r w:rsidR="007E2AEF" w:rsidRPr="00B71211">
        <w:rPr>
          <w:rFonts w:cs="Times New Roman"/>
          <w:szCs w:val="24"/>
        </w:rPr>
        <w:t>coefficient on the continuous exogenous variable</w:t>
      </w:r>
      <w:r w:rsidR="00E80B0B" w:rsidRPr="00B71211">
        <w:rPr>
          <w:rFonts w:cs="Times New Roman"/>
          <w:szCs w:val="24"/>
        </w:rPr>
        <w:t xml:space="preserve">, and the </w:t>
      </w:r>
      <w:r w:rsidR="007E2AEF" w:rsidRPr="0093315A">
        <w:rPr>
          <w:rFonts w:cs="Times New Roman"/>
          <w:szCs w:val="24"/>
        </w:rPr>
        <w:t xml:space="preserve">remaining elements of </w:t>
      </w:r>
      <w:r w:rsidR="00C36F89" w:rsidRPr="00B71211">
        <w:rPr>
          <w:rFonts w:cs="Times New Roman"/>
          <w:position w:val="-6"/>
          <w:szCs w:val="24"/>
        </w:rPr>
        <w:object w:dxaOrig="200" w:dyaOrig="279" w14:anchorId="14F738AE">
          <v:shape id="_x0000_i1202" type="#_x0000_t75" style="width:10.7pt;height:13.7pt" o:ole="">
            <v:imagedata r:id="rId335" o:title=""/>
          </v:shape>
          <o:OLEObject Type="Embed" ProgID="Equation.DSMT4" ShapeID="_x0000_i1202" DrawAspect="Content" ObjectID="_1841834577" r:id="rId336"/>
        </w:object>
      </w:r>
      <w:r w:rsidR="007E2AEF" w:rsidRPr="00B71211">
        <w:rPr>
          <w:rFonts w:cs="Times New Roman"/>
          <w:szCs w:val="24"/>
        </w:rPr>
        <w:t xml:space="preserve"> representing the alternative-specific coefficients on the</w:t>
      </w:r>
      <w:r w:rsidR="00C36F89" w:rsidRPr="0093315A">
        <w:rPr>
          <w:rFonts w:cs="Times New Roman"/>
          <w:szCs w:val="24"/>
        </w:rPr>
        <w:t xml:space="preserve"> </w:t>
      </w:r>
      <w:r w:rsidR="007E2AEF" w:rsidRPr="0093315A">
        <w:rPr>
          <w:rFonts w:cs="Times New Roman"/>
          <w:szCs w:val="24"/>
        </w:rPr>
        <w:t xml:space="preserve">alternative-invariant </w:t>
      </w:r>
      <w:r w:rsidR="00C36F89" w:rsidRPr="0093315A">
        <w:rPr>
          <w:rFonts w:cs="Times New Roman"/>
          <w:szCs w:val="24"/>
        </w:rPr>
        <w:t xml:space="preserve">dummy </w:t>
      </w:r>
      <w:r w:rsidR="007E2AEF" w:rsidRPr="0093315A">
        <w:rPr>
          <w:rFonts w:cs="Times New Roman"/>
          <w:szCs w:val="24"/>
        </w:rPr>
        <w:t>exogenous variable</w:t>
      </w:r>
      <w:r w:rsidR="00C36F89" w:rsidRPr="0086018F">
        <w:rPr>
          <w:rFonts w:cs="Times New Roman"/>
          <w:szCs w:val="24"/>
        </w:rPr>
        <w:t xml:space="preserve"> for the second </w:t>
      </w:r>
      <w:r w:rsidR="00F95F68" w:rsidRPr="0086018F">
        <w:rPr>
          <w:rFonts w:cs="Times New Roman"/>
          <w:szCs w:val="24"/>
        </w:rPr>
        <w:t>and third</w:t>
      </w:r>
      <w:r w:rsidR="00C36F89" w:rsidRPr="0086018F">
        <w:rPr>
          <w:rFonts w:cs="Times New Roman"/>
          <w:szCs w:val="24"/>
        </w:rPr>
        <w:t xml:space="preserve"> alternatives (with the coefficient on the first alternative set to zero for identification)</w:t>
      </w:r>
      <w:r w:rsidR="007E2AEF" w:rsidRPr="00DD5FA6">
        <w:rPr>
          <w:rFonts w:cs="Times New Roman"/>
          <w:szCs w:val="24"/>
        </w:rPr>
        <w:t xml:space="preserve">. </w:t>
      </w:r>
      <w:r w:rsidR="00C36F89" w:rsidRPr="00DD5FA6">
        <w:rPr>
          <w:rFonts w:cs="Times New Roman"/>
          <w:szCs w:val="24"/>
        </w:rPr>
        <w:t xml:space="preserve">The </w:t>
      </w:r>
      <w:r w:rsidR="00FF1800" w:rsidRPr="00DD5FA6">
        <w:rPr>
          <w:rFonts w:cs="Times New Roman"/>
          <w:szCs w:val="24"/>
        </w:rPr>
        <w:t xml:space="preserve">YJ parameter vector for the kernel error terms </w:t>
      </w:r>
      <w:r w:rsidR="00F95F68" w:rsidRPr="00DD5FA6">
        <w:rPr>
          <w:rFonts w:cs="Times New Roman"/>
          <w:szCs w:val="24"/>
        </w:rPr>
        <w:t>is</w:t>
      </w:r>
      <w:r w:rsidR="00C36F89" w:rsidRPr="009E4296">
        <w:rPr>
          <w:rFonts w:cs="Times New Roman"/>
          <w:szCs w:val="24"/>
        </w:rPr>
        <w:t xml:space="preserve"> set </w:t>
      </w:r>
      <w:r w:rsidR="00FF1800" w:rsidRPr="009E4296">
        <w:rPr>
          <w:rFonts w:cs="Times New Roman"/>
          <w:szCs w:val="24"/>
        </w:rPr>
        <w:t xml:space="preserve">as </w:t>
      </w:r>
      <w:r w:rsidR="00367AD4" w:rsidRPr="00B71211">
        <w:rPr>
          <w:rFonts w:cs="Times New Roman"/>
          <w:position w:val="-12"/>
          <w:szCs w:val="24"/>
        </w:rPr>
        <w:object w:dxaOrig="3340" w:dyaOrig="360" w14:anchorId="2F80B9A2">
          <v:shape id="_x0000_i1203" type="#_x0000_t75" style="width:167.15pt;height:18.45pt" o:ole="">
            <v:imagedata r:id="rId337" o:title=""/>
          </v:shape>
          <o:OLEObject Type="Embed" ProgID="Equation.DSMT4" ShapeID="_x0000_i1203" DrawAspect="Content" ObjectID="_1841834578" r:id="rId338"/>
        </w:object>
      </w:r>
      <w:r w:rsidR="000445BA" w:rsidRPr="00B71211">
        <w:rPr>
          <w:rFonts w:cs="Times New Roman"/>
          <w:szCs w:val="24"/>
        </w:rPr>
        <w:t>.</w:t>
      </w:r>
      <w:r w:rsidR="004B7C69" w:rsidRPr="00B71211">
        <w:rPr>
          <w:rFonts w:cs="Times New Roman"/>
          <w:szCs w:val="24"/>
        </w:rPr>
        <w:t xml:space="preserve"> </w:t>
      </w:r>
      <w:r w:rsidR="000445BA" w:rsidRPr="00B71211">
        <w:rPr>
          <w:rFonts w:cs="Times New Roman"/>
          <w:szCs w:val="24"/>
        </w:rPr>
        <w:t xml:space="preserve">This configuration provides two alternatives with right-skewed kernel errors and </w:t>
      </w:r>
      <w:r w:rsidR="00367AD4" w:rsidRPr="0093315A">
        <w:rPr>
          <w:rFonts w:cs="Times New Roman"/>
          <w:szCs w:val="24"/>
        </w:rPr>
        <w:t>one</w:t>
      </w:r>
      <w:r w:rsidR="000445BA" w:rsidRPr="0093315A">
        <w:rPr>
          <w:rFonts w:cs="Times New Roman"/>
          <w:szCs w:val="24"/>
        </w:rPr>
        <w:t xml:space="preserve"> with </w:t>
      </w:r>
      <w:r w:rsidR="00274929" w:rsidRPr="0093315A">
        <w:rPr>
          <w:rFonts w:cs="Times New Roman"/>
          <w:szCs w:val="24"/>
        </w:rPr>
        <w:t xml:space="preserve">a </w:t>
      </w:r>
      <w:r w:rsidR="000445BA" w:rsidRPr="0093315A">
        <w:rPr>
          <w:rFonts w:cs="Times New Roman"/>
          <w:szCs w:val="24"/>
        </w:rPr>
        <w:t xml:space="preserve">left-skewed kernel error, all sufficiently distinct from the Gaussian benchmark. </w:t>
      </w:r>
      <w:r w:rsidR="00FF1800" w:rsidRPr="00823982">
        <w:rPr>
          <w:rFonts w:cs="Times New Roman"/>
          <w:szCs w:val="24"/>
        </w:rPr>
        <w:t>The</w:t>
      </w:r>
      <w:r w:rsidR="008A339A">
        <w:rPr>
          <w:rFonts w:cs="Times New Roman"/>
          <w:szCs w:val="24"/>
        </w:rPr>
        <w:t xml:space="preserve"> implicit Gaussian copula</w:t>
      </w:r>
      <w:r w:rsidR="00FF1800" w:rsidRPr="00823982">
        <w:rPr>
          <w:rFonts w:cs="Times New Roman"/>
          <w:szCs w:val="24"/>
        </w:rPr>
        <w:t xml:space="preserve"> correlation matrix </w:t>
      </w:r>
      <w:r w:rsidR="00B71211" w:rsidRPr="00B71211">
        <w:rPr>
          <w:rFonts w:cs="Times New Roman"/>
          <w:position w:val="-4"/>
          <w:szCs w:val="24"/>
        </w:rPr>
        <w:object w:dxaOrig="260" w:dyaOrig="260" w14:anchorId="2EA24B6D">
          <v:shape id="_x0000_i1204" type="#_x0000_t75" style="width:13.7pt;height:12.45pt" o:ole="">
            <v:imagedata r:id="rId339" o:title=""/>
          </v:shape>
          <o:OLEObject Type="Embed" ProgID="Equation.DSMT4" ShapeID="_x0000_i1204" DrawAspect="Content" ObjectID="_1841834579" r:id="rId340"/>
        </w:object>
      </w:r>
      <w:r w:rsidR="00FF1800" w:rsidRPr="00B71211">
        <w:rPr>
          <w:rFonts w:cs="Times New Roman"/>
          <w:szCs w:val="24"/>
        </w:rPr>
        <w:t xml:space="preserve"> is a</w:t>
      </w:r>
      <w:r w:rsidR="002A1692" w:rsidRPr="00B71211">
        <w:rPr>
          <w:rFonts w:cs="Times New Roman"/>
          <w:szCs w:val="24"/>
        </w:rPr>
        <w:t xml:space="preserve"> </w:t>
      </w:r>
      <w:r w:rsidR="00274929" w:rsidRPr="00B71211">
        <w:rPr>
          <w:rFonts w:cs="Times New Roman"/>
          <w:position w:val="-6"/>
          <w:szCs w:val="24"/>
        </w:rPr>
        <w:object w:dxaOrig="480" w:dyaOrig="279" w14:anchorId="02B907F2">
          <v:shape id="_x0000_i1205" type="#_x0000_t75" style="width:24.45pt;height:13.7pt" o:ole="">
            <v:imagedata r:id="rId341" o:title=""/>
          </v:shape>
          <o:OLEObject Type="Embed" ProgID="Equation.DSMT4" ShapeID="_x0000_i1205" DrawAspect="Content" ObjectID="_1841834580" r:id="rId342"/>
        </w:object>
      </w:r>
      <w:r w:rsidR="002A1692" w:rsidRPr="00B71211">
        <w:rPr>
          <w:rFonts w:cs="Times New Roman"/>
          <w:szCs w:val="24"/>
        </w:rPr>
        <w:t xml:space="preserve">matrix, which we </w:t>
      </w:r>
      <w:r w:rsidR="00C36F89" w:rsidRPr="00B71211">
        <w:rPr>
          <w:rFonts w:cs="Times New Roman"/>
          <w:szCs w:val="24"/>
        </w:rPr>
        <w:t>assume</w:t>
      </w:r>
      <w:r w:rsidR="002A1692" w:rsidRPr="00B71211">
        <w:rPr>
          <w:rFonts w:cs="Times New Roman"/>
          <w:szCs w:val="24"/>
        </w:rPr>
        <w:t xml:space="preserve"> as follows:</w:t>
      </w:r>
      <w:r w:rsidR="00FF1800" w:rsidRPr="0093315A">
        <w:rPr>
          <w:rFonts w:cs="Times New Roman"/>
          <w:szCs w:val="24"/>
        </w:rPr>
        <w:t xml:space="preserve"> </w:t>
      </w:r>
    </w:p>
    <w:p w14:paraId="5F58930C" w14:textId="21FE6008" w:rsidR="006324E2" w:rsidRPr="00B71211" w:rsidRDefault="009323C0" w:rsidP="009323C0">
      <w:pPr>
        <w:tabs>
          <w:tab w:val="right" w:pos="9360"/>
        </w:tabs>
        <w:spacing w:before="120" w:after="120" w:line="240" w:lineRule="auto"/>
        <w:rPr>
          <w:rFonts w:cs="Times New Roman"/>
          <w:szCs w:val="24"/>
        </w:rPr>
      </w:pPr>
      <w:r w:rsidRPr="00B71211">
        <w:rPr>
          <w:rFonts w:cs="Times New Roman"/>
          <w:position w:val="-50"/>
          <w:szCs w:val="24"/>
        </w:rPr>
        <w:object w:dxaOrig="2420" w:dyaOrig="1120" w14:anchorId="744AE2E6">
          <v:shape id="_x0000_i1206" type="#_x0000_t75" style="width:120.85pt;height:56.15pt" o:ole="" o:preferrelative="f">
            <v:imagedata r:id="rId343" o:title=""/>
            <o:lock v:ext="edit" aspectratio="f"/>
          </v:shape>
          <o:OLEObject Type="Embed" ProgID="Equation.DSMT4" ShapeID="_x0000_i1206" DrawAspect="Content" ObjectID="_1841834581" r:id="rId344"/>
        </w:object>
      </w:r>
      <w:r w:rsidR="00510411">
        <w:rPr>
          <w:rFonts w:cs="Times New Roman"/>
          <w:szCs w:val="24"/>
        </w:rPr>
        <w:tab/>
      </w:r>
      <w:r w:rsidR="00410A69">
        <w:rPr>
          <w:rFonts w:cs="Times New Roman"/>
          <w:szCs w:val="24"/>
        </w:rPr>
        <w:t>(23)</w:t>
      </w:r>
    </w:p>
    <w:p w14:paraId="6181281D" w14:textId="4E2C1B59" w:rsidR="00B76939" w:rsidRPr="0093315A" w:rsidRDefault="00B96048" w:rsidP="009323C0">
      <w:pPr>
        <w:spacing w:line="240" w:lineRule="auto"/>
        <w:rPr>
          <w:rFonts w:cs="Times New Roman"/>
          <w:szCs w:val="24"/>
        </w:rPr>
      </w:pPr>
      <w:r w:rsidRPr="0093315A">
        <w:rPr>
          <w:rFonts w:cs="Times New Roman"/>
          <w:szCs w:val="24"/>
        </w:rPr>
        <w:t xml:space="preserve">The upper diagonal elements of the above matrix are the ones to be estimated: </w:t>
      </w:r>
      <w:r w:rsidR="009323C0" w:rsidRPr="00B71211">
        <w:rPr>
          <w:rFonts w:cs="Times New Roman"/>
          <w:position w:val="-12"/>
          <w:szCs w:val="24"/>
        </w:rPr>
        <w:object w:dxaOrig="4420" w:dyaOrig="360" w14:anchorId="1CC87AC3">
          <v:shape id="_x0000_i1207" type="#_x0000_t75" style="width:220.7pt;height:18pt" o:ole="" o:preferrelative="f">
            <v:imagedata r:id="rId345" o:title=""/>
            <o:lock v:ext="edit" aspectratio="f"/>
          </v:shape>
          <o:OLEObject Type="Embed" ProgID="Equation.DSMT4" ShapeID="_x0000_i1207" DrawAspect="Content" ObjectID="_1841834582" r:id="rId346"/>
        </w:object>
      </w:r>
      <w:r w:rsidR="006324E2" w:rsidRPr="00B71211">
        <w:rPr>
          <w:rFonts w:cs="Times New Roman"/>
          <w:szCs w:val="24"/>
        </w:rPr>
        <w:t>.</w:t>
      </w:r>
      <w:r w:rsidRPr="00B71211">
        <w:rPr>
          <w:rFonts w:cs="Times New Roman"/>
          <w:szCs w:val="24"/>
        </w:rPr>
        <w:t xml:space="preserve"> </w:t>
      </w:r>
      <w:r w:rsidR="00B76939" w:rsidRPr="00B71211">
        <w:rPr>
          <w:rFonts w:cs="Times New Roman"/>
          <w:szCs w:val="24"/>
        </w:rPr>
        <w:t xml:space="preserve">Finally specify </w:t>
      </w:r>
      <w:r w:rsidR="00F01AE8" w:rsidRPr="0093315A">
        <w:rPr>
          <w:rFonts w:cs="Times New Roman"/>
          <w:szCs w:val="24"/>
        </w:rPr>
        <w:t xml:space="preserve">the vector </w:t>
      </w:r>
      <w:r w:rsidR="009323C0" w:rsidRPr="00B71211">
        <w:rPr>
          <w:rFonts w:cs="Times New Roman"/>
          <w:position w:val="-12"/>
          <w:szCs w:val="24"/>
        </w:rPr>
        <w:object w:dxaOrig="3620" w:dyaOrig="360" w14:anchorId="64A284B6">
          <v:shape id="_x0000_i1208" type="#_x0000_t75" style="width:180.45pt;height:18pt" o:ole="" o:preferrelative="f">
            <v:imagedata r:id="rId347" o:title=""/>
            <o:lock v:ext="edit" aspectratio="f"/>
          </v:shape>
          <o:OLEObject Type="Embed" ProgID="Equation.DSMT4" ShapeID="_x0000_i1208" DrawAspect="Content" ObjectID="_1841834583" r:id="rId348"/>
        </w:object>
      </w:r>
      <w:r w:rsidR="00D75352" w:rsidRPr="00B71211">
        <w:rPr>
          <w:rFonts w:cs="Times New Roman"/>
          <w:szCs w:val="24"/>
        </w:rPr>
        <w:t xml:space="preserve">, so that </w:t>
      </w:r>
      <w:r w:rsidR="009323C0" w:rsidRPr="00B71211">
        <w:rPr>
          <w:rFonts w:cs="Times New Roman"/>
          <w:position w:val="-28"/>
          <w:szCs w:val="24"/>
        </w:rPr>
        <w:object w:dxaOrig="920" w:dyaOrig="680" w14:anchorId="222C0C15">
          <v:shape id="_x0000_i1209" type="#_x0000_t75" style="width:46.3pt;height:33.85pt" o:ole="" o:preferrelative="f">
            <v:imagedata r:id="rId349" o:title=""/>
            <o:lock v:ext="edit" aspectratio="f"/>
          </v:shape>
          <o:OLEObject Type="Embed" ProgID="Equation.DSMT4" ShapeID="_x0000_i1209" DrawAspect="Content" ObjectID="_1841834584" r:id="rId350"/>
        </w:object>
      </w:r>
      <w:r w:rsidR="009845F1" w:rsidRPr="00B71211">
        <w:rPr>
          <w:rFonts w:cs="Times New Roman"/>
          <w:szCs w:val="24"/>
        </w:rPr>
        <w:t>T</w:t>
      </w:r>
      <w:r w:rsidR="00F01AE8" w:rsidRPr="00B71211">
        <w:rPr>
          <w:rFonts w:cs="Times New Roman"/>
          <w:szCs w:val="24"/>
        </w:rPr>
        <w:t xml:space="preserve">he parameter set to be estimated </w:t>
      </w:r>
      <w:r w:rsidR="009845F1" w:rsidRPr="00B71211">
        <w:rPr>
          <w:rFonts w:cs="Times New Roman"/>
          <w:szCs w:val="24"/>
        </w:rPr>
        <w:t xml:space="preserve">is the vector </w:t>
      </w:r>
      <w:r w:rsidR="009323C0" w:rsidRPr="00B71211">
        <w:rPr>
          <w:rFonts w:cs="Times New Roman"/>
          <w:position w:val="-12"/>
          <w:szCs w:val="24"/>
        </w:rPr>
        <w:object w:dxaOrig="2020" w:dyaOrig="360" w14:anchorId="6A8667E3">
          <v:shape id="_x0000_i1210" type="#_x0000_t75" style="width:100.7pt;height:18pt" o:ole="" o:preferrelative="f">
            <v:imagedata r:id="rId351" o:title=""/>
            <o:lock v:ext="edit" aspectratio="f"/>
          </v:shape>
          <o:OLEObject Type="Embed" ProgID="Equation.DSMT4" ShapeID="_x0000_i1210" DrawAspect="Content" ObjectID="_1841834585" r:id="rId352"/>
        </w:object>
      </w:r>
      <w:r w:rsidR="009845F1" w:rsidRPr="00B71211">
        <w:rPr>
          <w:rFonts w:cs="Times New Roman"/>
          <w:szCs w:val="24"/>
        </w:rPr>
        <w:t xml:space="preserve">which </w:t>
      </w:r>
      <w:r w:rsidR="00503542" w:rsidRPr="00B71211">
        <w:rPr>
          <w:rFonts w:cs="Times New Roman"/>
          <w:szCs w:val="24"/>
        </w:rPr>
        <w:t xml:space="preserve">contains </w:t>
      </w:r>
      <w:r w:rsidR="00BC0BBF" w:rsidRPr="00B71211">
        <w:rPr>
          <w:rFonts w:cs="Times New Roman"/>
          <w:szCs w:val="24"/>
        </w:rPr>
        <w:t>12</w:t>
      </w:r>
      <w:r w:rsidR="00503542" w:rsidRPr="0093315A">
        <w:rPr>
          <w:rFonts w:cs="Times New Roman"/>
          <w:szCs w:val="24"/>
        </w:rPr>
        <w:t xml:space="preserve"> parameters. </w:t>
      </w:r>
    </w:p>
    <w:p w14:paraId="5BDDFE23" w14:textId="77777777" w:rsidR="00503542" w:rsidRPr="0086018F" w:rsidRDefault="00503542" w:rsidP="009323C0">
      <w:pPr>
        <w:spacing w:line="240" w:lineRule="auto"/>
        <w:rPr>
          <w:rFonts w:cs="Times New Roman"/>
          <w:szCs w:val="24"/>
        </w:rPr>
      </w:pPr>
    </w:p>
    <w:p w14:paraId="3A400F8A" w14:textId="77777777" w:rsidR="00204008" w:rsidRPr="00DD5FA6" w:rsidRDefault="00204008" w:rsidP="009323C0">
      <w:pPr>
        <w:spacing w:line="240" w:lineRule="auto"/>
        <w:rPr>
          <w:rFonts w:cs="Times New Roman"/>
          <w:b/>
          <w:szCs w:val="24"/>
        </w:rPr>
      </w:pPr>
      <w:r w:rsidRPr="00DD5FA6">
        <w:rPr>
          <w:rFonts w:cs="Times New Roman"/>
          <w:b/>
          <w:szCs w:val="24"/>
        </w:rPr>
        <w:t>3.2 Data Generation and Performance Metrics</w:t>
      </w:r>
    </w:p>
    <w:p w14:paraId="0AC4E69A" w14:textId="77540706" w:rsidR="00D75352" w:rsidRPr="00290D19" w:rsidRDefault="00204008" w:rsidP="009323C0">
      <w:pPr>
        <w:spacing w:line="240" w:lineRule="auto"/>
        <w:rPr>
          <w:rFonts w:cs="Times New Roman"/>
          <w:szCs w:val="24"/>
        </w:rPr>
      </w:pPr>
      <w:r w:rsidRPr="009E4296">
        <w:rPr>
          <w:rFonts w:cs="Times New Roman"/>
          <w:szCs w:val="24"/>
        </w:rPr>
        <w:t>The simulation experiments assum</w:t>
      </w:r>
      <w:r w:rsidR="009131CB" w:rsidRPr="009E4296">
        <w:rPr>
          <w:rFonts w:cs="Times New Roman"/>
          <w:szCs w:val="24"/>
        </w:rPr>
        <w:t>e</w:t>
      </w:r>
      <w:r w:rsidRPr="00290D19">
        <w:rPr>
          <w:rFonts w:cs="Times New Roman"/>
          <w:szCs w:val="24"/>
        </w:rPr>
        <w:t xml:space="preserve"> underlying “true” values for the many parameters </w:t>
      </w:r>
      <w:r w:rsidR="009131CB" w:rsidRPr="00290D19">
        <w:rPr>
          <w:rFonts w:cs="Times New Roman"/>
          <w:szCs w:val="24"/>
        </w:rPr>
        <w:t xml:space="preserve">as just discussed in the previous section, followed by the generation of </w:t>
      </w:r>
      <w:r w:rsidRPr="00290D19">
        <w:rPr>
          <w:rFonts w:cs="Times New Roman"/>
          <w:szCs w:val="24"/>
        </w:rPr>
        <w:t xml:space="preserve">data sets for estimation. In particular, using the underlying parameters, first compute </w:t>
      </w:r>
      <w:r w:rsidRPr="00B71211">
        <w:rPr>
          <w:rFonts w:cs="Times New Roman"/>
          <w:position w:val="-6"/>
          <w:szCs w:val="24"/>
        </w:rPr>
        <w:object w:dxaOrig="320" w:dyaOrig="279" w14:anchorId="23562604">
          <v:shape id="_x0000_i1211" type="#_x0000_t75" style="width:16.7pt;height:13.7pt" o:ole="">
            <v:imagedata r:id="rId353" o:title=""/>
          </v:shape>
          <o:OLEObject Type="Embed" ProgID="Equation.DSMT4" ShapeID="_x0000_i1211" DrawAspect="Content" ObjectID="_1841834586" r:id="rId354"/>
        </w:object>
      </w:r>
      <w:r w:rsidRPr="00B71211">
        <w:rPr>
          <w:rFonts w:cs="Times New Roman"/>
          <w:szCs w:val="24"/>
        </w:rPr>
        <w:t xml:space="preserve">. Next draw </w:t>
      </w:r>
      <w:r w:rsidRPr="00B71211">
        <w:rPr>
          <w:rFonts w:cs="Times New Roman"/>
          <w:i/>
          <w:szCs w:val="24"/>
        </w:rPr>
        <w:t>Q</w:t>
      </w:r>
      <w:r w:rsidRPr="00B71211">
        <w:rPr>
          <w:rFonts w:cs="Times New Roman"/>
          <w:szCs w:val="24"/>
        </w:rPr>
        <w:t xml:space="preserve"> =</w:t>
      </w:r>
      <w:r w:rsidR="00FD5BBF" w:rsidRPr="0093315A">
        <w:rPr>
          <w:rFonts w:cs="Times New Roman"/>
          <w:szCs w:val="24"/>
        </w:rPr>
        <w:t>6,</w:t>
      </w:r>
      <w:r w:rsidRPr="0093315A">
        <w:rPr>
          <w:rFonts w:cs="Times New Roman"/>
          <w:szCs w:val="24"/>
        </w:rPr>
        <w:t xml:space="preserve">000 independent </w:t>
      </w:r>
      <w:r w:rsidR="002933F8" w:rsidRPr="0093315A">
        <w:rPr>
          <w:rFonts w:cs="Times New Roman"/>
          <w:szCs w:val="24"/>
        </w:rPr>
        <w:t xml:space="preserve">sets of </w:t>
      </w:r>
      <w:r w:rsidRPr="0093315A">
        <w:rPr>
          <w:rFonts w:cs="Times New Roman"/>
          <w:szCs w:val="24"/>
        </w:rPr>
        <w:t xml:space="preserve">draws from the standard multivariate normal distribution with correlation matrix </w:t>
      </w:r>
      <w:r w:rsidR="00B71211" w:rsidRPr="00B71211">
        <w:rPr>
          <w:rFonts w:cs="Times New Roman"/>
          <w:position w:val="-4"/>
          <w:szCs w:val="24"/>
        </w:rPr>
        <w:object w:dxaOrig="260" w:dyaOrig="260" w14:anchorId="63DF13B8">
          <v:shape id="_x0000_i1212" type="#_x0000_t75" style="width:13.7pt;height:12.45pt" o:ole="">
            <v:imagedata r:id="rId355" o:title=""/>
          </v:shape>
          <o:OLEObject Type="Embed" ProgID="Equation.DSMT4" ShapeID="_x0000_i1212" DrawAspect="Content" ObjectID="_1841834587" r:id="rId356"/>
        </w:object>
      </w:r>
      <w:r w:rsidRPr="00B71211">
        <w:rPr>
          <w:rFonts w:cs="Times New Roman"/>
          <w:szCs w:val="24"/>
        </w:rPr>
        <w:t>for</w:t>
      </w:r>
      <w:r w:rsidR="004D7B3A" w:rsidRPr="00B71211">
        <w:rPr>
          <w:rFonts w:cs="Times New Roman"/>
          <w:szCs w:val="24"/>
        </w:rPr>
        <w:t xml:space="preserve"> </w:t>
      </w:r>
      <w:r w:rsidR="004D7B3A" w:rsidRPr="00B71211">
        <w:rPr>
          <w:rFonts w:cs="Times New Roman"/>
          <w:position w:val="-10"/>
          <w:szCs w:val="24"/>
        </w:rPr>
        <w:object w:dxaOrig="200" w:dyaOrig="260" w14:anchorId="290B8342">
          <v:shape id="_x0000_i1213" type="#_x0000_t75" style="width:9.45pt;height:13.7pt" o:ole="">
            <v:imagedata r:id="rId357" o:title=""/>
          </v:shape>
          <o:OLEObject Type="Embed" ProgID="Equation.DSMT4" ShapeID="_x0000_i1213" DrawAspect="Content" ObjectID="_1841834588" r:id="rId358"/>
        </w:object>
      </w:r>
      <w:r w:rsidRPr="00B71211">
        <w:rPr>
          <w:rFonts w:cs="Times New Roman"/>
          <w:szCs w:val="24"/>
        </w:rPr>
        <w:t xml:space="preserve">. </w:t>
      </w:r>
      <w:r w:rsidR="002933F8" w:rsidRPr="0093315A">
        <w:rPr>
          <w:rFonts w:cs="Times New Roman"/>
          <w:szCs w:val="24"/>
        </w:rPr>
        <w:t>For each set of draws (corresponding to an individual), compute</w:t>
      </w:r>
      <w:r w:rsidR="003B1A72" w:rsidRPr="0093315A">
        <w:rPr>
          <w:rFonts w:cs="Times New Roman"/>
          <w:szCs w:val="24"/>
        </w:rPr>
        <w:t xml:space="preserve"> </w:t>
      </w:r>
      <w:r w:rsidR="002933F8" w:rsidRPr="0093315A">
        <w:rPr>
          <w:rFonts w:cs="Times New Roman"/>
          <w:szCs w:val="24"/>
        </w:rPr>
        <w:t xml:space="preserve">the kernel error realization vector </w:t>
      </w:r>
      <w:r w:rsidR="009323C0" w:rsidRPr="00B71211">
        <w:rPr>
          <w:rFonts w:cs="Times New Roman"/>
          <w:position w:val="-14"/>
          <w:szCs w:val="24"/>
        </w:rPr>
        <w:object w:dxaOrig="1020" w:dyaOrig="400" w14:anchorId="5967A636">
          <v:shape id="_x0000_i1214" type="#_x0000_t75" style="width:51pt;height:20.15pt" o:ole="" o:preferrelative="f">
            <v:imagedata r:id="rId359" o:title=""/>
            <o:lock v:ext="edit" aspectratio="f"/>
          </v:shape>
          <o:OLEObject Type="Embed" ProgID="Equation.DSMT4" ShapeID="_x0000_i1214" DrawAspect="Content" ObjectID="_1841834589" r:id="rId360"/>
        </w:object>
      </w:r>
      <w:r w:rsidR="002933F8" w:rsidRPr="00B71211">
        <w:rPr>
          <w:rFonts w:cs="Times New Roman"/>
          <w:szCs w:val="24"/>
        </w:rPr>
        <w:t xml:space="preserve"> From these, one can compute </w:t>
      </w:r>
      <w:r w:rsidR="009323C0" w:rsidRPr="00B71211">
        <w:rPr>
          <w:rFonts w:cs="Times New Roman"/>
          <w:position w:val="-14"/>
          <w:szCs w:val="24"/>
        </w:rPr>
        <w:object w:dxaOrig="2299" w:dyaOrig="440" w14:anchorId="66F59122">
          <v:shape id="_x0000_i1215" type="#_x0000_t75" style="width:115.3pt;height:22.3pt" o:ole="" o:preferrelative="f">
            <v:imagedata r:id="rId85" o:title=""/>
            <o:lock v:ext="edit" aspectratio="f"/>
          </v:shape>
          <o:OLEObject Type="Embed" ProgID="Equation.DSMT4" ShapeID="_x0000_i1215" DrawAspect="Content" ObjectID="_1841834590" r:id="rId361"/>
        </w:object>
      </w:r>
      <w:r w:rsidR="00B76939" w:rsidRPr="00B71211">
        <w:rPr>
          <w:rFonts w:cs="Times New Roman"/>
          <w:szCs w:val="24"/>
        </w:rPr>
        <w:t xml:space="preserve">, and further compute </w:t>
      </w:r>
      <w:r w:rsidR="00E012A1" w:rsidRPr="00B71211">
        <w:rPr>
          <w:rFonts w:cs="Times New Roman"/>
          <w:szCs w:val="24"/>
        </w:rPr>
        <w:t>the</w:t>
      </w:r>
      <w:r w:rsidR="00342169" w:rsidRPr="00B71211">
        <w:rPr>
          <w:rFonts w:cs="Times New Roman"/>
          <w:szCs w:val="24"/>
        </w:rPr>
        <w:t xml:space="preserve"> </w:t>
      </w:r>
      <w:r w:rsidR="00B76939" w:rsidRPr="0093315A">
        <w:rPr>
          <w:rFonts w:cs="Times New Roman"/>
          <w:szCs w:val="24"/>
        </w:rPr>
        <w:t>utility for each alternative using Equation (</w:t>
      </w:r>
      <w:r w:rsidR="009845F1" w:rsidRPr="0086018F">
        <w:rPr>
          <w:rFonts w:cs="Times New Roman"/>
          <w:szCs w:val="24"/>
        </w:rPr>
        <w:t>5</w:t>
      </w:r>
      <w:r w:rsidR="00B76939" w:rsidRPr="0086018F">
        <w:rPr>
          <w:rFonts w:cs="Times New Roman"/>
          <w:szCs w:val="24"/>
        </w:rPr>
        <w:t xml:space="preserve">). </w:t>
      </w:r>
      <w:r w:rsidR="00D75352" w:rsidRPr="0086018F">
        <w:rPr>
          <w:rFonts w:cs="Times New Roman"/>
          <w:szCs w:val="24"/>
        </w:rPr>
        <w:t>Finally</w:t>
      </w:r>
      <w:r w:rsidRPr="0086018F">
        <w:rPr>
          <w:rFonts w:cs="Times New Roman"/>
          <w:szCs w:val="24"/>
        </w:rPr>
        <w:t xml:space="preserve">, for each </w:t>
      </w:r>
      <w:r w:rsidR="00D75352" w:rsidRPr="0086018F">
        <w:rPr>
          <w:rFonts w:cs="Times New Roman"/>
          <w:szCs w:val="24"/>
        </w:rPr>
        <w:t xml:space="preserve">of the </w:t>
      </w:r>
      <w:r w:rsidR="00E012A1" w:rsidRPr="00BF3D78">
        <w:rPr>
          <w:rFonts w:cs="Times New Roman"/>
          <w:szCs w:val="24"/>
        </w:rPr>
        <w:t>6,</w:t>
      </w:r>
      <w:r w:rsidR="00D75352" w:rsidRPr="00BF3D78">
        <w:rPr>
          <w:rFonts w:cs="Times New Roman"/>
          <w:szCs w:val="24"/>
        </w:rPr>
        <w:t xml:space="preserve">000 </w:t>
      </w:r>
      <w:r w:rsidRPr="00DD5FA6">
        <w:rPr>
          <w:rFonts w:cs="Times New Roman"/>
          <w:szCs w:val="24"/>
        </w:rPr>
        <w:t>observation unit</w:t>
      </w:r>
      <w:r w:rsidR="00D75352" w:rsidRPr="00DD5FA6">
        <w:rPr>
          <w:rFonts w:cs="Times New Roman"/>
          <w:szCs w:val="24"/>
        </w:rPr>
        <w:t>s</w:t>
      </w:r>
      <w:r w:rsidRPr="009E4296">
        <w:rPr>
          <w:rFonts w:cs="Times New Roman"/>
          <w:szCs w:val="24"/>
        </w:rPr>
        <w:t xml:space="preserve">, </w:t>
      </w:r>
      <w:r w:rsidR="00D75352" w:rsidRPr="009E4296">
        <w:rPr>
          <w:rFonts w:cs="Times New Roman"/>
          <w:szCs w:val="24"/>
        </w:rPr>
        <w:t xml:space="preserve">select the alternative with the highest utility and declare that as the chosen alternative. </w:t>
      </w:r>
    </w:p>
    <w:p w14:paraId="7774060C" w14:textId="0F1077AD" w:rsidR="009131CB" w:rsidRPr="00290D19" w:rsidRDefault="00204008" w:rsidP="009323C0">
      <w:pPr>
        <w:spacing w:line="240" w:lineRule="auto"/>
        <w:ind w:firstLine="360"/>
        <w:rPr>
          <w:rFonts w:cs="Times New Roman"/>
          <w:szCs w:val="24"/>
        </w:rPr>
      </w:pPr>
      <w:r w:rsidRPr="00290D19">
        <w:rPr>
          <w:rFonts w:cs="Times New Roman"/>
          <w:szCs w:val="24"/>
        </w:rPr>
        <w:t xml:space="preserve">The </w:t>
      </w:r>
      <w:r w:rsidR="009131CB" w:rsidRPr="00290D19">
        <w:rPr>
          <w:rFonts w:cs="Times New Roman"/>
          <w:szCs w:val="24"/>
        </w:rPr>
        <w:t>data generation</w:t>
      </w:r>
      <w:r w:rsidRPr="00290D19">
        <w:rPr>
          <w:rFonts w:cs="Times New Roman"/>
          <w:szCs w:val="24"/>
        </w:rPr>
        <w:t xml:space="preserve"> procedure </w:t>
      </w:r>
      <w:r w:rsidR="009131CB" w:rsidRPr="00290D19">
        <w:rPr>
          <w:rFonts w:cs="Times New Roman"/>
          <w:szCs w:val="24"/>
        </w:rPr>
        <w:t xml:space="preserve">above </w:t>
      </w:r>
      <w:r w:rsidRPr="00290D19">
        <w:rPr>
          <w:rFonts w:cs="Times New Roman"/>
          <w:szCs w:val="24"/>
        </w:rPr>
        <w:t xml:space="preserve">is repeated 250 times with different realizations </w:t>
      </w:r>
      <w:r w:rsidR="00D75352" w:rsidRPr="00290D19">
        <w:rPr>
          <w:rFonts w:cs="Times New Roman"/>
          <w:szCs w:val="24"/>
        </w:rPr>
        <w:t xml:space="preserve">for </w:t>
      </w:r>
      <w:r w:rsidR="00E012A1" w:rsidRPr="00B71211">
        <w:rPr>
          <w:rFonts w:cs="Times New Roman"/>
          <w:position w:val="-10"/>
          <w:szCs w:val="24"/>
        </w:rPr>
        <w:object w:dxaOrig="200" w:dyaOrig="260" w14:anchorId="0E31B1B6">
          <v:shape id="_x0000_i1216" type="#_x0000_t75" style="width:9.45pt;height:13.7pt" o:ole="">
            <v:imagedata r:id="rId357" o:title=""/>
          </v:shape>
          <o:OLEObject Type="Embed" ProgID="Equation.DSMT4" ShapeID="_x0000_i1216" DrawAspect="Content" ObjectID="_1841834591" r:id="rId362"/>
        </w:object>
      </w:r>
      <w:r w:rsidR="00E012A1" w:rsidRPr="00B71211">
        <w:rPr>
          <w:rFonts w:cs="Times New Roman"/>
          <w:szCs w:val="24"/>
        </w:rPr>
        <w:t xml:space="preserve"> </w:t>
      </w:r>
      <w:r w:rsidRPr="00B71211">
        <w:rPr>
          <w:rFonts w:cs="Times New Roman"/>
          <w:szCs w:val="24"/>
        </w:rPr>
        <w:t xml:space="preserve">to generate 250 different data sets. </w:t>
      </w:r>
      <w:r w:rsidR="009131CB" w:rsidRPr="0093315A">
        <w:rPr>
          <w:rFonts w:cs="Times New Roman"/>
          <w:szCs w:val="24"/>
        </w:rPr>
        <w:t>The proposed MNYJ model</w:t>
      </w:r>
      <w:r w:rsidR="009845F1" w:rsidRPr="0093315A">
        <w:rPr>
          <w:rFonts w:cs="Times New Roman"/>
          <w:szCs w:val="24"/>
        </w:rPr>
        <w:t xml:space="preserve"> </w:t>
      </w:r>
      <w:r w:rsidR="009131CB" w:rsidRPr="0093315A">
        <w:rPr>
          <w:rFonts w:cs="Times New Roman"/>
          <w:szCs w:val="24"/>
        </w:rPr>
        <w:t>is estimat</w:t>
      </w:r>
      <w:r w:rsidR="00D05127" w:rsidRPr="0093315A">
        <w:rPr>
          <w:rFonts w:cs="Times New Roman"/>
          <w:szCs w:val="24"/>
        </w:rPr>
        <w:t>ed</w:t>
      </w:r>
      <w:r w:rsidR="009131CB" w:rsidRPr="00823982">
        <w:rPr>
          <w:rFonts w:cs="Times New Roman"/>
          <w:szCs w:val="24"/>
        </w:rPr>
        <w:t xml:space="preserve"> on each of these different data sets, as </w:t>
      </w:r>
      <w:r w:rsidR="00A62D4A" w:rsidRPr="0086018F">
        <w:rPr>
          <w:rFonts w:cs="Times New Roman"/>
          <w:szCs w:val="24"/>
        </w:rPr>
        <w:t>is t</w:t>
      </w:r>
      <w:r w:rsidR="00FD30D2" w:rsidRPr="0086018F">
        <w:rPr>
          <w:rFonts w:cs="Times New Roman"/>
          <w:szCs w:val="24"/>
        </w:rPr>
        <w:t>he traditional MNP model with normally distributed kernel error terms</w:t>
      </w:r>
      <w:r w:rsidR="009131CB" w:rsidRPr="0086018F">
        <w:rPr>
          <w:rFonts w:cs="Times New Roman"/>
          <w:szCs w:val="24"/>
        </w:rPr>
        <w:t xml:space="preserve">. </w:t>
      </w:r>
      <w:r w:rsidR="00D05127" w:rsidRPr="0086018F">
        <w:rPr>
          <w:rFonts w:cs="Times New Roman"/>
          <w:szCs w:val="24"/>
        </w:rPr>
        <w:t>A number of differen</w:t>
      </w:r>
      <w:r w:rsidR="00172BF5" w:rsidRPr="00DD5FA6">
        <w:rPr>
          <w:rFonts w:cs="Times New Roman"/>
          <w:szCs w:val="24"/>
        </w:rPr>
        <w:t>t</w:t>
      </w:r>
      <w:r w:rsidR="00D05127" w:rsidRPr="00DD5FA6">
        <w:rPr>
          <w:rFonts w:cs="Times New Roman"/>
          <w:szCs w:val="24"/>
        </w:rPr>
        <w:t xml:space="preserve"> measures of performance are computed from the estimation results to assess the ability of </w:t>
      </w:r>
      <w:r w:rsidR="00D05127" w:rsidRPr="009E4296">
        <w:rPr>
          <w:rFonts w:cs="Times New Roman"/>
          <w:szCs w:val="24"/>
        </w:rPr>
        <w:t>the models to recover the “true” parameters and their standard errors. This assessment procedure is as follows:</w:t>
      </w:r>
    </w:p>
    <w:p w14:paraId="7F7C4B28" w14:textId="77777777" w:rsidR="00D05127" w:rsidRPr="00290D19" w:rsidRDefault="00D05127" w:rsidP="009323C0">
      <w:pPr>
        <w:spacing w:line="240" w:lineRule="auto"/>
        <w:ind w:firstLine="360"/>
        <w:rPr>
          <w:rFonts w:cs="Times New Roman"/>
          <w:szCs w:val="24"/>
        </w:rPr>
      </w:pPr>
    </w:p>
    <w:p w14:paraId="250E64F3" w14:textId="12FFC171" w:rsidR="00204008" w:rsidRPr="00290D19" w:rsidRDefault="00204008" w:rsidP="00DD69EB">
      <w:pPr>
        <w:numPr>
          <w:ilvl w:val="0"/>
          <w:numId w:val="18"/>
        </w:numPr>
        <w:spacing w:after="120" w:line="240" w:lineRule="auto"/>
        <w:ind w:left="360"/>
        <w:rPr>
          <w:rFonts w:cs="Times New Roman"/>
          <w:b/>
          <w:szCs w:val="24"/>
        </w:rPr>
      </w:pPr>
      <w:r w:rsidRPr="00290D19">
        <w:rPr>
          <w:rFonts w:cs="Times New Roman"/>
          <w:szCs w:val="24"/>
        </w:rPr>
        <w:t xml:space="preserve">Estimate </w:t>
      </w:r>
      <w:r w:rsidR="00056803" w:rsidRPr="00290D19">
        <w:rPr>
          <w:rFonts w:cs="Times New Roman"/>
          <w:szCs w:val="24"/>
        </w:rPr>
        <w:t xml:space="preserve">model </w:t>
      </w:r>
      <w:r w:rsidRPr="00290D19">
        <w:rPr>
          <w:rFonts w:cs="Times New Roman"/>
          <w:szCs w:val="24"/>
        </w:rPr>
        <w:t>parameters</w:t>
      </w:r>
      <w:r w:rsidR="00056803" w:rsidRPr="00290D19">
        <w:rPr>
          <w:rFonts w:cs="Times New Roman"/>
          <w:szCs w:val="24"/>
        </w:rPr>
        <w:t xml:space="preserve"> </w:t>
      </w:r>
      <w:r w:rsidR="00FA1A62" w:rsidRPr="00290D19">
        <w:rPr>
          <w:rFonts w:cs="Times New Roman"/>
          <w:szCs w:val="24"/>
        </w:rPr>
        <w:t xml:space="preserve">and standard errors </w:t>
      </w:r>
      <w:r w:rsidRPr="00290D19">
        <w:rPr>
          <w:rFonts w:cs="Times New Roman"/>
          <w:szCs w:val="24"/>
        </w:rPr>
        <w:t>for each of the 250 data sets generated</w:t>
      </w:r>
      <w:r w:rsidR="00FA1A62" w:rsidRPr="00290D19">
        <w:rPr>
          <w:rFonts w:cs="Times New Roman"/>
          <w:szCs w:val="24"/>
        </w:rPr>
        <w:t xml:space="preserve"> using each of the </w:t>
      </w:r>
      <w:r w:rsidR="00A62D4A" w:rsidRPr="00290D19">
        <w:rPr>
          <w:rFonts w:cs="Times New Roman"/>
          <w:szCs w:val="24"/>
        </w:rPr>
        <w:t>two</w:t>
      </w:r>
      <w:r w:rsidR="00FA1A62" w:rsidRPr="00290D19">
        <w:rPr>
          <w:rFonts w:cs="Times New Roman"/>
          <w:szCs w:val="24"/>
        </w:rPr>
        <w:t xml:space="preserve"> model specifications (for a total of </w:t>
      </w:r>
      <w:r w:rsidR="00503542" w:rsidRPr="00290D19">
        <w:rPr>
          <w:rFonts w:cs="Times New Roman"/>
          <w:szCs w:val="24"/>
        </w:rPr>
        <w:t>5</w:t>
      </w:r>
      <w:r w:rsidR="00DB178E" w:rsidRPr="00290D19">
        <w:rPr>
          <w:rFonts w:cs="Times New Roman"/>
          <w:szCs w:val="24"/>
        </w:rPr>
        <w:t>0</w:t>
      </w:r>
      <w:r w:rsidR="00FA1A62" w:rsidRPr="00290D19">
        <w:rPr>
          <w:rFonts w:cs="Times New Roman"/>
          <w:szCs w:val="24"/>
        </w:rPr>
        <w:t>0 estimations)</w:t>
      </w:r>
      <w:r w:rsidRPr="00290D19">
        <w:rPr>
          <w:rFonts w:cs="Times New Roman"/>
          <w:szCs w:val="24"/>
        </w:rPr>
        <w:t>.</w:t>
      </w:r>
    </w:p>
    <w:p w14:paraId="3443962B" w14:textId="27242F8A" w:rsidR="00204008" w:rsidRPr="00290D19" w:rsidRDefault="00204008" w:rsidP="009323C0">
      <w:pPr>
        <w:numPr>
          <w:ilvl w:val="0"/>
          <w:numId w:val="18"/>
        </w:numPr>
        <w:spacing w:line="240" w:lineRule="auto"/>
        <w:ind w:left="360"/>
        <w:rPr>
          <w:rFonts w:cs="Times New Roman"/>
          <w:b/>
          <w:szCs w:val="24"/>
        </w:rPr>
      </w:pPr>
      <w:r w:rsidRPr="00290D19">
        <w:rPr>
          <w:rFonts w:cs="Times New Roman"/>
          <w:szCs w:val="24"/>
        </w:rPr>
        <w:t xml:space="preserve">Compute the mean </w:t>
      </w:r>
      <w:r w:rsidR="00FA1A62" w:rsidRPr="00290D19">
        <w:rPr>
          <w:rFonts w:cs="Times New Roman"/>
          <w:szCs w:val="24"/>
        </w:rPr>
        <w:t xml:space="preserve">(across the 250 datasets) </w:t>
      </w:r>
      <w:r w:rsidRPr="00290D19">
        <w:rPr>
          <w:rFonts w:cs="Times New Roman"/>
          <w:szCs w:val="24"/>
        </w:rPr>
        <w:t xml:space="preserve">estimate for each model parameter </w:t>
      </w:r>
      <w:r w:rsidR="00FA1A62" w:rsidRPr="00290D19">
        <w:rPr>
          <w:rFonts w:cs="Times New Roman"/>
          <w:szCs w:val="24"/>
        </w:rPr>
        <w:t>and c</w:t>
      </w:r>
      <w:r w:rsidRPr="00290D19">
        <w:rPr>
          <w:rFonts w:cs="Times New Roman"/>
          <w:szCs w:val="24"/>
        </w:rPr>
        <w:t xml:space="preserve">ompute the </w:t>
      </w:r>
      <w:r w:rsidRPr="00290D19">
        <w:rPr>
          <w:rFonts w:cs="Times New Roman"/>
          <w:b/>
          <w:szCs w:val="24"/>
        </w:rPr>
        <w:t>absolute percentage (finite sample) bias</w:t>
      </w:r>
      <w:r w:rsidRPr="00290D19">
        <w:rPr>
          <w:rFonts w:cs="Times New Roman"/>
          <w:szCs w:val="24"/>
        </w:rPr>
        <w:t xml:space="preserve"> (APB) of the estimator</w:t>
      </w:r>
      <w:r w:rsidR="00FA1A62" w:rsidRPr="00290D19">
        <w:rPr>
          <w:rFonts w:cs="Times New Roman"/>
          <w:szCs w:val="24"/>
        </w:rPr>
        <w:t xml:space="preserve"> for each model specification</w:t>
      </w:r>
      <w:r w:rsidRPr="00290D19">
        <w:rPr>
          <w:rFonts w:cs="Times New Roman"/>
          <w:szCs w:val="24"/>
        </w:rPr>
        <w:t>:</w:t>
      </w:r>
    </w:p>
    <w:p w14:paraId="1FE4CBEF" w14:textId="1F0F6D1B" w:rsidR="00204008" w:rsidRPr="00B71211" w:rsidRDefault="009323C0" w:rsidP="00037976">
      <w:pPr>
        <w:spacing w:before="120" w:after="120" w:line="240" w:lineRule="auto"/>
        <w:ind w:left="360"/>
        <w:rPr>
          <w:rFonts w:cs="Times New Roman"/>
          <w:b/>
          <w:szCs w:val="24"/>
        </w:rPr>
      </w:pPr>
      <w:r w:rsidRPr="00B71211">
        <w:rPr>
          <w:rFonts w:cs="Times New Roman"/>
          <w:position w:val="-28"/>
          <w:szCs w:val="24"/>
        </w:rPr>
        <w:object w:dxaOrig="4420" w:dyaOrig="680" w14:anchorId="6C58183C">
          <v:shape id="_x0000_i1217" type="#_x0000_t75" style="width:221.15pt;height:33.85pt" o:ole="" o:preferrelative="f">
            <v:imagedata r:id="rId363" o:title=""/>
            <o:lock v:ext="edit" aspectratio="f"/>
          </v:shape>
          <o:OLEObject Type="Embed" ProgID="Equation.3" ShapeID="_x0000_i1217" DrawAspect="Content" ObjectID="_1841834592" r:id="rId364"/>
        </w:object>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t xml:space="preserve">     (</w:t>
      </w:r>
      <w:r w:rsidR="00410A69">
        <w:rPr>
          <w:rFonts w:cs="Times New Roman"/>
          <w:szCs w:val="24"/>
        </w:rPr>
        <w:t>24</w:t>
      </w:r>
      <w:r w:rsidR="00204008" w:rsidRPr="00B71211">
        <w:rPr>
          <w:rFonts w:cs="Times New Roman"/>
          <w:szCs w:val="24"/>
        </w:rPr>
        <w:t>)</w:t>
      </w:r>
    </w:p>
    <w:p w14:paraId="1D507EEB" w14:textId="057DEE91" w:rsidR="00204008" w:rsidRPr="00290D19" w:rsidRDefault="00FA1A62" w:rsidP="00DD69EB">
      <w:pPr>
        <w:numPr>
          <w:ilvl w:val="0"/>
          <w:numId w:val="18"/>
        </w:numPr>
        <w:spacing w:after="120" w:line="240" w:lineRule="auto"/>
        <w:ind w:left="360"/>
        <w:rPr>
          <w:rFonts w:cs="Times New Roman"/>
          <w:b/>
          <w:szCs w:val="24"/>
        </w:rPr>
      </w:pPr>
      <w:r w:rsidRPr="0093315A">
        <w:rPr>
          <w:rFonts w:cs="Times New Roman"/>
          <w:szCs w:val="24"/>
        </w:rPr>
        <w:t>Similarly, for each model specification, c</w:t>
      </w:r>
      <w:r w:rsidR="00204008" w:rsidRPr="0093315A">
        <w:rPr>
          <w:rFonts w:cs="Times New Roman"/>
          <w:szCs w:val="24"/>
        </w:rPr>
        <w:t xml:space="preserve">ompute the standard deviation </w:t>
      </w:r>
      <w:r w:rsidRPr="0093315A">
        <w:rPr>
          <w:rFonts w:cs="Times New Roman"/>
          <w:szCs w:val="24"/>
        </w:rPr>
        <w:t xml:space="preserve">(across the 250 data sets) </w:t>
      </w:r>
      <w:r w:rsidR="00204008" w:rsidRPr="0086018F">
        <w:rPr>
          <w:rFonts w:cs="Times New Roman"/>
          <w:szCs w:val="24"/>
        </w:rPr>
        <w:t>for each model parameter</w:t>
      </w:r>
      <w:r w:rsidRPr="0086018F">
        <w:rPr>
          <w:rFonts w:cs="Times New Roman"/>
          <w:szCs w:val="24"/>
        </w:rPr>
        <w:t xml:space="preserve"> </w:t>
      </w:r>
      <w:r w:rsidR="00204008" w:rsidRPr="0086018F">
        <w:rPr>
          <w:rFonts w:cs="Times New Roman"/>
          <w:szCs w:val="24"/>
        </w:rPr>
        <w:t xml:space="preserve">as the </w:t>
      </w:r>
      <w:r w:rsidR="00204008" w:rsidRPr="0086018F">
        <w:rPr>
          <w:rFonts w:cs="Times New Roman"/>
          <w:b/>
          <w:szCs w:val="24"/>
        </w:rPr>
        <w:t xml:space="preserve">finite sample standard deviation or FSSD </w:t>
      </w:r>
      <w:r w:rsidR="00204008" w:rsidRPr="0086018F">
        <w:rPr>
          <w:rFonts w:cs="Times New Roman"/>
          <w:szCs w:val="24"/>
        </w:rPr>
        <w:t>(essentially, this is the empirical standard error).</w:t>
      </w:r>
      <w:r w:rsidRPr="00BF3D78">
        <w:rPr>
          <w:rFonts w:cs="Times New Roman"/>
          <w:szCs w:val="24"/>
        </w:rPr>
        <w:t xml:space="preserve"> Also, c</w:t>
      </w:r>
      <w:r w:rsidR="00204008" w:rsidRPr="00DD5FA6">
        <w:rPr>
          <w:rFonts w:cs="Times New Roman"/>
          <w:szCs w:val="24"/>
        </w:rPr>
        <w:t>ompute the median standard error</w:t>
      </w:r>
      <w:r w:rsidR="00204008" w:rsidRPr="00DD5FA6" w:rsidDel="00F6425C">
        <w:rPr>
          <w:rFonts w:cs="Times New Roman"/>
          <w:szCs w:val="24"/>
        </w:rPr>
        <w:t xml:space="preserve"> </w:t>
      </w:r>
      <w:r w:rsidR="00204008" w:rsidRPr="009E4296">
        <w:rPr>
          <w:rFonts w:cs="Times New Roman"/>
          <w:szCs w:val="24"/>
        </w:rPr>
        <w:t xml:space="preserve">for each model parameter across the data sets and label this as </w:t>
      </w:r>
      <w:r w:rsidR="00204008" w:rsidRPr="00290D19">
        <w:rPr>
          <w:rFonts w:cs="Times New Roman"/>
          <w:b/>
          <w:szCs w:val="24"/>
        </w:rPr>
        <w:t>the asymptotic</w:t>
      </w:r>
      <w:r w:rsidR="00204008" w:rsidRPr="00290D19">
        <w:rPr>
          <w:rFonts w:cs="Times New Roman"/>
          <w:szCs w:val="24"/>
        </w:rPr>
        <w:t xml:space="preserve"> </w:t>
      </w:r>
      <w:r w:rsidR="00204008" w:rsidRPr="00290D19">
        <w:rPr>
          <w:rFonts w:cs="Times New Roman"/>
          <w:b/>
          <w:szCs w:val="24"/>
        </w:rPr>
        <w:t>standard error or ASE</w:t>
      </w:r>
      <w:r w:rsidR="00B663BB" w:rsidRPr="00290D19">
        <w:rPr>
          <w:rFonts w:cs="Times New Roman"/>
          <w:b/>
          <w:szCs w:val="24"/>
        </w:rPr>
        <w:t xml:space="preserve"> (the standard error for each run is computed using the sandwich covariance matrix)</w:t>
      </w:r>
      <w:r w:rsidR="00DD69EB">
        <w:rPr>
          <w:rFonts w:cs="Times New Roman"/>
          <w:bCs/>
          <w:szCs w:val="24"/>
        </w:rPr>
        <w:t>.</w:t>
      </w:r>
    </w:p>
    <w:p w14:paraId="3421B199" w14:textId="27523474" w:rsidR="00204008" w:rsidRPr="00290D19" w:rsidRDefault="00FA1A62" w:rsidP="009323C0">
      <w:pPr>
        <w:numPr>
          <w:ilvl w:val="0"/>
          <w:numId w:val="18"/>
        </w:numPr>
        <w:spacing w:line="240" w:lineRule="auto"/>
        <w:ind w:left="360"/>
        <w:rPr>
          <w:rFonts w:cs="Times New Roman"/>
          <w:b/>
          <w:szCs w:val="24"/>
        </w:rPr>
      </w:pPr>
      <w:r w:rsidRPr="00290D19">
        <w:rPr>
          <w:rFonts w:cs="Times New Roman"/>
          <w:szCs w:val="24"/>
        </w:rPr>
        <w:t xml:space="preserve">For each model specification, compute </w:t>
      </w:r>
      <w:r w:rsidR="00204008" w:rsidRPr="00290D19">
        <w:rPr>
          <w:rFonts w:cs="Times New Roman"/>
          <w:szCs w:val="24"/>
        </w:rPr>
        <w:t>the APB associated with the ASE of the estimator as:</w:t>
      </w:r>
    </w:p>
    <w:p w14:paraId="74DA94D7" w14:textId="534DEA93" w:rsidR="00426D21" w:rsidRPr="00B71211" w:rsidRDefault="00DD69EB" w:rsidP="00037976">
      <w:pPr>
        <w:spacing w:before="120" w:after="120" w:line="240" w:lineRule="auto"/>
        <w:ind w:left="360"/>
        <w:rPr>
          <w:rFonts w:cs="Times New Roman"/>
          <w:szCs w:val="24"/>
        </w:rPr>
      </w:pPr>
      <w:r w:rsidRPr="00B71211">
        <w:rPr>
          <w:rFonts w:cs="Times New Roman"/>
          <w:position w:val="-28"/>
          <w:szCs w:val="24"/>
        </w:rPr>
        <w:object w:dxaOrig="3340" w:dyaOrig="680" w14:anchorId="0AA69F26">
          <v:shape id="_x0000_i1379" type="#_x0000_t75" style="width:167.15pt;height:33.85pt" o:ole="" o:preferrelative="f">
            <v:imagedata r:id="rId365" o:title=""/>
            <o:lock v:ext="edit" aspectratio="f"/>
          </v:shape>
          <o:OLEObject Type="Embed" ProgID="Equation.DSMT4" ShapeID="_x0000_i1379" DrawAspect="Content" ObjectID="_1841834593" r:id="rId366"/>
        </w:object>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r>
      <w:r w:rsidR="00204008" w:rsidRPr="00B71211">
        <w:rPr>
          <w:rFonts w:cs="Times New Roman"/>
          <w:szCs w:val="24"/>
        </w:rPr>
        <w:tab/>
        <w:t xml:space="preserve">    </w:t>
      </w:r>
      <w:r w:rsidR="00204008" w:rsidRPr="00B71211">
        <w:rPr>
          <w:rFonts w:cs="Times New Roman"/>
          <w:szCs w:val="24"/>
        </w:rPr>
        <w:tab/>
        <w:t xml:space="preserve">     (</w:t>
      </w:r>
      <w:r w:rsidR="00410A69">
        <w:rPr>
          <w:rFonts w:cs="Times New Roman"/>
          <w:szCs w:val="24"/>
        </w:rPr>
        <w:t>25</w:t>
      </w:r>
      <w:r w:rsidR="00204008" w:rsidRPr="00B71211">
        <w:rPr>
          <w:rFonts w:cs="Times New Roman"/>
          <w:szCs w:val="24"/>
        </w:rPr>
        <w:t>)</w:t>
      </w:r>
    </w:p>
    <w:p w14:paraId="73B41018" w14:textId="78F8DA0A" w:rsidR="00AC1DE2" w:rsidRPr="0086018F" w:rsidRDefault="00AC1DE2" w:rsidP="009323C0">
      <w:pPr>
        <w:numPr>
          <w:ilvl w:val="0"/>
          <w:numId w:val="18"/>
        </w:numPr>
        <w:spacing w:line="240" w:lineRule="auto"/>
        <w:ind w:left="360"/>
        <w:rPr>
          <w:rFonts w:cs="Times New Roman"/>
          <w:szCs w:val="24"/>
        </w:rPr>
      </w:pPr>
      <w:r w:rsidRPr="0093315A">
        <w:rPr>
          <w:rFonts w:cs="Times New Roman"/>
          <w:szCs w:val="24"/>
        </w:rPr>
        <w:t xml:space="preserve">For each parameter, compute the </w:t>
      </w:r>
      <w:r w:rsidRPr="0093315A">
        <w:rPr>
          <w:rFonts w:cs="Times New Roman"/>
          <w:b/>
          <w:szCs w:val="24"/>
        </w:rPr>
        <w:t>coverage probability (CP)</w:t>
      </w:r>
      <w:r w:rsidR="00CD6023" w:rsidRPr="0093315A">
        <w:rPr>
          <w:rFonts w:cs="Times New Roman"/>
          <w:bCs/>
          <w:szCs w:val="24"/>
        </w:rPr>
        <w:t xml:space="preserve">, which is the </w:t>
      </w:r>
      <w:r w:rsidR="00CD6023" w:rsidRPr="0093315A">
        <w:rPr>
          <w:rFonts w:cs="Times New Roman"/>
          <w:szCs w:val="24"/>
        </w:rPr>
        <w:t>empirical probability that a confidence interval contains the true parameter</w:t>
      </w:r>
      <w:r w:rsidR="00CD6023" w:rsidRPr="00823982">
        <w:rPr>
          <w:rFonts w:cs="Times New Roman"/>
          <w:szCs w:val="24"/>
        </w:rPr>
        <w:t>,</w:t>
      </w:r>
      <w:r w:rsidRPr="0086018F">
        <w:rPr>
          <w:rFonts w:cs="Times New Roman"/>
          <w:szCs w:val="24"/>
        </w:rPr>
        <w:t xml:space="preserve"> as below: </w:t>
      </w:r>
    </w:p>
    <w:p w14:paraId="5DDA4F5E" w14:textId="7AD1F933" w:rsidR="00AC1DE2" w:rsidRPr="0093315A" w:rsidRDefault="00037976" w:rsidP="00037976">
      <w:pPr>
        <w:spacing w:before="120" w:after="120" w:line="240" w:lineRule="auto"/>
        <w:ind w:left="360"/>
        <w:rPr>
          <w:rFonts w:cs="Times New Roman"/>
          <w:szCs w:val="24"/>
        </w:rPr>
      </w:pPr>
      <w:r w:rsidRPr="00B71211">
        <w:rPr>
          <w:rFonts w:cs="Times New Roman"/>
          <w:position w:val="-28"/>
          <w:szCs w:val="24"/>
        </w:rPr>
        <w:object w:dxaOrig="5319" w:dyaOrig="680" w14:anchorId="5411EA2E">
          <v:shape id="_x0000_i1219" type="#_x0000_t75" style="width:265.7pt;height:33.85pt" o:ole="" o:preferrelative="f">
            <v:imagedata r:id="rId367" o:title=""/>
            <o:lock v:ext="edit" aspectratio="f"/>
          </v:shape>
          <o:OLEObject Type="Embed" ProgID="Equation.DSMT4" ShapeID="_x0000_i1219" DrawAspect="Content" ObjectID="_1841834594" r:id="rId368"/>
        </w:object>
      </w:r>
      <w:r w:rsidR="00DB42EE" w:rsidRPr="00B71211">
        <w:rPr>
          <w:rFonts w:cs="Times New Roman"/>
          <w:szCs w:val="24"/>
        </w:rPr>
        <w:tab/>
      </w:r>
      <w:r w:rsidR="00DB42EE" w:rsidRPr="00B71211">
        <w:rPr>
          <w:rFonts w:cs="Times New Roman"/>
          <w:szCs w:val="24"/>
        </w:rPr>
        <w:tab/>
      </w:r>
      <w:r w:rsidR="00DB42EE" w:rsidRPr="00B71211">
        <w:rPr>
          <w:rFonts w:cs="Times New Roman"/>
          <w:szCs w:val="24"/>
        </w:rPr>
        <w:tab/>
      </w:r>
      <w:r w:rsidR="00DB42EE" w:rsidRPr="00B71211">
        <w:rPr>
          <w:rFonts w:cs="Times New Roman"/>
          <w:szCs w:val="24"/>
        </w:rPr>
        <w:tab/>
        <w:t xml:space="preserve">    </w:t>
      </w:r>
      <w:r w:rsidR="00DB42EE" w:rsidRPr="00B71211">
        <w:rPr>
          <w:rFonts w:cs="Times New Roman"/>
          <w:szCs w:val="24"/>
        </w:rPr>
        <w:tab/>
        <w:t xml:space="preserve">    (</w:t>
      </w:r>
      <w:r w:rsidR="00410A69">
        <w:rPr>
          <w:rFonts w:cs="Times New Roman"/>
          <w:szCs w:val="24"/>
        </w:rPr>
        <w:t>26</w:t>
      </w:r>
      <w:r w:rsidR="00DB42EE" w:rsidRPr="0093315A">
        <w:rPr>
          <w:rFonts w:cs="Times New Roman"/>
          <w:szCs w:val="24"/>
        </w:rPr>
        <w:t>)</w:t>
      </w:r>
    </w:p>
    <w:p w14:paraId="4956B6B7" w14:textId="42C7BF66" w:rsidR="00AC1DE2" w:rsidRPr="00B71211" w:rsidRDefault="00AC1DE2" w:rsidP="00DD69EB">
      <w:pPr>
        <w:spacing w:after="120" w:line="240" w:lineRule="auto"/>
        <w:ind w:left="360"/>
        <w:rPr>
          <w:rFonts w:cs="Times New Roman"/>
          <w:szCs w:val="24"/>
        </w:rPr>
      </w:pPr>
      <w:r w:rsidRPr="0093315A">
        <w:rPr>
          <w:rFonts w:cs="Times New Roman"/>
          <w:szCs w:val="24"/>
        </w:rPr>
        <w:lastRenderedPageBreak/>
        <w:t xml:space="preserve">where, CP is the coverage probability, </w:t>
      </w:r>
      <w:r w:rsidR="00037976" w:rsidRPr="00B71211">
        <w:rPr>
          <w:rFonts w:cs="Times New Roman"/>
          <w:position w:val="-12"/>
          <w:szCs w:val="24"/>
        </w:rPr>
        <w:object w:dxaOrig="340" w:dyaOrig="400" w14:anchorId="3A09A33F">
          <v:shape id="_x0000_i1220" type="#_x0000_t75" style="width:17.15pt;height:20.15pt" o:ole="" o:preferrelative="f">
            <v:imagedata r:id="rId369" o:title=""/>
            <o:lock v:ext="edit" aspectratio="f"/>
          </v:shape>
          <o:OLEObject Type="Embed" ProgID="Equation.DSMT4" ShapeID="_x0000_i1220" DrawAspect="Content" ObjectID="_1841834595" r:id="rId370"/>
        </w:object>
      </w:r>
      <w:r w:rsidRPr="00B71211">
        <w:rPr>
          <w:rFonts w:cs="Times New Roman"/>
          <w:szCs w:val="24"/>
        </w:rPr>
        <w:t xml:space="preserve"> is the estimated value of the parameter in dataset </w:t>
      </w:r>
      <w:r w:rsidRPr="00B71211">
        <w:rPr>
          <w:rFonts w:cs="Times New Roman"/>
          <w:i/>
          <w:szCs w:val="24"/>
        </w:rPr>
        <w:t>r</w:t>
      </w:r>
      <w:r w:rsidR="002E01BB" w:rsidRPr="00B71211">
        <w:rPr>
          <w:rFonts w:cs="Times New Roman"/>
          <w:i/>
          <w:szCs w:val="24"/>
        </w:rPr>
        <w:t xml:space="preserve"> </w:t>
      </w:r>
      <w:r w:rsidR="002E01BB" w:rsidRPr="0093315A">
        <w:rPr>
          <w:rFonts w:cs="Times New Roman"/>
          <w:iCs/>
          <w:szCs w:val="24"/>
        </w:rPr>
        <w:t xml:space="preserve">and </w:t>
      </w:r>
      <w:r w:rsidR="00037976" w:rsidRPr="00B71211">
        <w:rPr>
          <w:rFonts w:cs="Times New Roman"/>
          <w:position w:val="-12"/>
          <w:szCs w:val="24"/>
        </w:rPr>
        <w:object w:dxaOrig="740" w:dyaOrig="400" w14:anchorId="6AFD6B86">
          <v:shape id="_x0000_i1221" type="#_x0000_t75" style="width:36.85pt;height:20.15pt" o:ole="" o:preferrelative="f">
            <v:imagedata r:id="rId371" o:title=""/>
            <o:lock v:ext="edit" aspectratio="f"/>
          </v:shape>
          <o:OLEObject Type="Embed" ProgID="Equation.DSMT4" ShapeID="_x0000_i1221" DrawAspect="Content" ObjectID="_1841834596" r:id="rId372"/>
        </w:object>
      </w:r>
      <w:r w:rsidR="002E01BB" w:rsidRPr="00B71211">
        <w:rPr>
          <w:rFonts w:cs="Times New Roman"/>
          <w:szCs w:val="24"/>
        </w:rPr>
        <w:t xml:space="preserve"> is the estimated standard error for the same parameter</w:t>
      </w:r>
      <w:r w:rsidRPr="00B71211">
        <w:rPr>
          <w:rFonts w:cs="Times New Roman"/>
          <w:szCs w:val="24"/>
        </w:rPr>
        <w:t xml:space="preserve">, </w:t>
      </w:r>
      <w:r w:rsidR="00037976" w:rsidRPr="00B71211">
        <w:rPr>
          <w:rFonts w:cs="Times New Roman"/>
          <w:position w:val="-12"/>
          <w:szCs w:val="24"/>
        </w:rPr>
        <w:object w:dxaOrig="340" w:dyaOrig="360" w14:anchorId="559AECDB">
          <v:shape id="_x0000_i1222" type="#_x0000_t75" style="width:17.15pt;height:18pt" o:ole="" o:preferrelative="f">
            <v:imagedata r:id="rId373" o:title=""/>
            <o:lock v:ext="edit" aspectratio="f"/>
          </v:shape>
          <o:OLEObject Type="Embed" ProgID="Equation.DSMT4" ShapeID="_x0000_i1222" DrawAspect="Content" ObjectID="_1841834597" r:id="rId374"/>
        </w:object>
      </w:r>
      <w:r w:rsidRPr="00B71211">
        <w:rPr>
          <w:rFonts w:cs="Times New Roman"/>
          <w:szCs w:val="24"/>
        </w:rPr>
        <w:t xml:space="preserve"> is the true value of the parameter, </w:t>
      </w:r>
      <w:r w:rsidR="00305B98" w:rsidRPr="00B71211">
        <w:rPr>
          <w:rFonts w:cs="Times New Roman"/>
          <w:position w:val="-10"/>
          <w:szCs w:val="24"/>
        </w:rPr>
        <w:object w:dxaOrig="380" w:dyaOrig="320" w14:anchorId="1EEFF95E">
          <v:shape id="_x0000_i1223" type="#_x0000_t75" style="width:19.3pt;height:15.45pt" o:ole="">
            <v:imagedata r:id="rId375" o:title=""/>
          </v:shape>
          <o:OLEObject Type="Embed" ProgID="Equation.DSMT4" ShapeID="_x0000_i1223" DrawAspect="Content" ObjectID="_1841834598" r:id="rId376"/>
        </w:object>
      </w:r>
      <w:r w:rsidRPr="00B71211">
        <w:rPr>
          <w:rFonts w:cs="Times New Roman"/>
          <w:szCs w:val="24"/>
        </w:rPr>
        <w:t xml:space="preserve"> is an indicator function which takes a value of 1 if the argument in the bracket is true (otherwise 0), and </w:t>
      </w:r>
      <w:r w:rsidR="00DD69EB" w:rsidRPr="00B71211">
        <w:rPr>
          <w:rFonts w:cs="Times New Roman"/>
          <w:position w:val="-12"/>
          <w:szCs w:val="24"/>
        </w:rPr>
        <w:object w:dxaOrig="240" w:dyaOrig="360" w14:anchorId="7BC3EE73">
          <v:shape id="_x0000_i1224" type="#_x0000_t75" style="width:12pt;height:18pt" o:ole="" o:preferrelative="f">
            <v:imagedata r:id="rId377" o:title=""/>
            <o:lock v:ext="edit" aspectratio="f"/>
          </v:shape>
          <o:OLEObject Type="Embed" ProgID="Equation.DSMT4" ShapeID="_x0000_i1224" DrawAspect="Content" ObjectID="_1841834599" r:id="rId378"/>
        </w:object>
      </w:r>
      <w:r w:rsidR="00305B98" w:rsidRPr="00B71211">
        <w:rPr>
          <w:rFonts w:cs="Times New Roman"/>
          <w:szCs w:val="24"/>
        </w:rPr>
        <w:t xml:space="preserve"> </w:t>
      </w:r>
      <w:r w:rsidRPr="00B71211">
        <w:rPr>
          <w:rFonts w:cs="Times New Roman"/>
          <w:szCs w:val="24"/>
        </w:rPr>
        <w:t xml:space="preserve">is the t-statistic value for a given confidence level </w:t>
      </w:r>
      <w:r w:rsidR="00DD69EB" w:rsidRPr="00B71211">
        <w:rPr>
          <w:rFonts w:cs="Times New Roman"/>
          <w:position w:val="-10"/>
          <w:szCs w:val="24"/>
        </w:rPr>
        <w:object w:dxaOrig="1260" w:dyaOrig="320" w14:anchorId="0BDAA7E1">
          <v:shape id="_x0000_i1225" type="#_x0000_t75" style="width:63pt;height:15.85pt" o:ole="" o:preferrelative="f">
            <v:imagedata r:id="rId379" o:title=""/>
            <o:lock v:ext="edit" aspectratio="f"/>
          </v:shape>
          <o:OLEObject Type="Embed" ProgID="Equation.DSMT4" ShapeID="_x0000_i1225" DrawAspect="Content" ObjectID="_1841834600" r:id="rId380"/>
        </w:object>
      </w:r>
      <w:r w:rsidRPr="00B71211">
        <w:rPr>
          <w:rFonts w:cs="Times New Roman"/>
          <w:szCs w:val="24"/>
        </w:rPr>
        <w:t xml:space="preserve"> We compute CP values for </w:t>
      </w:r>
      <w:r w:rsidR="00334F36" w:rsidRPr="00B71211">
        <w:rPr>
          <w:rFonts w:cs="Times New Roman"/>
          <w:szCs w:val="24"/>
        </w:rPr>
        <w:t>95</w:t>
      </w:r>
      <w:r w:rsidRPr="00B71211">
        <w:rPr>
          <w:rFonts w:cs="Times New Roman"/>
          <w:szCs w:val="24"/>
        </w:rPr>
        <w:t>% nominal coverage probability (</w:t>
      </w:r>
      <w:r w:rsidR="00DD69EB" w:rsidRPr="00B71211">
        <w:rPr>
          <w:rFonts w:cs="Times New Roman"/>
          <w:position w:val="-6"/>
          <w:szCs w:val="24"/>
        </w:rPr>
        <w:object w:dxaOrig="880" w:dyaOrig="279" w14:anchorId="69DD8E96">
          <v:shape id="_x0000_i1226" type="#_x0000_t75" style="width:43.7pt;height:13.7pt" o:ole="" o:preferrelative="f">
            <v:imagedata r:id="rId381" o:title=""/>
            <o:lock v:ext="edit" aspectratio="f"/>
          </v:shape>
          <o:OLEObject Type="Embed" ProgID="Equation.DSMT4" ShapeID="_x0000_i1226" DrawAspect="Content" ObjectID="_1841834601" r:id="rId382"/>
        </w:object>
      </w:r>
      <w:r w:rsidRPr="00B71211">
        <w:rPr>
          <w:rFonts w:cs="Times New Roman"/>
          <w:szCs w:val="24"/>
        </w:rPr>
        <w:t xml:space="preserve">). </w:t>
      </w:r>
    </w:p>
    <w:p w14:paraId="217FBF29" w14:textId="1ADF71BC" w:rsidR="00204008" w:rsidRPr="00290D19" w:rsidRDefault="00204008" w:rsidP="009323C0">
      <w:pPr>
        <w:numPr>
          <w:ilvl w:val="0"/>
          <w:numId w:val="18"/>
        </w:numPr>
        <w:spacing w:line="240" w:lineRule="auto"/>
        <w:ind w:left="360"/>
        <w:rPr>
          <w:rFonts w:cs="Times New Roman"/>
          <w:szCs w:val="24"/>
        </w:rPr>
      </w:pPr>
      <w:r w:rsidRPr="00B71211">
        <w:rPr>
          <w:rFonts w:cs="Times New Roman"/>
          <w:szCs w:val="24"/>
        </w:rPr>
        <w:t xml:space="preserve">Compare the </w:t>
      </w:r>
      <w:r w:rsidR="00FA1A62" w:rsidRPr="00B71211">
        <w:rPr>
          <w:rFonts w:cs="Times New Roman"/>
          <w:szCs w:val="24"/>
        </w:rPr>
        <w:t xml:space="preserve">performance of the </w:t>
      </w:r>
      <w:r w:rsidRPr="00290D19">
        <w:rPr>
          <w:rFonts w:cs="Times New Roman"/>
          <w:szCs w:val="24"/>
        </w:rPr>
        <w:t xml:space="preserve">restrictive </w:t>
      </w:r>
      <w:r w:rsidR="00B71211">
        <w:rPr>
          <w:rFonts w:cs="Times New Roman"/>
          <w:szCs w:val="24"/>
        </w:rPr>
        <w:t xml:space="preserve">MNP </w:t>
      </w:r>
      <w:r w:rsidR="00FA1A62" w:rsidRPr="00B71211">
        <w:rPr>
          <w:rFonts w:cs="Times New Roman"/>
          <w:szCs w:val="24"/>
        </w:rPr>
        <w:t xml:space="preserve">model </w:t>
      </w:r>
      <w:r w:rsidRPr="00B71211">
        <w:rPr>
          <w:rFonts w:cs="Times New Roman"/>
          <w:szCs w:val="24"/>
        </w:rPr>
        <w:t>formulation</w:t>
      </w:r>
      <w:r w:rsidRPr="00290D19">
        <w:rPr>
          <w:rFonts w:cs="Times New Roman"/>
          <w:szCs w:val="24"/>
        </w:rPr>
        <w:t xml:space="preserve"> with the proposed model</w:t>
      </w:r>
      <w:r w:rsidR="00FA1A62" w:rsidRPr="00290D19">
        <w:rPr>
          <w:rFonts w:cs="Times New Roman"/>
          <w:szCs w:val="24"/>
        </w:rPr>
        <w:t xml:space="preserve"> using a likelihood ratio (LR) test. </w:t>
      </w:r>
      <w:r w:rsidRPr="00290D19">
        <w:rPr>
          <w:rFonts w:cs="Times New Roman"/>
          <w:szCs w:val="24"/>
        </w:rPr>
        <w:t>Th</w:t>
      </w:r>
      <w:r w:rsidR="00FA1A62" w:rsidRPr="00290D19">
        <w:rPr>
          <w:rFonts w:cs="Times New Roman"/>
          <w:szCs w:val="24"/>
        </w:rPr>
        <w:t xml:space="preserve">e LR </w:t>
      </w:r>
      <w:r w:rsidRPr="00290D19">
        <w:rPr>
          <w:rFonts w:cs="Times New Roman"/>
          <w:szCs w:val="24"/>
        </w:rPr>
        <w:t xml:space="preserve">statistic </w:t>
      </w:r>
      <w:r w:rsidR="00FA1A62" w:rsidRPr="00290D19">
        <w:rPr>
          <w:rFonts w:cs="Times New Roman"/>
          <w:szCs w:val="24"/>
        </w:rPr>
        <w:t xml:space="preserve">is </w:t>
      </w:r>
      <w:r w:rsidRPr="00290D19">
        <w:rPr>
          <w:rFonts w:cs="Times New Roman"/>
          <w:szCs w:val="24"/>
        </w:rPr>
        <w:t xml:space="preserve">computed for each data set separately, and compared with the chi-squared table value with the appropriate degrees of freedom. </w:t>
      </w:r>
      <w:r w:rsidR="00FA1A62" w:rsidRPr="00290D19">
        <w:rPr>
          <w:rFonts w:cs="Times New Roman"/>
          <w:szCs w:val="24"/>
        </w:rPr>
        <w:t xml:space="preserve">Then, the </w:t>
      </w:r>
      <w:r w:rsidRPr="00290D19">
        <w:rPr>
          <w:rFonts w:cs="Times New Roman"/>
          <w:szCs w:val="24"/>
        </w:rPr>
        <w:t>number of times (out of the 250 estimations corresponding to the 250 data sets) that the</w:t>
      </w:r>
      <w:r w:rsidR="00B663BB" w:rsidRPr="00290D19">
        <w:rPr>
          <w:rFonts w:cs="Times New Roman"/>
          <w:szCs w:val="24"/>
        </w:rPr>
        <w:t xml:space="preserve"> </w:t>
      </w:r>
      <w:r w:rsidRPr="00290D19">
        <w:rPr>
          <w:rFonts w:cs="Times New Roman"/>
          <w:szCs w:val="24"/>
        </w:rPr>
        <w:t xml:space="preserve">LR value rejects the </w:t>
      </w:r>
      <w:r w:rsidR="00B71211">
        <w:rPr>
          <w:rFonts w:cs="Times New Roman"/>
          <w:szCs w:val="24"/>
        </w:rPr>
        <w:t xml:space="preserve">MNP </w:t>
      </w:r>
      <w:r w:rsidRPr="00290D19">
        <w:rPr>
          <w:rFonts w:cs="Times New Roman"/>
          <w:szCs w:val="24"/>
        </w:rPr>
        <w:t xml:space="preserve">model in favor of the proposed </w:t>
      </w:r>
      <w:r w:rsidR="00B663BB" w:rsidRPr="00290D19">
        <w:rPr>
          <w:rFonts w:cs="Times New Roman"/>
          <w:szCs w:val="24"/>
        </w:rPr>
        <w:t xml:space="preserve">MNYJ </w:t>
      </w:r>
      <w:r w:rsidRPr="00290D19">
        <w:rPr>
          <w:rFonts w:cs="Times New Roman"/>
          <w:szCs w:val="24"/>
        </w:rPr>
        <w:t>model</w:t>
      </w:r>
      <w:r w:rsidR="00B663BB" w:rsidRPr="00290D19">
        <w:rPr>
          <w:rFonts w:cs="Times New Roman"/>
          <w:szCs w:val="24"/>
        </w:rPr>
        <w:t xml:space="preserve"> is calculated, along with the mean likelihood value across the 250 estimations for </w:t>
      </w:r>
      <w:r w:rsidR="00B71211">
        <w:rPr>
          <w:rFonts w:cs="Times New Roman"/>
          <w:szCs w:val="24"/>
        </w:rPr>
        <w:t xml:space="preserve">the MNP and MNYJ </w:t>
      </w:r>
      <w:r w:rsidR="00B663BB" w:rsidRPr="00290D19">
        <w:rPr>
          <w:rFonts w:cs="Times New Roman"/>
          <w:szCs w:val="24"/>
        </w:rPr>
        <w:t>model</w:t>
      </w:r>
      <w:r w:rsidR="00B71211">
        <w:rPr>
          <w:rFonts w:cs="Times New Roman"/>
          <w:szCs w:val="24"/>
        </w:rPr>
        <w:t>s.</w:t>
      </w:r>
      <w:r w:rsidR="00B663BB" w:rsidRPr="00B71211">
        <w:rPr>
          <w:rFonts w:cs="Times New Roman"/>
          <w:szCs w:val="24"/>
        </w:rPr>
        <w:t xml:space="preserve"> </w:t>
      </w:r>
    </w:p>
    <w:p w14:paraId="26847814" w14:textId="77777777" w:rsidR="00B663BB" w:rsidRPr="00290D19" w:rsidRDefault="00B663BB" w:rsidP="009323C0">
      <w:pPr>
        <w:spacing w:line="240" w:lineRule="auto"/>
        <w:rPr>
          <w:rFonts w:cs="Times New Roman"/>
          <w:b/>
          <w:color w:val="000000"/>
          <w:szCs w:val="24"/>
        </w:rPr>
      </w:pPr>
    </w:p>
    <w:p w14:paraId="1E038A8D" w14:textId="532572D8" w:rsidR="005F57A7" w:rsidRPr="00290D19" w:rsidRDefault="000275D4" w:rsidP="009323C0">
      <w:pPr>
        <w:spacing w:line="240" w:lineRule="auto"/>
        <w:rPr>
          <w:rFonts w:cs="Times New Roman"/>
          <w:b/>
          <w:color w:val="000000"/>
          <w:szCs w:val="24"/>
        </w:rPr>
      </w:pPr>
      <w:r w:rsidRPr="00290D19">
        <w:rPr>
          <w:rFonts w:cs="Times New Roman"/>
          <w:b/>
          <w:color w:val="000000"/>
          <w:szCs w:val="24"/>
        </w:rPr>
        <w:t>3.3</w:t>
      </w:r>
      <w:r w:rsidR="005F57A7" w:rsidRPr="00290D19">
        <w:rPr>
          <w:rFonts w:cs="Times New Roman"/>
          <w:b/>
          <w:color w:val="000000"/>
          <w:szCs w:val="24"/>
        </w:rPr>
        <w:t>. Simulation Results</w:t>
      </w:r>
    </w:p>
    <w:p w14:paraId="08E712CD" w14:textId="6529BF1B" w:rsidR="005F57A7" w:rsidRPr="00290D19" w:rsidRDefault="000275D4" w:rsidP="009323C0">
      <w:pPr>
        <w:spacing w:line="240" w:lineRule="auto"/>
        <w:rPr>
          <w:rFonts w:cs="Times New Roman"/>
          <w:b/>
          <w:i/>
          <w:color w:val="000000"/>
          <w:szCs w:val="24"/>
        </w:rPr>
      </w:pPr>
      <w:r w:rsidRPr="00290D19">
        <w:rPr>
          <w:rFonts w:cs="Times New Roman"/>
          <w:b/>
          <w:i/>
          <w:color w:val="000000"/>
          <w:szCs w:val="24"/>
        </w:rPr>
        <w:t>3.3</w:t>
      </w:r>
      <w:r w:rsidR="005F57A7" w:rsidRPr="00290D19">
        <w:rPr>
          <w:rFonts w:cs="Times New Roman"/>
          <w:b/>
          <w:i/>
          <w:color w:val="000000"/>
          <w:szCs w:val="24"/>
        </w:rPr>
        <w:t>.1 Ability of M</w:t>
      </w:r>
      <w:r w:rsidR="00B663BB" w:rsidRPr="00290D19">
        <w:rPr>
          <w:rFonts w:cs="Times New Roman"/>
          <w:b/>
          <w:i/>
          <w:color w:val="000000"/>
          <w:szCs w:val="24"/>
        </w:rPr>
        <w:t>NYJ</w:t>
      </w:r>
      <w:r w:rsidR="005F57A7" w:rsidRPr="00290D19">
        <w:rPr>
          <w:rFonts w:cs="Times New Roman"/>
          <w:b/>
          <w:i/>
          <w:color w:val="000000"/>
          <w:szCs w:val="24"/>
        </w:rPr>
        <w:t xml:space="preserve"> to Recover Model Parameters</w:t>
      </w:r>
    </w:p>
    <w:p w14:paraId="698EC9C5" w14:textId="79B1972F" w:rsidR="0015455F" w:rsidRPr="00290D19" w:rsidRDefault="00B663BB" w:rsidP="009323C0">
      <w:pPr>
        <w:spacing w:line="240" w:lineRule="auto"/>
        <w:rPr>
          <w:rFonts w:cs="Times New Roman"/>
          <w:szCs w:val="24"/>
        </w:rPr>
      </w:pPr>
      <w:r w:rsidRPr="00290D19">
        <w:rPr>
          <w:rFonts w:cs="Times New Roman"/>
          <w:color w:val="000000"/>
          <w:szCs w:val="24"/>
        </w:rPr>
        <w:t xml:space="preserve">Table </w:t>
      </w:r>
      <w:r w:rsidR="00406723" w:rsidRPr="00290D19">
        <w:rPr>
          <w:rFonts w:cs="Times New Roman"/>
          <w:color w:val="000000"/>
          <w:szCs w:val="24"/>
        </w:rPr>
        <w:t>1</w:t>
      </w:r>
      <w:r w:rsidRPr="00290D19">
        <w:rPr>
          <w:rFonts w:cs="Times New Roman"/>
          <w:color w:val="000000"/>
          <w:szCs w:val="24"/>
        </w:rPr>
        <w:t xml:space="preserve"> presents</w:t>
      </w:r>
      <w:r w:rsidR="00B71211">
        <w:rPr>
          <w:rFonts w:cs="Times New Roman"/>
          <w:color w:val="000000"/>
          <w:szCs w:val="24"/>
        </w:rPr>
        <w:t xml:space="preserve"> the simulation </w:t>
      </w:r>
      <w:r w:rsidR="00734907" w:rsidRPr="00290D19">
        <w:rPr>
          <w:rFonts w:cs="Times New Roman"/>
          <w:color w:val="000000"/>
          <w:szCs w:val="24"/>
        </w:rPr>
        <w:t xml:space="preserve">results. </w:t>
      </w:r>
      <w:r w:rsidR="004929D1" w:rsidRPr="00290D19">
        <w:rPr>
          <w:rFonts w:cs="Times New Roman"/>
          <w:color w:val="000000"/>
          <w:szCs w:val="24"/>
        </w:rPr>
        <w:t xml:space="preserve">We </w:t>
      </w:r>
      <w:r w:rsidR="00B71211">
        <w:rPr>
          <w:rFonts w:cs="Times New Roman"/>
          <w:color w:val="000000"/>
          <w:szCs w:val="24"/>
        </w:rPr>
        <w:t xml:space="preserve">first </w:t>
      </w:r>
      <w:r w:rsidR="004929D1" w:rsidRPr="00290D19">
        <w:rPr>
          <w:rFonts w:cs="Times New Roman"/>
          <w:color w:val="000000"/>
          <w:szCs w:val="24"/>
        </w:rPr>
        <w:t xml:space="preserve">focus on </w:t>
      </w:r>
      <w:r w:rsidR="0093725A" w:rsidRPr="00290D19">
        <w:rPr>
          <w:rFonts w:cs="Times New Roman"/>
          <w:szCs w:val="24"/>
        </w:rPr>
        <w:t>demonstrating the identifiability of all parameters in the MNYJ model</w:t>
      </w:r>
      <w:r w:rsidR="0031288A" w:rsidRPr="00290D19">
        <w:rPr>
          <w:rFonts w:cs="Times New Roman"/>
          <w:szCs w:val="24"/>
        </w:rPr>
        <w:t>,</w:t>
      </w:r>
      <w:r w:rsidR="00B71211">
        <w:rPr>
          <w:rFonts w:cs="Times New Roman"/>
          <w:szCs w:val="24"/>
        </w:rPr>
        <w:t xml:space="preserve"> as </w:t>
      </w:r>
      <w:r w:rsidR="0031288A" w:rsidRPr="00290D19">
        <w:rPr>
          <w:rFonts w:cs="Times New Roman"/>
          <w:szCs w:val="24"/>
        </w:rPr>
        <w:t>shown in the upper p</w:t>
      </w:r>
      <w:r w:rsidR="00B71211">
        <w:rPr>
          <w:rFonts w:cs="Times New Roman"/>
          <w:szCs w:val="24"/>
        </w:rPr>
        <w:t>anel</w:t>
      </w:r>
      <w:r w:rsidR="0031288A" w:rsidRPr="00290D19">
        <w:rPr>
          <w:rFonts w:cs="Times New Roman"/>
          <w:szCs w:val="24"/>
        </w:rPr>
        <w:t xml:space="preserve"> of Table 1. </w:t>
      </w:r>
      <w:r w:rsidR="00C3408B" w:rsidRPr="00290D19">
        <w:rPr>
          <w:rFonts w:cs="Times New Roman"/>
          <w:color w:val="000000"/>
          <w:szCs w:val="24"/>
        </w:rPr>
        <w:t xml:space="preserve">Overall, the results indicate excellent finite-sample performance of the MNYJ model in recovering all categories of parameters, including the main coefficients, correlation terms, scale parameters, and YJ transformation parameters </w:t>
      </w:r>
      <w:r w:rsidR="00B71211">
        <w:rPr>
          <w:rFonts w:cs="Times New Roman"/>
          <w:color w:val="000000"/>
          <w:szCs w:val="24"/>
        </w:rPr>
        <w:t xml:space="preserve">characterizing structural </w:t>
      </w:r>
      <w:r w:rsidR="00C3408B" w:rsidRPr="00290D19">
        <w:rPr>
          <w:rFonts w:cs="Times New Roman"/>
          <w:color w:val="000000"/>
          <w:szCs w:val="24"/>
        </w:rPr>
        <w:t>kernel error asymmetry.</w:t>
      </w:r>
      <w:r w:rsidR="0015455F" w:rsidRPr="00290D19">
        <w:rPr>
          <w:rFonts w:cs="Times New Roman"/>
          <w:color w:val="000000"/>
          <w:szCs w:val="24"/>
        </w:rPr>
        <w:t xml:space="preserve"> The mean parameter estimates are uniformly very close to their true values across all parameters. </w:t>
      </w:r>
      <w:r w:rsidR="00B71211">
        <w:rPr>
          <w:rFonts w:cs="Times New Roman"/>
          <w:color w:val="000000"/>
          <w:szCs w:val="24"/>
        </w:rPr>
        <w:t>In particular, t</w:t>
      </w:r>
      <w:r w:rsidR="0015455F" w:rsidRPr="00290D19">
        <w:rPr>
          <w:rFonts w:cs="Times New Roman"/>
          <w:color w:val="000000"/>
          <w:szCs w:val="24"/>
        </w:rPr>
        <w:t xml:space="preserve">he absolute percentage biases (APB) </w:t>
      </w:r>
      <w:r w:rsidR="00B71211">
        <w:rPr>
          <w:rFonts w:cs="Times New Roman"/>
          <w:color w:val="000000"/>
          <w:szCs w:val="24"/>
        </w:rPr>
        <w:t xml:space="preserve">(see third row of the upper panel of Table 1) </w:t>
      </w:r>
      <w:r w:rsidR="0015455F" w:rsidRPr="00B71211">
        <w:rPr>
          <w:rFonts w:cs="Times New Roman"/>
          <w:color w:val="000000"/>
          <w:szCs w:val="24"/>
        </w:rPr>
        <w:t>are generally below 1%</w:t>
      </w:r>
      <w:r w:rsidR="0015455F" w:rsidRPr="00290D19">
        <w:rPr>
          <w:rFonts w:cs="Times New Roman"/>
          <w:color w:val="000000"/>
          <w:szCs w:val="24"/>
        </w:rPr>
        <w:t>, with the largest APB being 3.</w:t>
      </w:r>
      <w:r w:rsidR="00B71211">
        <w:rPr>
          <w:rFonts w:cs="Times New Roman"/>
          <w:color w:val="000000"/>
          <w:szCs w:val="24"/>
        </w:rPr>
        <w:t>46</w:t>
      </w:r>
      <w:r w:rsidR="0015455F" w:rsidRPr="00B71211">
        <w:rPr>
          <w:rFonts w:cs="Times New Roman"/>
          <w:color w:val="000000"/>
          <w:szCs w:val="24"/>
        </w:rPr>
        <w:t xml:space="preserve">5% for one of the correlation-related parameters. </w:t>
      </w:r>
      <w:r w:rsidR="000B72F4" w:rsidRPr="00B71211">
        <w:rPr>
          <w:rFonts w:cs="Times New Roman"/>
          <w:color w:val="000000"/>
          <w:szCs w:val="24"/>
        </w:rPr>
        <w:t xml:space="preserve">The coverage probabilities (CPs) </w:t>
      </w:r>
      <w:r w:rsidR="00B71211">
        <w:rPr>
          <w:rFonts w:cs="Times New Roman"/>
          <w:color w:val="000000"/>
          <w:szCs w:val="24"/>
        </w:rPr>
        <w:t xml:space="preserve">in the fourth row </w:t>
      </w:r>
      <w:r w:rsidR="000B72F4" w:rsidRPr="00290D19">
        <w:rPr>
          <w:rFonts w:cs="Times New Roman"/>
          <w:color w:val="000000"/>
          <w:szCs w:val="24"/>
        </w:rPr>
        <w:t>provide an</w:t>
      </w:r>
      <w:r w:rsidR="00B71211">
        <w:rPr>
          <w:rFonts w:cs="Times New Roman"/>
          <w:color w:val="000000"/>
          <w:szCs w:val="24"/>
        </w:rPr>
        <w:t>other</w:t>
      </w:r>
      <w:r w:rsidR="000B72F4" w:rsidRPr="00B71211">
        <w:rPr>
          <w:rFonts w:cs="Times New Roman"/>
          <w:color w:val="000000"/>
          <w:szCs w:val="24"/>
        </w:rPr>
        <w:t xml:space="preserve"> assessment of the distribution of the parameter estimates around the true values based on the probability that the true values are contained </w:t>
      </w:r>
      <w:r w:rsidR="00B71211">
        <w:rPr>
          <w:rFonts w:cs="Times New Roman"/>
          <w:color w:val="000000"/>
          <w:szCs w:val="24"/>
        </w:rPr>
        <w:t>with</w:t>
      </w:r>
      <w:r w:rsidR="000B72F4" w:rsidRPr="00B71211">
        <w:rPr>
          <w:rFonts w:cs="Times New Roman"/>
          <w:color w:val="000000"/>
          <w:szCs w:val="24"/>
        </w:rPr>
        <w:t xml:space="preserve">in the </w:t>
      </w:r>
      <w:r w:rsidR="00B71211">
        <w:rPr>
          <w:rFonts w:cs="Times New Roman"/>
          <w:color w:val="000000"/>
          <w:szCs w:val="24"/>
        </w:rPr>
        <w:t xml:space="preserve">95% </w:t>
      </w:r>
      <w:r w:rsidR="000B72F4" w:rsidRPr="00B71211">
        <w:rPr>
          <w:rFonts w:cs="Times New Roman"/>
          <w:color w:val="000000"/>
          <w:szCs w:val="24"/>
        </w:rPr>
        <w:t xml:space="preserve">confidence interval. As shown in Table 1, the 95% CPs for the MNYJ model are consistently close to the 95% target, </w:t>
      </w:r>
      <w:r w:rsidR="000B72F4" w:rsidRPr="00B71211">
        <w:rPr>
          <w:rFonts w:cs="Times New Roman"/>
          <w:szCs w:val="24"/>
        </w:rPr>
        <w:t>wi</w:t>
      </w:r>
      <w:r w:rsidR="00B71211">
        <w:rPr>
          <w:rFonts w:cs="Times New Roman"/>
          <w:szCs w:val="24"/>
        </w:rPr>
        <w:t>th</w:t>
      </w:r>
      <w:r w:rsidR="000B72F4" w:rsidRPr="00290D19">
        <w:rPr>
          <w:rFonts w:cs="Times New Roman"/>
          <w:szCs w:val="24"/>
        </w:rPr>
        <w:t xml:space="preserve"> all estimated CPs falling between 9</w:t>
      </w:r>
      <w:r w:rsidR="00B71211">
        <w:rPr>
          <w:rFonts w:cs="Times New Roman"/>
          <w:szCs w:val="24"/>
        </w:rPr>
        <w:t>0</w:t>
      </w:r>
      <w:r w:rsidR="000B72F4" w:rsidRPr="00290D19">
        <w:rPr>
          <w:rFonts w:cs="Times New Roman"/>
          <w:szCs w:val="24"/>
        </w:rPr>
        <w:t xml:space="preserve">% and 97%. </w:t>
      </w:r>
    </w:p>
    <w:p w14:paraId="0C347C65" w14:textId="2D01D74B" w:rsidR="000B72F4" w:rsidRPr="00290D19" w:rsidRDefault="009867EA" w:rsidP="009323C0">
      <w:pPr>
        <w:spacing w:line="240" w:lineRule="auto"/>
        <w:ind w:firstLine="720"/>
        <w:rPr>
          <w:rFonts w:cs="Times New Roman"/>
          <w:szCs w:val="24"/>
        </w:rPr>
      </w:pPr>
      <w:r w:rsidRPr="00290D19">
        <w:rPr>
          <w:rFonts w:cs="Times New Roman"/>
          <w:szCs w:val="24"/>
        </w:rPr>
        <w:t xml:space="preserve">The precision of the MNYJ estimator is also </w:t>
      </w:r>
      <w:r w:rsidR="00B71211">
        <w:rPr>
          <w:rFonts w:cs="Times New Roman"/>
          <w:szCs w:val="24"/>
        </w:rPr>
        <w:t>notable</w:t>
      </w:r>
      <w:r w:rsidRPr="00290D19">
        <w:rPr>
          <w:rFonts w:cs="Times New Roman"/>
          <w:szCs w:val="24"/>
        </w:rPr>
        <w:t>. The finite sample standard deviations (FSSD) are small across all parameters, and the corresponding asymptotic standard errors (ASE) closely track the empirical FSSDs. This is further confirmed by the absolute percentage bias of the ASE (APBASE), which remains modest for most parameters. While a few parameters</w:t>
      </w:r>
      <w:r w:rsidR="001F282F" w:rsidRPr="00290D19">
        <w:rPr>
          <w:rFonts w:cs="Times New Roman"/>
          <w:szCs w:val="24"/>
        </w:rPr>
        <w:t xml:space="preserve"> </w:t>
      </w:r>
      <w:r w:rsidRPr="00290D19">
        <w:rPr>
          <w:rFonts w:cs="Times New Roman"/>
          <w:szCs w:val="24"/>
        </w:rPr>
        <w:t>exhibit higher APBASE values, these remain within reasonable bounds and do not materially affect inference.</w:t>
      </w:r>
    </w:p>
    <w:p w14:paraId="26328FE4" w14:textId="060DC39A" w:rsidR="00C3408B" w:rsidRPr="00290D19" w:rsidRDefault="009867EA" w:rsidP="009323C0">
      <w:pPr>
        <w:spacing w:line="240" w:lineRule="auto"/>
        <w:ind w:firstLine="720"/>
        <w:rPr>
          <w:rFonts w:cs="Times New Roman"/>
          <w:color w:val="000000"/>
          <w:szCs w:val="24"/>
        </w:rPr>
      </w:pPr>
      <w:r w:rsidRPr="00290D19">
        <w:rPr>
          <w:rFonts w:cs="Times New Roman"/>
          <w:color w:val="000000"/>
          <w:szCs w:val="24"/>
        </w:rPr>
        <w:t xml:space="preserve">Taken together, these results clearly demonstrate that the MNYJ model is able to accurately and precisely recover the true parameters of the data-generating process, including those </w:t>
      </w:r>
      <w:r w:rsidR="00997BB1" w:rsidRPr="00290D19">
        <w:rPr>
          <w:rFonts w:cs="Times New Roman"/>
          <w:color w:val="000000"/>
          <w:szCs w:val="24"/>
        </w:rPr>
        <w:t>relating to the</w:t>
      </w:r>
      <w:r w:rsidRPr="00290D19">
        <w:rPr>
          <w:rFonts w:cs="Times New Roman"/>
          <w:color w:val="000000"/>
          <w:szCs w:val="24"/>
        </w:rPr>
        <w:t xml:space="preserve"> asymmetric kernel error distributions</w:t>
      </w:r>
      <w:r w:rsidR="00997BB1" w:rsidRPr="00290D19">
        <w:rPr>
          <w:rFonts w:cs="Times New Roman"/>
          <w:color w:val="000000"/>
          <w:szCs w:val="24"/>
        </w:rPr>
        <w:t xml:space="preserve">. </w:t>
      </w:r>
    </w:p>
    <w:p w14:paraId="72A32BA4" w14:textId="77777777" w:rsidR="00C3408B" w:rsidRPr="00290D19" w:rsidRDefault="00C3408B" w:rsidP="009323C0">
      <w:pPr>
        <w:spacing w:line="240" w:lineRule="auto"/>
        <w:rPr>
          <w:rFonts w:cs="Times New Roman"/>
          <w:szCs w:val="24"/>
        </w:rPr>
      </w:pPr>
    </w:p>
    <w:p w14:paraId="42B030B1" w14:textId="4B492B52" w:rsidR="005D21EF" w:rsidRPr="00290D19" w:rsidRDefault="000275D4" w:rsidP="009323C0">
      <w:pPr>
        <w:spacing w:line="240" w:lineRule="auto"/>
        <w:rPr>
          <w:rFonts w:cs="Times New Roman"/>
          <w:b/>
          <w:i/>
          <w:color w:val="000000"/>
          <w:szCs w:val="24"/>
        </w:rPr>
      </w:pPr>
      <w:r w:rsidRPr="00290D19">
        <w:rPr>
          <w:rFonts w:cs="Times New Roman"/>
          <w:b/>
          <w:i/>
          <w:color w:val="000000"/>
          <w:szCs w:val="24"/>
        </w:rPr>
        <w:t>3.3.</w:t>
      </w:r>
      <w:r w:rsidR="004B3982" w:rsidRPr="00290D19">
        <w:rPr>
          <w:rFonts w:cs="Times New Roman"/>
          <w:b/>
          <w:i/>
          <w:color w:val="000000"/>
          <w:szCs w:val="24"/>
        </w:rPr>
        <w:t>2</w:t>
      </w:r>
      <w:r w:rsidR="005D21EF" w:rsidRPr="00290D19">
        <w:rPr>
          <w:rFonts w:cs="Times New Roman"/>
          <w:b/>
          <w:i/>
          <w:color w:val="000000"/>
          <w:szCs w:val="24"/>
        </w:rPr>
        <w:t xml:space="preserve"> Effect of Ignoring Asymmetry in the Random Coefficient and/or Kernel Distribution</w:t>
      </w:r>
    </w:p>
    <w:p w14:paraId="64DFC1F5" w14:textId="57C38066" w:rsidR="00776E99" w:rsidRPr="00290D19" w:rsidRDefault="00B81903" w:rsidP="00037976">
      <w:pPr>
        <w:spacing w:line="240" w:lineRule="auto"/>
        <w:rPr>
          <w:rFonts w:cs="Times New Roman"/>
          <w:szCs w:val="24"/>
        </w:rPr>
      </w:pPr>
      <w:r w:rsidRPr="00290D19">
        <w:rPr>
          <w:rFonts w:cs="Times New Roman"/>
          <w:szCs w:val="24"/>
        </w:rPr>
        <w:t xml:space="preserve">The lower panel of Table 1 reports the corresponding results for the traditional MNP model, which restricts the kernel error terms to follow a multivariate normal distribution. </w:t>
      </w:r>
      <w:r w:rsidR="00D3096A" w:rsidRPr="00290D19">
        <w:rPr>
          <w:rFonts w:cs="Times New Roman"/>
          <w:szCs w:val="24"/>
        </w:rPr>
        <w:t xml:space="preserve">Note that </w:t>
      </w:r>
      <w:r w:rsidR="00D521B6" w:rsidRPr="00290D19">
        <w:rPr>
          <w:rFonts w:cs="Times New Roman"/>
          <w:szCs w:val="24"/>
        </w:rPr>
        <w:t>there are two fewer correlation parameters and one fewer scale</w:t>
      </w:r>
      <w:r w:rsidR="000520AF">
        <w:rPr>
          <w:rFonts w:cs="Times New Roman"/>
          <w:szCs w:val="24"/>
        </w:rPr>
        <w:t>,</w:t>
      </w:r>
      <w:r w:rsidR="00D521B6" w:rsidRPr="00290D19">
        <w:rPr>
          <w:rFonts w:cs="Times New Roman"/>
          <w:szCs w:val="24"/>
        </w:rPr>
        <w:t xml:space="preserve"> as only the differenced co</w:t>
      </w:r>
      <w:r w:rsidR="00E70792">
        <w:rPr>
          <w:rFonts w:cs="Times New Roman"/>
          <w:szCs w:val="24"/>
        </w:rPr>
        <w:t>variance</w:t>
      </w:r>
      <w:r w:rsidR="00D521B6" w:rsidRPr="00290D19">
        <w:rPr>
          <w:rFonts w:cs="Times New Roman"/>
          <w:szCs w:val="24"/>
        </w:rPr>
        <w:t xml:space="preserve"> matrix</w:t>
      </w:r>
      <w:r w:rsidR="00E70792">
        <w:rPr>
          <w:rFonts w:cs="Times New Roman"/>
          <w:szCs w:val="24"/>
        </w:rPr>
        <w:t xml:space="preserve"> of the kernel errors</w:t>
      </w:r>
      <w:r w:rsidR="00D521B6" w:rsidRPr="00290D19">
        <w:rPr>
          <w:rFonts w:cs="Times New Roman"/>
          <w:szCs w:val="24"/>
        </w:rPr>
        <w:t xml:space="preserve"> is estimated. </w:t>
      </w:r>
      <w:r w:rsidR="000520AF">
        <w:rPr>
          <w:rFonts w:cs="Times New Roman"/>
          <w:szCs w:val="24"/>
        </w:rPr>
        <w:t xml:space="preserve">Further, while these estimated </w:t>
      </w:r>
      <w:r w:rsidR="008A339A">
        <w:rPr>
          <w:rFonts w:cs="Times New Roman"/>
          <w:szCs w:val="24"/>
        </w:rPr>
        <w:t xml:space="preserve">MNP </w:t>
      </w:r>
      <w:r w:rsidR="000520AF">
        <w:rPr>
          <w:rFonts w:cs="Times New Roman"/>
          <w:szCs w:val="24"/>
        </w:rPr>
        <w:t>values for the differenced covariance matrix are reported, there are no corresponding</w:t>
      </w:r>
      <w:r w:rsidR="00D521B6" w:rsidRPr="00290D19">
        <w:rPr>
          <w:rFonts w:cs="Times New Roman"/>
          <w:szCs w:val="24"/>
        </w:rPr>
        <w:t xml:space="preserve"> </w:t>
      </w:r>
      <w:r w:rsidR="003640C7" w:rsidRPr="00290D19">
        <w:rPr>
          <w:rFonts w:cs="Times New Roman"/>
          <w:szCs w:val="24"/>
        </w:rPr>
        <w:t>“true values”</w:t>
      </w:r>
      <w:r w:rsidR="000520AF">
        <w:rPr>
          <w:rFonts w:cs="Times New Roman"/>
          <w:szCs w:val="24"/>
        </w:rPr>
        <w:t xml:space="preserve"> </w:t>
      </w:r>
      <w:r w:rsidR="00776E99">
        <w:rPr>
          <w:rFonts w:cs="Times New Roman"/>
          <w:szCs w:val="24"/>
        </w:rPr>
        <w:t>with which to compare them, because</w:t>
      </w:r>
      <w:r w:rsidR="000520AF">
        <w:rPr>
          <w:rFonts w:cs="Times New Roman"/>
          <w:szCs w:val="24"/>
        </w:rPr>
        <w:t xml:space="preserve"> the data generation was based on the </w:t>
      </w:r>
      <w:r w:rsidR="008A339A">
        <w:rPr>
          <w:rFonts w:cs="Times New Roman"/>
          <w:szCs w:val="24"/>
        </w:rPr>
        <w:t xml:space="preserve">Gaussian copula correlation matrix </w:t>
      </w:r>
      <w:r w:rsidR="008A339A" w:rsidRPr="00077490">
        <w:rPr>
          <w:rFonts w:cs="Times New Roman"/>
          <w:b/>
          <w:bCs/>
          <w:szCs w:val="24"/>
        </w:rPr>
        <w:t>R</w:t>
      </w:r>
      <w:r w:rsidR="008A339A">
        <w:rPr>
          <w:rFonts w:cs="Times New Roman"/>
          <w:szCs w:val="24"/>
        </w:rPr>
        <w:t xml:space="preserve"> </w:t>
      </w:r>
      <w:r w:rsidR="001B5ABB">
        <w:rPr>
          <w:rFonts w:cs="Times New Roman"/>
          <w:szCs w:val="24"/>
        </w:rPr>
        <w:t xml:space="preserve">and the scale values </w:t>
      </w:r>
      <w:r w:rsidR="008A339A">
        <w:rPr>
          <w:rFonts w:cs="Times New Roman"/>
          <w:szCs w:val="24"/>
        </w:rPr>
        <w:t xml:space="preserve">for the </w:t>
      </w:r>
      <w:r w:rsidR="001B5ABB">
        <w:rPr>
          <w:rFonts w:cs="Times New Roman"/>
          <w:szCs w:val="24"/>
        </w:rPr>
        <w:t xml:space="preserve">non-Gaussian </w:t>
      </w:r>
      <w:r w:rsidR="000520AF">
        <w:rPr>
          <w:rFonts w:cs="Times New Roman"/>
          <w:szCs w:val="24"/>
        </w:rPr>
        <w:t xml:space="preserve">structural </w:t>
      </w:r>
      <w:r w:rsidR="008A339A">
        <w:rPr>
          <w:rFonts w:cs="Times New Roman"/>
          <w:szCs w:val="24"/>
        </w:rPr>
        <w:t xml:space="preserve">kernel error terms in </w:t>
      </w:r>
      <w:r w:rsidR="00E70792">
        <w:rPr>
          <w:rFonts w:cs="Times New Roman"/>
          <w:szCs w:val="24"/>
        </w:rPr>
        <w:t xml:space="preserve"> the MNYJ model</w:t>
      </w:r>
      <w:r w:rsidR="008A339A">
        <w:rPr>
          <w:rFonts w:cs="Times New Roman"/>
          <w:szCs w:val="24"/>
        </w:rPr>
        <w:t xml:space="preserve">. </w:t>
      </w:r>
      <w:r w:rsidR="00776E99">
        <w:rPr>
          <w:rFonts w:cs="Times New Roman"/>
          <w:szCs w:val="24"/>
        </w:rPr>
        <w:t xml:space="preserve">Thus, unlike </w:t>
      </w:r>
      <w:r w:rsidR="00776E99">
        <w:rPr>
          <w:rFonts w:cs="Times New Roman"/>
          <w:szCs w:val="24"/>
        </w:rPr>
        <w:lastRenderedPageBreak/>
        <w:t>the main coefficients, the estimated differenced covariance matrix parameters in the MNP model do not have direct counterparts in the data-generating process. Consequently</w:t>
      </w:r>
      <w:r w:rsidR="00037976">
        <w:rPr>
          <w:rFonts w:cs="Times New Roman"/>
          <w:szCs w:val="24"/>
        </w:rPr>
        <w:t>,</w:t>
      </w:r>
      <w:r w:rsidR="00E70792">
        <w:rPr>
          <w:rFonts w:cs="Times New Roman"/>
          <w:szCs w:val="24"/>
        </w:rPr>
        <w:t xml:space="preserve"> the focus of the comparison between the MNYJ and MNP models is on the main coefficients. </w:t>
      </w:r>
    </w:p>
    <w:p w14:paraId="50A73DB2" w14:textId="20164ECD" w:rsidR="003A7A34" w:rsidRPr="0093315A" w:rsidRDefault="00B81903" w:rsidP="00037976">
      <w:pPr>
        <w:spacing w:line="240" w:lineRule="auto"/>
        <w:ind w:firstLine="720"/>
        <w:rPr>
          <w:rFonts w:cs="Times New Roman"/>
          <w:szCs w:val="24"/>
        </w:rPr>
      </w:pPr>
      <w:r w:rsidRPr="00290D19">
        <w:rPr>
          <w:rFonts w:cs="Times New Roman"/>
          <w:szCs w:val="24"/>
        </w:rPr>
        <w:t xml:space="preserve">The results clearly show the poor performance of the </w:t>
      </w:r>
      <w:r w:rsidR="003A7A34" w:rsidRPr="00290D19">
        <w:rPr>
          <w:rFonts w:cs="Times New Roman"/>
          <w:szCs w:val="24"/>
        </w:rPr>
        <w:t xml:space="preserve">MNP model compared with the MNYJ model. </w:t>
      </w:r>
      <w:r w:rsidR="008F57F5" w:rsidRPr="00290D19">
        <w:rPr>
          <w:rFonts w:cs="Times New Roman"/>
          <w:szCs w:val="24"/>
        </w:rPr>
        <w:t xml:space="preserve">The MNP model displays substantial bias in several key parameters. </w:t>
      </w:r>
      <w:r w:rsidR="00173AB7">
        <w:rPr>
          <w:rFonts w:cs="Times New Roman"/>
          <w:szCs w:val="24"/>
        </w:rPr>
        <w:t xml:space="preserve">APB values </w:t>
      </w:r>
      <w:r w:rsidR="008F57F5" w:rsidRPr="00290D19">
        <w:rPr>
          <w:rFonts w:cs="Times New Roman"/>
          <w:szCs w:val="24"/>
        </w:rPr>
        <w:t>for the main coefficients all exceed 5%, with one exceeding 24%. These high levels of bias sharply contrast with the negligible biases observed under the correctly specified MNYJ model.</w:t>
      </w:r>
      <w:r w:rsidR="00B61A5D" w:rsidRPr="00290D19">
        <w:rPr>
          <w:rFonts w:cs="Times New Roman"/>
          <w:szCs w:val="24"/>
        </w:rPr>
        <w:t xml:space="preserve"> Similar poor performance may be observed based on the CPs, with</w:t>
      </w:r>
      <w:r w:rsidR="00F63F8E" w:rsidRPr="00290D19">
        <w:rPr>
          <w:rFonts w:cs="Times New Roman"/>
          <w:szCs w:val="24"/>
        </w:rPr>
        <w:t xml:space="preserve"> 95%</w:t>
      </w:r>
      <w:r w:rsidR="00B61A5D" w:rsidRPr="00290D19">
        <w:rPr>
          <w:rFonts w:cs="Times New Roman"/>
          <w:szCs w:val="24"/>
        </w:rPr>
        <w:t xml:space="preserve"> CPs for the MNP model </w:t>
      </w:r>
      <w:r w:rsidR="00F63F8E" w:rsidRPr="00290D19">
        <w:rPr>
          <w:rFonts w:cs="Times New Roman"/>
          <w:szCs w:val="24"/>
        </w:rPr>
        <w:t xml:space="preserve">dropping to </w:t>
      </w:r>
      <w:r w:rsidR="00B61A5D" w:rsidRPr="00290D19">
        <w:rPr>
          <w:rFonts w:cs="Times New Roman"/>
          <w:szCs w:val="24"/>
        </w:rPr>
        <w:t xml:space="preserve">as low as 1.6%. </w:t>
      </w:r>
      <w:r w:rsidR="00D375D0" w:rsidRPr="00290D19">
        <w:rPr>
          <w:rFonts w:cs="Times New Roman"/>
          <w:szCs w:val="24"/>
        </w:rPr>
        <w:t xml:space="preserve">Thus, while the </w:t>
      </w:r>
      <w:r w:rsidR="00CC2065" w:rsidRPr="00290D19">
        <w:rPr>
          <w:rFonts w:cs="Times New Roman"/>
          <w:szCs w:val="24"/>
        </w:rPr>
        <w:t>MNP model is somewhat more precise (with generally smaller FSSD and A</w:t>
      </w:r>
      <w:r w:rsidR="00173AB7">
        <w:rPr>
          <w:rFonts w:cs="Times New Roman"/>
          <w:szCs w:val="24"/>
        </w:rPr>
        <w:t>SE</w:t>
      </w:r>
      <w:r w:rsidR="00CC2065" w:rsidRPr="00290D19">
        <w:rPr>
          <w:rFonts w:cs="Times New Roman"/>
          <w:szCs w:val="24"/>
        </w:rPr>
        <w:t xml:space="preserve"> values), </w:t>
      </w:r>
      <w:r w:rsidR="00F35B1C" w:rsidRPr="00290D19">
        <w:rPr>
          <w:rFonts w:cs="Times New Roman"/>
          <w:szCs w:val="24"/>
        </w:rPr>
        <w:t>the bias</w:t>
      </w:r>
      <w:r w:rsidR="00173AB7">
        <w:rPr>
          <w:rFonts w:cs="Times New Roman"/>
          <w:szCs w:val="24"/>
        </w:rPr>
        <w:t xml:space="preserve"> in the</w:t>
      </w:r>
      <w:r w:rsidR="00F35B1C" w:rsidRPr="00290D19">
        <w:rPr>
          <w:rFonts w:cs="Times New Roman"/>
          <w:szCs w:val="24"/>
        </w:rPr>
        <w:t xml:space="preserve"> estimates </w:t>
      </w:r>
      <w:r w:rsidR="00173AB7">
        <w:rPr>
          <w:rFonts w:cs="Times New Roman"/>
          <w:szCs w:val="24"/>
        </w:rPr>
        <w:t xml:space="preserve">is clear, with the estimates </w:t>
      </w:r>
      <w:r w:rsidR="00F35B1C" w:rsidRPr="00173AB7">
        <w:rPr>
          <w:rFonts w:cs="Times New Roman"/>
          <w:szCs w:val="24"/>
        </w:rPr>
        <w:t>generally outside</w:t>
      </w:r>
      <w:r w:rsidR="00173AB7">
        <w:rPr>
          <w:rFonts w:cs="Times New Roman"/>
          <w:szCs w:val="24"/>
        </w:rPr>
        <w:t xml:space="preserve"> </w:t>
      </w:r>
      <w:r w:rsidR="008C3812" w:rsidRPr="00173AB7">
        <w:rPr>
          <w:rFonts w:cs="Times New Roman"/>
          <w:szCs w:val="24"/>
        </w:rPr>
        <w:t xml:space="preserve">the </w:t>
      </w:r>
      <w:r w:rsidR="00173AB7">
        <w:rPr>
          <w:rFonts w:cs="Times New Roman"/>
          <w:szCs w:val="24"/>
        </w:rPr>
        <w:t xml:space="preserve">95% </w:t>
      </w:r>
      <w:r w:rsidR="008C3812" w:rsidRPr="00173AB7">
        <w:rPr>
          <w:rFonts w:cs="Times New Roman"/>
          <w:szCs w:val="24"/>
        </w:rPr>
        <w:t xml:space="preserve">confidence interval of the true parameters. </w:t>
      </w:r>
      <w:r w:rsidR="005C1B05" w:rsidRPr="00173AB7">
        <w:rPr>
          <w:rFonts w:cs="Times New Roman"/>
          <w:szCs w:val="24"/>
        </w:rPr>
        <w:t>Overall, the use of a normal distribution for the kernel errors when there is asymmetry in the kernel parameters can lead to seriously mis-estimated distributions</w:t>
      </w:r>
      <w:r w:rsidR="008C3812" w:rsidRPr="00173AB7">
        <w:rPr>
          <w:rFonts w:cs="Times New Roman"/>
          <w:szCs w:val="24"/>
        </w:rPr>
        <w:t xml:space="preserve"> and poor estimates of true model parameters. </w:t>
      </w:r>
    </w:p>
    <w:p w14:paraId="210C364C" w14:textId="13C85060" w:rsidR="00B81903" w:rsidRPr="00290D19" w:rsidRDefault="008C3812" w:rsidP="00037976">
      <w:pPr>
        <w:spacing w:line="240" w:lineRule="auto"/>
        <w:ind w:firstLine="720"/>
        <w:rPr>
          <w:rFonts w:cs="Times New Roman"/>
          <w:szCs w:val="24"/>
        </w:rPr>
      </w:pPr>
      <w:r w:rsidRPr="0086018F">
        <w:rPr>
          <w:rFonts w:cs="Times New Roman"/>
          <w:szCs w:val="24"/>
        </w:rPr>
        <w:t xml:space="preserve">Regarding model fit, the MNYJ model also consistently outperforms the MNP model. </w:t>
      </w:r>
      <w:r w:rsidR="006718C0" w:rsidRPr="0086018F">
        <w:rPr>
          <w:rFonts w:cs="Times New Roman"/>
          <w:szCs w:val="24"/>
        </w:rPr>
        <w:t xml:space="preserve">The mean log-likelihood across the 250 datasets is </w:t>
      </w:r>
      <w:r w:rsidR="00680428">
        <w:rPr>
          <w:rFonts w:cs="Times New Roman"/>
          <w:szCs w:val="24"/>
        </w:rPr>
        <w:t xml:space="preserve">lower </w:t>
      </w:r>
      <w:r w:rsidR="006718C0" w:rsidRPr="00290D19">
        <w:rPr>
          <w:rFonts w:cs="Times New Roman"/>
          <w:szCs w:val="24"/>
        </w:rPr>
        <w:t>for the MNP model than for the MNYJ model. Furthermore, the likelihood ratio (LR) tests overwhelmingly favor the proposed MNYJ model, with the restrictive MNP specification rejected in 100% of the simulation runs.</w:t>
      </w:r>
      <w:r w:rsidR="00A31970" w:rsidRPr="00290D19">
        <w:rPr>
          <w:rFonts w:cs="Times New Roman"/>
          <w:szCs w:val="24"/>
        </w:rPr>
        <w:t xml:space="preserve"> </w:t>
      </w:r>
      <w:r w:rsidR="00B81903" w:rsidRPr="00290D19">
        <w:rPr>
          <w:rFonts w:cs="Times New Roman"/>
          <w:szCs w:val="24"/>
        </w:rPr>
        <w:t>Overall, these findings clearly demonstrate that ignoring asymmetry in the kernel error distribution leads to distorted estimates, unreliable inference, and inferior model fit. In contrast, the MNYJ framework provides a flexible and robust modeling structure that successfully captures both correlation and distributional asymmetries, leading to substantial gains in estimation accuracy and inference reliability.</w:t>
      </w:r>
    </w:p>
    <w:p w14:paraId="6AC7149D" w14:textId="77777777" w:rsidR="000275D4" w:rsidRPr="00290D19" w:rsidRDefault="000275D4" w:rsidP="00037976">
      <w:pPr>
        <w:spacing w:line="240" w:lineRule="auto"/>
        <w:rPr>
          <w:rFonts w:cs="Times New Roman"/>
          <w:szCs w:val="24"/>
        </w:rPr>
      </w:pPr>
    </w:p>
    <w:p w14:paraId="3A511A8B" w14:textId="23025626" w:rsidR="006A1B9D" w:rsidRPr="00290D19" w:rsidRDefault="005E55D1" w:rsidP="00037976">
      <w:pPr>
        <w:pStyle w:val="Heading1"/>
        <w:numPr>
          <w:ilvl w:val="0"/>
          <w:numId w:val="19"/>
        </w:numPr>
        <w:tabs>
          <w:tab w:val="left" w:pos="360"/>
        </w:tabs>
        <w:spacing w:before="0" w:after="0" w:line="240" w:lineRule="auto"/>
        <w:ind w:left="360"/>
        <w:rPr>
          <w:rFonts w:cs="Times New Roman"/>
          <w:szCs w:val="24"/>
        </w:rPr>
      </w:pPr>
      <w:r w:rsidRPr="00290D19">
        <w:rPr>
          <w:rFonts w:cs="Times New Roman"/>
          <w:szCs w:val="24"/>
        </w:rPr>
        <w:t>MODEL APPLICATION</w:t>
      </w:r>
      <w:r w:rsidR="00F85F7D" w:rsidRPr="00290D19">
        <w:rPr>
          <w:rFonts w:cs="Times New Roman"/>
          <w:szCs w:val="24"/>
        </w:rPr>
        <w:t xml:space="preserve"> DEMONSTRATION</w:t>
      </w:r>
    </w:p>
    <w:p w14:paraId="78B93839" w14:textId="0F78D770" w:rsidR="00F75B4B" w:rsidRPr="00290D19" w:rsidRDefault="00741CED" w:rsidP="00037976">
      <w:pPr>
        <w:spacing w:line="240" w:lineRule="auto"/>
        <w:rPr>
          <w:rFonts w:cs="Times New Roman"/>
          <w:szCs w:val="24"/>
        </w:rPr>
      </w:pPr>
      <w:r w:rsidRPr="00290D19">
        <w:rPr>
          <w:rFonts w:cs="Times New Roman"/>
          <w:szCs w:val="24"/>
        </w:rPr>
        <w:t xml:space="preserve">To demonstrate the practical application and </w:t>
      </w:r>
      <w:r w:rsidR="00F140EE" w:rsidRPr="00290D19">
        <w:rPr>
          <w:rFonts w:cs="Times New Roman"/>
          <w:szCs w:val="24"/>
        </w:rPr>
        <w:t>empirical importance of adopti</w:t>
      </w:r>
      <w:r w:rsidR="00B21CFC" w:rsidRPr="00290D19">
        <w:rPr>
          <w:rFonts w:cs="Times New Roman"/>
          <w:szCs w:val="24"/>
        </w:rPr>
        <w:t>ng</w:t>
      </w:r>
      <w:r w:rsidR="00F140EE" w:rsidRPr="00290D19">
        <w:rPr>
          <w:rFonts w:cs="Times New Roman"/>
          <w:szCs w:val="24"/>
        </w:rPr>
        <w:t xml:space="preserve"> the MNYJ model, </w:t>
      </w:r>
      <w:r w:rsidR="00F75B4B" w:rsidRPr="00290D19">
        <w:rPr>
          <w:rFonts w:cs="Times New Roman"/>
          <w:szCs w:val="24"/>
        </w:rPr>
        <w:t xml:space="preserve">we apply the model to analyze future vehicle ownership decisions and compare the model </w:t>
      </w:r>
      <w:r w:rsidR="00B21CFC" w:rsidRPr="00290D19">
        <w:rPr>
          <w:rFonts w:cs="Times New Roman"/>
          <w:szCs w:val="24"/>
        </w:rPr>
        <w:t xml:space="preserve">with several restricted versions. For this application we also include two </w:t>
      </w:r>
      <w:r w:rsidR="000718ED" w:rsidRPr="00290D19">
        <w:rPr>
          <w:rFonts w:cs="Times New Roman"/>
          <w:szCs w:val="24"/>
        </w:rPr>
        <w:t>random coefficients</w:t>
      </w:r>
      <w:r w:rsidR="00F85F7D" w:rsidRPr="00290D19">
        <w:rPr>
          <w:rFonts w:cs="Times New Roman"/>
          <w:szCs w:val="24"/>
        </w:rPr>
        <w:t xml:space="preserve">, as discussed later. </w:t>
      </w:r>
    </w:p>
    <w:p w14:paraId="44FD77D4" w14:textId="77777777" w:rsidR="00E511FD" w:rsidRPr="00290D19" w:rsidRDefault="00E511FD" w:rsidP="00037976">
      <w:pPr>
        <w:spacing w:line="240" w:lineRule="auto"/>
        <w:ind w:firstLine="720"/>
        <w:rPr>
          <w:rFonts w:cs="Times New Roman"/>
          <w:szCs w:val="24"/>
        </w:rPr>
      </w:pPr>
    </w:p>
    <w:p w14:paraId="53FA476E" w14:textId="6228D7AA" w:rsidR="00CD6B58" w:rsidRPr="00290D19" w:rsidRDefault="001A678C" w:rsidP="00037976">
      <w:pPr>
        <w:pStyle w:val="Heading2"/>
        <w:numPr>
          <w:ilvl w:val="0"/>
          <w:numId w:val="0"/>
        </w:numPr>
        <w:spacing w:before="0" w:after="0" w:line="240" w:lineRule="auto"/>
        <w:rPr>
          <w:rFonts w:cs="Times New Roman"/>
          <w:szCs w:val="24"/>
        </w:rPr>
      </w:pPr>
      <w:r w:rsidRPr="00290D19">
        <w:rPr>
          <w:rFonts w:cs="Times New Roman"/>
          <w:szCs w:val="24"/>
        </w:rPr>
        <w:t xml:space="preserve">4.1 </w:t>
      </w:r>
      <w:r w:rsidR="00CD6B58" w:rsidRPr="00290D19">
        <w:rPr>
          <w:rFonts w:cs="Times New Roman"/>
          <w:szCs w:val="24"/>
        </w:rPr>
        <w:t xml:space="preserve">Sample </w:t>
      </w:r>
      <w:r w:rsidR="000C0B75" w:rsidRPr="00290D19">
        <w:rPr>
          <w:rFonts w:cs="Times New Roman"/>
          <w:szCs w:val="24"/>
        </w:rPr>
        <w:t>D</w:t>
      </w:r>
      <w:r w:rsidR="00CD6B58" w:rsidRPr="00290D19">
        <w:rPr>
          <w:rFonts w:cs="Times New Roman"/>
          <w:szCs w:val="24"/>
        </w:rPr>
        <w:t>ata</w:t>
      </w:r>
    </w:p>
    <w:p w14:paraId="633E1081" w14:textId="37FD67D2" w:rsidR="00C07C12" w:rsidRPr="00DD5FA6" w:rsidRDefault="008161FE" w:rsidP="00037976">
      <w:pPr>
        <w:spacing w:line="240" w:lineRule="auto"/>
        <w:rPr>
          <w:rFonts w:cs="Times New Roman"/>
          <w:szCs w:val="24"/>
        </w:rPr>
      </w:pPr>
      <w:r w:rsidRPr="00290D19">
        <w:rPr>
          <w:rFonts w:cs="Times New Roman"/>
          <w:szCs w:val="24"/>
        </w:rPr>
        <w:t xml:space="preserve">The data for this analysis is drawn from </w:t>
      </w:r>
      <w:r w:rsidR="000C125C" w:rsidRPr="00290D19">
        <w:rPr>
          <w:rFonts w:cs="Times New Roman"/>
          <w:szCs w:val="24"/>
        </w:rPr>
        <w:t>the TOMNET Transformative Transportation Technologies (T4) Survey</w:t>
      </w:r>
      <w:r w:rsidR="00001B35" w:rsidRPr="00290D19">
        <w:rPr>
          <w:rFonts w:cs="Times New Roman"/>
          <w:szCs w:val="24"/>
        </w:rPr>
        <w:t xml:space="preserve">. </w:t>
      </w:r>
      <w:r w:rsidR="009C3A0C" w:rsidRPr="00290D19">
        <w:rPr>
          <w:rFonts w:cs="Times New Roman"/>
          <w:szCs w:val="24"/>
        </w:rPr>
        <w:t xml:space="preserve">The overarching objective of the T4 survey is to understand how emerging mobility technologies, particularly autonomous vehicles (AVs) and mobility-on-demand services such as ridehailing, may reshape individual travel behavior, vehicle ownership decisions, and long-term transportation outcomes. </w:t>
      </w:r>
      <w:r w:rsidR="00194A76" w:rsidRPr="00290D19">
        <w:rPr>
          <w:rFonts w:cs="Times New Roman"/>
          <w:szCs w:val="24"/>
        </w:rPr>
        <w:t xml:space="preserve">The full deployment of the T4 survey was conducted in late 2019 across four major metropolitan regions in the southern United States: Phoenix (AZ), Austin (TX), Atlanta (GA), and Tampa (FL). Data collection relied on a </w:t>
      </w:r>
      <w:r w:rsidR="001246DD" w:rsidRPr="00290D19">
        <w:rPr>
          <w:rFonts w:cs="Times New Roman"/>
          <w:szCs w:val="24"/>
        </w:rPr>
        <w:t xml:space="preserve">combination of </w:t>
      </w:r>
      <w:r w:rsidR="00E558D3" w:rsidRPr="00290D19">
        <w:rPr>
          <w:rFonts w:cs="Times New Roman"/>
          <w:szCs w:val="24"/>
        </w:rPr>
        <w:t xml:space="preserve">email and mail-based recruitment using </w:t>
      </w:r>
      <w:r w:rsidR="00194A76" w:rsidRPr="00290D19">
        <w:rPr>
          <w:rFonts w:cs="Times New Roman"/>
          <w:szCs w:val="24"/>
        </w:rPr>
        <w:t xml:space="preserve">random address-based sampling </w:t>
      </w:r>
      <w:r w:rsidR="005F6FCF" w:rsidRPr="00290D19">
        <w:rPr>
          <w:rFonts w:cs="Times New Roman"/>
          <w:szCs w:val="24"/>
        </w:rPr>
        <w:t xml:space="preserve">as well as Facebook advertisements (for a complete description of the survey and sampling approach, see </w:t>
      </w:r>
      <w:r w:rsidR="00F31372" w:rsidRPr="00B71211">
        <w:rPr>
          <w:rFonts w:cs="Times New Roman"/>
          <w:szCs w:val="24"/>
        </w:rPr>
        <w:fldChar w:fldCharType="begin"/>
      </w:r>
      <w:r w:rsidR="00DE5FE6" w:rsidRPr="00290D19">
        <w:rPr>
          <w:rFonts w:cs="Times New Roman"/>
          <w:szCs w:val="24"/>
        </w:rPr>
        <w:instrText xml:space="preserve"> ADDIN ZOTERO_ITEM CSL_CITATION {"citationID":"H9SjbVoe","properties":{"unsorted":false,"formattedCitation":"(Khoeini et al., 2018)","plainCitation":"(Khoeini et al., 2018)","dontUpdate":true,"noteIndex":0},"citationItems":[{"id":6929,"uris":["http://zotero.org/users/12832277/items/TNF4BF5Y"],"itemData":{"id":6929,"type":"report","publisher":"Teaching Old Models New Tricks (TOMNET) Transportation Center","publisher-place":"Arizona State University","title":"Attitudes towards Emerging Mobility Options and Technologies – Phase 1: Survey Design","author":[{"family":"Khoeini","given":"Sara"},{"family":"Pendyala","given":"Ram M."},{"family":"Capasso da Silva","given":"Denise"},{"family":"Lee","given":"Youngsung"},{"family":"Dias","given":"Felipe"},{"family":"Salon","given":"Deborah"},{"family":"Circella","given":"Giovanni"},{"family":"Maness","given":"Michael"}],"issued":{"date-parts":[["2018"]]}}}],"schema":"https://github.com/citation-style-language/schema/raw/master/csl-citation.json"} </w:instrText>
      </w:r>
      <w:r w:rsidR="00F31372" w:rsidRPr="00B71211">
        <w:rPr>
          <w:rFonts w:cs="Times New Roman"/>
          <w:szCs w:val="24"/>
        </w:rPr>
        <w:fldChar w:fldCharType="separate"/>
      </w:r>
      <w:r w:rsidR="00F31372" w:rsidRPr="00B71211">
        <w:rPr>
          <w:rFonts w:cs="Times New Roman"/>
          <w:szCs w:val="24"/>
        </w:rPr>
        <w:t>Khoeini et al., 2018)</w:t>
      </w:r>
      <w:r w:rsidR="00F31372" w:rsidRPr="00B71211">
        <w:rPr>
          <w:rFonts w:cs="Times New Roman"/>
          <w:szCs w:val="24"/>
        </w:rPr>
        <w:fldChar w:fldCharType="end"/>
      </w:r>
      <w:r w:rsidR="005F6FCF" w:rsidRPr="00B71211">
        <w:rPr>
          <w:rFonts w:cs="Times New Roman"/>
          <w:szCs w:val="24"/>
        </w:rPr>
        <w:t xml:space="preserve">. </w:t>
      </w:r>
      <w:r w:rsidR="002A12C5" w:rsidRPr="00B71211">
        <w:rPr>
          <w:rFonts w:cs="Times New Roman"/>
          <w:szCs w:val="24"/>
        </w:rPr>
        <w:t xml:space="preserve">The final combined sample across all four metropolitan regions </w:t>
      </w:r>
      <w:r w:rsidR="00A51D36" w:rsidRPr="0093315A">
        <w:rPr>
          <w:rFonts w:cs="Times New Roman"/>
          <w:szCs w:val="24"/>
        </w:rPr>
        <w:t>consisted of 3,465 responses. After cleaning</w:t>
      </w:r>
      <w:r w:rsidR="00610CDF" w:rsidRPr="0086018F">
        <w:rPr>
          <w:rFonts w:cs="Times New Roman"/>
          <w:szCs w:val="24"/>
        </w:rPr>
        <w:t xml:space="preserve"> and removing obviously erroneous responses, a total of 3,202 </w:t>
      </w:r>
      <w:r w:rsidR="008F7ACA" w:rsidRPr="0086018F">
        <w:rPr>
          <w:rFonts w:cs="Times New Roman"/>
          <w:szCs w:val="24"/>
        </w:rPr>
        <w:t xml:space="preserve">individuals </w:t>
      </w:r>
      <w:r w:rsidR="00610CDF" w:rsidRPr="0086018F">
        <w:rPr>
          <w:rFonts w:cs="Times New Roman"/>
          <w:szCs w:val="24"/>
        </w:rPr>
        <w:t>were retained for the analysis.</w:t>
      </w:r>
      <w:r w:rsidR="00610CDF" w:rsidRPr="00DD5FA6">
        <w:rPr>
          <w:rFonts w:cs="Times New Roman"/>
          <w:szCs w:val="24"/>
        </w:rPr>
        <w:t xml:space="preserve"> </w:t>
      </w:r>
    </w:p>
    <w:p w14:paraId="660D4DD6" w14:textId="45098C52" w:rsidR="008F7ACA" w:rsidRPr="00290D19" w:rsidRDefault="008F7ACA" w:rsidP="00037976">
      <w:pPr>
        <w:spacing w:line="240" w:lineRule="auto"/>
        <w:rPr>
          <w:rFonts w:cs="Times New Roman"/>
          <w:szCs w:val="24"/>
        </w:rPr>
      </w:pPr>
      <w:r w:rsidRPr="009E4296">
        <w:rPr>
          <w:rFonts w:cs="Times New Roman"/>
          <w:szCs w:val="24"/>
        </w:rPr>
        <w:tab/>
      </w:r>
      <w:r w:rsidR="00647D25" w:rsidRPr="009E4296">
        <w:rPr>
          <w:rFonts w:cs="Times New Roman"/>
          <w:szCs w:val="24"/>
        </w:rPr>
        <w:t>Using the T4 survey data we focus on a sta</w:t>
      </w:r>
      <w:r w:rsidR="00647D25" w:rsidRPr="00290D19">
        <w:rPr>
          <w:rFonts w:cs="Times New Roman"/>
          <w:szCs w:val="24"/>
        </w:rPr>
        <w:t xml:space="preserve">ted preference question </w:t>
      </w:r>
      <w:r w:rsidR="00921564" w:rsidRPr="00290D19">
        <w:rPr>
          <w:rFonts w:cs="Times New Roman"/>
          <w:szCs w:val="24"/>
        </w:rPr>
        <w:t xml:space="preserve">about future </w:t>
      </w:r>
      <w:r w:rsidR="00FF6CF5" w:rsidRPr="00290D19">
        <w:rPr>
          <w:rFonts w:cs="Times New Roman"/>
          <w:szCs w:val="24"/>
        </w:rPr>
        <w:t>intentions</w:t>
      </w:r>
      <w:r w:rsidR="00921564" w:rsidRPr="00290D19">
        <w:rPr>
          <w:rFonts w:cs="Times New Roman"/>
          <w:szCs w:val="24"/>
        </w:rPr>
        <w:t xml:space="preserve"> regarding the </w:t>
      </w:r>
      <w:r w:rsidR="00715053" w:rsidRPr="00290D19">
        <w:rPr>
          <w:rFonts w:cs="Times New Roman"/>
          <w:szCs w:val="24"/>
        </w:rPr>
        <w:t>adoption/</w:t>
      </w:r>
      <w:r w:rsidR="00921564" w:rsidRPr="00290D19">
        <w:rPr>
          <w:rFonts w:cs="Times New Roman"/>
          <w:szCs w:val="24"/>
        </w:rPr>
        <w:t>use of automated vehicles</w:t>
      </w:r>
      <w:r w:rsidR="00715053" w:rsidRPr="00290D19">
        <w:rPr>
          <w:rFonts w:cs="Times New Roman"/>
          <w:szCs w:val="24"/>
        </w:rPr>
        <w:t xml:space="preserve"> (AVs)</w:t>
      </w:r>
      <w:r w:rsidR="00921564" w:rsidRPr="00290D19">
        <w:rPr>
          <w:rFonts w:cs="Times New Roman"/>
          <w:szCs w:val="24"/>
        </w:rPr>
        <w:t xml:space="preserve">. </w:t>
      </w:r>
      <w:r w:rsidR="00AD674C" w:rsidRPr="00290D19">
        <w:rPr>
          <w:rFonts w:cs="Times New Roman"/>
          <w:szCs w:val="24"/>
        </w:rPr>
        <w:t xml:space="preserve">Respondents were </w:t>
      </w:r>
      <w:r w:rsidR="00A90284" w:rsidRPr="00290D19">
        <w:rPr>
          <w:rFonts w:cs="Times New Roman"/>
          <w:szCs w:val="24"/>
        </w:rPr>
        <w:t>asked about their next car purchase decision in a scenario where AVs were available for purchase</w:t>
      </w:r>
      <w:r w:rsidR="00715053" w:rsidRPr="00290D19">
        <w:rPr>
          <w:rFonts w:cs="Times New Roman"/>
          <w:szCs w:val="24"/>
        </w:rPr>
        <w:t xml:space="preserve"> </w:t>
      </w:r>
      <w:r w:rsidR="00A90284" w:rsidRPr="00290D19">
        <w:rPr>
          <w:rFonts w:cs="Times New Roman"/>
          <w:szCs w:val="24"/>
        </w:rPr>
        <w:t>or to use vi</w:t>
      </w:r>
      <w:r w:rsidR="00715053" w:rsidRPr="00290D19">
        <w:rPr>
          <w:rFonts w:cs="Times New Roman"/>
          <w:szCs w:val="24"/>
        </w:rPr>
        <w:t>a</w:t>
      </w:r>
      <w:r w:rsidR="00A90284" w:rsidRPr="00290D19">
        <w:rPr>
          <w:rFonts w:cs="Times New Roman"/>
          <w:szCs w:val="24"/>
        </w:rPr>
        <w:t xml:space="preserve"> ridehailing </w:t>
      </w:r>
      <w:r w:rsidR="00A90284" w:rsidRPr="00290D19">
        <w:rPr>
          <w:rFonts w:cs="Times New Roman"/>
          <w:szCs w:val="24"/>
        </w:rPr>
        <w:lastRenderedPageBreak/>
        <w:t>services</w:t>
      </w:r>
      <w:r w:rsidR="00715053" w:rsidRPr="00290D19">
        <w:rPr>
          <w:rFonts w:cs="Times New Roman"/>
          <w:szCs w:val="24"/>
        </w:rPr>
        <w:t xml:space="preserve">. To provide additional market environment context, respondents were asked to assume that </w:t>
      </w:r>
      <w:r w:rsidR="00A90284" w:rsidRPr="00290D19">
        <w:rPr>
          <w:rFonts w:cs="Times New Roman"/>
          <w:szCs w:val="24"/>
        </w:rPr>
        <w:t>half of the vehicles on the streets were AVs</w:t>
      </w:r>
      <w:r w:rsidR="00715053" w:rsidRPr="00290D19">
        <w:rPr>
          <w:rFonts w:cs="Times New Roman"/>
          <w:szCs w:val="24"/>
        </w:rPr>
        <w:t xml:space="preserve">. The </w:t>
      </w:r>
      <w:r w:rsidR="00AD674C" w:rsidRPr="00290D19">
        <w:rPr>
          <w:rFonts w:cs="Times New Roman"/>
          <w:szCs w:val="24"/>
        </w:rPr>
        <w:t>three alternatives</w:t>
      </w:r>
      <w:r w:rsidR="00715053" w:rsidRPr="00290D19">
        <w:rPr>
          <w:rFonts w:cs="Times New Roman"/>
          <w:szCs w:val="24"/>
        </w:rPr>
        <w:t xml:space="preserve"> presented were</w:t>
      </w:r>
      <w:r w:rsidR="00AD674C" w:rsidRPr="00290D19">
        <w:rPr>
          <w:rFonts w:cs="Times New Roman"/>
          <w:szCs w:val="24"/>
        </w:rPr>
        <w:t>:</w:t>
      </w:r>
    </w:p>
    <w:p w14:paraId="5E95ACD2" w14:textId="77777777" w:rsidR="00F57C13" w:rsidRPr="00290D19" w:rsidRDefault="00A90284" w:rsidP="00037976">
      <w:pPr>
        <w:pStyle w:val="ListParagraph"/>
        <w:numPr>
          <w:ilvl w:val="0"/>
          <w:numId w:val="23"/>
        </w:numPr>
        <w:spacing w:line="240" w:lineRule="auto"/>
        <w:rPr>
          <w:rFonts w:cs="Times New Roman"/>
          <w:szCs w:val="24"/>
        </w:rPr>
      </w:pPr>
      <w:r w:rsidRPr="00290D19">
        <w:rPr>
          <w:rFonts w:cs="Times New Roman"/>
          <w:szCs w:val="24"/>
        </w:rPr>
        <w:t>Buy a regular vehicle</w:t>
      </w:r>
    </w:p>
    <w:p w14:paraId="5002283E" w14:textId="7C78004C" w:rsidR="00F57C13" w:rsidRPr="00290D19" w:rsidRDefault="00F57C13" w:rsidP="00037976">
      <w:pPr>
        <w:pStyle w:val="ListParagraph"/>
        <w:numPr>
          <w:ilvl w:val="0"/>
          <w:numId w:val="23"/>
        </w:numPr>
        <w:spacing w:line="240" w:lineRule="auto"/>
        <w:rPr>
          <w:rFonts w:cs="Times New Roman"/>
          <w:szCs w:val="24"/>
        </w:rPr>
      </w:pPr>
      <w:r w:rsidRPr="00290D19">
        <w:rPr>
          <w:rFonts w:cs="Times New Roman"/>
          <w:szCs w:val="24"/>
        </w:rPr>
        <w:t>Buy an AV</w:t>
      </w:r>
    </w:p>
    <w:p w14:paraId="68A6BDBD" w14:textId="77777777" w:rsidR="00F57C13" w:rsidRPr="00290D19" w:rsidRDefault="00F57C13" w:rsidP="00037976">
      <w:pPr>
        <w:pStyle w:val="ListParagraph"/>
        <w:numPr>
          <w:ilvl w:val="0"/>
          <w:numId w:val="23"/>
        </w:numPr>
        <w:spacing w:line="240" w:lineRule="auto"/>
        <w:rPr>
          <w:rFonts w:cs="Times New Roman"/>
          <w:szCs w:val="24"/>
        </w:rPr>
      </w:pPr>
      <w:r w:rsidRPr="00290D19">
        <w:rPr>
          <w:rFonts w:cs="Times New Roman"/>
          <w:szCs w:val="24"/>
        </w:rPr>
        <w:t>Don’t buy a vehicle and use AV ridehailing/rental services</w:t>
      </w:r>
    </w:p>
    <w:p w14:paraId="2F971163" w14:textId="3EA6E59A" w:rsidR="00AD674C" w:rsidRPr="00290D19" w:rsidRDefault="00715053" w:rsidP="00DD69EB">
      <w:pPr>
        <w:spacing w:before="120" w:line="240" w:lineRule="auto"/>
        <w:rPr>
          <w:rFonts w:cs="Times New Roman"/>
          <w:szCs w:val="24"/>
        </w:rPr>
      </w:pPr>
      <w:r w:rsidRPr="00290D19">
        <w:rPr>
          <w:rFonts w:cs="Times New Roman"/>
          <w:szCs w:val="24"/>
        </w:rPr>
        <w:t>Alternative attributes included a</w:t>
      </w:r>
      <w:r w:rsidR="00AB34D4" w:rsidRPr="00290D19">
        <w:rPr>
          <w:rFonts w:cs="Times New Roman"/>
          <w:szCs w:val="24"/>
        </w:rPr>
        <w:t xml:space="preserve"> </w:t>
      </w:r>
      <w:r w:rsidR="00414194" w:rsidRPr="00290D19">
        <w:rPr>
          <w:rFonts w:cs="Times New Roman"/>
          <w:szCs w:val="24"/>
        </w:rPr>
        <w:t xml:space="preserve">fixed </w:t>
      </w:r>
      <w:r w:rsidRPr="00290D19">
        <w:rPr>
          <w:rFonts w:cs="Times New Roman"/>
          <w:szCs w:val="24"/>
        </w:rPr>
        <w:t xml:space="preserve">monthly </w:t>
      </w:r>
      <w:r w:rsidR="00414194" w:rsidRPr="00290D19">
        <w:rPr>
          <w:rFonts w:cs="Times New Roman"/>
          <w:szCs w:val="24"/>
        </w:rPr>
        <w:t xml:space="preserve">cost </w:t>
      </w:r>
      <w:r w:rsidR="00AB34D4" w:rsidRPr="00290D19">
        <w:rPr>
          <w:rFonts w:cs="Times New Roman"/>
          <w:szCs w:val="24"/>
        </w:rPr>
        <w:t xml:space="preserve">for </w:t>
      </w:r>
      <w:r w:rsidR="00E60F05" w:rsidRPr="00290D19">
        <w:rPr>
          <w:rFonts w:cs="Times New Roman"/>
          <w:szCs w:val="24"/>
        </w:rPr>
        <w:t>the purchase of a regular vehicle</w:t>
      </w:r>
      <w:r w:rsidR="00AB34D4" w:rsidRPr="00290D19">
        <w:rPr>
          <w:rFonts w:cs="Times New Roman"/>
          <w:szCs w:val="24"/>
        </w:rPr>
        <w:t xml:space="preserve"> </w:t>
      </w:r>
      <w:r w:rsidR="00E60F05" w:rsidRPr="00290D19">
        <w:rPr>
          <w:rFonts w:cs="Times New Roman"/>
          <w:szCs w:val="24"/>
        </w:rPr>
        <w:t xml:space="preserve">(ranging from $200 to $500) </w:t>
      </w:r>
      <w:r w:rsidR="00AB34D4" w:rsidRPr="00290D19">
        <w:rPr>
          <w:rFonts w:cs="Times New Roman"/>
          <w:szCs w:val="24"/>
        </w:rPr>
        <w:t xml:space="preserve">and </w:t>
      </w:r>
      <w:r w:rsidR="00E60F05" w:rsidRPr="00290D19">
        <w:rPr>
          <w:rFonts w:cs="Times New Roman"/>
          <w:szCs w:val="24"/>
        </w:rPr>
        <w:t>the purchase of an AV (ranging from $150 to $625)</w:t>
      </w:r>
      <w:r w:rsidR="00AB34D4" w:rsidRPr="00290D19">
        <w:rPr>
          <w:rFonts w:cs="Times New Roman"/>
          <w:szCs w:val="24"/>
        </w:rPr>
        <w:t>, a</w:t>
      </w:r>
      <w:r w:rsidR="00801757" w:rsidRPr="00290D19">
        <w:rPr>
          <w:rFonts w:cs="Times New Roman"/>
          <w:szCs w:val="24"/>
        </w:rPr>
        <w:t xml:space="preserve"> variable</w:t>
      </w:r>
      <w:r w:rsidR="00AB34D4" w:rsidRPr="00290D19">
        <w:rPr>
          <w:rFonts w:cs="Times New Roman"/>
          <w:szCs w:val="24"/>
        </w:rPr>
        <w:t xml:space="preserve"> per</w:t>
      </w:r>
      <w:r w:rsidR="00E60F05" w:rsidRPr="00290D19">
        <w:rPr>
          <w:rFonts w:cs="Times New Roman"/>
          <w:szCs w:val="24"/>
        </w:rPr>
        <w:t>-</w:t>
      </w:r>
      <w:r w:rsidR="00AB34D4" w:rsidRPr="00290D19">
        <w:rPr>
          <w:rFonts w:cs="Times New Roman"/>
          <w:szCs w:val="24"/>
        </w:rPr>
        <w:t>mile usage cost for all three options</w:t>
      </w:r>
      <w:r w:rsidR="00E151CE" w:rsidRPr="00290D19">
        <w:rPr>
          <w:rFonts w:cs="Times New Roman"/>
          <w:szCs w:val="24"/>
        </w:rPr>
        <w:t xml:space="preserve"> </w:t>
      </w:r>
      <w:r w:rsidR="00801757" w:rsidRPr="00290D19">
        <w:rPr>
          <w:rFonts w:cs="Times New Roman"/>
          <w:szCs w:val="24"/>
        </w:rPr>
        <w:t xml:space="preserve">(ranging from $0.25 to $0.75 for each purchased option and from $1.50 to $3.00 for the ridehailing option) </w:t>
      </w:r>
      <w:r w:rsidR="00E151CE" w:rsidRPr="00290D19">
        <w:rPr>
          <w:rFonts w:cs="Times New Roman"/>
          <w:szCs w:val="24"/>
        </w:rPr>
        <w:t xml:space="preserve">and an average waiting time for </w:t>
      </w:r>
      <w:r w:rsidR="00801757" w:rsidRPr="00290D19">
        <w:rPr>
          <w:rFonts w:cs="Times New Roman"/>
          <w:szCs w:val="24"/>
        </w:rPr>
        <w:t>ridehailing (ranging from 3 to 9 minutes)</w:t>
      </w:r>
      <w:r w:rsidR="00E151CE" w:rsidRPr="00290D19">
        <w:rPr>
          <w:rFonts w:cs="Times New Roman"/>
          <w:szCs w:val="24"/>
        </w:rPr>
        <w:t>, each of which was varied based on a random block design</w:t>
      </w:r>
      <w:r w:rsidR="00980F46" w:rsidRPr="00290D19">
        <w:rPr>
          <w:rFonts w:cs="Times New Roman"/>
          <w:szCs w:val="24"/>
        </w:rPr>
        <w:t xml:space="preserve"> (see </w:t>
      </w:r>
      <w:r w:rsidR="00F31372" w:rsidRPr="00B71211">
        <w:rPr>
          <w:rFonts w:cs="Times New Roman"/>
          <w:szCs w:val="24"/>
        </w:rPr>
        <w:fldChar w:fldCharType="begin"/>
      </w:r>
      <w:r w:rsidR="00DE5FE6" w:rsidRPr="00290D19">
        <w:rPr>
          <w:rFonts w:cs="Times New Roman"/>
          <w:szCs w:val="24"/>
        </w:rPr>
        <w:instrText xml:space="preserve"> ADDIN ZOTERO_ITEM CSL_CITATION {"citationID":"JJUrEFdc","properties":{"unsorted":false,"formattedCitation":"(Khoeini et al., 2019)","plainCitation":"(Khoeini et al., 2019)","dontUpdate":true,"noteIndex":0},"citationItems":[{"id":6930,"uris":["http://zotero.org/users/12832277/items/XIB3KLBU"],"itemData":{"id":6930,"type":"report","publisher":"Teaching Old Models New Tricks (TOMNET) Transportation Center","publisher-place":"Arizona State University","title":"Attitudes Towards Emerging Mobility Options and Technologies – Phase 2: Pilot and Full Survey Deployment","author":[{"family":"Khoeini","given":"Sara"},{"family":"Pendyala","given":"Ram M."},{"family":"Capasso da Silva","given":"Denise"},{"family":"Lee","given":"Youngsung"},{"family":"Dias","given":"Felipe"},{"family":"Salon","given":"Deborah"},{"family":"Circella","given":"Giovanni"},{"family":"Maness","given":"Michael"}],"issued":{"date-parts":[["2019"]]}}}],"schema":"https://github.com/citation-style-language/schema/raw/master/csl-citation.json"} </w:instrText>
      </w:r>
      <w:r w:rsidR="00F31372" w:rsidRPr="00B71211">
        <w:rPr>
          <w:rFonts w:cs="Times New Roman"/>
          <w:szCs w:val="24"/>
        </w:rPr>
        <w:fldChar w:fldCharType="separate"/>
      </w:r>
      <w:r w:rsidR="00F31372" w:rsidRPr="00B71211">
        <w:rPr>
          <w:rFonts w:cs="Times New Roman"/>
          <w:szCs w:val="24"/>
        </w:rPr>
        <w:t>Khoeini et al., 2019</w:t>
      </w:r>
      <w:r w:rsidR="00F31372" w:rsidRPr="00B71211">
        <w:rPr>
          <w:rFonts w:cs="Times New Roman"/>
          <w:szCs w:val="24"/>
        </w:rPr>
        <w:fldChar w:fldCharType="end"/>
      </w:r>
      <w:r w:rsidR="00F31372" w:rsidRPr="00B71211">
        <w:rPr>
          <w:rFonts w:cs="Times New Roman"/>
          <w:szCs w:val="24"/>
        </w:rPr>
        <w:t xml:space="preserve"> </w:t>
      </w:r>
      <w:r w:rsidR="00980F46" w:rsidRPr="00B71211">
        <w:rPr>
          <w:rFonts w:cs="Times New Roman"/>
          <w:szCs w:val="24"/>
        </w:rPr>
        <w:t xml:space="preserve">for </w:t>
      </w:r>
      <w:r w:rsidR="00980F46" w:rsidRPr="00173AB7">
        <w:rPr>
          <w:rFonts w:cs="Times New Roman"/>
          <w:szCs w:val="24"/>
        </w:rPr>
        <w:t>additional details regarding the stated preference question design)</w:t>
      </w:r>
      <w:r w:rsidR="00E151CE" w:rsidRPr="00680428">
        <w:rPr>
          <w:rFonts w:cs="Times New Roman"/>
          <w:szCs w:val="24"/>
        </w:rPr>
        <w:t>.</w:t>
      </w:r>
      <w:r w:rsidR="00EF1560">
        <w:rPr>
          <w:rStyle w:val="FootnoteReference"/>
          <w:szCs w:val="24"/>
        </w:rPr>
        <w:footnoteReference w:id="5"/>
      </w:r>
      <w:r w:rsidR="00980F46" w:rsidRPr="0093315A">
        <w:rPr>
          <w:rFonts w:cs="Times New Roman"/>
          <w:szCs w:val="24"/>
        </w:rPr>
        <w:t xml:space="preserve"> Participants were then asked to </w:t>
      </w:r>
      <w:r w:rsidR="00C23DB4" w:rsidRPr="0086018F">
        <w:rPr>
          <w:rFonts w:cs="Times New Roman"/>
          <w:szCs w:val="24"/>
        </w:rPr>
        <w:t xml:space="preserve">provide their preference from among </w:t>
      </w:r>
      <w:r w:rsidR="00980F46" w:rsidRPr="0086018F">
        <w:rPr>
          <w:rFonts w:cs="Times New Roman"/>
          <w:szCs w:val="24"/>
        </w:rPr>
        <w:t xml:space="preserve">the </w:t>
      </w:r>
      <w:r w:rsidR="00C23DB4" w:rsidRPr="0086018F">
        <w:rPr>
          <w:rFonts w:cs="Times New Roman"/>
          <w:szCs w:val="24"/>
        </w:rPr>
        <w:t xml:space="preserve">three </w:t>
      </w:r>
      <w:r w:rsidR="00980F46" w:rsidRPr="0086018F">
        <w:rPr>
          <w:rFonts w:cs="Times New Roman"/>
          <w:szCs w:val="24"/>
        </w:rPr>
        <w:t>alternatives</w:t>
      </w:r>
      <w:r w:rsidR="00C23DB4" w:rsidRPr="0086018F">
        <w:rPr>
          <w:rFonts w:cs="Times New Roman"/>
          <w:szCs w:val="24"/>
        </w:rPr>
        <w:t xml:space="preserve"> </w:t>
      </w:r>
      <w:r w:rsidR="00C23DB4" w:rsidRPr="00BF3D78">
        <w:rPr>
          <w:rFonts w:cs="Times New Roman"/>
          <w:szCs w:val="24"/>
        </w:rPr>
        <w:t xml:space="preserve">in two </w:t>
      </w:r>
      <w:r w:rsidR="00C23DB4" w:rsidRPr="00DD5FA6">
        <w:rPr>
          <w:rFonts w:cs="Times New Roman"/>
          <w:szCs w:val="24"/>
        </w:rPr>
        <w:t xml:space="preserve">separate scenarios. </w:t>
      </w:r>
      <w:r w:rsidR="00C23DB4" w:rsidRPr="009E4296">
        <w:rPr>
          <w:rFonts w:cs="Times New Roman"/>
          <w:szCs w:val="24"/>
        </w:rPr>
        <w:t>F</w:t>
      </w:r>
      <w:r w:rsidR="00F471BD" w:rsidRPr="009E4296">
        <w:rPr>
          <w:rFonts w:cs="Times New Roman"/>
          <w:szCs w:val="24"/>
        </w:rPr>
        <w:t>or</w:t>
      </w:r>
      <w:r w:rsidR="00F471BD" w:rsidRPr="00290D19">
        <w:rPr>
          <w:rFonts w:cs="Times New Roman"/>
          <w:szCs w:val="24"/>
        </w:rPr>
        <w:t xml:space="preserve"> the sake of simplicity</w:t>
      </w:r>
      <w:r w:rsidR="00C23DB4" w:rsidRPr="00290D19">
        <w:rPr>
          <w:rFonts w:cs="Times New Roman"/>
          <w:szCs w:val="24"/>
        </w:rPr>
        <w:t xml:space="preserve"> in the context of the proposed cross-sectional YJ model</w:t>
      </w:r>
      <w:r w:rsidR="00F471BD" w:rsidRPr="00290D19">
        <w:rPr>
          <w:rFonts w:cs="Times New Roman"/>
          <w:szCs w:val="24"/>
        </w:rPr>
        <w:t xml:space="preserve">, we consider only the first </w:t>
      </w:r>
      <w:r w:rsidR="000370D5" w:rsidRPr="00290D19">
        <w:rPr>
          <w:rFonts w:cs="Times New Roman"/>
          <w:szCs w:val="24"/>
        </w:rPr>
        <w:t>scenario presented to</w:t>
      </w:r>
      <w:r w:rsidR="00F471BD" w:rsidRPr="00290D19">
        <w:rPr>
          <w:rFonts w:cs="Times New Roman"/>
          <w:szCs w:val="24"/>
        </w:rPr>
        <w:t xml:space="preserve"> each individual. </w:t>
      </w:r>
    </w:p>
    <w:p w14:paraId="4C2DD588" w14:textId="3A714C56" w:rsidR="007E5EBC" w:rsidRPr="0086018F" w:rsidRDefault="007E5EBC" w:rsidP="00037976">
      <w:pPr>
        <w:spacing w:line="240" w:lineRule="auto"/>
        <w:rPr>
          <w:rFonts w:cs="Times New Roman"/>
          <w:szCs w:val="24"/>
        </w:rPr>
      </w:pPr>
      <w:r w:rsidRPr="00290D19">
        <w:rPr>
          <w:rFonts w:cs="Times New Roman"/>
          <w:szCs w:val="24"/>
        </w:rPr>
        <w:tab/>
        <w:t xml:space="preserve">Based on the attribute levels presented, 55.7% of respondents indicated that they would buy a regular vehicle, </w:t>
      </w:r>
      <w:r w:rsidR="000D3EF7" w:rsidRPr="00290D19">
        <w:rPr>
          <w:rFonts w:cs="Times New Roman"/>
          <w:szCs w:val="24"/>
        </w:rPr>
        <w:t xml:space="preserve">32.6% indicated that they would buy an AV, and 11.7% indicated that they would use a </w:t>
      </w:r>
      <w:r w:rsidR="00680428">
        <w:rPr>
          <w:rFonts w:cs="Times New Roman"/>
          <w:szCs w:val="24"/>
        </w:rPr>
        <w:t xml:space="preserve">AV </w:t>
      </w:r>
      <w:r w:rsidR="000D3EF7" w:rsidRPr="00680428">
        <w:rPr>
          <w:rFonts w:cs="Times New Roman"/>
          <w:szCs w:val="24"/>
        </w:rPr>
        <w:t xml:space="preserve">ridehailing service. </w:t>
      </w:r>
      <w:r w:rsidR="00D93ED0" w:rsidRPr="00680428">
        <w:rPr>
          <w:rFonts w:cs="Times New Roman"/>
          <w:szCs w:val="24"/>
        </w:rPr>
        <w:t xml:space="preserve">These aggregate results indicate that there is a good deal of skepticism still about autonomous vehicles, even for a future situation where they make up a good portion of vehicles on the road. </w:t>
      </w:r>
      <w:r w:rsidR="007B0992" w:rsidRPr="0093315A">
        <w:rPr>
          <w:rFonts w:cs="Times New Roman"/>
          <w:szCs w:val="24"/>
        </w:rPr>
        <w:t xml:space="preserve">The following section examines heterogeneity in such preferences based on the MNYJ model in comparison to several restricted models. </w:t>
      </w:r>
    </w:p>
    <w:p w14:paraId="5867C8C7" w14:textId="77777777" w:rsidR="000C0B75" w:rsidRPr="00DD5FA6" w:rsidRDefault="000C0B75" w:rsidP="00037976">
      <w:pPr>
        <w:spacing w:line="240" w:lineRule="auto"/>
        <w:ind w:firstLine="720"/>
        <w:rPr>
          <w:rFonts w:cs="Times New Roman"/>
          <w:szCs w:val="24"/>
        </w:rPr>
      </w:pPr>
    </w:p>
    <w:p w14:paraId="18AD4100" w14:textId="2B59AA85" w:rsidR="007A7977" w:rsidRPr="00290D19" w:rsidRDefault="008774BE" w:rsidP="00037976">
      <w:pPr>
        <w:pStyle w:val="Heading2"/>
        <w:numPr>
          <w:ilvl w:val="0"/>
          <w:numId w:val="0"/>
        </w:numPr>
        <w:spacing w:before="0" w:after="0" w:line="240" w:lineRule="auto"/>
        <w:ind w:left="576" w:hanging="576"/>
        <w:rPr>
          <w:rFonts w:cs="Times New Roman"/>
          <w:szCs w:val="24"/>
        </w:rPr>
      </w:pPr>
      <w:r w:rsidRPr="009E4296">
        <w:rPr>
          <w:rFonts w:cs="Times New Roman"/>
          <w:szCs w:val="24"/>
        </w:rPr>
        <w:t xml:space="preserve">4.2 </w:t>
      </w:r>
      <w:r w:rsidR="00E5582C" w:rsidRPr="009E4296">
        <w:rPr>
          <w:rFonts w:cs="Times New Roman"/>
          <w:szCs w:val="24"/>
        </w:rPr>
        <w:t xml:space="preserve">Model </w:t>
      </w:r>
      <w:r w:rsidR="000C0B75" w:rsidRPr="00290D19">
        <w:rPr>
          <w:rFonts w:cs="Times New Roman"/>
          <w:szCs w:val="24"/>
        </w:rPr>
        <w:t>R</w:t>
      </w:r>
      <w:r w:rsidR="00E5582C" w:rsidRPr="00290D19">
        <w:rPr>
          <w:rFonts w:cs="Times New Roman"/>
          <w:szCs w:val="24"/>
        </w:rPr>
        <w:t>esults</w:t>
      </w:r>
    </w:p>
    <w:p w14:paraId="348AAF7D" w14:textId="70A3326D" w:rsidR="00680428" w:rsidRDefault="00D33AB7" w:rsidP="00037976">
      <w:pPr>
        <w:spacing w:line="240" w:lineRule="auto"/>
        <w:rPr>
          <w:rFonts w:eastAsia="Times New Roman" w:cs="Times New Roman"/>
          <w:szCs w:val="24"/>
        </w:rPr>
      </w:pPr>
      <w:r w:rsidRPr="00290D19">
        <w:rPr>
          <w:rFonts w:cs="Times New Roman"/>
          <w:szCs w:val="24"/>
        </w:rPr>
        <w:t xml:space="preserve">Four different models were estimated in the current analysis: (1) </w:t>
      </w:r>
      <w:r w:rsidR="00BA7A13" w:rsidRPr="00290D19">
        <w:rPr>
          <w:rFonts w:cs="Times New Roman"/>
          <w:szCs w:val="24"/>
        </w:rPr>
        <w:t xml:space="preserve">the standard multinomial probit (MNP) model that </w:t>
      </w:r>
      <w:r w:rsidR="00680428">
        <w:rPr>
          <w:rFonts w:cs="Times New Roman"/>
          <w:szCs w:val="24"/>
        </w:rPr>
        <w:t xml:space="preserve">assumes </w:t>
      </w:r>
      <w:r w:rsidR="00BA7A13" w:rsidRPr="00290D19">
        <w:rPr>
          <w:rFonts w:cs="Times New Roman"/>
          <w:szCs w:val="24"/>
        </w:rPr>
        <w:t xml:space="preserve">symmetric </w:t>
      </w:r>
      <w:r w:rsidR="00CB7419" w:rsidRPr="00290D19">
        <w:rPr>
          <w:rFonts w:cs="Times New Roman"/>
          <w:szCs w:val="24"/>
        </w:rPr>
        <w:t xml:space="preserve">and non-skewed </w:t>
      </w:r>
      <w:r w:rsidR="00BA7A13" w:rsidRPr="00290D19">
        <w:rPr>
          <w:rFonts w:cs="Times New Roman"/>
          <w:szCs w:val="24"/>
        </w:rPr>
        <w:t>normal</w:t>
      </w:r>
      <w:r w:rsidR="00680428">
        <w:rPr>
          <w:rFonts w:cs="Times New Roman"/>
          <w:szCs w:val="24"/>
        </w:rPr>
        <w:t xml:space="preserve"> kernel</w:t>
      </w:r>
      <w:r w:rsidR="00BA7A13" w:rsidRPr="0093315A">
        <w:rPr>
          <w:rFonts w:cs="Times New Roman"/>
          <w:szCs w:val="24"/>
        </w:rPr>
        <w:t xml:space="preserve"> error distribution</w:t>
      </w:r>
      <w:r w:rsidR="00680428">
        <w:rPr>
          <w:rFonts w:cs="Times New Roman"/>
          <w:szCs w:val="24"/>
        </w:rPr>
        <w:t>s</w:t>
      </w:r>
      <w:r w:rsidR="00BA7A13" w:rsidRPr="0093315A">
        <w:rPr>
          <w:rFonts w:cs="Times New Roman"/>
          <w:szCs w:val="24"/>
        </w:rPr>
        <w:t xml:space="preserve"> </w:t>
      </w:r>
      <w:r w:rsidR="00CB7419" w:rsidRPr="0093315A">
        <w:rPr>
          <w:rFonts w:cs="Times New Roman"/>
          <w:szCs w:val="24"/>
        </w:rPr>
        <w:t xml:space="preserve">and no random coefficients, (2) </w:t>
      </w:r>
      <w:r w:rsidR="00373DEC" w:rsidRPr="0093315A">
        <w:rPr>
          <w:rFonts w:cs="Times New Roman"/>
          <w:szCs w:val="24"/>
        </w:rPr>
        <w:t xml:space="preserve">the </w:t>
      </w:r>
      <w:r w:rsidR="004E7199" w:rsidRPr="0093315A">
        <w:rPr>
          <w:rFonts w:cs="Times New Roman"/>
          <w:szCs w:val="24"/>
        </w:rPr>
        <w:t>multinomial probit model with random coefficients (or MNPRC)</w:t>
      </w:r>
      <w:r w:rsidR="008F2BAA" w:rsidRPr="00290D19">
        <w:rPr>
          <w:rFonts w:cs="Times New Roman"/>
          <w:szCs w:val="24"/>
        </w:rPr>
        <w:t xml:space="preserve">, (3) </w:t>
      </w:r>
      <w:r w:rsidR="007F0504" w:rsidRPr="00290D19">
        <w:rPr>
          <w:rFonts w:cs="Times New Roman"/>
          <w:szCs w:val="24"/>
        </w:rPr>
        <w:t xml:space="preserve">the </w:t>
      </w:r>
      <w:r w:rsidR="00A27A28" w:rsidRPr="00290D19">
        <w:rPr>
          <w:rFonts w:cs="Times New Roman"/>
          <w:szCs w:val="24"/>
        </w:rPr>
        <w:t xml:space="preserve">multinomial </w:t>
      </w:r>
      <w:r w:rsidR="00A27A28" w:rsidRPr="00290D19">
        <w:rPr>
          <w:rFonts w:eastAsia="Times New Roman" w:cs="Times New Roman"/>
          <w:szCs w:val="24"/>
        </w:rPr>
        <w:t xml:space="preserve">Yeo-Johnson (MNYJ) model that </w:t>
      </w:r>
      <w:r w:rsidR="00401FE4" w:rsidRPr="00290D19">
        <w:rPr>
          <w:rFonts w:eastAsia="Times New Roman" w:cs="Times New Roman"/>
          <w:szCs w:val="24"/>
        </w:rPr>
        <w:t xml:space="preserve">allows for skewed kernel error distributions but no random coefficients, and (4) the </w:t>
      </w:r>
      <w:r w:rsidR="00680428">
        <w:rPr>
          <w:rFonts w:eastAsia="Times New Roman" w:cs="Times New Roman"/>
          <w:szCs w:val="24"/>
        </w:rPr>
        <w:t xml:space="preserve">MNYJ </w:t>
      </w:r>
      <w:r w:rsidR="00401FE4" w:rsidRPr="00290D19">
        <w:rPr>
          <w:rFonts w:eastAsia="Times New Roman" w:cs="Times New Roman"/>
          <w:szCs w:val="24"/>
        </w:rPr>
        <w:t xml:space="preserve">model with random </w:t>
      </w:r>
      <w:r w:rsidR="00680428">
        <w:rPr>
          <w:rFonts w:eastAsia="Times New Roman" w:cs="Times New Roman"/>
          <w:szCs w:val="24"/>
        </w:rPr>
        <w:t xml:space="preserve">cost </w:t>
      </w:r>
      <w:r w:rsidR="00401FE4" w:rsidRPr="0093315A">
        <w:rPr>
          <w:rFonts w:eastAsia="Times New Roman" w:cs="Times New Roman"/>
          <w:szCs w:val="24"/>
        </w:rPr>
        <w:t>coefficients (MNYJRC)</w:t>
      </w:r>
      <w:r w:rsidR="00401FE4" w:rsidRPr="00290D19">
        <w:rPr>
          <w:rFonts w:eastAsia="Times New Roman" w:cs="Times New Roman"/>
          <w:szCs w:val="24"/>
        </w:rPr>
        <w:t>.</w:t>
      </w:r>
      <w:r w:rsidR="004F673E" w:rsidRPr="00290D19">
        <w:rPr>
          <w:rFonts w:eastAsia="Times New Roman" w:cs="Times New Roman"/>
          <w:szCs w:val="24"/>
        </w:rPr>
        <w:t xml:space="preserve"> </w:t>
      </w:r>
    </w:p>
    <w:p w14:paraId="22C091B6" w14:textId="3DE36CAC" w:rsidR="0018495E" w:rsidRPr="00DD5FA6" w:rsidRDefault="0018495E" w:rsidP="00037976">
      <w:pPr>
        <w:spacing w:line="240" w:lineRule="auto"/>
        <w:ind w:firstLine="720"/>
        <w:rPr>
          <w:rFonts w:eastAsia="Times New Roman" w:cs="Times New Roman"/>
          <w:szCs w:val="24"/>
        </w:rPr>
      </w:pPr>
      <w:r w:rsidRPr="0093315A">
        <w:rPr>
          <w:rFonts w:eastAsia="Times New Roman" w:cs="Times New Roman"/>
          <w:szCs w:val="24"/>
        </w:rPr>
        <w:t xml:space="preserve">The emphasis of our empirical efforts in this paper is to demonstrate the application of the proposed model rather than necessarily on substantive interpretations and policy implications. But, within the context of the data available, </w:t>
      </w:r>
      <w:r w:rsidRPr="0086018F">
        <w:rPr>
          <w:rFonts w:eastAsia="Times New Roman" w:cs="Times New Roman"/>
          <w:szCs w:val="24"/>
        </w:rPr>
        <w:t>t</w:t>
      </w:r>
      <w:r w:rsidR="00587A8C" w:rsidRPr="0086018F">
        <w:rPr>
          <w:rFonts w:eastAsia="Times New Roman" w:cs="Times New Roman"/>
          <w:szCs w:val="24"/>
        </w:rPr>
        <w:t xml:space="preserve">he exogenous variable specification </w:t>
      </w:r>
      <w:r w:rsidR="00965F02" w:rsidRPr="0086018F">
        <w:rPr>
          <w:rFonts w:eastAsia="Times New Roman" w:cs="Times New Roman"/>
          <w:szCs w:val="24"/>
        </w:rPr>
        <w:t xml:space="preserve">developed </w:t>
      </w:r>
      <w:r w:rsidR="00587A8C" w:rsidRPr="0086018F">
        <w:rPr>
          <w:rFonts w:eastAsia="Times New Roman" w:cs="Times New Roman"/>
          <w:szCs w:val="24"/>
        </w:rPr>
        <w:t xml:space="preserve">was based on </w:t>
      </w:r>
      <w:r w:rsidR="00965F02" w:rsidRPr="00DD5FA6">
        <w:rPr>
          <w:rFonts w:eastAsia="Times New Roman" w:cs="Times New Roman"/>
          <w:szCs w:val="24"/>
        </w:rPr>
        <w:t xml:space="preserve">considering a wide range of exogenous variable combinations </w:t>
      </w:r>
      <w:r w:rsidR="008F4A92" w:rsidRPr="00DD5FA6">
        <w:rPr>
          <w:rFonts w:eastAsia="Times New Roman" w:cs="Times New Roman"/>
          <w:szCs w:val="24"/>
        </w:rPr>
        <w:t xml:space="preserve">and including </w:t>
      </w:r>
      <w:r w:rsidRPr="009E4296">
        <w:rPr>
          <w:rFonts w:eastAsia="Times New Roman" w:cs="Times New Roman"/>
          <w:szCs w:val="24"/>
        </w:rPr>
        <w:t xml:space="preserve">categorical </w:t>
      </w:r>
      <w:r w:rsidR="008F4A92" w:rsidRPr="00290D19">
        <w:rPr>
          <w:rFonts w:eastAsia="Times New Roman" w:cs="Times New Roman"/>
          <w:szCs w:val="24"/>
        </w:rPr>
        <w:t xml:space="preserve">variables in their most disaggregate form </w:t>
      </w:r>
      <w:r w:rsidRPr="00290D19">
        <w:rPr>
          <w:rFonts w:eastAsia="Times New Roman" w:cs="Times New Roman"/>
          <w:szCs w:val="24"/>
        </w:rPr>
        <w:t xml:space="preserve">first </w:t>
      </w:r>
      <w:r w:rsidR="008F4A92" w:rsidRPr="00290D19">
        <w:rPr>
          <w:rFonts w:eastAsia="Times New Roman" w:cs="Times New Roman"/>
          <w:szCs w:val="24"/>
        </w:rPr>
        <w:t xml:space="preserve">before </w:t>
      </w:r>
      <w:r w:rsidR="001100AA" w:rsidRPr="00290D19">
        <w:rPr>
          <w:rFonts w:eastAsia="Times New Roman" w:cs="Times New Roman"/>
          <w:szCs w:val="24"/>
        </w:rPr>
        <w:t xml:space="preserve">progressively combining </w:t>
      </w:r>
      <w:r w:rsidRPr="00290D19">
        <w:rPr>
          <w:rFonts w:eastAsia="Times New Roman" w:cs="Times New Roman"/>
          <w:szCs w:val="24"/>
        </w:rPr>
        <w:t>categories</w:t>
      </w:r>
      <w:r w:rsidR="001100AA" w:rsidRPr="00290D19">
        <w:rPr>
          <w:rFonts w:eastAsia="Times New Roman" w:cs="Times New Roman"/>
          <w:szCs w:val="24"/>
        </w:rPr>
        <w:t xml:space="preserve"> </w:t>
      </w:r>
      <w:r w:rsidRPr="00290D19">
        <w:rPr>
          <w:rFonts w:eastAsia="Times New Roman" w:cs="Times New Roman"/>
          <w:szCs w:val="24"/>
        </w:rPr>
        <w:t xml:space="preserve">as appropriate </w:t>
      </w:r>
      <w:r w:rsidR="001100AA" w:rsidRPr="00290D19">
        <w:rPr>
          <w:rFonts w:eastAsia="Times New Roman" w:cs="Times New Roman"/>
          <w:szCs w:val="24"/>
        </w:rPr>
        <w:t xml:space="preserve">based on statistical tests. </w:t>
      </w:r>
      <w:r w:rsidRPr="00290D19">
        <w:rPr>
          <w:rFonts w:eastAsia="Times New Roman" w:cs="Times New Roman"/>
          <w:szCs w:val="24"/>
        </w:rPr>
        <w:t xml:space="preserve">Also, </w:t>
      </w:r>
      <w:r w:rsidR="003F5E16" w:rsidRPr="00290D19">
        <w:rPr>
          <w:rFonts w:eastAsia="Times New Roman" w:cs="Times New Roman"/>
          <w:szCs w:val="24"/>
        </w:rPr>
        <w:t xml:space="preserve">to </w:t>
      </w:r>
      <w:r w:rsidR="00D86F87">
        <w:rPr>
          <w:rFonts w:eastAsia="Times New Roman" w:cs="Times New Roman"/>
          <w:szCs w:val="24"/>
        </w:rPr>
        <w:t>compare</w:t>
      </w:r>
      <w:r w:rsidR="003F5E16" w:rsidRPr="00290D19">
        <w:rPr>
          <w:rFonts w:eastAsia="Times New Roman" w:cs="Times New Roman"/>
          <w:szCs w:val="24"/>
        </w:rPr>
        <w:t xml:space="preserve"> </w:t>
      </w:r>
      <w:r w:rsidR="00D86F87">
        <w:rPr>
          <w:rFonts w:eastAsia="Times New Roman" w:cs="Times New Roman"/>
          <w:szCs w:val="24"/>
        </w:rPr>
        <w:t xml:space="preserve">and contrast the effects of </w:t>
      </w:r>
      <w:r w:rsidR="003F5E16" w:rsidRPr="00290D19">
        <w:rPr>
          <w:rFonts w:eastAsia="Times New Roman" w:cs="Times New Roman"/>
          <w:szCs w:val="24"/>
        </w:rPr>
        <w:t xml:space="preserve">exogenous variable </w:t>
      </w:r>
      <w:r w:rsidR="00D86F87">
        <w:rPr>
          <w:rFonts w:eastAsia="Times New Roman" w:cs="Times New Roman"/>
          <w:szCs w:val="24"/>
        </w:rPr>
        <w:t xml:space="preserve">across the utility </w:t>
      </w:r>
      <w:r w:rsidR="007674CC" w:rsidRPr="00290D19">
        <w:rPr>
          <w:rFonts w:eastAsia="Times New Roman" w:cs="Times New Roman"/>
          <w:szCs w:val="24"/>
        </w:rPr>
        <w:t>distributional form</w:t>
      </w:r>
      <w:r w:rsidR="00D86F87">
        <w:rPr>
          <w:rFonts w:eastAsia="Times New Roman" w:cs="Times New Roman"/>
          <w:szCs w:val="24"/>
        </w:rPr>
        <w:t>s</w:t>
      </w:r>
      <w:r w:rsidR="007674CC" w:rsidRPr="0093315A">
        <w:rPr>
          <w:rFonts w:eastAsia="Times New Roman" w:cs="Times New Roman"/>
          <w:szCs w:val="24"/>
        </w:rPr>
        <w:t>, we include</w:t>
      </w:r>
      <w:r w:rsidR="004E4DB1">
        <w:rPr>
          <w:rFonts w:eastAsia="Times New Roman" w:cs="Times New Roman"/>
          <w:szCs w:val="24"/>
        </w:rPr>
        <w:t>,</w:t>
      </w:r>
      <w:r w:rsidR="007674CC" w:rsidRPr="0093315A">
        <w:rPr>
          <w:rFonts w:eastAsia="Times New Roman" w:cs="Times New Roman"/>
          <w:szCs w:val="24"/>
        </w:rPr>
        <w:t xml:space="preserve"> in all four models</w:t>
      </w:r>
      <w:r w:rsidR="004E4DB1">
        <w:rPr>
          <w:rFonts w:eastAsia="Times New Roman" w:cs="Times New Roman"/>
          <w:szCs w:val="24"/>
        </w:rPr>
        <w:t>,</w:t>
      </w:r>
      <w:r w:rsidR="007674CC" w:rsidRPr="0093315A">
        <w:rPr>
          <w:rFonts w:eastAsia="Times New Roman" w:cs="Times New Roman"/>
          <w:szCs w:val="24"/>
        </w:rPr>
        <w:t xml:space="preserve"> any variable that was found to be statistically significant at the 90% confidence level in at least one </w:t>
      </w:r>
      <w:r w:rsidR="0086177E" w:rsidRPr="0086018F">
        <w:rPr>
          <w:rFonts w:eastAsia="Times New Roman" w:cs="Times New Roman"/>
          <w:szCs w:val="24"/>
        </w:rPr>
        <w:t xml:space="preserve">of the four </w:t>
      </w:r>
      <w:r w:rsidR="007674CC" w:rsidRPr="0086018F">
        <w:rPr>
          <w:rFonts w:eastAsia="Times New Roman" w:cs="Times New Roman"/>
          <w:szCs w:val="24"/>
        </w:rPr>
        <w:t>model</w:t>
      </w:r>
      <w:r w:rsidR="0086177E" w:rsidRPr="0086018F">
        <w:rPr>
          <w:rFonts w:eastAsia="Times New Roman" w:cs="Times New Roman"/>
          <w:szCs w:val="24"/>
        </w:rPr>
        <w:t>s</w:t>
      </w:r>
      <w:r w:rsidR="007674CC" w:rsidRPr="0086018F">
        <w:rPr>
          <w:rFonts w:eastAsia="Times New Roman" w:cs="Times New Roman"/>
          <w:szCs w:val="24"/>
        </w:rPr>
        <w:t xml:space="preserve">. </w:t>
      </w:r>
      <w:r w:rsidR="0086177E" w:rsidRPr="0086018F">
        <w:rPr>
          <w:rFonts w:eastAsia="Times New Roman" w:cs="Times New Roman"/>
          <w:szCs w:val="24"/>
        </w:rPr>
        <w:t xml:space="preserve">This also allows us </w:t>
      </w:r>
      <w:r w:rsidR="0086177E" w:rsidRPr="00BF3D78">
        <w:rPr>
          <w:rFonts w:eastAsia="Times New Roman" w:cs="Times New Roman"/>
          <w:szCs w:val="24"/>
        </w:rPr>
        <w:t xml:space="preserve">to employ likelihood ratio tests to compare each restricted model with the proposed MNYJRC model. </w:t>
      </w:r>
    </w:p>
    <w:p w14:paraId="58DCE2EC" w14:textId="765F2B3C" w:rsidR="005E2C42" w:rsidRPr="00290D19" w:rsidRDefault="00B8738D" w:rsidP="00037976">
      <w:pPr>
        <w:spacing w:line="240" w:lineRule="auto"/>
        <w:ind w:firstLine="720"/>
        <w:rPr>
          <w:rFonts w:cs="Times New Roman"/>
          <w:szCs w:val="24"/>
        </w:rPr>
      </w:pPr>
      <w:r w:rsidRPr="00DD5FA6">
        <w:rPr>
          <w:rFonts w:eastAsia="Times New Roman" w:cs="Times New Roman"/>
          <w:szCs w:val="24"/>
        </w:rPr>
        <w:t xml:space="preserve">The model estimation results for each of the four models are presented in Table 2. </w:t>
      </w:r>
      <w:r w:rsidR="00A53DAD" w:rsidRPr="009E4296">
        <w:rPr>
          <w:rFonts w:eastAsia="Times New Roman" w:cs="Times New Roman"/>
          <w:szCs w:val="24"/>
        </w:rPr>
        <w:t xml:space="preserve">The remainder of this section </w:t>
      </w:r>
      <w:r w:rsidR="00A53DAD" w:rsidRPr="00290D19">
        <w:rPr>
          <w:rFonts w:eastAsia="Times New Roman" w:cs="Times New Roman"/>
          <w:szCs w:val="24"/>
        </w:rPr>
        <w:t>discusse</w:t>
      </w:r>
      <w:r w:rsidR="00306DCC" w:rsidRPr="00290D19">
        <w:rPr>
          <w:rFonts w:eastAsia="Times New Roman" w:cs="Times New Roman"/>
          <w:szCs w:val="24"/>
        </w:rPr>
        <w:t>s</w:t>
      </w:r>
      <w:r w:rsidR="00A53DAD" w:rsidRPr="00290D19">
        <w:rPr>
          <w:rFonts w:eastAsia="Times New Roman" w:cs="Times New Roman"/>
          <w:szCs w:val="24"/>
        </w:rPr>
        <w:t xml:space="preserve"> the model results, focusing on the comparison of the results across the four models. </w:t>
      </w:r>
      <w:r w:rsidR="00C36903" w:rsidRPr="00290D19">
        <w:rPr>
          <w:rFonts w:eastAsia="Times New Roman" w:cs="Times New Roman"/>
          <w:szCs w:val="24"/>
        </w:rPr>
        <w:t>Note that</w:t>
      </w:r>
      <w:r w:rsidR="0018495E" w:rsidRPr="00290D19">
        <w:rPr>
          <w:rFonts w:eastAsia="Times New Roman" w:cs="Times New Roman"/>
          <w:szCs w:val="24"/>
        </w:rPr>
        <w:t xml:space="preserve"> caution needs to be exercised when </w:t>
      </w:r>
      <w:r w:rsidR="00C36903" w:rsidRPr="00290D19">
        <w:rPr>
          <w:rFonts w:eastAsia="Times New Roman" w:cs="Times New Roman"/>
          <w:szCs w:val="24"/>
        </w:rPr>
        <w:t>comparing the magnitudes of any variable coefficient across</w:t>
      </w:r>
      <w:r w:rsidR="005E2C42" w:rsidRPr="00290D19">
        <w:rPr>
          <w:rFonts w:eastAsia="Times New Roman" w:cs="Times New Roman"/>
          <w:szCs w:val="24"/>
        </w:rPr>
        <w:t xml:space="preserve"> </w:t>
      </w:r>
      <w:r w:rsidR="0018495E" w:rsidRPr="00290D19">
        <w:rPr>
          <w:rFonts w:eastAsia="Times New Roman" w:cs="Times New Roman"/>
          <w:szCs w:val="24"/>
        </w:rPr>
        <w:t xml:space="preserve">the </w:t>
      </w:r>
      <w:r w:rsidR="00C36903" w:rsidRPr="00290D19">
        <w:rPr>
          <w:rFonts w:eastAsia="Times New Roman" w:cs="Times New Roman"/>
          <w:szCs w:val="24"/>
        </w:rPr>
        <w:t>different model</w:t>
      </w:r>
      <w:r w:rsidR="0018495E" w:rsidRPr="00290D19">
        <w:rPr>
          <w:rFonts w:eastAsia="Times New Roman" w:cs="Times New Roman"/>
          <w:szCs w:val="24"/>
        </w:rPr>
        <w:t xml:space="preserve"> coefficients</w:t>
      </w:r>
      <w:r w:rsidR="00C36903" w:rsidRPr="00290D19">
        <w:rPr>
          <w:rFonts w:eastAsia="Times New Roman" w:cs="Times New Roman"/>
          <w:szCs w:val="24"/>
        </w:rPr>
        <w:t xml:space="preserve">, because the error distributions </w:t>
      </w:r>
      <w:r w:rsidR="00C36903" w:rsidRPr="00290D19">
        <w:rPr>
          <w:rFonts w:eastAsia="Times New Roman" w:cs="Times New Roman"/>
          <w:szCs w:val="24"/>
        </w:rPr>
        <w:lastRenderedPageBreak/>
        <w:t>are</w:t>
      </w:r>
      <w:r w:rsidR="005E2C42" w:rsidRPr="00290D19">
        <w:rPr>
          <w:rFonts w:eastAsia="Times New Roman" w:cs="Times New Roman"/>
          <w:szCs w:val="24"/>
        </w:rPr>
        <w:t xml:space="preserve"> </w:t>
      </w:r>
      <w:r w:rsidR="00C36903" w:rsidRPr="00290D19">
        <w:rPr>
          <w:rFonts w:eastAsia="Times New Roman" w:cs="Times New Roman"/>
          <w:szCs w:val="24"/>
        </w:rPr>
        <w:t>different</w:t>
      </w:r>
      <w:r w:rsidR="00954D6A" w:rsidRPr="00290D19">
        <w:rPr>
          <w:rFonts w:eastAsia="Times New Roman" w:cs="Times New Roman"/>
          <w:szCs w:val="24"/>
        </w:rPr>
        <w:t xml:space="preserve">. Therefore, we also present elasticity effects following the model results to demonstrate the </w:t>
      </w:r>
      <w:r w:rsidR="00984295" w:rsidRPr="00290D19">
        <w:rPr>
          <w:rFonts w:eastAsia="Times New Roman" w:cs="Times New Roman"/>
          <w:szCs w:val="24"/>
        </w:rPr>
        <w:t xml:space="preserve">different magnitude effects across the four models. </w:t>
      </w:r>
    </w:p>
    <w:p w14:paraId="471AB1E8" w14:textId="77777777" w:rsidR="007B0992" w:rsidRPr="00290D19" w:rsidRDefault="007B0992" w:rsidP="00037976">
      <w:pPr>
        <w:spacing w:line="240" w:lineRule="auto"/>
        <w:rPr>
          <w:rFonts w:cs="Times New Roman"/>
          <w:b/>
          <w:i/>
          <w:szCs w:val="24"/>
        </w:rPr>
      </w:pPr>
    </w:p>
    <w:p w14:paraId="5FF459E7" w14:textId="58CCD4E8" w:rsidR="0028293F" w:rsidRPr="0086018F" w:rsidRDefault="009D7911" w:rsidP="00037976">
      <w:pPr>
        <w:spacing w:line="240" w:lineRule="auto"/>
        <w:rPr>
          <w:rFonts w:cs="Times New Roman"/>
          <w:b/>
          <w:i/>
          <w:szCs w:val="24"/>
        </w:rPr>
      </w:pPr>
      <w:r w:rsidRPr="00290D19">
        <w:rPr>
          <w:rFonts w:cs="Times New Roman"/>
          <w:b/>
          <w:i/>
          <w:szCs w:val="24"/>
        </w:rPr>
        <w:t>4.2.1 Service Attributes</w:t>
      </w:r>
    </w:p>
    <w:p w14:paraId="6A22E97F" w14:textId="5A6B5BA0" w:rsidR="00682155" w:rsidRPr="00682155" w:rsidRDefault="003053B4" w:rsidP="00037976">
      <w:pPr>
        <w:spacing w:line="240" w:lineRule="auto"/>
      </w:pPr>
      <w:r w:rsidRPr="00DD5FA6">
        <w:rPr>
          <w:rFonts w:cs="Times New Roman"/>
          <w:szCs w:val="24"/>
        </w:rPr>
        <w:t xml:space="preserve">As noted above, three service attributes were included in the experimental design, capturing a fixed cost of vehicle ownership, a </w:t>
      </w:r>
      <w:r w:rsidR="003F2755">
        <w:rPr>
          <w:rFonts w:cs="Times New Roman"/>
          <w:szCs w:val="24"/>
        </w:rPr>
        <w:t xml:space="preserve">per-mile </w:t>
      </w:r>
      <w:r w:rsidRPr="0093315A">
        <w:rPr>
          <w:rFonts w:cs="Times New Roman"/>
          <w:szCs w:val="24"/>
        </w:rPr>
        <w:t xml:space="preserve">variable cost </w:t>
      </w:r>
      <w:r w:rsidR="00F61CAE" w:rsidRPr="00290D19">
        <w:rPr>
          <w:rFonts w:cs="Times New Roman"/>
          <w:szCs w:val="24"/>
        </w:rPr>
        <w:t xml:space="preserve">using each option, and an expected waiting time among those using the ridehailing option. Interestingly, </w:t>
      </w:r>
      <w:r w:rsidR="00797B9C" w:rsidRPr="00290D19">
        <w:rPr>
          <w:rFonts w:cs="Times New Roman"/>
          <w:szCs w:val="24"/>
        </w:rPr>
        <w:t xml:space="preserve">waiting time was found not to be statistically significant using any of the model specifications. </w:t>
      </w:r>
      <w:r w:rsidR="001D03A2" w:rsidRPr="00290D19">
        <w:rPr>
          <w:rFonts w:cs="Times New Roman"/>
          <w:szCs w:val="24"/>
        </w:rPr>
        <w:t xml:space="preserve">This may be because </w:t>
      </w:r>
      <w:r w:rsidR="00D86F87">
        <w:rPr>
          <w:rFonts w:cs="Times New Roman"/>
          <w:szCs w:val="24"/>
        </w:rPr>
        <w:t xml:space="preserve">of </w:t>
      </w:r>
      <w:r w:rsidR="001D03A2" w:rsidRPr="0093315A">
        <w:rPr>
          <w:rFonts w:cs="Times New Roman"/>
          <w:szCs w:val="24"/>
        </w:rPr>
        <w:t>the relatively small range of waiting times considered (from 3 to 9</w:t>
      </w:r>
      <w:r w:rsidR="001D03A2" w:rsidRPr="00290D19">
        <w:rPr>
          <w:rFonts w:cs="Times New Roman"/>
          <w:szCs w:val="24"/>
        </w:rPr>
        <w:t xml:space="preserve"> minutes</w:t>
      </w:r>
      <w:r w:rsidR="00D86F87">
        <w:rPr>
          <w:rFonts w:cs="Times New Roman"/>
          <w:szCs w:val="24"/>
        </w:rPr>
        <w:t>)</w:t>
      </w:r>
      <w:r w:rsidR="001D03A2" w:rsidRPr="0093315A">
        <w:rPr>
          <w:rFonts w:cs="Times New Roman"/>
          <w:szCs w:val="24"/>
        </w:rPr>
        <w:t xml:space="preserve"> </w:t>
      </w:r>
      <w:r w:rsidR="00D86F87">
        <w:rPr>
          <w:rFonts w:cs="Times New Roman"/>
          <w:szCs w:val="24"/>
        </w:rPr>
        <w:t xml:space="preserve">in the stated preference design and/or </w:t>
      </w:r>
      <w:r w:rsidR="00660F17" w:rsidRPr="00290D19">
        <w:rPr>
          <w:rFonts w:cs="Times New Roman"/>
          <w:szCs w:val="24"/>
        </w:rPr>
        <w:t xml:space="preserve">because respondents focused on their own existing experience of ridehailing services alongside the costs rather than closely considering this aspect of the ridehailing experience. </w:t>
      </w:r>
      <w:r w:rsidR="00C6579E" w:rsidRPr="00290D19">
        <w:rPr>
          <w:rFonts w:cs="Times New Roman"/>
          <w:szCs w:val="24"/>
        </w:rPr>
        <w:t xml:space="preserve">However, the two cost-related variables were </w:t>
      </w:r>
      <w:r w:rsidR="00D86F87">
        <w:rPr>
          <w:rFonts w:cs="Times New Roman"/>
          <w:szCs w:val="24"/>
        </w:rPr>
        <w:t xml:space="preserve">statistically </w:t>
      </w:r>
      <w:r w:rsidR="00C6579E" w:rsidRPr="0093315A">
        <w:rPr>
          <w:rFonts w:cs="Times New Roman"/>
          <w:szCs w:val="24"/>
        </w:rPr>
        <w:t xml:space="preserve">significant in </w:t>
      </w:r>
      <w:r w:rsidR="00D26371" w:rsidRPr="0093315A">
        <w:rPr>
          <w:rFonts w:cs="Times New Roman"/>
          <w:szCs w:val="24"/>
        </w:rPr>
        <w:t>all four models</w:t>
      </w:r>
      <w:r w:rsidR="00D86F87">
        <w:rPr>
          <w:rFonts w:cs="Times New Roman"/>
          <w:szCs w:val="24"/>
        </w:rPr>
        <w:t xml:space="preserve">. A variety of </w:t>
      </w:r>
      <w:r w:rsidR="00D86F87">
        <w:rPr>
          <w:rFonts w:eastAsia="Times New Roman" w:cs="Times New Roman"/>
          <w:szCs w:val="24"/>
        </w:rPr>
        <w:t xml:space="preserve">continuous </w:t>
      </w:r>
      <w:r w:rsidR="00D86F87" w:rsidRPr="00811620">
        <w:rPr>
          <w:rFonts w:eastAsia="Times New Roman" w:cs="Times New Roman"/>
          <w:szCs w:val="24"/>
        </w:rPr>
        <w:t xml:space="preserve">distributional forms </w:t>
      </w:r>
      <w:r w:rsidR="00D86F87">
        <w:rPr>
          <w:rFonts w:eastAsia="Times New Roman" w:cs="Times New Roman"/>
          <w:szCs w:val="24"/>
        </w:rPr>
        <w:t xml:space="preserve">were tested </w:t>
      </w:r>
      <w:r w:rsidR="00E32D1B">
        <w:rPr>
          <w:rFonts w:eastAsia="Times New Roman" w:cs="Times New Roman"/>
          <w:szCs w:val="24"/>
        </w:rPr>
        <w:t xml:space="preserve">in the random coefficients specifications </w:t>
      </w:r>
      <w:r w:rsidR="00D86F87" w:rsidRPr="00811620">
        <w:rPr>
          <w:rFonts w:eastAsia="Times New Roman" w:cs="Times New Roman"/>
          <w:szCs w:val="24"/>
        </w:rPr>
        <w:t xml:space="preserve">for the </w:t>
      </w:r>
      <w:r w:rsidR="00D86F87">
        <w:rPr>
          <w:rFonts w:eastAsia="Times New Roman" w:cs="Times New Roman"/>
          <w:szCs w:val="24"/>
        </w:rPr>
        <w:t xml:space="preserve">cost </w:t>
      </w:r>
      <w:r w:rsidR="00D86F87" w:rsidRPr="00811620">
        <w:rPr>
          <w:rFonts w:eastAsia="Times New Roman" w:cs="Times New Roman"/>
          <w:szCs w:val="24"/>
        </w:rPr>
        <w:t>coefficients</w:t>
      </w:r>
      <w:r w:rsidR="00D86F87">
        <w:rPr>
          <w:rFonts w:eastAsia="Times New Roman" w:cs="Times New Roman"/>
          <w:szCs w:val="24"/>
        </w:rPr>
        <w:t>, including the unbounded normal and YJ distributions and the bounded (to the negative interval) log-normal distribution</w:t>
      </w:r>
      <w:r w:rsidR="00D86F87" w:rsidRPr="00811620">
        <w:rPr>
          <w:rFonts w:eastAsia="Times New Roman" w:cs="Times New Roman"/>
          <w:szCs w:val="24"/>
        </w:rPr>
        <w:t xml:space="preserve">. </w:t>
      </w:r>
      <w:r w:rsidR="00D86F87">
        <w:rPr>
          <w:rFonts w:eastAsia="Times New Roman" w:cs="Times New Roman"/>
          <w:szCs w:val="24"/>
        </w:rPr>
        <w:t>In these tests, and for both the MNPRC and MNYJRC formulations</w:t>
      </w:r>
      <w:r w:rsidR="0028293F">
        <w:rPr>
          <w:rFonts w:eastAsia="Times New Roman" w:cs="Times New Roman"/>
          <w:szCs w:val="24"/>
        </w:rPr>
        <w:t>,</w:t>
      </w:r>
      <w:r w:rsidR="00E32D1B">
        <w:rPr>
          <w:rFonts w:eastAsia="Times New Roman" w:cs="Times New Roman"/>
          <w:szCs w:val="24"/>
        </w:rPr>
        <w:t xml:space="preserve"> and for both the fixed and variable cost coefficients</w:t>
      </w:r>
      <w:r w:rsidR="00D86F87">
        <w:rPr>
          <w:rFonts w:eastAsia="Times New Roman" w:cs="Times New Roman"/>
          <w:szCs w:val="24"/>
        </w:rPr>
        <w:t xml:space="preserve">, the log-normal cost coefficients provided the best data fit. </w:t>
      </w:r>
      <w:r w:rsidR="00D86F87" w:rsidRPr="00811620">
        <w:rPr>
          <w:rFonts w:eastAsia="Times New Roman" w:cs="Times New Roman"/>
          <w:szCs w:val="24"/>
        </w:rPr>
        <w:t xml:space="preserve">The log-normal distribution provides skewed distributions while maintaining strict negativity </w:t>
      </w:r>
      <w:r w:rsidR="00D86F87">
        <w:rPr>
          <w:rFonts w:eastAsia="Times New Roman" w:cs="Times New Roman"/>
          <w:szCs w:val="24"/>
        </w:rPr>
        <w:t xml:space="preserve">for the cost coefficients. </w:t>
      </w:r>
      <w:r w:rsidR="004E4DB1">
        <w:rPr>
          <w:rFonts w:eastAsia="Times New Roman" w:cs="Times New Roman"/>
          <w:szCs w:val="24"/>
        </w:rPr>
        <w:t>An implicit Gaussian copula was also tested to capture unobserved dependence effects across the two cost coefficients as well as among the cost coefficients and the kernel error terms. Of these, the latter correlations did not turn out to be statistically significant in the random coefficient specification</w:t>
      </w:r>
      <w:r w:rsidR="00CF27A2">
        <w:rPr>
          <w:rFonts w:eastAsia="Times New Roman" w:cs="Times New Roman"/>
          <w:szCs w:val="24"/>
        </w:rPr>
        <w:t>s</w:t>
      </w:r>
      <w:r w:rsidR="004E4DB1">
        <w:rPr>
          <w:rFonts w:eastAsia="Times New Roman" w:cs="Times New Roman"/>
          <w:szCs w:val="24"/>
        </w:rPr>
        <w:t xml:space="preserve">, and so were not </w:t>
      </w:r>
      <w:r w:rsidR="004E4DB1" w:rsidRPr="00CF27A2">
        <w:rPr>
          <w:rFonts w:eastAsia="Times New Roman" w:cs="Times New Roman"/>
          <w:szCs w:val="24"/>
        </w:rPr>
        <w:t xml:space="preserve">considered. </w:t>
      </w:r>
      <w:r w:rsidR="003F2755" w:rsidRPr="00CF27A2">
        <w:rPr>
          <w:rFonts w:cs="Times New Roman"/>
          <w:szCs w:val="24"/>
        </w:rPr>
        <w:t>Fi</w:t>
      </w:r>
      <w:r w:rsidR="003F2755" w:rsidRPr="00811620">
        <w:rPr>
          <w:rFonts w:cs="Times New Roman"/>
          <w:szCs w:val="24"/>
        </w:rPr>
        <w:t>nally, separate coefficients were tested for the fixed costs for regular vehicles and AVs as well as for the variable costs for regular vehicles, AVs, and ridehailing. However, no significant differences were found between these mode-specific cost coefficients</w:t>
      </w:r>
      <w:r w:rsidR="00E32D1B">
        <w:rPr>
          <w:rFonts w:cs="Times New Roman"/>
          <w:szCs w:val="24"/>
        </w:rPr>
        <w:t xml:space="preserve">, with </w:t>
      </w:r>
      <w:r w:rsidR="003F2755" w:rsidRPr="00811620">
        <w:rPr>
          <w:rFonts w:cs="Times New Roman"/>
          <w:szCs w:val="24"/>
        </w:rPr>
        <w:t>model fit improvements</w:t>
      </w:r>
      <w:r w:rsidR="00E32D1B">
        <w:rPr>
          <w:rFonts w:cs="Times New Roman"/>
          <w:szCs w:val="24"/>
        </w:rPr>
        <w:t xml:space="preserve"> being </w:t>
      </w:r>
      <w:r w:rsidR="003F2755" w:rsidRPr="00811620">
        <w:rPr>
          <w:rFonts w:cs="Times New Roman"/>
          <w:szCs w:val="24"/>
        </w:rPr>
        <w:t>negligible compared to the specification</w:t>
      </w:r>
      <w:r w:rsidR="00E32D1B">
        <w:rPr>
          <w:rFonts w:cs="Times New Roman"/>
          <w:szCs w:val="24"/>
        </w:rPr>
        <w:t xml:space="preserve"> </w:t>
      </w:r>
      <w:r w:rsidR="003F2755" w:rsidRPr="00811620">
        <w:rPr>
          <w:rFonts w:cs="Times New Roman"/>
          <w:szCs w:val="24"/>
        </w:rPr>
        <w:t xml:space="preserve">of a single </w:t>
      </w:r>
      <w:r w:rsidR="00E32D1B">
        <w:rPr>
          <w:rFonts w:cs="Times New Roman"/>
          <w:szCs w:val="24"/>
        </w:rPr>
        <w:t xml:space="preserve">generic </w:t>
      </w:r>
      <w:r w:rsidR="003F2755" w:rsidRPr="00811620">
        <w:rPr>
          <w:rFonts w:cs="Times New Roman"/>
          <w:szCs w:val="24"/>
        </w:rPr>
        <w:t xml:space="preserve">fixed cost coefficient and a single </w:t>
      </w:r>
      <w:r w:rsidR="00E32D1B">
        <w:rPr>
          <w:rFonts w:cs="Times New Roman"/>
          <w:szCs w:val="24"/>
        </w:rPr>
        <w:t xml:space="preserve">generic variable </w:t>
      </w:r>
      <w:r w:rsidR="003F2755" w:rsidRPr="00811620">
        <w:rPr>
          <w:rFonts w:cs="Times New Roman"/>
          <w:szCs w:val="24"/>
        </w:rPr>
        <w:t xml:space="preserve">cost coefficient. </w:t>
      </w:r>
      <w:r w:rsidR="00D86F87">
        <w:rPr>
          <w:rFonts w:eastAsia="Times New Roman"/>
        </w:rPr>
        <w:t xml:space="preserve">As may be observed from Table 2, </w:t>
      </w:r>
      <w:r w:rsidR="00F24901" w:rsidRPr="00290D19">
        <w:t>higher costs</w:t>
      </w:r>
      <w:r w:rsidR="009E53C7" w:rsidRPr="00290D19">
        <w:t xml:space="preserve"> (either </w:t>
      </w:r>
      <w:r w:rsidR="007C4940" w:rsidRPr="00290D19">
        <w:t>monthly or per-mile</w:t>
      </w:r>
      <w:r w:rsidR="009E53C7" w:rsidRPr="00290D19">
        <w:t>)</w:t>
      </w:r>
      <w:r w:rsidR="00F24901" w:rsidRPr="00290D19">
        <w:t xml:space="preserve"> </w:t>
      </w:r>
      <w:r w:rsidR="00EF1560">
        <w:t>a</w:t>
      </w:r>
      <w:r w:rsidR="00F24901" w:rsidRPr="00290D19">
        <w:t xml:space="preserve">re a deterrent to the selection of </w:t>
      </w:r>
      <w:r w:rsidR="009E53C7" w:rsidRPr="00290D19">
        <w:t>the corresponding alternative</w:t>
      </w:r>
      <w:r w:rsidR="005E4965" w:rsidRPr="00290D19">
        <w:t xml:space="preserve"> (note that fixed cost is included in hundreds of dollars per month and variable cost is included in dollars per mile)</w:t>
      </w:r>
      <w:r w:rsidR="009E53C7" w:rsidRPr="00290D19">
        <w:t xml:space="preserve">. </w:t>
      </w:r>
      <w:r w:rsidR="00E32D1B">
        <w:t>F</w:t>
      </w:r>
      <w:r w:rsidR="001B1C88" w:rsidRPr="00290D19">
        <w:t xml:space="preserve">or the random coefficient models, the </w:t>
      </w:r>
      <w:r w:rsidR="0028293F">
        <w:t xml:space="preserve">median coefficient value is </w:t>
      </w:r>
      <w:r w:rsidR="00E32D1B">
        <w:t>presented in the table for the cost coefficients</w:t>
      </w:r>
      <w:r w:rsidR="000B4010">
        <w:t>, while the scale</w:t>
      </w:r>
      <w:r w:rsidR="0028293F">
        <w:t xml:space="preserve"> presented </w:t>
      </w:r>
      <w:r w:rsidR="000B4010">
        <w:t>corresponds to the standard deviation of the corresponding normal distribution</w:t>
      </w:r>
      <w:r w:rsidR="00E32D1B">
        <w:t xml:space="preserve">. </w:t>
      </w:r>
      <w:r w:rsidR="000B4010">
        <w:t xml:space="preserve">The </w:t>
      </w:r>
      <w:r w:rsidR="0028293F">
        <w:t xml:space="preserve">median of </w:t>
      </w:r>
      <w:r w:rsidR="000B4010">
        <w:t xml:space="preserve">the cost coefficients are in the same order of magnitude across the many models, even if not directly comparable. </w:t>
      </w:r>
      <w:r w:rsidR="00CF688B">
        <w:t>T</w:t>
      </w:r>
      <w:r w:rsidR="004366EF">
        <w:t xml:space="preserve">he </w:t>
      </w:r>
      <w:r w:rsidR="00CF688B">
        <w:t xml:space="preserve">marginal rate of substitution between the fixed and variable cost </w:t>
      </w:r>
      <w:r w:rsidR="0028293F">
        <w:t xml:space="preserve">also </w:t>
      </w:r>
      <w:r w:rsidR="00CF688B">
        <w:t>suggests remarkably similar trade-offs across the many models, with respondents considering a $1/mile increase in variable cost as about equivalent to about a $150/month increase in fixed cost</w:t>
      </w:r>
      <w:r w:rsidR="00904D31">
        <w:t xml:space="preserve"> (for instance, in the MNP model, the ratio of the coefficient on variable cost (in $/mile) to fixed cost (in 100s of $/month) is 1.486; that is respondents consider a 1$/mile increase in variable costs as about equivalent to 1.486*100=$148.6/month increase in fixed costs). A</w:t>
      </w:r>
      <w:r w:rsidR="00682155">
        <w:t xml:space="preserve">t the U.S. average of about 1000 miles per month that a vehicle is driven, this implies that $1000 of variable cost has the same disutility as $150 of fixed cost, or that fixed costs are about 6.7 times (1000/150) more important than variable costs in vehicle purchase decisions. </w:t>
      </w:r>
      <w:r w:rsidR="00682155" w:rsidRPr="00682155">
        <w:t>T</w:t>
      </w:r>
      <w:r w:rsidR="00682155">
        <w:t xml:space="preserve">hat is, </w:t>
      </w:r>
      <w:r w:rsidR="00682155" w:rsidRPr="00682155">
        <w:t xml:space="preserve">respondents place substantially greater behavioral weight on fixed monthly ownership costs than on variable per-mile operating costs. This finding is broadly consistent with the vehicle-choice literature, which has repeatedly shown that consumers tend to place disproportionately greater weight on upfront or recurring ownership costs than on future operating expenditures. One explanation is that fixed costs are more immediate, salient, and cognitively transparent, while variable operating costs are distributed over time and are often </w:t>
      </w:r>
      <w:r w:rsidR="00682155" w:rsidRPr="00682155">
        <w:lastRenderedPageBreak/>
        <w:t xml:space="preserve">discounted behaviorally </w:t>
      </w:r>
      <w:r w:rsidR="00EF1560">
        <w:t xml:space="preserve">in </w:t>
      </w:r>
      <w:r w:rsidR="00682155" w:rsidRPr="00682155">
        <w:t>standard lifecycle-cost calculations</w:t>
      </w:r>
      <w:r w:rsidR="00EF1560">
        <w:t xml:space="preserve"> (see, for example, </w:t>
      </w:r>
      <w:r w:rsidR="001E5547" w:rsidRPr="001E5547">
        <w:t xml:space="preserve">Allcott and Wozny, 2014; Gillingham et al., 2021; </w:t>
      </w:r>
      <w:proofErr w:type="spellStart"/>
      <w:r w:rsidR="001E5547" w:rsidRPr="001E5547">
        <w:t>Huse</w:t>
      </w:r>
      <w:proofErr w:type="spellEnd"/>
      <w:r w:rsidR="001E5547" w:rsidRPr="001E5547">
        <w:t xml:space="preserve"> and </w:t>
      </w:r>
      <w:proofErr w:type="spellStart"/>
      <w:r w:rsidR="001E5547" w:rsidRPr="001E5547">
        <w:t>Koptyug</w:t>
      </w:r>
      <w:proofErr w:type="spellEnd"/>
      <w:r w:rsidR="001E5547" w:rsidRPr="001E5547">
        <w:t>, 2022; Petrov et al., 2025</w:t>
      </w:r>
      <w:r w:rsidR="00EF1560">
        <w:t xml:space="preserve">). </w:t>
      </w:r>
    </w:p>
    <w:p w14:paraId="28DC3300" w14:textId="63A6FF23" w:rsidR="0006185B" w:rsidRDefault="000B4010" w:rsidP="00037976">
      <w:pPr>
        <w:spacing w:line="240" w:lineRule="auto"/>
        <w:ind w:firstLine="720"/>
      </w:pPr>
      <w:r>
        <w:rPr>
          <w:rFonts w:cs="Times New Roman"/>
          <w:szCs w:val="24"/>
        </w:rPr>
        <w:t xml:space="preserve">The implied </w:t>
      </w:r>
      <w:r w:rsidR="001B1C88" w:rsidRPr="0093315A">
        <w:rPr>
          <w:rFonts w:cs="Times New Roman"/>
          <w:szCs w:val="24"/>
        </w:rPr>
        <w:t>scale</w:t>
      </w:r>
      <w:r>
        <w:rPr>
          <w:rFonts w:cs="Times New Roman"/>
          <w:szCs w:val="24"/>
        </w:rPr>
        <w:t xml:space="preserve"> (sta</w:t>
      </w:r>
      <w:r w:rsidR="004366EF">
        <w:rPr>
          <w:rFonts w:cs="Times New Roman"/>
          <w:szCs w:val="24"/>
        </w:rPr>
        <w:t>n</w:t>
      </w:r>
      <w:r>
        <w:rPr>
          <w:rFonts w:cs="Times New Roman"/>
          <w:szCs w:val="24"/>
        </w:rPr>
        <w:t>dard deviation) of the lognormal distribution may be computed using well-known expressions for the log-normal distribution</w:t>
      </w:r>
      <w:r w:rsidR="004366EF">
        <w:rPr>
          <w:rFonts w:cs="Times New Roman"/>
          <w:szCs w:val="24"/>
        </w:rPr>
        <w:t xml:space="preserve"> (see, for example, Johnson et al., 1994)</w:t>
      </w:r>
      <w:r>
        <w:rPr>
          <w:rFonts w:cs="Times New Roman"/>
          <w:szCs w:val="24"/>
        </w:rPr>
        <w:t xml:space="preserve">. These turn out to be 0.0034 for the </w:t>
      </w:r>
      <w:r w:rsidR="004366EF">
        <w:rPr>
          <w:rFonts w:cs="Times New Roman"/>
          <w:szCs w:val="24"/>
        </w:rPr>
        <w:t xml:space="preserve">fixed cost coefficient and 0.0111 for the variable cost coefficient in the MNPRC model, and 0.0068 for the fixed cost coefficient and 0.0221 for </w:t>
      </w:r>
      <w:r w:rsidR="00360F9F" w:rsidRPr="00290D19">
        <w:rPr>
          <w:rFonts w:cs="Times New Roman"/>
          <w:szCs w:val="24"/>
        </w:rPr>
        <w:t>the variable cost parameter</w:t>
      </w:r>
      <w:r w:rsidR="004366EF">
        <w:rPr>
          <w:rFonts w:cs="Times New Roman"/>
          <w:szCs w:val="24"/>
        </w:rPr>
        <w:t xml:space="preserve"> in the MNYJRC model. </w:t>
      </w:r>
      <w:r w:rsidR="0006185B">
        <w:rPr>
          <w:rFonts w:cs="Times New Roman"/>
          <w:szCs w:val="24"/>
        </w:rPr>
        <w:t>I</w:t>
      </w:r>
      <w:r w:rsidR="004366EF">
        <w:rPr>
          <w:rFonts w:cs="Times New Roman"/>
          <w:szCs w:val="24"/>
        </w:rPr>
        <w:t xml:space="preserve">n both </w:t>
      </w:r>
      <w:r w:rsidR="0006185B">
        <w:rPr>
          <w:rFonts w:cs="Times New Roman"/>
          <w:szCs w:val="24"/>
        </w:rPr>
        <w:t xml:space="preserve">the random coefficient </w:t>
      </w:r>
      <w:r w:rsidR="004366EF">
        <w:rPr>
          <w:rFonts w:cs="Times New Roman"/>
          <w:szCs w:val="24"/>
        </w:rPr>
        <w:t xml:space="preserve">models, the scale </w:t>
      </w:r>
      <w:r w:rsidR="00EF1560">
        <w:rPr>
          <w:rFonts w:cs="Times New Roman"/>
          <w:szCs w:val="24"/>
        </w:rPr>
        <w:t>i</w:t>
      </w:r>
      <w:r w:rsidR="00360F9F" w:rsidRPr="00290D19">
        <w:rPr>
          <w:rFonts w:cs="Times New Roman"/>
          <w:szCs w:val="24"/>
        </w:rPr>
        <w:t xml:space="preserve">s consistently larger </w:t>
      </w:r>
      <w:r w:rsidR="00EF1560">
        <w:rPr>
          <w:rFonts w:cs="Times New Roman"/>
          <w:szCs w:val="24"/>
        </w:rPr>
        <w:t xml:space="preserve">for the variable cost coefficient </w:t>
      </w:r>
      <w:r w:rsidR="00360F9F" w:rsidRPr="0093315A">
        <w:rPr>
          <w:rFonts w:cs="Times New Roman"/>
          <w:szCs w:val="24"/>
        </w:rPr>
        <w:t xml:space="preserve">than </w:t>
      </w:r>
      <w:r w:rsidR="00EF1560">
        <w:rPr>
          <w:rFonts w:cs="Times New Roman"/>
          <w:szCs w:val="24"/>
        </w:rPr>
        <w:t xml:space="preserve">for </w:t>
      </w:r>
      <w:r w:rsidR="00360F9F" w:rsidRPr="00290D19">
        <w:rPr>
          <w:rFonts w:cs="Times New Roman"/>
          <w:szCs w:val="24"/>
        </w:rPr>
        <w:t>the fixed cost parameter</w:t>
      </w:r>
      <w:r w:rsidR="00EF1560">
        <w:rPr>
          <w:rFonts w:cs="Times New Roman"/>
          <w:szCs w:val="24"/>
        </w:rPr>
        <w:t>. This is to be expected</w:t>
      </w:r>
      <w:r w:rsidR="00EF1560">
        <w:t xml:space="preserve"> because variable operating expenditures depend strongly on anticipated vehicle usage patterns, travel intensity, and lifestyle characteristics, all of which can vary substantially across households.</w:t>
      </w:r>
      <w:r w:rsidR="0015070C">
        <w:t xml:space="preserve"> In the AV context, this heterogeneity in variable cost responsiveness may be further amplified by uncertainty regarding future AV usage, charging behavior, software-service expenditures, and substitution with mobility-as-a-service alternatives</w:t>
      </w:r>
      <w:r w:rsidR="0015070C">
        <w:rPr>
          <w:rFonts w:cs="Times New Roman"/>
          <w:szCs w:val="24"/>
        </w:rPr>
        <w:t>.</w:t>
      </w:r>
      <w:r w:rsidR="00EF1560">
        <w:t xml:space="preserve"> In contrast, fixed ownership costs are generally more transparent, stable, and uniformly experienced across individuals. </w:t>
      </w:r>
      <w:r w:rsidR="0015070C">
        <w:t xml:space="preserve">In fact, our results show very little heterogeneity to fixed costs, given that the ratio of the median value to the standard deviation for </w:t>
      </w:r>
      <w:r w:rsidR="0006185B">
        <w:t xml:space="preserve">the </w:t>
      </w:r>
      <w:r w:rsidR="0015070C">
        <w:t xml:space="preserve">fixed cost coefficient is 12.64 </w:t>
      </w:r>
      <w:r w:rsidR="0006185B">
        <w:t xml:space="preserve">in both the MNPRC and MNYJRC models (this ratio is the same in both the models because the standard deviation of the underlying normal distribution is estimated to be identically 0.079 in both models). The corresponding ratio is of the order of 5.7 in both the models for the variable cost coefficient. </w:t>
      </w:r>
    </w:p>
    <w:p w14:paraId="305EAE72" w14:textId="1A18748B" w:rsidR="00B00A23" w:rsidRDefault="0006185B" w:rsidP="00037976">
      <w:pPr>
        <w:spacing w:line="240" w:lineRule="auto"/>
        <w:ind w:firstLine="720"/>
      </w:pPr>
      <w:r>
        <w:rPr>
          <w:rFonts w:cs="Times New Roman"/>
          <w:szCs w:val="24"/>
        </w:rPr>
        <w:t>T</w:t>
      </w:r>
      <w:r w:rsidR="002D76F1" w:rsidRPr="00290D19">
        <w:rPr>
          <w:rFonts w:cs="Times New Roman"/>
          <w:szCs w:val="24"/>
        </w:rPr>
        <w:t xml:space="preserve">he log-normal distributions </w:t>
      </w:r>
      <w:r w:rsidR="00257ECD" w:rsidRPr="00290D19">
        <w:rPr>
          <w:rFonts w:cs="Times New Roman"/>
          <w:szCs w:val="24"/>
        </w:rPr>
        <w:t xml:space="preserve">for the cost parameters imply left-skewed </w:t>
      </w:r>
      <w:r>
        <w:rPr>
          <w:rFonts w:cs="Times New Roman"/>
          <w:szCs w:val="24"/>
        </w:rPr>
        <w:t xml:space="preserve">coefficient distributions, indicating that </w:t>
      </w:r>
      <w:r w:rsidR="00257ECD" w:rsidRPr="00290D19">
        <w:rPr>
          <w:rFonts w:cs="Times New Roman"/>
          <w:szCs w:val="24"/>
        </w:rPr>
        <w:t xml:space="preserve">while </w:t>
      </w:r>
      <w:r>
        <w:rPr>
          <w:rFonts w:cs="Times New Roman"/>
          <w:szCs w:val="24"/>
        </w:rPr>
        <w:t>many individuals exhibit moderate levels of cost sensitivity, a smaller subset displays substantially higher sensitivity to cost. T</w:t>
      </w:r>
      <w:r w:rsidR="004971E9" w:rsidRPr="00290D19">
        <w:rPr>
          <w:rFonts w:cs="Times New Roman"/>
          <w:szCs w:val="24"/>
        </w:rPr>
        <w:t xml:space="preserve">he two cost parameters are </w:t>
      </w:r>
      <w:r w:rsidR="00B00A23">
        <w:rPr>
          <w:rFonts w:cs="Times New Roman"/>
          <w:szCs w:val="24"/>
        </w:rPr>
        <w:t xml:space="preserve">also estimated to </w:t>
      </w:r>
      <w:r w:rsidR="00BB29F9">
        <w:rPr>
          <w:rFonts w:cs="Times New Roman"/>
          <w:szCs w:val="24"/>
        </w:rPr>
        <w:t xml:space="preserve">be </w:t>
      </w:r>
      <w:r w:rsidR="00B00A23">
        <w:rPr>
          <w:rFonts w:cs="Times New Roman"/>
          <w:szCs w:val="24"/>
        </w:rPr>
        <w:t xml:space="preserve">positively </w:t>
      </w:r>
      <w:r w:rsidR="004971E9" w:rsidRPr="00290D19">
        <w:rPr>
          <w:rFonts w:cs="Times New Roman"/>
          <w:szCs w:val="24"/>
        </w:rPr>
        <w:t>related</w:t>
      </w:r>
      <w:r w:rsidR="00483DA3" w:rsidRPr="00290D19">
        <w:rPr>
          <w:rFonts w:cs="Times New Roman"/>
          <w:szCs w:val="24"/>
        </w:rPr>
        <w:t xml:space="preserve">, suggesting that some individuals are </w:t>
      </w:r>
      <w:r w:rsidR="00223864" w:rsidRPr="00290D19">
        <w:rPr>
          <w:rFonts w:cs="Times New Roman"/>
          <w:szCs w:val="24"/>
        </w:rPr>
        <w:t xml:space="preserve">intrinsically </w:t>
      </w:r>
      <w:r w:rsidR="00B00A23">
        <w:rPr>
          <w:rFonts w:cs="Times New Roman"/>
          <w:szCs w:val="24"/>
        </w:rPr>
        <w:t xml:space="preserve">more cost </w:t>
      </w:r>
      <w:r w:rsidR="00483DA3" w:rsidRPr="0093315A">
        <w:rPr>
          <w:rFonts w:cs="Times New Roman"/>
          <w:szCs w:val="24"/>
        </w:rPr>
        <w:t xml:space="preserve">sensitive </w:t>
      </w:r>
      <w:r w:rsidR="00483DA3" w:rsidRPr="00290D19">
        <w:rPr>
          <w:rFonts w:cs="Times New Roman"/>
          <w:szCs w:val="24"/>
        </w:rPr>
        <w:t xml:space="preserve">overall. </w:t>
      </w:r>
      <w:r w:rsidR="004328AE" w:rsidRPr="00290D19">
        <w:rPr>
          <w:rFonts w:cs="Times New Roman"/>
          <w:szCs w:val="24"/>
        </w:rPr>
        <w:t xml:space="preserve">However, the </w:t>
      </w:r>
      <w:r w:rsidR="00B00A23">
        <w:rPr>
          <w:rFonts w:cs="Times New Roman"/>
          <w:szCs w:val="24"/>
        </w:rPr>
        <w:t xml:space="preserve">estimated </w:t>
      </w:r>
      <w:r w:rsidR="00BB29F9">
        <w:rPr>
          <w:rFonts w:cs="Times New Roman"/>
          <w:szCs w:val="24"/>
        </w:rPr>
        <w:t xml:space="preserve">Gaussian copula </w:t>
      </w:r>
      <w:r w:rsidR="004328AE" w:rsidRPr="0093315A">
        <w:rPr>
          <w:rFonts w:cs="Times New Roman"/>
          <w:szCs w:val="24"/>
        </w:rPr>
        <w:t xml:space="preserve">correlation </w:t>
      </w:r>
      <w:r w:rsidR="00BB29F9">
        <w:rPr>
          <w:rFonts w:cs="Times New Roman"/>
          <w:szCs w:val="24"/>
        </w:rPr>
        <w:t xml:space="preserve">of the log-normal cost distributions </w:t>
      </w:r>
      <w:r w:rsidR="00B00A23">
        <w:rPr>
          <w:rFonts w:cs="Times New Roman"/>
          <w:szCs w:val="24"/>
        </w:rPr>
        <w:t>is notably higher</w:t>
      </w:r>
      <w:r w:rsidR="004328AE" w:rsidRPr="00290D19">
        <w:rPr>
          <w:rFonts w:cs="Times New Roman"/>
          <w:szCs w:val="24"/>
        </w:rPr>
        <w:t xml:space="preserve"> in the MNPRC model</w:t>
      </w:r>
      <w:r w:rsidR="00B00A23">
        <w:rPr>
          <w:rFonts w:cs="Times New Roman"/>
          <w:szCs w:val="24"/>
        </w:rPr>
        <w:t xml:space="preserve"> than in </w:t>
      </w:r>
      <w:r w:rsidR="004328AE" w:rsidRPr="00290D19">
        <w:rPr>
          <w:rFonts w:cs="Times New Roman"/>
          <w:szCs w:val="24"/>
        </w:rPr>
        <w:t>the MNYJRC model</w:t>
      </w:r>
      <w:r w:rsidR="004C4AC7" w:rsidRPr="00290D19">
        <w:rPr>
          <w:rFonts w:cs="Times New Roman"/>
          <w:szCs w:val="24"/>
        </w:rPr>
        <w:t xml:space="preserve">. </w:t>
      </w:r>
      <w:r w:rsidR="00B00A23">
        <w:t>One possible explanation is that, under the symmetry restriction imposed by the MNPRC specification, the model compensates for its inability to capture asymmetric heterogeneity by attributing more of the extreme cost sensitivity to correlation between the two cost coefficients. In contrast, the MNYJRC model is able to accommodate skewness directly through the asymmetric kernel-error structure, reducing the need for the correlation parameter to absorb such effects. These results suggest that failing to account for distributional asymmetry may lead analysts to infer greater uniformity in fixed and variable cost sensitivities across decision-makers, while allowing for skewness reveals a more differentiated pattern of responses to fixed and variable costs.</w:t>
      </w:r>
    </w:p>
    <w:p w14:paraId="3AD45A48" w14:textId="77777777" w:rsidR="009E53C7" w:rsidRPr="00290D19" w:rsidRDefault="009E53C7" w:rsidP="00037976">
      <w:pPr>
        <w:spacing w:line="240" w:lineRule="auto"/>
        <w:rPr>
          <w:rFonts w:cs="Times New Roman"/>
          <w:szCs w:val="24"/>
        </w:rPr>
      </w:pPr>
    </w:p>
    <w:p w14:paraId="2261A4A8" w14:textId="3082F23B" w:rsidR="00B06559" w:rsidRPr="00290D19" w:rsidRDefault="00B06559" w:rsidP="00037976">
      <w:pPr>
        <w:spacing w:line="240" w:lineRule="auto"/>
        <w:rPr>
          <w:rFonts w:cs="Times New Roman"/>
          <w:b/>
          <w:i/>
          <w:szCs w:val="24"/>
        </w:rPr>
      </w:pPr>
      <w:r w:rsidRPr="00290D19">
        <w:rPr>
          <w:rFonts w:cs="Times New Roman"/>
          <w:b/>
          <w:i/>
          <w:szCs w:val="24"/>
        </w:rPr>
        <w:t>4.2.2 Individual Characteristics</w:t>
      </w:r>
    </w:p>
    <w:p w14:paraId="05FF18D5" w14:textId="3141CC24" w:rsidR="009C2C45" w:rsidRDefault="00B00A23" w:rsidP="00037976">
      <w:pPr>
        <w:spacing w:line="240" w:lineRule="auto"/>
        <w:rPr>
          <w:rFonts w:cs="Times New Roman"/>
          <w:szCs w:val="24"/>
        </w:rPr>
      </w:pPr>
      <w:r>
        <w:rPr>
          <w:rFonts w:cs="Times New Roman"/>
          <w:szCs w:val="24"/>
        </w:rPr>
        <w:t>A</w:t>
      </w:r>
      <w:r w:rsidR="00B06559" w:rsidRPr="00290D19">
        <w:rPr>
          <w:rFonts w:cs="Times New Roman"/>
          <w:szCs w:val="24"/>
        </w:rPr>
        <w:t>ll four models indicate t</w:t>
      </w:r>
      <w:r w:rsidR="00FA35AA" w:rsidRPr="00290D19">
        <w:rPr>
          <w:rFonts w:cs="Times New Roman"/>
          <w:szCs w:val="24"/>
        </w:rPr>
        <w:t xml:space="preserve">hat </w:t>
      </w:r>
      <w:r>
        <w:rPr>
          <w:rFonts w:cs="Times New Roman"/>
          <w:szCs w:val="24"/>
        </w:rPr>
        <w:t>older individuals,</w:t>
      </w:r>
      <w:r w:rsidR="00083B2F" w:rsidRPr="0093315A">
        <w:rPr>
          <w:rFonts w:cs="Times New Roman"/>
          <w:szCs w:val="24"/>
        </w:rPr>
        <w:t xml:space="preserve"> women</w:t>
      </w:r>
      <w:r>
        <w:rPr>
          <w:rFonts w:cs="Times New Roman"/>
          <w:szCs w:val="24"/>
        </w:rPr>
        <w:t>,</w:t>
      </w:r>
      <w:r w:rsidR="00083B2F" w:rsidRPr="0093315A">
        <w:rPr>
          <w:rFonts w:cs="Times New Roman"/>
          <w:szCs w:val="24"/>
        </w:rPr>
        <w:t xml:space="preserve"> and individuals with </w:t>
      </w:r>
      <w:r>
        <w:rPr>
          <w:rFonts w:cs="Times New Roman"/>
          <w:szCs w:val="24"/>
        </w:rPr>
        <w:t xml:space="preserve">less than a Bachelor’s degree of formal </w:t>
      </w:r>
      <w:r w:rsidR="00083B2F" w:rsidRPr="00290D19">
        <w:rPr>
          <w:rFonts w:cs="Times New Roman"/>
          <w:szCs w:val="24"/>
        </w:rPr>
        <w:t>educational attainment are less inclined toward AV ownership</w:t>
      </w:r>
      <w:r>
        <w:rPr>
          <w:rFonts w:cs="Times New Roman"/>
          <w:szCs w:val="24"/>
        </w:rPr>
        <w:t xml:space="preserve"> relative to younger individuals, men, and individuals with a Bachelor’s degree or higher</w:t>
      </w:r>
      <w:r w:rsidR="00083B2F" w:rsidRPr="0093315A">
        <w:rPr>
          <w:rFonts w:cs="Times New Roman"/>
          <w:szCs w:val="24"/>
        </w:rPr>
        <w:t>.</w:t>
      </w:r>
      <w:r w:rsidR="00DF5E45" w:rsidRPr="0093315A">
        <w:rPr>
          <w:rFonts w:cs="Times New Roman"/>
          <w:szCs w:val="24"/>
        </w:rPr>
        <w:t xml:space="preserve"> These results are </w:t>
      </w:r>
      <w:r w:rsidR="00DF5E45" w:rsidRPr="00290D19">
        <w:rPr>
          <w:rFonts w:cs="Times New Roman"/>
          <w:szCs w:val="24"/>
        </w:rPr>
        <w:t xml:space="preserve">consistent with findings from previous studies </w:t>
      </w:r>
      <w:r w:rsidR="00DE5FE6" w:rsidRPr="00B71211">
        <w:rPr>
          <w:rFonts w:cs="Times New Roman"/>
          <w:szCs w:val="24"/>
        </w:rPr>
        <w:fldChar w:fldCharType="begin"/>
      </w:r>
      <w:r w:rsidR="00053E9D" w:rsidRPr="00290D19">
        <w:rPr>
          <w:rFonts w:cs="Times New Roman"/>
          <w:szCs w:val="24"/>
        </w:rPr>
        <w:instrText xml:space="preserve"> ADDIN ZOTERO_ITEM CSL_CITATION {"citationID":"bJum1to1","properties":{"unsorted":true,"formattedCitation":"(Charness et al., 2018; Asmussen et al., 2020; Rahman and Thill, 2026)","plainCitation":"(Charness et al., 2018; Asmussen et al., 2020; Rahman and Thill, 2026)","dontUpdate":true,"noteIndex":0},"citationItems":[{"id":6942,"uris":["http://zotero.org/users/12832277/items/DQHNW4EN"],"itemData":{"id":6942,"type":"article-journal","abstract":"Autonomous vehicles (AVs) hold considerable promise for maintaining mobility in older adults developing impairments in driving skill. Nonetheless, attitudes can be a significant barrier to adoption as has been shown for other technologies. We investigated how different introductions to AV, video with a driver in the front seat, the rear seat, and a written description, affected attitudes, as well as how individual difference variables such as age, gender, prior knowledge, and personality traits predict attitudes within a middle-aged (Median age = 34, IQR = 20, n=441) Amazon Mechanical Turk sample. The 16-item attitude survey uncovered three factors: Concern with AV, Eagerness to Adopt AV technology, and Willingness to Relinquish Driving Control. ANOVAs showed that only age (younger less concerned) and gender, (females more concerned) were significant factors in Concern with AV. Only gender affected Willingness to Relinquish Driving Control, with males more willing. Multiple regressions that included previous knowledge level and personality traits showed a different pattern. Female gender and greater conscientiousness were associated with greater Concern about AV. Prior knowledge of AV was associated with less concern. Emotional stability and openness to experience were positive predictors of Eagerness to Adopt AV, whereas conscientiousness was a negative predictor. Prior knowledge and openness to experience, positively, and extraversion, negatively, were associated with being willing to relinquish driving control. These results suggest that different information dissemination campaigns are needed to persuade consumers to adopt AV technology. We discuss potential approaches.","container-title":"Frontiers in Psychology","DOI":"10.3389/fpsyg.2018.02589","ISSN":"1664-1078","journalAbbreviation":"Front. Psychol.","language":"English","publisher":"Frontiers","source":"Frontiers","title":"Predictors of Attitudes Toward Autonomous Vehicles: The Roles of Age, Gender, Prior Knowledge, and Personality","title-short":"Predictors of Attitudes Toward Autonomous Vehicles","URL":"https://www.frontiersin.org/journals/psychology/articles/10.3389/fpsyg.2018.02589/full","volume":"9","author":[{"family":"Charness","given":"Neil"},{"family":"Yoon","given":"Jong Sung"},{"family":"Souders","given":"Dustin"},{"family":"Stothart","given":"Cary"},{"family":"Yehnert","given":"Courtney"}],"accessed":{"date-parts":[["2026",5,2]]},"issued":{"date-parts":[["2018",12,18]]}}},{"id":2029,"uris":["http://zotero.org/users/12832277/items/SCQAFKI6"],"itemData":{"id":2029,"type":"article-journal","abstract":"Understanding the “if” and “when” of autonomous vehicle (AV) adoption is of clear interest to car manufacturers in their positioning of business processes, but also to transportation planners and traffic engineers. In this paper, we examine the individual-level AV adoption and timing process, considering the psycho-social factors of driving control, mobility control, safety concerns, and tech-savviness. A ranked choice stated preference design is used to elicit responses from Austin area residents regarding AV adoption. Our results underscore the need to examine the adoption of technology through a psycho-social lens. In particular, technology developments and design should not be divorced from careful investigations of habits and consumption motivations of different groups of individuals in the population. The findings from our analysis are translated to specific policy actions to promote AV adoption and accelerate the adoption time frame.","container-title":"Transportation Research Part C: Emerging Technologies","DOI":"10.1016/j.trc.2020.102835","ISSN":"0968-090X","source":"ScienceDirect","title":"A Socio-Technical Model of Autonomous Vehicle Adoption Using Ranked Choice Stated Preference Data","URL":"https://www.sciencedirect.com/science/article/pii/S0968090X20307397","volume":"121","author":[{"family":"Asmussen","given":"Katherine"},{"family":"Mondal","given":"Aupal"},{"family":"Bhat","given":"Chandra R."}],"accessed":{"date-parts":[["2024",1,19]]},"issued":{"date-parts":[["2020",12,1]]}}},{"id":6939,"uris":["http://zotero.org/users/12832277/items/9BIZJFDP"],"itemData":{"id":6939,"type":"article-journal","abstract":"This study aims to investigate people’s perceptions and opinions on Autonomous Vehicles (AVs) and the key factors that influence their Behavioral Intention (BI) to purchase and use AVs. Data were sourced from the 2019 California Vehicle Survey to explore the determinants of AV purchase. A Structural Equation Model (SEM) of stated intentions is estimated to validate a theoretical framework drawn on relevant bodies of literature. The descriptive statistics show that many people are already aware of AVs. Many people also think that traveling by AVs is enjoyable, safe, and effective, although some of them would miss the joy of driving and would not entrust a driverless AV to shuttle their children. Results from the SEM indicate that being working-age adults, having children, household income, per capita income, and educational attainment are attributes positively associated with AV purchase intention. Similarly, psychological factors (e.g., perceived enjoyment, usefulness, and safety), prior knowledge of AVs, and experience with emerging technologies (e.g., electric vehicles) significantly enhance BI to purchase AVs. This study finds that family structure and psychological factors are the most influential factors of AV purchase intention, and more so than the built environment, transportation, and other socioeconomic factors.","container-title":"Transportation","DOI":"10.1007/s11116-024-10490-9","ISSN":"1572-9435","issue":"1","journalAbbreviation":"Transportation","language":"en","page":"71-104","source":"Springer Link","title":"Who Is Inclined to Buy an Autonomous Vehicle? Empirical Evidence from California","title-short":"Who Is Inclined to Buy an Autonomous Vehicle?","volume":"53","author":[{"family":"Rahman","given":"Md. Mokhlesur"},{"family":"Thill","given":"Jean-Claude"}],"issued":{"date-parts":[["2026",2,1]]}}}],"schema":"https://github.com/citation-style-language/schema/raw/master/csl-citation.json"} </w:instrText>
      </w:r>
      <w:r w:rsidR="00DE5FE6" w:rsidRPr="00B71211">
        <w:rPr>
          <w:rFonts w:cs="Times New Roman"/>
          <w:szCs w:val="24"/>
        </w:rPr>
        <w:fldChar w:fldCharType="separate"/>
      </w:r>
      <w:r w:rsidR="00DE5FE6" w:rsidRPr="00B71211">
        <w:rPr>
          <w:rFonts w:cs="Times New Roman"/>
          <w:szCs w:val="24"/>
        </w:rPr>
        <w:t>(</w:t>
      </w:r>
      <w:r w:rsidR="00DE5FE6" w:rsidRPr="00173AB7">
        <w:rPr>
          <w:rFonts w:cs="Times New Roman"/>
          <w:szCs w:val="24"/>
        </w:rPr>
        <w:t>see, for example, Charness et al., 2018; Asmussen et al., 2020; Rahman and Thill, 2026)</w:t>
      </w:r>
      <w:r w:rsidR="00DE5FE6" w:rsidRPr="00B71211">
        <w:rPr>
          <w:rFonts w:cs="Times New Roman"/>
          <w:szCs w:val="24"/>
        </w:rPr>
        <w:fldChar w:fldCharType="end"/>
      </w:r>
      <w:r w:rsidR="0023002F" w:rsidRPr="00B71211">
        <w:rPr>
          <w:rFonts w:cs="Times New Roman"/>
          <w:szCs w:val="24"/>
        </w:rPr>
        <w:t xml:space="preserve">. </w:t>
      </w:r>
      <w:r w:rsidR="00101B11" w:rsidRPr="00B71211">
        <w:rPr>
          <w:rFonts w:cs="Times New Roman"/>
          <w:szCs w:val="24"/>
        </w:rPr>
        <w:t xml:space="preserve">Similarly, all </w:t>
      </w:r>
      <w:r>
        <w:rPr>
          <w:rFonts w:cs="Times New Roman"/>
          <w:szCs w:val="24"/>
        </w:rPr>
        <w:t xml:space="preserve">the </w:t>
      </w:r>
      <w:r w:rsidR="00101B11" w:rsidRPr="00B71211">
        <w:rPr>
          <w:rFonts w:cs="Times New Roman"/>
          <w:szCs w:val="24"/>
        </w:rPr>
        <w:t>models suggest that nonwhite individuals</w:t>
      </w:r>
      <w:r w:rsidR="00101B11" w:rsidRPr="00173AB7">
        <w:rPr>
          <w:rFonts w:cs="Times New Roman"/>
          <w:szCs w:val="24"/>
        </w:rPr>
        <w:t xml:space="preserve"> may be more interested in </w:t>
      </w:r>
      <w:r w:rsidR="0023002F" w:rsidRPr="0093315A">
        <w:rPr>
          <w:rFonts w:cs="Times New Roman"/>
          <w:szCs w:val="24"/>
        </w:rPr>
        <w:t xml:space="preserve">AV ridehailing </w:t>
      </w:r>
      <w:r w:rsidR="007948FC">
        <w:rPr>
          <w:rFonts w:cs="Times New Roman"/>
          <w:szCs w:val="24"/>
        </w:rPr>
        <w:t xml:space="preserve">than in </w:t>
      </w:r>
      <w:r w:rsidR="0023002F" w:rsidRPr="00290D19">
        <w:rPr>
          <w:rFonts w:cs="Times New Roman"/>
          <w:szCs w:val="24"/>
        </w:rPr>
        <w:t>the purchase of either a new regular vehicle or a new AV</w:t>
      </w:r>
      <w:r w:rsidR="007E55E4" w:rsidRPr="00290D19">
        <w:rPr>
          <w:rFonts w:cs="Times New Roman"/>
          <w:szCs w:val="24"/>
        </w:rPr>
        <w:t xml:space="preserve">. This likely reflects </w:t>
      </w:r>
      <w:r w:rsidR="008A4CF5" w:rsidRPr="00290D19">
        <w:rPr>
          <w:rFonts w:cs="Times New Roman"/>
          <w:szCs w:val="24"/>
        </w:rPr>
        <w:t>existing differences in vehicle ownership constraints and preferences, as minority racial groups tend to have a greater openness to</w:t>
      </w:r>
      <w:r w:rsidR="007948FC">
        <w:rPr>
          <w:rFonts w:cs="Times New Roman"/>
          <w:szCs w:val="24"/>
        </w:rPr>
        <w:t>ward</w:t>
      </w:r>
      <w:r w:rsidR="008A4CF5" w:rsidRPr="0093315A">
        <w:rPr>
          <w:rFonts w:cs="Times New Roman"/>
          <w:szCs w:val="24"/>
        </w:rPr>
        <w:t xml:space="preserve"> mobility-as-a-service alternatives while </w:t>
      </w:r>
      <w:r>
        <w:rPr>
          <w:rFonts w:cs="Times New Roman"/>
          <w:szCs w:val="24"/>
        </w:rPr>
        <w:t xml:space="preserve">also </w:t>
      </w:r>
      <w:r w:rsidR="008A4CF5" w:rsidRPr="0093315A">
        <w:rPr>
          <w:rFonts w:cs="Times New Roman"/>
          <w:szCs w:val="24"/>
        </w:rPr>
        <w:t>facing more s</w:t>
      </w:r>
      <w:r w:rsidR="007948FC">
        <w:rPr>
          <w:rFonts w:cs="Times New Roman"/>
          <w:szCs w:val="24"/>
        </w:rPr>
        <w:t>u</w:t>
      </w:r>
      <w:r w:rsidR="00D6088A">
        <w:rPr>
          <w:rFonts w:cs="Times New Roman"/>
          <w:szCs w:val="24"/>
        </w:rPr>
        <w:t>b</w:t>
      </w:r>
      <w:r w:rsidR="007948FC">
        <w:rPr>
          <w:rFonts w:cs="Times New Roman"/>
          <w:szCs w:val="24"/>
        </w:rPr>
        <w:t>stantial</w:t>
      </w:r>
      <w:r w:rsidR="008A4CF5" w:rsidRPr="00290D19">
        <w:rPr>
          <w:rFonts w:cs="Times New Roman"/>
          <w:szCs w:val="24"/>
        </w:rPr>
        <w:t xml:space="preserve"> barriers to vehicle ownership </w:t>
      </w:r>
      <w:r w:rsidR="00053E9D" w:rsidRPr="00B71211">
        <w:rPr>
          <w:rFonts w:cs="Times New Roman"/>
          <w:szCs w:val="24"/>
        </w:rPr>
        <w:fldChar w:fldCharType="begin"/>
      </w:r>
      <w:r w:rsidR="00053E9D" w:rsidRPr="00290D19">
        <w:rPr>
          <w:rFonts w:cs="Times New Roman"/>
          <w:szCs w:val="24"/>
        </w:rPr>
        <w:instrText xml:space="preserve"> ADDIN ZOTERO_ITEM CSL_CITATION {"citationID":"VahniBg6","properties":{"unsorted":true,"formattedCitation":"(Klein and Smart, 2017; Brown, 2019; Molloy et al., 2024)","plainCitation":"(Klein and Smart, 2017; Brown, 2019; Molloy et al., 2024)","noteIndex":0},"citationItems":[{"id":6965,"uris":["http://zotero.org/users/12832277/items/PQEDBGEA"],"itemData":{"id":6965,"type":"article-journal","abstract":"Most transportation research in the United States uses cross-sectional, “snapshot” data to understand levels of car access. Might this cross-sectional approach mask considerable variation over time and within households? We use a panel dataset, the Panel Study of Income Dynamics (PSID), for the years 1999–2011 to test this question. We find that for most families, being “carless” is a temporary condition. While 13 % of families in the US are carless in any given year, only 5 % of families are carless for all seven waves of data we examine in the PSID. We also find that poor families, immigrants, and people of color (particularly, blacks) are considerably more likely to transition into and out car ownership frequently and are less likely to have a car in any survey year than are non-poor families, the US-born, and whites.","container-title":"Transportation","DOI":"10.1007/s11116-015-9664-4","ISSN":"1572-9435","issue":"3","journalAbbreviation":"Transportation","language":"en","page":"495-510","source":"Springer Link","title":"Car Today, Gone Tomorrow: The Ephemeral Car in Low-Income, Immigrant and Minority Families","title-short":"Car Today, Gone Tomorrow","volume":"44","author":[{"family":"Klein","given":"Nicholas J."},{"family":"Smart","given":"Michael J."}],"issued":{"date-parts":[["2017",5,1]]}}},{"id":6967,"uris":["http://zotero.org/users/12832277/items/Y5M25FZ6"],"itemData":{"id":6967,"type":"article-journal","abstract":"Problem, research strategy, and findings: Ride-hail services such as Uber and Lyft have the potential to redefine car access and travel, but unclear associations with the built environment and resident characteristics have undermined planners’ abilities to make informed decisions. I use detailed data of 6.3 million Lyft trips in Los Angeles (CA) to examine the associations between Lyft travel, the built environment, and neighborhood socioeconomic characteristics. Although data are limited to one American city, findings present a comprehensive understanding of Lyft use across an array of built environments. I find that, far from being limited to dense urban cores, Lyft provides automobility in suburban and even rural neighborhoods. Findings suggest that unlike taxis, ride-hailing does not exclude low-income neighborhoods and communities. Instead, Lyft provides car access in neighborhoods where its closest substitute, the household car, is scarcest. Most travelers use ride-hailing to fill an occasional rather than regular travel need, but a small share of users made the most ride-hail trips. Travelers without smartphones or bank accounts, however, may be excluded from ride-hailing. Takeaway for practice: Widespread Lyft use demonstrates that planners should anticipate ride-hailing not just in urban centers but across a wide array of built environments. Negative associations between Lyft travel and off-street parking suggest that ride-hailing can provide new modal options where parking is already constrained or where new parking restrictions are introduced. Planners should work with communities and transit agencies to adopt strategies or enter partnerships that extend ride-hail, or other technology-enabled mobility services, to travelers without smartphones or bank accounts.","container-title":"Journal of the American Planning Association","DOI":"10.1080/01944363.2019.1603761","ISSN":"0194-4363","issue":"2","note":"_eprint: https://doi.org/10.1080/01944363.2019.1603761","page":"83-95","publisher":"Routledge","source":"Taylor and Francis+NEJM","title":"Redefining Car Access: Ride-Hail Travel and Use in Los Angeles","title-short":"Redefining Car Access","volume":"85","author":[{"family":"Brown","given":"Anne"}],"issued":{"date-parts":[["2019",4,3]]}}},{"id":4961,"uris":["http://zotero.org/users/12832277/items/Z56UK6LE"],"itemData":{"id":4961,"type":"article-journal","abstract":"Vehicle ownership is a significant cost to households, but Black households are more likely to be burdened than White households. Previous assessments of transportation spending between races did not differentiate by vehicle ownership status, depressing overall transportation spending by Black households, which are three times as likely as White households not to have access to a car and, thus, spend comparatively little on transportation. When these experiences are isolated, 76% of Black households with vehicles are burdened by transportation spending compared with 60% of White households. Black households with vehicles allocate more of their total average annual spending to transportation regardless of income, and disparities in transportation burden are present even in high-earning households. Black households that are in poverty spend on average $1,115 more per car than their White peers. Insurance, gasoline, vehicle loans, and leasing are all major drivers of transportation burden on Black households and, frequently, these are less burdensome to White households. This adds to concerns of disparate safety and environmental impacts of automobility experienced by Black households, for example, higher rates of pedestrian fatalities and risk of childhood asthma from vehicle exhaust fumes.","container-title":"Transportation Research Record","DOI":"10.1177/03611981241231968","ISSN":"0361-1981","issue":"10","language":"EN","page":"163-173","publisher":"SAGE Publications Inc","source":"SAGE Journals","title":"Black Households Are More Burdened by Vehicle Ownership than White Households","volume":"2678","author":[{"family":"Molloy","given":"Quinn"},{"family":"Garrick","given":"Norman"},{"family":"Atkinson-Palombo","given":"Carol"}],"issued":{"date-parts":[["2024",10,1]]}}}],"schema":"https://github.com/citation-style-language/schema/raw/master/csl-citation.json"} </w:instrText>
      </w:r>
      <w:r w:rsidR="00053E9D" w:rsidRPr="00B71211">
        <w:rPr>
          <w:rFonts w:cs="Times New Roman"/>
          <w:szCs w:val="24"/>
        </w:rPr>
        <w:fldChar w:fldCharType="separate"/>
      </w:r>
      <w:r w:rsidR="00053E9D" w:rsidRPr="00B71211">
        <w:rPr>
          <w:rFonts w:cs="Times New Roman"/>
          <w:szCs w:val="24"/>
        </w:rPr>
        <w:t>(Klein and Smart, 2017; Brown, 2019; Molloy et al., 2024)</w:t>
      </w:r>
      <w:r w:rsidR="00053E9D" w:rsidRPr="00B71211">
        <w:rPr>
          <w:rFonts w:cs="Times New Roman"/>
          <w:szCs w:val="24"/>
        </w:rPr>
        <w:fldChar w:fldCharType="end"/>
      </w:r>
      <w:r w:rsidR="008A4CF5" w:rsidRPr="00B71211">
        <w:rPr>
          <w:rFonts w:cs="Times New Roman"/>
          <w:szCs w:val="24"/>
        </w:rPr>
        <w:t xml:space="preserve">. </w:t>
      </w:r>
      <w:r w:rsidR="003944F9" w:rsidRPr="00B71211">
        <w:rPr>
          <w:rFonts w:cs="Times New Roman"/>
          <w:szCs w:val="24"/>
        </w:rPr>
        <w:t>However, while the MNP model</w:t>
      </w:r>
      <w:r w:rsidR="00D6088A">
        <w:rPr>
          <w:rFonts w:cs="Times New Roman"/>
          <w:szCs w:val="24"/>
        </w:rPr>
        <w:t>s</w:t>
      </w:r>
      <w:r w:rsidR="003944F9" w:rsidRPr="00B71211">
        <w:rPr>
          <w:rFonts w:cs="Times New Roman"/>
          <w:szCs w:val="24"/>
        </w:rPr>
        <w:t xml:space="preserve"> suggest that women are less interest</w:t>
      </w:r>
      <w:r w:rsidR="003944F9" w:rsidRPr="00173AB7">
        <w:rPr>
          <w:rFonts w:cs="Times New Roman"/>
          <w:szCs w:val="24"/>
        </w:rPr>
        <w:t xml:space="preserve">ed in AV </w:t>
      </w:r>
      <w:proofErr w:type="spellStart"/>
      <w:r w:rsidR="003944F9" w:rsidRPr="00173AB7">
        <w:rPr>
          <w:rFonts w:cs="Times New Roman"/>
          <w:szCs w:val="24"/>
        </w:rPr>
        <w:t>ridehailing</w:t>
      </w:r>
      <w:proofErr w:type="spellEnd"/>
      <w:r w:rsidR="003944F9" w:rsidRPr="00173AB7">
        <w:rPr>
          <w:rFonts w:cs="Times New Roman"/>
          <w:szCs w:val="24"/>
        </w:rPr>
        <w:t xml:space="preserve"> </w:t>
      </w:r>
      <w:r w:rsidR="00C850AB" w:rsidRPr="0093315A">
        <w:rPr>
          <w:rFonts w:cs="Times New Roman"/>
          <w:szCs w:val="24"/>
        </w:rPr>
        <w:t>and that</w:t>
      </w:r>
      <w:r w:rsidR="003944F9" w:rsidRPr="00823982">
        <w:rPr>
          <w:rFonts w:cs="Times New Roman"/>
          <w:szCs w:val="24"/>
        </w:rPr>
        <w:t xml:space="preserve"> </w:t>
      </w:r>
      <w:r w:rsidR="009C2C45">
        <w:rPr>
          <w:rFonts w:cs="Times New Roman"/>
          <w:szCs w:val="24"/>
        </w:rPr>
        <w:t>individuals</w:t>
      </w:r>
      <w:r w:rsidR="003944F9" w:rsidRPr="00823982">
        <w:rPr>
          <w:rFonts w:cs="Times New Roman"/>
          <w:szCs w:val="24"/>
        </w:rPr>
        <w:t xml:space="preserve"> with higher levels of </w:t>
      </w:r>
      <w:r>
        <w:rPr>
          <w:rFonts w:cs="Times New Roman"/>
          <w:szCs w:val="24"/>
        </w:rPr>
        <w:t xml:space="preserve">formal </w:t>
      </w:r>
      <w:r w:rsidR="003944F9" w:rsidRPr="0093315A">
        <w:rPr>
          <w:rFonts w:cs="Times New Roman"/>
          <w:szCs w:val="24"/>
        </w:rPr>
        <w:t xml:space="preserve">educational attainment are more </w:t>
      </w:r>
      <w:r w:rsidR="003944F9" w:rsidRPr="0093315A">
        <w:rPr>
          <w:rFonts w:cs="Times New Roman"/>
          <w:szCs w:val="24"/>
        </w:rPr>
        <w:lastRenderedPageBreak/>
        <w:t xml:space="preserve">interested in AV ridehailing, </w:t>
      </w:r>
      <w:r w:rsidR="009F27A8" w:rsidRPr="00823982">
        <w:rPr>
          <w:rFonts w:cs="Times New Roman"/>
          <w:szCs w:val="24"/>
        </w:rPr>
        <w:t xml:space="preserve">these effects are not </w:t>
      </w:r>
      <w:r>
        <w:rPr>
          <w:rFonts w:cs="Times New Roman"/>
          <w:szCs w:val="24"/>
        </w:rPr>
        <w:t xml:space="preserve">as statistically </w:t>
      </w:r>
      <w:r w:rsidR="009F27A8" w:rsidRPr="0093315A">
        <w:rPr>
          <w:rFonts w:cs="Times New Roman"/>
          <w:szCs w:val="24"/>
        </w:rPr>
        <w:t>significant in</w:t>
      </w:r>
      <w:r w:rsidR="00BC5262" w:rsidRPr="00823982">
        <w:rPr>
          <w:rFonts w:cs="Times New Roman"/>
          <w:szCs w:val="24"/>
        </w:rPr>
        <w:t xml:space="preserve"> the MNYJ models</w:t>
      </w:r>
      <w:r w:rsidR="00D6088A">
        <w:rPr>
          <w:rFonts w:cs="Times New Roman"/>
          <w:szCs w:val="24"/>
        </w:rPr>
        <w:t xml:space="preserve"> (and actually are well below any typically used level of statistical significance for variable retainment)</w:t>
      </w:r>
      <w:r w:rsidR="003944F9" w:rsidRPr="00823982">
        <w:rPr>
          <w:rFonts w:cs="Times New Roman"/>
          <w:szCs w:val="24"/>
        </w:rPr>
        <w:t>.</w:t>
      </w:r>
      <w:r w:rsidR="00776E99">
        <w:rPr>
          <w:rFonts w:cs="Times New Roman"/>
          <w:szCs w:val="24"/>
        </w:rPr>
        <w:t xml:space="preserve"> </w:t>
      </w:r>
      <w:r w:rsidR="00776E99">
        <w:t xml:space="preserve">This suggests that some of the variation attributed to the observed gender and education variables in the MNP specification may instead reflect more general asymmetries in the latent utility distributions that are not adequately represented under the symmetry restriction imposed by the MNP model. </w:t>
      </w:r>
    </w:p>
    <w:p w14:paraId="0D5A0FE7" w14:textId="77777777" w:rsidR="009C2C45" w:rsidRPr="00290D19" w:rsidRDefault="009C2C45" w:rsidP="00037976">
      <w:pPr>
        <w:spacing w:line="240" w:lineRule="auto"/>
        <w:rPr>
          <w:rFonts w:cs="Times New Roman"/>
          <w:szCs w:val="24"/>
        </w:rPr>
      </w:pPr>
    </w:p>
    <w:p w14:paraId="1833F3AB" w14:textId="5079B3BF" w:rsidR="00AB3C7F" w:rsidRPr="00290D19" w:rsidRDefault="00AB3C7F" w:rsidP="00037976">
      <w:pPr>
        <w:spacing w:line="240" w:lineRule="auto"/>
        <w:rPr>
          <w:rFonts w:cs="Times New Roman"/>
          <w:b/>
          <w:i/>
          <w:szCs w:val="24"/>
        </w:rPr>
      </w:pPr>
      <w:r w:rsidRPr="00290D19">
        <w:rPr>
          <w:rFonts w:cs="Times New Roman"/>
          <w:b/>
          <w:i/>
          <w:szCs w:val="24"/>
        </w:rPr>
        <w:t>4.2.3 Household Characteristics</w:t>
      </w:r>
    </w:p>
    <w:p w14:paraId="481F2A8C" w14:textId="0770BC98" w:rsidR="00030E2B" w:rsidRPr="00030E2B" w:rsidRDefault="006742D4" w:rsidP="00037976">
      <w:pPr>
        <w:spacing w:line="240" w:lineRule="auto"/>
        <w:rPr>
          <w:rFonts w:eastAsia="Times New Roman" w:cs="Times New Roman"/>
          <w:szCs w:val="24"/>
        </w:rPr>
      </w:pPr>
      <w:r>
        <w:rPr>
          <w:rFonts w:cs="Times New Roman"/>
          <w:szCs w:val="24"/>
        </w:rPr>
        <w:t>The effects of household characteristics in Table 2 indicate that i</w:t>
      </w:r>
      <w:r w:rsidR="00853676" w:rsidRPr="00290D19">
        <w:rPr>
          <w:rFonts w:cs="Times New Roman"/>
          <w:szCs w:val="24"/>
        </w:rPr>
        <w:t xml:space="preserve">ndividuals in </w:t>
      </w:r>
      <w:r>
        <w:rPr>
          <w:rFonts w:cs="Times New Roman"/>
          <w:szCs w:val="24"/>
        </w:rPr>
        <w:t xml:space="preserve">the </w:t>
      </w:r>
      <w:r w:rsidR="00853676" w:rsidRPr="00823982">
        <w:rPr>
          <w:rFonts w:cs="Times New Roman"/>
          <w:szCs w:val="24"/>
        </w:rPr>
        <w:t>highe</w:t>
      </w:r>
      <w:r>
        <w:rPr>
          <w:rFonts w:cs="Times New Roman"/>
          <w:szCs w:val="24"/>
        </w:rPr>
        <w:t xml:space="preserve">st household </w:t>
      </w:r>
      <w:r w:rsidR="00853676" w:rsidRPr="00290D19">
        <w:rPr>
          <w:rFonts w:cs="Times New Roman"/>
          <w:szCs w:val="24"/>
        </w:rPr>
        <w:t xml:space="preserve">income </w:t>
      </w:r>
      <w:r>
        <w:rPr>
          <w:rFonts w:cs="Times New Roman"/>
          <w:szCs w:val="24"/>
        </w:rPr>
        <w:t xml:space="preserve">category ($100,000 or more) </w:t>
      </w:r>
      <w:r w:rsidR="00853676" w:rsidRPr="00290D19">
        <w:rPr>
          <w:rFonts w:cs="Times New Roman"/>
          <w:szCs w:val="24"/>
        </w:rPr>
        <w:t xml:space="preserve">are </w:t>
      </w:r>
      <w:r>
        <w:rPr>
          <w:rFonts w:cs="Times New Roman"/>
          <w:szCs w:val="24"/>
        </w:rPr>
        <w:t xml:space="preserve">more </w:t>
      </w:r>
      <w:r w:rsidR="00853676" w:rsidRPr="00290D19">
        <w:rPr>
          <w:rFonts w:cs="Times New Roman"/>
          <w:szCs w:val="24"/>
        </w:rPr>
        <w:t xml:space="preserve">inclined to </w:t>
      </w:r>
      <w:r>
        <w:rPr>
          <w:rFonts w:cs="Times New Roman"/>
          <w:szCs w:val="24"/>
        </w:rPr>
        <w:t xml:space="preserve">adopt AVs in </w:t>
      </w:r>
      <w:r w:rsidR="00853676" w:rsidRPr="00290D19">
        <w:rPr>
          <w:rFonts w:cs="Times New Roman"/>
          <w:szCs w:val="24"/>
        </w:rPr>
        <w:t xml:space="preserve">ownership </w:t>
      </w:r>
      <w:r>
        <w:rPr>
          <w:rFonts w:cs="Times New Roman"/>
          <w:szCs w:val="24"/>
        </w:rPr>
        <w:t xml:space="preserve">mode than those in lower income categories, </w:t>
      </w:r>
      <w:r w:rsidR="00853676" w:rsidRPr="00823982">
        <w:rPr>
          <w:rFonts w:cs="Times New Roman"/>
          <w:szCs w:val="24"/>
        </w:rPr>
        <w:t xml:space="preserve">and </w:t>
      </w:r>
      <w:r>
        <w:rPr>
          <w:rFonts w:cs="Times New Roman"/>
          <w:szCs w:val="24"/>
        </w:rPr>
        <w:t xml:space="preserve">individuals in higher income households tend to </w:t>
      </w:r>
      <w:r w:rsidR="00853676" w:rsidRPr="00823982">
        <w:rPr>
          <w:rFonts w:cs="Times New Roman"/>
          <w:szCs w:val="24"/>
        </w:rPr>
        <w:t xml:space="preserve">rely </w:t>
      </w:r>
      <w:r>
        <w:rPr>
          <w:rFonts w:cs="Times New Roman"/>
          <w:szCs w:val="24"/>
        </w:rPr>
        <w:t xml:space="preserve">less </w:t>
      </w:r>
      <w:r w:rsidR="00853676" w:rsidRPr="00823982">
        <w:rPr>
          <w:rFonts w:cs="Times New Roman"/>
          <w:szCs w:val="24"/>
        </w:rPr>
        <w:t xml:space="preserve">on </w:t>
      </w:r>
      <w:r w:rsidR="000641EB">
        <w:rPr>
          <w:rFonts w:cs="Times New Roman"/>
          <w:szCs w:val="24"/>
        </w:rPr>
        <w:t xml:space="preserve">AV </w:t>
      </w:r>
      <w:r w:rsidR="00853676" w:rsidRPr="00823982">
        <w:rPr>
          <w:rFonts w:cs="Times New Roman"/>
          <w:szCs w:val="24"/>
        </w:rPr>
        <w:t>ridehailing servic</w:t>
      </w:r>
      <w:r w:rsidR="00853676" w:rsidRPr="0086018F">
        <w:rPr>
          <w:rFonts w:cs="Times New Roman"/>
          <w:szCs w:val="24"/>
        </w:rPr>
        <w:t>es</w:t>
      </w:r>
      <w:r>
        <w:rPr>
          <w:rFonts w:cs="Times New Roman"/>
          <w:szCs w:val="24"/>
        </w:rPr>
        <w:t xml:space="preserve"> relative to those in lower income households</w:t>
      </w:r>
      <w:r w:rsidR="00853676" w:rsidRPr="00823982">
        <w:rPr>
          <w:rFonts w:cs="Times New Roman"/>
          <w:szCs w:val="24"/>
        </w:rPr>
        <w:t xml:space="preserve">. </w:t>
      </w:r>
      <w:r w:rsidR="0068193B" w:rsidRPr="0086018F">
        <w:rPr>
          <w:rFonts w:cs="Times New Roman"/>
          <w:szCs w:val="24"/>
        </w:rPr>
        <w:t>Notably, this is one area where the inclusion of the random coefficients for cost-related variables appears to have a s</w:t>
      </w:r>
      <w:r w:rsidR="00030E2B">
        <w:rPr>
          <w:rFonts w:cs="Times New Roman"/>
          <w:szCs w:val="24"/>
        </w:rPr>
        <w:t>ubstantial</w:t>
      </w:r>
      <w:r w:rsidR="0068193B" w:rsidRPr="00290D19">
        <w:rPr>
          <w:rFonts w:cs="Times New Roman"/>
          <w:szCs w:val="24"/>
        </w:rPr>
        <w:t xml:space="preserve"> impact. Specifically, the two models without random coefficients indicate that those in the highest income</w:t>
      </w:r>
      <w:r w:rsidR="00030E2B">
        <w:rPr>
          <w:rFonts w:cs="Times New Roman"/>
          <w:szCs w:val="24"/>
        </w:rPr>
        <w:t xml:space="preserve"> category</w:t>
      </w:r>
      <w:r w:rsidR="0068193B" w:rsidRPr="00290D19">
        <w:rPr>
          <w:rFonts w:cs="Times New Roman"/>
          <w:szCs w:val="24"/>
        </w:rPr>
        <w:t xml:space="preserve"> </w:t>
      </w:r>
      <w:r w:rsidR="00030E2B">
        <w:rPr>
          <w:rFonts w:cs="Times New Roman"/>
          <w:szCs w:val="24"/>
        </w:rPr>
        <w:t>(</w:t>
      </w:r>
      <w:r w:rsidR="0068193B" w:rsidRPr="00290D19">
        <w:rPr>
          <w:rFonts w:cs="Times New Roman"/>
          <w:szCs w:val="24"/>
        </w:rPr>
        <w:t>$100,000 or more</w:t>
      </w:r>
      <w:r w:rsidR="00030E2B">
        <w:rPr>
          <w:rFonts w:cs="Times New Roman"/>
          <w:szCs w:val="24"/>
        </w:rPr>
        <w:t>)</w:t>
      </w:r>
      <w:r w:rsidR="0068193B" w:rsidRPr="0086018F">
        <w:rPr>
          <w:rFonts w:cs="Times New Roman"/>
          <w:szCs w:val="24"/>
        </w:rPr>
        <w:t xml:space="preserve"> </w:t>
      </w:r>
      <w:r w:rsidR="00424B39" w:rsidRPr="0086018F">
        <w:rPr>
          <w:rFonts w:cs="Times New Roman"/>
          <w:szCs w:val="24"/>
        </w:rPr>
        <w:t xml:space="preserve">actually </w:t>
      </w:r>
      <w:r w:rsidR="00030E2B">
        <w:rPr>
          <w:rFonts w:cs="Times New Roman"/>
          <w:szCs w:val="24"/>
        </w:rPr>
        <w:t xml:space="preserve">exhibit </w:t>
      </w:r>
      <w:r w:rsidR="00424B39" w:rsidRPr="00290D19">
        <w:rPr>
          <w:rFonts w:cs="Times New Roman"/>
          <w:szCs w:val="24"/>
        </w:rPr>
        <w:t xml:space="preserve">a higher utility for ridehailing than those in the </w:t>
      </w:r>
      <w:r w:rsidR="00030E2B">
        <w:rPr>
          <w:rFonts w:cs="Times New Roman"/>
          <w:szCs w:val="24"/>
        </w:rPr>
        <w:t xml:space="preserve">middle </w:t>
      </w:r>
      <w:r w:rsidR="00424B39" w:rsidRPr="00290D19">
        <w:rPr>
          <w:rFonts w:cs="Times New Roman"/>
          <w:szCs w:val="24"/>
        </w:rPr>
        <w:t xml:space="preserve">income </w:t>
      </w:r>
      <w:r w:rsidR="00030E2B">
        <w:rPr>
          <w:rFonts w:cs="Times New Roman"/>
          <w:szCs w:val="24"/>
        </w:rPr>
        <w:t>category</w:t>
      </w:r>
      <w:r w:rsidR="00424B39" w:rsidRPr="00290D19">
        <w:rPr>
          <w:rFonts w:cs="Times New Roman"/>
          <w:szCs w:val="24"/>
        </w:rPr>
        <w:t xml:space="preserve"> </w:t>
      </w:r>
      <w:r w:rsidR="00030E2B">
        <w:rPr>
          <w:rFonts w:cs="Times New Roman"/>
          <w:szCs w:val="24"/>
        </w:rPr>
        <w:t>(</w:t>
      </w:r>
      <w:r w:rsidR="00424B39" w:rsidRPr="00290D19">
        <w:rPr>
          <w:rFonts w:cs="Times New Roman"/>
          <w:szCs w:val="24"/>
        </w:rPr>
        <w:t>$50,000</w:t>
      </w:r>
      <w:r w:rsidR="004269CE">
        <w:rPr>
          <w:rFonts w:cs="Times New Roman"/>
          <w:szCs w:val="24"/>
        </w:rPr>
        <w:t xml:space="preserve"> </w:t>
      </w:r>
      <w:r w:rsidR="00424B39" w:rsidRPr="00290D19">
        <w:rPr>
          <w:rFonts w:cs="Times New Roman"/>
          <w:szCs w:val="24"/>
        </w:rPr>
        <w:t>-</w:t>
      </w:r>
      <w:r w:rsidR="004269CE">
        <w:rPr>
          <w:rFonts w:cs="Times New Roman"/>
          <w:szCs w:val="24"/>
        </w:rPr>
        <w:t xml:space="preserve"> </w:t>
      </w:r>
      <w:r w:rsidR="00424B39" w:rsidRPr="00290D19">
        <w:rPr>
          <w:rFonts w:cs="Times New Roman"/>
          <w:szCs w:val="24"/>
        </w:rPr>
        <w:t>$99,999</w:t>
      </w:r>
      <w:r w:rsidR="00030E2B">
        <w:rPr>
          <w:rFonts w:cs="Times New Roman"/>
          <w:szCs w:val="24"/>
        </w:rPr>
        <w:t xml:space="preserve">), as evidenced by the smaller magnitude of the coefficient </w:t>
      </w:r>
      <w:r w:rsidR="00030E2B" w:rsidRPr="00030E2B">
        <w:rPr>
          <w:rFonts w:eastAsia="Times New Roman" w:cs="Times New Roman"/>
          <w:szCs w:val="24"/>
        </w:rPr>
        <w:t>associated with the highest income group relative to the middle income group in both the MNP and MNYJ models. However, once random coefficients are introduced, the estimated income effects align more closely with behavioral expectations, with the magnitudes of the coefficients increasing monotonically with household income. This suggests that accounting for unobserved heterogeneity in cost sensitivities is important for properly disentangling the effects of income on AV ownership and ridehailing preferences.</w:t>
      </w:r>
    </w:p>
    <w:p w14:paraId="3ED3EBD2" w14:textId="1896BEC7" w:rsidR="00BE09EA" w:rsidRPr="0086018F" w:rsidRDefault="00030E2B" w:rsidP="00037976">
      <w:pPr>
        <w:spacing w:line="240" w:lineRule="auto"/>
        <w:ind w:firstLine="720"/>
        <w:rPr>
          <w:rFonts w:cs="Times New Roman"/>
          <w:szCs w:val="24"/>
        </w:rPr>
      </w:pPr>
      <w:r>
        <w:rPr>
          <w:rFonts w:cs="Times New Roman"/>
          <w:szCs w:val="24"/>
        </w:rPr>
        <w:t>A</w:t>
      </w:r>
      <w:r w:rsidR="00E73B7D" w:rsidRPr="00290D19">
        <w:rPr>
          <w:rFonts w:cs="Times New Roman"/>
          <w:szCs w:val="24"/>
        </w:rPr>
        <w:t xml:space="preserve">nother </w:t>
      </w:r>
      <w:r>
        <w:rPr>
          <w:rFonts w:cs="Times New Roman"/>
          <w:szCs w:val="24"/>
        </w:rPr>
        <w:t>notable</w:t>
      </w:r>
      <w:r w:rsidR="00E73B7D" w:rsidRPr="00290D19">
        <w:rPr>
          <w:rFonts w:cs="Times New Roman"/>
          <w:szCs w:val="24"/>
        </w:rPr>
        <w:t xml:space="preserve"> di</w:t>
      </w:r>
      <w:r w:rsidR="00823982">
        <w:rPr>
          <w:rFonts w:cs="Times New Roman"/>
          <w:szCs w:val="24"/>
        </w:rPr>
        <w:t>fference</w:t>
      </w:r>
      <w:r w:rsidR="00E73B7D" w:rsidRPr="00290D19">
        <w:rPr>
          <w:rFonts w:cs="Times New Roman"/>
          <w:szCs w:val="24"/>
        </w:rPr>
        <w:t xml:space="preserve"> across the models pertains to the </w:t>
      </w:r>
      <w:r w:rsidR="006C0436">
        <w:rPr>
          <w:rFonts w:cs="Times New Roman"/>
          <w:szCs w:val="24"/>
        </w:rPr>
        <w:t xml:space="preserve">effect of </w:t>
      </w:r>
      <w:r w:rsidR="00E73B7D" w:rsidRPr="0086018F">
        <w:rPr>
          <w:rFonts w:cs="Times New Roman"/>
          <w:szCs w:val="24"/>
        </w:rPr>
        <w:t>presence of children</w:t>
      </w:r>
      <w:r w:rsidR="00516040">
        <w:rPr>
          <w:rFonts w:cs="Times New Roman"/>
          <w:szCs w:val="24"/>
        </w:rPr>
        <w:t xml:space="preserve"> in the household</w:t>
      </w:r>
      <w:r w:rsidR="00E73B7D" w:rsidRPr="0086018F">
        <w:rPr>
          <w:rFonts w:cs="Times New Roman"/>
          <w:szCs w:val="24"/>
        </w:rPr>
        <w:t xml:space="preserve">. The MNP models indicate that the presence of children does not have a </w:t>
      </w:r>
      <w:r w:rsidR="00516040">
        <w:rPr>
          <w:rFonts w:cs="Times New Roman"/>
          <w:szCs w:val="24"/>
        </w:rPr>
        <w:t xml:space="preserve">statistically </w:t>
      </w:r>
      <w:r w:rsidR="00E73B7D" w:rsidRPr="0086018F">
        <w:rPr>
          <w:rFonts w:cs="Times New Roman"/>
          <w:szCs w:val="24"/>
        </w:rPr>
        <w:t xml:space="preserve">significant effect </w:t>
      </w:r>
      <w:r w:rsidR="006C0436">
        <w:rPr>
          <w:rFonts w:cs="Times New Roman"/>
          <w:szCs w:val="24"/>
        </w:rPr>
        <w:t>on AV ridehailing utility even at the 60% confidence level</w:t>
      </w:r>
      <w:r w:rsidR="00E73B7D" w:rsidRPr="00290D19">
        <w:rPr>
          <w:rFonts w:cs="Times New Roman"/>
          <w:szCs w:val="24"/>
        </w:rPr>
        <w:t xml:space="preserve">, </w:t>
      </w:r>
      <w:r w:rsidR="006C0436">
        <w:rPr>
          <w:rFonts w:cs="Times New Roman"/>
          <w:szCs w:val="24"/>
        </w:rPr>
        <w:t>while the variable negatively influences AV ridehailing utility at over the 90% confidence level</w:t>
      </w:r>
      <w:r>
        <w:rPr>
          <w:rFonts w:cs="Times New Roman"/>
          <w:szCs w:val="24"/>
        </w:rPr>
        <w:t xml:space="preserve"> in the MNYJ models</w:t>
      </w:r>
      <w:r w:rsidR="006C0436">
        <w:rPr>
          <w:rFonts w:cs="Times New Roman"/>
          <w:szCs w:val="24"/>
        </w:rPr>
        <w:t xml:space="preserve">. </w:t>
      </w:r>
      <w:r>
        <w:rPr>
          <w:rFonts w:cs="Times New Roman"/>
          <w:szCs w:val="24"/>
        </w:rPr>
        <w:t>The latter result is intuitive</w:t>
      </w:r>
      <w:r w:rsidR="00516040">
        <w:rPr>
          <w:rFonts w:cs="Times New Roman"/>
          <w:szCs w:val="24"/>
        </w:rPr>
        <w:t>ly appealing</w:t>
      </w:r>
      <w:r>
        <w:rPr>
          <w:rFonts w:cs="Times New Roman"/>
          <w:szCs w:val="24"/>
        </w:rPr>
        <w:t xml:space="preserve">, </w:t>
      </w:r>
      <w:r w:rsidR="00B04268" w:rsidRPr="0086018F">
        <w:rPr>
          <w:rFonts w:cs="Times New Roman"/>
          <w:szCs w:val="24"/>
        </w:rPr>
        <w:t xml:space="preserve">given the </w:t>
      </w:r>
      <w:r w:rsidR="00516040">
        <w:rPr>
          <w:rFonts w:cs="Times New Roman"/>
          <w:szCs w:val="24"/>
        </w:rPr>
        <w:t xml:space="preserve">potential </w:t>
      </w:r>
      <w:r>
        <w:rPr>
          <w:rFonts w:cs="Times New Roman"/>
          <w:szCs w:val="24"/>
        </w:rPr>
        <w:t xml:space="preserve">safety </w:t>
      </w:r>
      <w:r w:rsidR="00516040">
        <w:rPr>
          <w:rFonts w:cs="Times New Roman"/>
          <w:szCs w:val="24"/>
        </w:rPr>
        <w:t xml:space="preserve">and supervision concerns </w:t>
      </w:r>
      <w:r w:rsidR="00B04268" w:rsidRPr="00290D19">
        <w:rPr>
          <w:rFonts w:cs="Times New Roman"/>
          <w:szCs w:val="24"/>
        </w:rPr>
        <w:t xml:space="preserve">parents </w:t>
      </w:r>
      <w:r w:rsidR="00516040">
        <w:rPr>
          <w:rFonts w:cs="Times New Roman"/>
          <w:szCs w:val="24"/>
        </w:rPr>
        <w:t xml:space="preserve">may associate with </w:t>
      </w:r>
      <w:r>
        <w:rPr>
          <w:rFonts w:cs="Times New Roman"/>
          <w:szCs w:val="24"/>
        </w:rPr>
        <w:t xml:space="preserve">AV </w:t>
      </w:r>
      <w:r w:rsidR="00B04268" w:rsidRPr="00290D19">
        <w:rPr>
          <w:rFonts w:cs="Times New Roman"/>
          <w:szCs w:val="24"/>
        </w:rPr>
        <w:t xml:space="preserve">ridehailing services </w:t>
      </w:r>
      <w:r>
        <w:rPr>
          <w:rFonts w:cs="Times New Roman"/>
          <w:szCs w:val="24"/>
        </w:rPr>
        <w:t xml:space="preserve">for their </w:t>
      </w:r>
      <w:r w:rsidR="00B04268" w:rsidRPr="00290D19">
        <w:rPr>
          <w:rFonts w:cs="Times New Roman"/>
          <w:szCs w:val="24"/>
        </w:rPr>
        <w:t>children</w:t>
      </w:r>
      <w:r w:rsidR="00652D7A" w:rsidRPr="00290D19">
        <w:rPr>
          <w:rFonts w:cs="Times New Roman"/>
          <w:szCs w:val="24"/>
        </w:rPr>
        <w:t xml:space="preserve"> </w:t>
      </w:r>
      <w:r w:rsidR="00652D7A" w:rsidRPr="00B71211">
        <w:rPr>
          <w:rFonts w:cs="Times New Roman"/>
          <w:szCs w:val="24"/>
        </w:rPr>
        <w:fldChar w:fldCharType="begin"/>
      </w:r>
      <w:r w:rsidR="00652D7A" w:rsidRPr="00290D19">
        <w:rPr>
          <w:rFonts w:cs="Times New Roman"/>
          <w:szCs w:val="24"/>
        </w:rPr>
        <w:instrText xml:space="preserve"> ADDIN ZOTERO_ITEM CSL_CITATION {"citationID":"z5e0eXBS","properties":{"unsorted":false,"formattedCitation":"(Ahmed and Hyland, 2023; De Leonardis et al., 2024)","plainCitation":"(Ahmed and Hyland, 2023; De Leonardis et al., 2024)","noteIndex":0},"citationItems":[{"id":6969,"uris":["http://zotero.org/users/12832277/items/X8TDQ5MM"],"itemData":{"id":6969,"type":"article-journal","abstract":"Ride-hailing can potentially provide a variety of benefits to individuals who need to chain several activities together within a single trip chain, relative to other travel modes. Using household travel diary/survey data, the goal of this study is to assess the role ride-hailing currently plays within trip chains. Specifically, the study aims to determine, within trip chains, who uses ride-hailing services, for what trip/activity purposes, and to/from what types of areas, as well as the characteristics of trip chains that involve ride-hailing segments. To meet these objectives, the study estimates a binary logit model using 2017 National Household Travel Survey data, where the dependent variable denotes the inclusion of at least one ride-hailing trip within a trip chain. Similar to the non-trip-chaining ride-hailing literature, this study indicates that trip chains with ride-hailing legs are positively associated with travelers who are younger, live in high-income households, frequently use transit, and reside in high-density areas. However, this study includes novel findings indicating statistically significant relationships between ride-hailing and trip chains that end in healthcare and social/recreational activities. Moreover, trip chains with ride-hailing tend to have fewer stops and longer activity durations than trip chains without ride-hailing. This study also includes nested logit choice models, wherein the dependent variable denotes the primary mode (ride-hailing, transit, personal vehicle, or non-motorized transport) of a trip chain. These model results provide additional insights into the role of ride-hailing within trip chains, as they allow for cross-mode comparisons. The paper discusses the potential transportation planning and policy implications of the model results as well as future research directions.","container-title":"Transportation","DOI":"10.1007/s11116-022-10269-w","ISSN":"1572-9435","issue":"3","journalAbbreviation":"Transportation","language":"en","page":"959-1002","source":"Springer Link","title":"Exploring the Role of Ride-Hailing in Trip Chains","volume":"50","author":[{"family":"Ahmed","given":"Tanjeeb"},{"family":"Hyland","given":"Michael"}],"issued":{"date-parts":[["2023",6,1]]}}},{"id":6971,"uris":["http://zotero.org/users/12832277/items/8G977JCV"],"itemData":{"id":6971,"type":"report","abstract":"This study explored how children are restrained when traveling in ride-share vehicles. An observational survey was conducted from July to August 2022. The target population was children from birth to 12 years old transported in ride-share vehicles. About half of children observed were traveling unrestrained and the remainder were either using the vehicle seat belt or some type of child restraint system (CRS). A substantial percentage of infants (46%), toddlers (49%), and children (51%) were traveling unrestrained. The observed CRS use rate was 8.1%, with 41% of restrained children using seat belts.","language":"English","number":"DOT HS 813 532","publisher":"National Highway Traffic Safety Administration","title":"Child Passenger Safety Perception and Practices in Ride-Sharing Vehicles","URL":"https://rosap.ntl.bts.gov","author":[{"family":"De Leonardis","given":"Doreen"},{"family":"Levi","given":"Sharon"},{"family":"Benedick","given":"Amy K."},{"family":"Eisenhauer","given":"Elizabeth"},{"family":"Ferg","given":"Robyn"},{"family":"Petraglia","given":"Elizabeth"}],"accessed":{"date-parts":[["2026",5,4]]},"issued":{"date-parts":[["2024",1,1]]}}}],"schema":"https://github.com/citation-style-language/schema/raw/master/csl-citation.json"} </w:instrText>
      </w:r>
      <w:r w:rsidR="00652D7A" w:rsidRPr="00B71211">
        <w:rPr>
          <w:rFonts w:cs="Times New Roman"/>
          <w:szCs w:val="24"/>
        </w:rPr>
        <w:fldChar w:fldCharType="separate"/>
      </w:r>
      <w:r w:rsidR="00652D7A" w:rsidRPr="00B71211">
        <w:rPr>
          <w:rFonts w:cs="Times New Roman"/>
          <w:szCs w:val="24"/>
        </w:rPr>
        <w:t>(Ahmed and Hyland, 2023; De Leonardis et al., 2024)</w:t>
      </w:r>
      <w:r w:rsidR="00652D7A" w:rsidRPr="00B71211">
        <w:rPr>
          <w:rFonts w:cs="Times New Roman"/>
          <w:szCs w:val="24"/>
        </w:rPr>
        <w:fldChar w:fldCharType="end"/>
      </w:r>
      <w:r w:rsidR="00B04268" w:rsidRPr="00B71211">
        <w:rPr>
          <w:rFonts w:cs="Times New Roman"/>
          <w:szCs w:val="24"/>
        </w:rPr>
        <w:t xml:space="preserve">. </w:t>
      </w:r>
    </w:p>
    <w:p w14:paraId="0B22FB63" w14:textId="77777777" w:rsidR="00F61CAE" w:rsidRPr="0086018F" w:rsidRDefault="00F61CAE" w:rsidP="00037976">
      <w:pPr>
        <w:spacing w:line="240" w:lineRule="auto"/>
        <w:rPr>
          <w:rFonts w:cs="Times New Roman"/>
          <w:szCs w:val="24"/>
        </w:rPr>
      </w:pPr>
    </w:p>
    <w:p w14:paraId="2FFEE7FF" w14:textId="5030FFD4" w:rsidR="00484435" w:rsidRPr="009E4296" w:rsidRDefault="007C6F7A" w:rsidP="00037976">
      <w:pPr>
        <w:spacing w:line="240" w:lineRule="auto"/>
        <w:rPr>
          <w:rFonts w:cs="Times New Roman"/>
          <w:b/>
          <w:i/>
          <w:szCs w:val="24"/>
        </w:rPr>
      </w:pPr>
      <w:r>
        <w:rPr>
          <w:rFonts w:cs="Times New Roman"/>
          <w:b/>
          <w:i/>
          <w:szCs w:val="24"/>
        </w:rPr>
        <w:t xml:space="preserve">4.2.4 </w:t>
      </w:r>
      <w:r w:rsidR="00E346E7" w:rsidRPr="00DD5FA6">
        <w:rPr>
          <w:rFonts w:cs="Times New Roman"/>
          <w:b/>
          <w:i/>
          <w:szCs w:val="24"/>
        </w:rPr>
        <w:t>Constants</w:t>
      </w:r>
      <w:r w:rsidR="00057C42" w:rsidRPr="00DD5FA6">
        <w:rPr>
          <w:rFonts w:cs="Times New Roman"/>
          <w:b/>
          <w:i/>
          <w:szCs w:val="24"/>
        </w:rPr>
        <w:t xml:space="preserve"> and Error Distribution Parameters</w:t>
      </w:r>
    </w:p>
    <w:p w14:paraId="58A11E5E" w14:textId="4D5EDBBC" w:rsidR="00BE5FD1" w:rsidRDefault="00EA4E98" w:rsidP="00037976">
      <w:pPr>
        <w:spacing w:line="240" w:lineRule="auto"/>
        <w:rPr>
          <w:rFonts w:cs="Times New Roman"/>
          <w:szCs w:val="24"/>
        </w:rPr>
      </w:pPr>
      <w:r w:rsidRPr="00290D19">
        <w:rPr>
          <w:rFonts w:cs="Times New Roman"/>
          <w:szCs w:val="24"/>
        </w:rPr>
        <w:t>The alternat</w:t>
      </w:r>
      <w:r w:rsidR="00A40460">
        <w:rPr>
          <w:rFonts w:cs="Times New Roman"/>
          <w:szCs w:val="24"/>
        </w:rPr>
        <w:t>ive-</w:t>
      </w:r>
      <w:r w:rsidRPr="00290D19">
        <w:rPr>
          <w:rFonts w:cs="Times New Roman"/>
          <w:szCs w:val="24"/>
        </w:rPr>
        <w:t xml:space="preserve">specific constants </w:t>
      </w:r>
      <w:r w:rsidR="00860DD3" w:rsidRPr="00290D19">
        <w:rPr>
          <w:rFonts w:cs="Times New Roman"/>
          <w:szCs w:val="24"/>
        </w:rPr>
        <w:t xml:space="preserve">shown </w:t>
      </w:r>
      <w:r w:rsidR="00E7622C">
        <w:rPr>
          <w:rFonts w:cs="Times New Roman"/>
          <w:szCs w:val="24"/>
        </w:rPr>
        <w:t xml:space="preserve">closer to the bottom </w:t>
      </w:r>
      <w:r w:rsidR="00860DD3" w:rsidRPr="00290D19">
        <w:rPr>
          <w:rFonts w:cs="Times New Roman"/>
          <w:szCs w:val="24"/>
        </w:rPr>
        <w:t>of</w:t>
      </w:r>
      <w:r w:rsidRPr="00290D19">
        <w:rPr>
          <w:rFonts w:cs="Times New Roman"/>
          <w:szCs w:val="24"/>
        </w:rPr>
        <w:t xml:space="preserve"> Table 2 </w:t>
      </w:r>
      <w:r w:rsidR="00A40460">
        <w:t>primarily absorb residual systematic utility differences across alternatives not otherwise captured in the specification, including effects associated with differing ranges and distributions of explanatory variables across alternatives. Together with the remaining components of the model, they help account for the aggregate observed choice patterns across alternatives.</w:t>
      </w:r>
      <w:r w:rsidR="00E7622C">
        <w:t xml:space="preserve"> Even so, the strong negative constant on the AV ridehailing mode is clearly noticeable, </w:t>
      </w:r>
      <w:r w:rsidR="00BE5FD1">
        <w:t xml:space="preserve">reflecting </w:t>
      </w:r>
      <w:r w:rsidR="00E7622C">
        <w:t xml:space="preserve">the </w:t>
      </w:r>
      <w:r w:rsidR="00BE5FD1">
        <w:t xml:space="preserve">relatively </w:t>
      </w:r>
      <w:r w:rsidR="00E7622C">
        <w:t xml:space="preserve">low choice share of this alternative. </w:t>
      </w:r>
    </w:p>
    <w:p w14:paraId="45CA1ABB" w14:textId="47E0D721" w:rsidR="00860DD3" w:rsidRPr="00290D19" w:rsidRDefault="00BE5FD1" w:rsidP="00037976">
      <w:pPr>
        <w:spacing w:line="240" w:lineRule="auto"/>
        <w:ind w:firstLine="720"/>
        <w:rPr>
          <w:rFonts w:cs="Times New Roman"/>
          <w:szCs w:val="24"/>
        </w:rPr>
      </w:pPr>
      <w:r>
        <w:t xml:space="preserve">The elements of the estimated </w:t>
      </w:r>
      <w:r w:rsidR="00BB29F9">
        <w:t xml:space="preserve">Gaussian copula </w:t>
      </w:r>
      <w:r>
        <w:t xml:space="preserve">correlation matrix </w:t>
      </w:r>
      <w:r w:rsidR="00BB29F9" w:rsidRPr="00BB29F9">
        <w:rPr>
          <w:b/>
          <w:bCs/>
        </w:rPr>
        <w:t>R</w:t>
      </w:r>
      <w:r w:rsidR="00BB29F9">
        <w:t xml:space="preserve"> </w:t>
      </w:r>
      <w:r>
        <w:t xml:space="preserve">are presented next in Table 2. Both the MNPRC and MNP models include a significant positive correlation for the non-diagonal element of the differenced covariance matrix (defined with respect to utility differences from the first “regular vehicle” alternative). However, the structural interpretation of this differenced correlation is not straightforward, because many structural covariance matrices can imply the same differenced covariance matrix. If one were to assume that the variance associated with the “regular vehicle” alternative is negligible and that this alternative is uncorrelated with the other two alternatives (as is sometimes done when interpretation is desired), the implication would </w:t>
      </w:r>
      <w:r>
        <w:lastRenderedPageBreak/>
        <w:t xml:space="preserve">be that the utilities associated with AV ownership and AV ridehailing are positively correlated. In contrast, the MNYJRC and MNYJ models indicate a significant positive correlation between regular vehicle ownership and AV ownership, together with significant negative correlations between regular vehicle ownership and AV ridehailing and between AV ownership and AV ridehailing. </w:t>
      </w:r>
      <w:r w:rsidR="00BB29F9">
        <w:t>These</w:t>
      </w:r>
      <w:r>
        <w:t xml:space="preserve"> richer structural interpretations associated with the </w:t>
      </w:r>
      <w:r w:rsidR="00BB29F9">
        <w:t xml:space="preserve">copula </w:t>
      </w:r>
      <w:r>
        <w:t>correlation elements in the MNYJ models would not have been possible within the MNP framework, representing an important advantage of the MNYJ formulation.</w:t>
      </w:r>
      <w:r w:rsidR="004E4DB1">
        <w:rPr>
          <w:rFonts w:cs="Times New Roman"/>
          <w:szCs w:val="24"/>
        </w:rPr>
        <w:t xml:space="preserve"> </w:t>
      </w:r>
    </w:p>
    <w:p w14:paraId="46FD2737" w14:textId="4A715A05" w:rsidR="00C96E23" w:rsidRPr="00811620" w:rsidRDefault="00A220AD" w:rsidP="00037976">
      <w:pPr>
        <w:spacing w:line="240" w:lineRule="auto"/>
        <w:ind w:firstLine="720"/>
        <w:rPr>
          <w:rFonts w:cs="Times New Roman"/>
          <w:szCs w:val="24"/>
        </w:rPr>
      </w:pPr>
      <w:r w:rsidRPr="00290D19">
        <w:rPr>
          <w:rFonts w:cs="Times New Roman"/>
          <w:szCs w:val="24"/>
        </w:rPr>
        <w:t>The scale</w:t>
      </w:r>
      <w:r w:rsidR="00D63C90">
        <w:rPr>
          <w:rFonts w:cs="Times New Roman"/>
          <w:szCs w:val="24"/>
        </w:rPr>
        <w:t xml:space="preserve"> parameters</w:t>
      </w:r>
      <w:r w:rsidRPr="00290D19">
        <w:rPr>
          <w:rFonts w:cs="Times New Roman"/>
          <w:szCs w:val="24"/>
        </w:rPr>
        <w:t xml:space="preserve"> are shown below the correlations in Table 2. </w:t>
      </w:r>
      <w:r w:rsidR="004E4DB1">
        <w:rPr>
          <w:rFonts w:cs="Times New Roman"/>
          <w:szCs w:val="24"/>
        </w:rPr>
        <w:t xml:space="preserve">In the MNP model, the scales refer to the differenced </w:t>
      </w:r>
      <w:r w:rsidR="00D63C90">
        <w:rPr>
          <w:rFonts w:cs="Times New Roman"/>
          <w:szCs w:val="24"/>
        </w:rPr>
        <w:t xml:space="preserve">kernel error terms </w:t>
      </w:r>
      <w:r w:rsidR="004E4DB1">
        <w:rPr>
          <w:rFonts w:cs="Times New Roman"/>
          <w:szCs w:val="24"/>
        </w:rPr>
        <w:t>(</w:t>
      </w:r>
      <w:r w:rsidR="00D63C90">
        <w:rPr>
          <w:rFonts w:cs="Times New Roman"/>
          <w:szCs w:val="24"/>
        </w:rPr>
        <w:t xml:space="preserve">with differencing taken relative to </w:t>
      </w:r>
      <w:r w:rsidR="004E4DB1">
        <w:rPr>
          <w:rFonts w:cs="Times New Roman"/>
          <w:szCs w:val="24"/>
        </w:rPr>
        <w:t xml:space="preserve">the first “regular vehicle” alternative) </w:t>
      </w:r>
      <w:r w:rsidR="00410A69">
        <w:rPr>
          <w:rFonts w:cs="Times New Roman"/>
          <w:szCs w:val="24"/>
        </w:rPr>
        <w:t xml:space="preserve">and are </w:t>
      </w:r>
      <w:r w:rsidR="00D63C90">
        <w:rPr>
          <w:rFonts w:cs="Times New Roman"/>
          <w:szCs w:val="24"/>
        </w:rPr>
        <w:t xml:space="preserve">therefore </w:t>
      </w:r>
      <w:r w:rsidR="00BB29F9">
        <w:rPr>
          <w:rFonts w:cs="Times New Roman"/>
          <w:szCs w:val="24"/>
        </w:rPr>
        <w:t xml:space="preserve">not </w:t>
      </w:r>
      <w:r w:rsidR="00D63C90">
        <w:rPr>
          <w:rFonts w:cs="Times New Roman"/>
          <w:szCs w:val="24"/>
        </w:rPr>
        <w:t xml:space="preserve">directly </w:t>
      </w:r>
      <w:r w:rsidR="00410A69">
        <w:rPr>
          <w:rFonts w:cs="Times New Roman"/>
          <w:szCs w:val="24"/>
        </w:rPr>
        <w:t xml:space="preserve">interpretable </w:t>
      </w:r>
      <w:r w:rsidR="00D63C90">
        <w:rPr>
          <w:rFonts w:cs="Times New Roman"/>
          <w:szCs w:val="24"/>
        </w:rPr>
        <w:t xml:space="preserve">at the structural utility level </w:t>
      </w:r>
      <w:r w:rsidR="00410A69">
        <w:rPr>
          <w:rFonts w:cs="Times New Roman"/>
          <w:szCs w:val="24"/>
        </w:rPr>
        <w:t xml:space="preserve">(recall from earlier that </w:t>
      </w:r>
      <w:r w:rsidR="00C96E23">
        <w:rPr>
          <w:rFonts w:cs="Times New Roman"/>
          <w:szCs w:val="24"/>
        </w:rPr>
        <w:t xml:space="preserve">the </w:t>
      </w:r>
      <w:r w:rsidR="00410A69">
        <w:rPr>
          <w:rFonts w:cs="Times New Roman"/>
          <w:szCs w:val="24"/>
        </w:rPr>
        <w:t xml:space="preserve">scale normalization </w:t>
      </w:r>
      <w:r w:rsidR="00C96E23">
        <w:rPr>
          <w:rFonts w:cs="Times New Roman"/>
          <w:szCs w:val="24"/>
        </w:rPr>
        <w:t xml:space="preserve">used in this paper </w:t>
      </w:r>
      <w:r w:rsidR="00410A69">
        <w:rPr>
          <w:rFonts w:cs="Times New Roman"/>
          <w:szCs w:val="24"/>
        </w:rPr>
        <w:t>differ</w:t>
      </w:r>
      <w:r w:rsidR="00C96E23">
        <w:rPr>
          <w:rFonts w:cs="Times New Roman"/>
          <w:szCs w:val="24"/>
        </w:rPr>
        <w:t>s</w:t>
      </w:r>
      <w:r w:rsidR="00410A69">
        <w:rPr>
          <w:rFonts w:cs="Times New Roman"/>
          <w:szCs w:val="24"/>
        </w:rPr>
        <w:t xml:space="preserve"> from the </w:t>
      </w:r>
      <w:r w:rsidR="00C96E23">
        <w:rPr>
          <w:rFonts w:cs="Times New Roman"/>
          <w:szCs w:val="24"/>
        </w:rPr>
        <w:t xml:space="preserve">conventional normalization adopted </w:t>
      </w:r>
      <w:r w:rsidR="00410A69">
        <w:rPr>
          <w:rFonts w:cs="Times New Roman"/>
          <w:szCs w:val="24"/>
        </w:rPr>
        <w:t>in MNP model</w:t>
      </w:r>
      <w:r w:rsidR="00C96E23">
        <w:rPr>
          <w:rFonts w:cs="Times New Roman"/>
          <w:szCs w:val="24"/>
        </w:rPr>
        <w:t>s</w:t>
      </w:r>
      <w:r w:rsidR="00410A69">
        <w:rPr>
          <w:rFonts w:cs="Times New Roman"/>
          <w:szCs w:val="24"/>
        </w:rPr>
        <w:t>; specifically the sum of the square</w:t>
      </w:r>
      <w:r w:rsidR="00C96E23">
        <w:rPr>
          <w:rFonts w:cs="Times New Roman"/>
          <w:szCs w:val="24"/>
        </w:rPr>
        <w:t>d</w:t>
      </w:r>
      <w:r w:rsidR="00410A69">
        <w:rPr>
          <w:rFonts w:cs="Times New Roman"/>
          <w:szCs w:val="24"/>
        </w:rPr>
        <w:t xml:space="preserve"> scale values </w:t>
      </w:r>
      <w:r w:rsidR="00C96E23">
        <w:rPr>
          <w:rFonts w:cs="Times New Roman"/>
          <w:szCs w:val="24"/>
        </w:rPr>
        <w:t xml:space="preserve">equals one </w:t>
      </w:r>
      <w:r w:rsidR="00410A69">
        <w:rPr>
          <w:rFonts w:cs="Times New Roman"/>
          <w:szCs w:val="24"/>
        </w:rPr>
        <w:t>in our normalization). The scales from the MNYJ models</w:t>
      </w:r>
      <w:r w:rsidR="00D63C90">
        <w:rPr>
          <w:rFonts w:cs="Times New Roman"/>
          <w:szCs w:val="24"/>
        </w:rPr>
        <w:t>, o</w:t>
      </w:r>
      <w:r w:rsidR="00410A69">
        <w:rPr>
          <w:rFonts w:cs="Times New Roman"/>
          <w:szCs w:val="24"/>
        </w:rPr>
        <w:t xml:space="preserve">n the other hand, refer </w:t>
      </w:r>
      <w:r w:rsidR="00C96E23">
        <w:rPr>
          <w:rFonts w:cs="Times New Roman"/>
          <w:szCs w:val="24"/>
        </w:rPr>
        <w:t xml:space="preserve">directly to the </w:t>
      </w:r>
      <w:r w:rsidR="00410A69">
        <w:rPr>
          <w:rFonts w:cs="Times New Roman"/>
          <w:szCs w:val="24"/>
        </w:rPr>
        <w:t xml:space="preserve">structural kernel errors and </w:t>
      </w:r>
      <w:r w:rsidR="00C96E23">
        <w:rPr>
          <w:rFonts w:cs="Times New Roman"/>
          <w:szCs w:val="24"/>
        </w:rPr>
        <w:t xml:space="preserve">therefore admit direct </w:t>
      </w:r>
      <w:r w:rsidR="00410A69">
        <w:rPr>
          <w:rFonts w:cs="Times New Roman"/>
          <w:szCs w:val="24"/>
        </w:rPr>
        <w:t>interpreta</w:t>
      </w:r>
      <w:r w:rsidR="00C96E23">
        <w:rPr>
          <w:rFonts w:cs="Times New Roman"/>
          <w:szCs w:val="24"/>
        </w:rPr>
        <w:t>tion</w:t>
      </w:r>
      <w:r w:rsidR="00410A69">
        <w:rPr>
          <w:rFonts w:cs="Times New Roman"/>
          <w:szCs w:val="24"/>
        </w:rPr>
        <w:t xml:space="preserve">. The results from the MNYJ models reveal that </w:t>
      </w:r>
      <w:r w:rsidRPr="00290D19">
        <w:rPr>
          <w:rFonts w:cs="Times New Roman"/>
          <w:szCs w:val="24"/>
        </w:rPr>
        <w:t xml:space="preserve">the scale </w:t>
      </w:r>
      <w:r w:rsidR="00C96E23">
        <w:rPr>
          <w:rFonts w:cs="Times New Roman"/>
          <w:szCs w:val="24"/>
        </w:rPr>
        <w:t xml:space="preserve">associated with </w:t>
      </w:r>
      <w:r w:rsidRPr="00290D19">
        <w:rPr>
          <w:rFonts w:cs="Times New Roman"/>
          <w:szCs w:val="24"/>
        </w:rPr>
        <w:t xml:space="preserve">the AV ridehailing alternative is </w:t>
      </w:r>
      <w:r w:rsidR="00C96E23">
        <w:rPr>
          <w:rFonts w:cs="Times New Roman"/>
          <w:szCs w:val="24"/>
        </w:rPr>
        <w:t xml:space="preserve">substantially </w:t>
      </w:r>
      <w:r w:rsidRPr="00290D19">
        <w:rPr>
          <w:rFonts w:cs="Times New Roman"/>
          <w:szCs w:val="24"/>
        </w:rPr>
        <w:t xml:space="preserve">larger than </w:t>
      </w:r>
      <w:r w:rsidR="00C96E23">
        <w:rPr>
          <w:rFonts w:cs="Times New Roman"/>
          <w:szCs w:val="24"/>
        </w:rPr>
        <w:t xml:space="preserve">that </w:t>
      </w:r>
      <w:r w:rsidRPr="00DD5FA6">
        <w:rPr>
          <w:rFonts w:cs="Times New Roman"/>
          <w:szCs w:val="24"/>
        </w:rPr>
        <w:t>for the other alternatives</w:t>
      </w:r>
      <w:r w:rsidR="00410A69">
        <w:rPr>
          <w:rFonts w:cs="Times New Roman"/>
          <w:szCs w:val="24"/>
        </w:rPr>
        <w:t xml:space="preserve">, perhaps because the logistical </w:t>
      </w:r>
      <w:r w:rsidR="00C96E23">
        <w:rPr>
          <w:rFonts w:cs="Times New Roman"/>
          <w:szCs w:val="24"/>
        </w:rPr>
        <w:t xml:space="preserve">and operational </w:t>
      </w:r>
      <w:r w:rsidR="00410A69">
        <w:rPr>
          <w:rFonts w:cs="Times New Roman"/>
          <w:szCs w:val="24"/>
        </w:rPr>
        <w:t xml:space="preserve">mechanics </w:t>
      </w:r>
      <w:r w:rsidR="00C96E23">
        <w:rPr>
          <w:rFonts w:cs="Times New Roman"/>
          <w:szCs w:val="24"/>
        </w:rPr>
        <w:t xml:space="preserve">associated with </w:t>
      </w:r>
      <w:r w:rsidR="00410A69">
        <w:rPr>
          <w:rFonts w:cs="Times New Roman"/>
          <w:szCs w:val="24"/>
        </w:rPr>
        <w:t xml:space="preserve">AV ridehailing </w:t>
      </w:r>
      <w:r w:rsidR="00083D84">
        <w:rPr>
          <w:rFonts w:cs="Times New Roman"/>
          <w:szCs w:val="24"/>
        </w:rPr>
        <w:t xml:space="preserve">services </w:t>
      </w:r>
      <w:r w:rsidR="00C96E23">
        <w:rPr>
          <w:rFonts w:cs="Times New Roman"/>
          <w:szCs w:val="24"/>
        </w:rPr>
        <w:t>(</w:t>
      </w:r>
      <w:r w:rsidR="00C96E23">
        <w:t>such as vehicle availability, waiting times, routing reliability, pickup coordination, or system trustworthiness) remain more uncertain than in the case of privately owned regular or AV vehicles.</w:t>
      </w:r>
    </w:p>
    <w:p w14:paraId="7F057C29" w14:textId="2E3F7489" w:rsidR="00EB2BA0" w:rsidRDefault="0003771A" w:rsidP="00037976">
      <w:pPr>
        <w:spacing w:line="240" w:lineRule="auto"/>
        <w:rPr>
          <w:rFonts w:cs="Times New Roman"/>
          <w:szCs w:val="24"/>
        </w:rPr>
      </w:pPr>
      <w:r w:rsidRPr="00290D19">
        <w:rPr>
          <w:rFonts w:cs="Times New Roman"/>
          <w:szCs w:val="24"/>
        </w:rPr>
        <w:tab/>
        <w:t>Finally, for the MNYJ models, the YJ shape parameters are shown in the bottom row of the table.</w:t>
      </w:r>
      <w:r w:rsidR="00410A69">
        <w:rPr>
          <w:rFonts w:cs="Times New Roman"/>
          <w:szCs w:val="24"/>
        </w:rPr>
        <w:t xml:space="preserve"> A visual translation of </w:t>
      </w:r>
      <w:r w:rsidR="00C96E23">
        <w:rPr>
          <w:rFonts w:cs="Times New Roman"/>
          <w:szCs w:val="24"/>
        </w:rPr>
        <w:t xml:space="preserve">the implications of </w:t>
      </w:r>
      <w:r w:rsidR="00410A69">
        <w:rPr>
          <w:rFonts w:cs="Times New Roman"/>
          <w:szCs w:val="24"/>
        </w:rPr>
        <w:t>these shape parameters for the distribution</w:t>
      </w:r>
      <w:r w:rsidR="00C96E23">
        <w:rPr>
          <w:rFonts w:cs="Times New Roman"/>
          <w:szCs w:val="24"/>
        </w:rPr>
        <w:t>s</w:t>
      </w:r>
      <w:r w:rsidR="00410A69">
        <w:rPr>
          <w:rFonts w:cs="Times New Roman"/>
          <w:szCs w:val="24"/>
        </w:rPr>
        <w:t xml:space="preserve"> of the standardized kernel error terms </w:t>
      </w:r>
      <w:r w:rsidR="00410A69" w:rsidRPr="00811620">
        <w:rPr>
          <w:position w:val="-12"/>
        </w:rPr>
        <w:object w:dxaOrig="240" w:dyaOrig="360" w14:anchorId="085D1B6C">
          <v:shape id="_x0000_i1227" type="#_x0000_t75" style="width:12pt;height:18.45pt" o:ole="">
            <v:imagedata r:id="rId383" o:title=""/>
          </v:shape>
          <o:OLEObject Type="Embed" ProgID="Equation.DSMT4" ShapeID="_x0000_i1227" DrawAspect="Content" ObjectID="_1841834602" r:id="rId384"/>
        </w:object>
      </w:r>
      <w:r w:rsidR="00410A69">
        <w:t xml:space="preserve"> in Equation (9) is provided in Figure </w:t>
      </w:r>
      <w:r w:rsidR="007A1B32">
        <w:t>2</w:t>
      </w:r>
      <w:r w:rsidR="00410A69">
        <w:t xml:space="preserve"> (we plot the distributions of </w:t>
      </w:r>
      <w:r w:rsidR="00C96E23">
        <w:t xml:space="preserve">the standardized </w:t>
      </w:r>
      <w:r w:rsidR="00410A69" w:rsidRPr="00811620">
        <w:rPr>
          <w:position w:val="-12"/>
        </w:rPr>
        <w:object w:dxaOrig="240" w:dyaOrig="360" w14:anchorId="658216BE">
          <v:shape id="_x0000_i1228" type="#_x0000_t75" style="width:12pt;height:18.45pt" o:ole="">
            <v:imagedata r:id="rId383" o:title=""/>
          </v:shape>
          <o:OLEObject Type="Embed" ProgID="Equation.DSMT4" ShapeID="_x0000_i1228" DrawAspect="Content" ObjectID="_1841834603" r:id="rId385"/>
        </w:object>
      </w:r>
      <w:r w:rsidR="00410A69">
        <w:t xml:space="preserve"> </w:t>
      </w:r>
      <w:r w:rsidR="00C96E23">
        <w:t xml:space="preserve">terms </w:t>
      </w:r>
      <w:r w:rsidR="00410A69">
        <w:t xml:space="preserve">as opposed to the overall kernel error terms </w:t>
      </w:r>
      <w:r w:rsidR="007D6724" w:rsidRPr="00811620">
        <w:rPr>
          <w:position w:val="-12"/>
        </w:rPr>
        <w:object w:dxaOrig="380" w:dyaOrig="360" w14:anchorId="00A8459F">
          <v:shape id="_x0000_i1229" type="#_x0000_t75" style="width:19.3pt;height:18.45pt" o:ole="">
            <v:imagedata r:id="rId386" o:title=""/>
          </v:shape>
          <o:OLEObject Type="Embed" ProgID="Equation.DSMT4" ShapeID="_x0000_i1229" DrawAspect="Content" ObjectID="_1841834604" r:id="rId387"/>
        </w:object>
      </w:r>
      <w:r w:rsidR="007D6724">
        <w:t xml:space="preserve"> to maintain focus on </w:t>
      </w:r>
      <w:r w:rsidR="00C96E23">
        <w:t xml:space="preserve">a comparative discussion of </w:t>
      </w:r>
      <w:r w:rsidR="007D6724">
        <w:t xml:space="preserve">the shape </w:t>
      </w:r>
      <w:r w:rsidR="00C96E23">
        <w:t>characteristics</w:t>
      </w:r>
      <w:r w:rsidR="007D6724">
        <w:t>)</w:t>
      </w:r>
      <w:r w:rsidR="00410A69">
        <w:t>.</w:t>
      </w:r>
      <w:r w:rsidR="00410A69">
        <w:rPr>
          <w:rFonts w:cs="Times New Roman"/>
          <w:szCs w:val="24"/>
        </w:rPr>
        <w:t xml:space="preserve"> </w:t>
      </w:r>
      <w:r w:rsidR="00055C73" w:rsidRPr="00290D19">
        <w:rPr>
          <w:rFonts w:cs="Times New Roman"/>
          <w:szCs w:val="24"/>
        </w:rPr>
        <w:t>The</w:t>
      </w:r>
      <w:r w:rsidR="007D6724">
        <w:rPr>
          <w:rFonts w:cs="Times New Roman"/>
          <w:szCs w:val="24"/>
        </w:rPr>
        <w:t xml:space="preserve"> results</w:t>
      </w:r>
      <w:r w:rsidR="00055C73" w:rsidRPr="00290D19">
        <w:rPr>
          <w:rFonts w:cs="Times New Roman"/>
          <w:szCs w:val="24"/>
        </w:rPr>
        <w:t xml:space="preserve"> suggest a relatively small </w:t>
      </w:r>
      <w:r w:rsidR="00754FDD" w:rsidRPr="00290D19">
        <w:rPr>
          <w:rFonts w:cs="Times New Roman"/>
          <w:szCs w:val="24"/>
        </w:rPr>
        <w:t>leftward</w:t>
      </w:r>
      <w:r w:rsidR="00055C73" w:rsidRPr="00290D19">
        <w:rPr>
          <w:rFonts w:cs="Times New Roman"/>
          <w:szCs w:val="24"/>
        </w:rPr>
        <w:t xml:space="preserve"> skew for the regular vehicle ownership</w:t>
      </w:r>
      <w:r w:rsidR="00C96E23">
        <w:rPr>
          <w:rFonts w:cs="Times New Roman"/>
          <w:szCs w:val="24"/>
        </w:rPr>
        <w:t xml:space="preserve"> alternative</w:t>
      </w:r>
      <w:r w:rsidR="00055C73" w:rsidRPr="00290D19">
        <w:rPr>
          <w:rFonts w:cs="Times New Roman"/>
          <w:szCs w:val="24"/>
        </w:rPr>
        <w:t xml:space="preserve">, a larger </w:t>
      </w:r>
      <w:r w:rsidR="000653C9" w:rsidRPr="00290D19">
        <w:rPr>
          <w:rFonts w:cs="Times New Roman"/>
          <w:szCs w:val="24"/>
        </w:rPr>
        <w:t>leftward</w:t>
      </w:r>
      <w:r w:rsidR="00055C73" w:rsidRPr="00290D19">
        <w:rPr>
          <w:rFonts w:cs="Times New Roman"/>
          <w:szCs w:val="24"/>
        </w:rPr>
        <w:t xml:space="preserve"> skew for the AV ownership alternative, and a</w:t>
      </w:r>
      <w:r w:rsidR="007D6724">
        <w:rPr>
          <w:rFonts w:cs="Times New Roman"/>
          <w:szCs w:val="24"/>
        </w:rPr>
        <w:t xml:space="preserve"> clear</w:t>
      </w:r>
      <w:r w:rsidR="00055C73" w:rsidRPr="00290D19">
        <w:rPr>
          <w:rFonts w:cs="Times New Roman"/>
          <w:szCs w:val="24"/>
        </w:rPr>
        <w:t xml:space="preserve"> </w:t>
      </w:r>
      <w:r w:rsidR="000653C9" w:rsidRPr="00290D19">
        <w:rPr>
          <w:rFonts w:cs="Times New Roman"/>
          <w:szCs w:val="24"/>
        </w:rPr>
        <w:t>rightward</w:t>
      </w:r>
      <w:r w:rsidR="00055C73" w:rsidRPr="00290D19">
        <w:rPr>
          <w:rFonts w:cs="Times New Roman"/>
          <w:szCs w:val="24"/>
        </w:rPr>
        <w:t xml:space="preserve"> skew for the AV ridehailing alternative. </w:t>
      </w:r>
      <w:r w:rsidR="00533E60">
        <w:t>These findings are consistent with the behavioral motivations discussed earlier, suggesting the presence of a relatively small group of individuals who are strongly opposed to AV ownership and a relatively small group who are especially attracted to AV ridehailing. More generally, the results provide empirical evidence that the latent utility distributions associated with the three alternatives are not symmetric, reinforcing the value of accommodating alternative-specific asymmetry in kernel error distributions.</w:t>
      </w:r>
      <w:r w:rsidR="0024634D" w:rsidRPr="00290D19">
        <w:rPr>
          <w:rFonts w:cs="Times New Roman"/>
          <w:szCs w:val="24"/>
        </w:rPr>
        <w:t xml:space="preserve"> </w:t>
      </w:r>
    </w:p>
    <w:p w14:paraId="5CA04323" w14:textId="77777777" w:rsidR="00A91E15" w:rsidRPr="00DD5FA6" w:rsidRDefault="00A91E15" w:rsidP="00037976">
      <w:pPr>
        <w:spacing w:line="240" w:lineRule="auto"/>
        <w:rPr>
          <w:rFonts w:cs="Times New Roman"/>
          <w:szCs w:val="24"/>
        </w:rPr>
      </w:pPr>
    </w:p>
    <w:p w14:paraId="4ED691E8" w14:textId="10210B1A" w:rsidR="00782D30" w:rsidRPr="00290D19" w:rsidRDefault="00AD145D" w:rsidP="00037976">
      <w:pPr>
        <w:pStyle w:val="Heading2"/>
        <w:numPr>
          <w:ilvl w:val="0"/>
          <w:numId w:val="0"/>
        </w:numPr>
        <w:spacing w:before="0" w:after="0" w:line="240" w:lineRule="auto"/>
        <w:ind w:left="576" w:hanging="576"/>
        <w:rPr>
          <w:rFonts w:cs="Times New Roman"/>
          <w:szCs w:val="24"/>
        </w:rPr>
      </w:pPr>
      <w:r w:rsidRPr="009E4296">
        <w:rPr>
          <w:rFonts w:cs="Times New Roman"/>
          <w:szCs w:val="24"/>
        </w:rPr>
        <w:t xml:space="preserve">4.3 </w:t>
      </w:r>
      <w:r w:rsidR="00782D30" w:rsidRPr="009E4296">
        <w:rPr>
          <w:rFonts w:cs="Times New Roman"/>
          <w:szCs w:val="24"/>
        </w:rPr>
        <w:t xml:space="preserve">Data </w:t>
      </w:r>
      <w:r w:rsidR="000C0B75" w:rsidRPr="00353A6B">
        <w:rPr>
          <w:rFonts w:cs="Times New Roman"/>
          <w:szCs w:val="24"/>
        </w:rPr>
        <w:t>F</w:t>
      </w:r>
      <w:r w:rsidR="00782D30" w:rsidRPr="00290D19">
        <w:rPr>
          <w:rFonts w:cs="Times New Roman"/>
          <w:szCs w:val="24"/>
        </w:rPr>
        <w:t xml:space="preserve">it </w:t>
      </w:r>
      <w:r w:rsidR="000C0B75" w:rsidRPr="00290D19">
        <w:rPr>
          <w:rFonts w:cs="Times New Roman"/>
          <w:szCs w:val="24"/>
        </w:rPr>
        <w:t>M</w:t>
      </w:r>
      <w:r w:rsidR="00782D30" w:rsidRPr="00290D19">
        <w:rPr>
          <w:rFonts w:cs="Times New Roman"/>
          <w:szCs w:val="24"/>
        </w:rPr>
        <w:t>easures</w:t>
      </w:r>
    </w:p>
    <w:p w14:paraId="1698C3A2" w14:textId="6DAE4363" w:rsidR="005D21EF" w:rsidRPr="00290D19" w:rsidRDefault="00165C84" w:rsidP="00037976">
      <w:pPr>
        <w:spacing w:line="240" w:lineRule="auto"/>
        <w:rPr>
          <w:rFonts w:cs="Times New Roman"/>
          <w:szCs w:val="24"/>
        </w:rPr>
      </w:pPr>
      <w:r w:rsidRPr="00290D19">
        <w:rPr>
          <w:rFonts w:cs="Times New Roman"/>
          <w:szCs w:val="24"/>
        </w:rPr>
        <w:t xml:space="preserve">We compare the proposed MNYJRC model </w:t>
      </w:r>
      <w:r w:rsidR="003C166A">
        <w:rPr>
          <w:rFonts w:cs="Times New Roman"/>
          <w:szCs w:val="24"/>
        </w:rPr>
        <w:t>with</w:t>
      </w:r>
      <w:r w:rsidRPr="00290D19">
        <w:rPr>
          <w:rFonts w:cs="Times New Roman"/>
          <w:szCs w:val="24"/>
        </w:rPr>
        <w:t xml:space="preserve"> the three restricted </w:t>
      </w:r>
      <w:r w:rsidR="003C166A">
        <w:rPr>
          <w:rFonts w:cs="Times New Roman"/>
          <w:szCs w:val="24"/>
        </w:rPr>
        <w:t>formulations</w:t>
      </w:r>
      <w:r w:rsidRPr="00290D19">
        <w:rPr>
          <w:rFonts w:cs="Times New Roman"/>
          <w:szCs w:val="24"/>
        </w:rPr>
        <w:t xml:space="preserve"> using a series of </w:t>
      </w:r>
      <w:r w:rsidR="003C409F" w:rsidRPr="00290D19">
        <w:rPr>
          <w:rFonts w:cs="Times New Roman"/>
          <w:szCs w:val="24"/>
        </w:rPr>
        <w:t xml:space="preserve">fit metrics, as shown in Table 3. </w:t>
      </w:r>
      <w:r w:rsidR="00E2434B" w:rsidRPr="00290D19">
        <w:rPr>
          <w:rFonts w:cs="Times New Roman"/>
          <w:szCs w:val="24"/>
        </w:rPr>
        <w:t xml:space="preserve">First, we compute adjusted likelihood ratio </w:t>
      </w:r>
      <w:r w:rsidR="00DC2424" w:rsidRPr="00290D19">
        <w:rPr>
          <w:rFonts w:cs="Times New Roman"/>
          <w:szCs w:val="24"/>
        </w:rPr>
        <w:t>ind</w:t>
      </w:r>
      <w:r w:rsidR="003C166A">
        <w:rPr>
          <w:rFonts w:cs="Times New Roman"/>
          <w:szCs w:val="24"/>
        </w:rPr>
        <w:t>ices</w:t>
      </w:r>
      <w:r w:rsidR="00AA14A7" w:rsidRPr="00290D19">
        <w:rPr>
          <w:rFonts w:cs="Times New Roman"/>
          <w:szCs w:val="24"/>
        </w:rPr>
        <w:t xml:space="preserve"> for each model re</w:t>
      </w:r>
      <w:r w:rsidR="003C166A">
        <w:rPr>
          <w:rFonts w:cs="Times New Roman"/>
          <w:szCs w:val="24"/>
        </w:rPr>
        <w:t xml:space="preserve">lative </w:t>
      </w:r>
      <w:r w:rsidR="00AA14A7" w:rsidRPr="00290D19">
        <w:rPr>
          <w:rFonts w:cs="Times New Roman"/>
          <w:szCs w:val="24"/>
        </w:rPr>
        <w:t>to both the log-likelihood at zero</w:t>
      </w:r>
      <w:r w:rsidR="00DC2424" w:rsidRPr="00290D19">
        <w:rPr>
          <w:rFonts w:cs="Times New Roman"/>
          <w:szCs w:val="24"/>
        </w:rPr>
        <w:t xml:space="preserve"> and the log-likelihood at constants. These indices may be computed as: </w:t>
      </w:r>
    </w:p>
    <w:p w14:paraId="587940DB" w14:textId="04EA97A9" w:rsidR="00364C4A" w:rsidRPr="00173AB7" w:rsidRDefault="00FE31FA" w:rsidP="00037976">
      <w:pPr>
        <w:spacing w:before="120" w:after="120" w:line="240" w:lineRule="auto"/>
        <w:rPr>
          <w:rFonts w:cs="Times New Roman"/>
          <w:szCs w:val="24"/>
        </w:rPr>
      </w:pPr>
      <w:r w:rsidRPr="00B71211">
        <w:rPr>
          <w:rFonts w:cs="Times New Roman"/>
          <w:position w:val="-28"/>
          <w:szCs w:val="24"/>
        </w:rPr>
        <w:object w:dxaOrig="4540" w:dyaOrig="720" w14:anchorId="355D5456">
          <v:shape id="_x0000_i1387" type="#_x0000_t75" style="width:226.7pt;height:36pt" o:ole="" o:preferrelative="f">
            <v:imagedata r:id="rId388" o:title=""/>
            <o:lock v:ext="edit" aspectratio="f"/>
          </v:shape>
          <o:OLEObject Type="Embed" ProgID="Equation.DSMT4" ShapeID="_x0000_i1387" DrawAspect="Content" ObjectID="_1841834605" r:id="rId389"/>
        </w:object>
      </w:r>
      <w:r w:rsidR="00364C4A" w:rsidRPr="00B71211">
        <w:rPr>
          <w:rFonts w:cs="Times New Roman"/>
          <w:szCs w:val="24"/>
        </w:rPr>
        <w:tab/>
      </w:r>
      <w:r w:rsidR="00364C4A" w:rsidRPr="00B71211">
        <w:rPr>
          <w:rFonts w:cs="Times New Roman"/>
          <w:szCs w:val="24"/>
        </w:rPr>
        <w:tab/>
      </w:r>
      <w:r w:rsidR="001B1FB9" w:rsidRPr="00B71211">
        <w:rPr>
          <w:rFonts w:cs="Times New Roman"/>
          <w:szCs w:val="24"/>
        </w:rPr>
        <w:tab/>
      </w:r>
      <w:r w:rsidR="001B1FB9" w:rsidRPr="00B71211">
        <w:rPr>
          <w:rFonts w:cs="Times New Roman"/>
          <w:szCs w:val="24"/>
        </w:rPr>
        <w:tab/>
      </w:r>
      <w:r w:rsidR="00364C4A" w:rsidRPr="00173AB7">
        <w:rPr>
          <w:rFonts w:cs="Times New Roman"/>
          <w:szCs w:val="24"/>
        </w:rPr>
        <w:tab/>
        <w:t xml:space="preserve">    </w:t>
      </w:r>
      <w:r w:rsidR="00364C4A" w:rsidRPr="00173AB7">
        <w:rPr>
          <w:rFonts w:cs="Times New Roman"/>
          <w:szCs w:val="24"/>
        </w:rPr>
        <w:tab/>
        <w:t xml:space="preserve">    (11)</w:t>
      </w:r>
    </w:p>
    <w:p w14:paraId="336BE807" w14:textId="0DCBEDF7" w:rsidR="00DC2424" w:rsidRDefault="001B1FB9" w:rsidP="00037976">
      <w:pPr>
        <w:spacing w:line="240" w:lineRule="auto"/>
        <w:rPr>
          <w:rFonts w:cs="Times New Roman"/>
          <w:szCs w:val="24"/>
        </w:rPr>
      </w:pPr>
      <w:r w:rsidRPr="00173AB7">
        <w:rPr>
          <w:rFonts w:cs="Times New Roman"/>
          <w:szCs w:val="24"/>
        </w:rPr>
        <w:t xml:space="preserve">where </w:t>
      </w:r>
      <w:r w:rsidR="00FE31FA" w:rsidRPr="00B71211">
        <w:rPr>
          <w:rFonts w:cs="Times New Roman"/>
          <w:position w:val="-10"/>
          <w:szCs w:val="24"/>
        </w:rPr>
        <w:object w:dxaOrig="520" w:dyaOrig="380" w14:anchorId="27261887">
          <v:shape id="_x0000_i1389" type="#_x0000_t75" style="width:26.15pt;height:19.3pt" o:ole="">
            <v:imagedata r:id="rId390" o:title=""/>
          </v:shape>
          <o:OLEObject Type="Embed" ProgID="Equation.DSMT4" ShapeID="_x0000_i1389" DrawAspect="Content" ObjectID="_1841834606" r:id="rId391"/>
        </w:object>
      </w:r>
      <w:r w:rsidRPr="00B71211">
        <w:rPr>
          <w:rFonts w:cs="Times New Roman"/>
          <w:szCs w:val="24"/>
        </w:rPr>
        <w:t xml:space="preserve"> is the log-likelihood at convergence, </w:t>
      </w:r>
      <w:r w:rsidR="00FE31FA" w:rsidRPr="00B71211">
        <w:rPr>
          <w:rFonts w:cs="Times New Roman"/>
          <w:position w:val="-10"/>
          <w:szCs w:val="24"/>
        </w:rPr>
        <w:object w:dxaOrig="499" w:dyaOrig="320" w14:anchorId="19F97042">
          <v:shape id="_x0000_i1391" type="#_x0000_t75" style="width:25.3pt;height:16.7pt" o:ole="">
            <v:imagedata r:id="rId392" o:title=""/>
          </v:shape>
          <o:OLEObject Type="Embed" ProgID="Equation.DSMT4" ShapeID="_x0000_i1391" DrawAspect="Content" ObjectID="_1841834607" r:id="rId393"/>
        </w:object>
      </w:r>
      <w:r w:rsidR="00337CFA" w:rsidRPr="00B71211">
        <w:rPr>
          <w:rFonts w:cs="Times New Roman"/>
          <w:szCs w:val="24"/>
        </w:rPr>
        <w:t xml:space="preserve"> is the log-likelihood at zero, </w:t>
      </w:r>
      <w:r w:rsidR="00FE31FA" w:rsidRPr="00B71211">
        <w:rPr>
          <w:rFonts w:cs="Times New Roman"/>
          <w:position w:val="-10"/>
          <w:szCs w:val="24"/>
        </w:rPr>
        <w:object w:dxaOrig="499" w:dyaOrig="320" w14:anchorId="4C345541">
          <v:shape id="_x0000_i1393" type="#_x0000_t75" style="width:25.3pt;height:16.7pt" o:ole="">
            <v:imagedata r:id="rId394" o:title=""/>
          </v:shape>
          <o:OLEObject Type="Embed" ProgID="Equation.DSMT4" ShapeID="_x0000_i1393" DrawAspect="Content" ObjectID="_1841834608" r:id="rId395"/>
        </w:object>
      </w:r>
      <w:r w:rsidR="00337CFA" w:rsidRPr="00B71211">
        <w:rPr>
          <w:rFonts w:cs="Times New Roman"/>
          <w:szCs w:val="24"/>
        </w:rPr>
        <w:t xml:space="preserve"> is the log-likelihood at constants, </w:t>
      </w:r>
      <w:r w:rsidR="00731020" w:rsidRPr="00B71211">
        <w:rPr>
          <w:rFonts w:cs="Times New Roman"/>
          <w:position w:val="-12"/>
          <w:szCs w:val="24"/>
        </w:rPr>
        <w:object w:dxaOrig="380" w:dyaOrig="360" w14:anchorId="1532BA1C">
          <v:shape id="_x0000_i1234" type="#_x0000_t75" style="width:19.3pt;height:18.45pt" o:ole="">
            <v:imagedata r:id="rId396" o:title=""/>
          </v:shape>
          <o:OLEObject Type="Embed" ProgID="Equation.DSMT4" ShapeID="_x0000_i1234" DrawAspect="Content" ObjectID="_1841834609" r:id="rId397"/>
        </w:object>
      </w:r>
      <w:r w:rsidR="00CB5D24" w:rsidRPr="00B71211">
        <w:rPr>
          <w:rFonts w:cs="Times New Roman"/>
          <w:szCs w:val="24"/>
        </w:rPr>
        <w:t xml:space="preserve"> </w:t>
      </w:r>
      <w:r w:rsidR="00731020" w:rsidRPr="00B71211">
        <w:rPr>
          <w:rFonts w:cs="Times New Roman"/>
          <w:szCs w:val="24"/>
        </w:rPr>
        <w:t xml:space="preserve">is the total number of parameters in the model, and </w:t>
      </w:r>
      <w:r w:rsidR="00731020" w:rsidRPr="00B71211">
        <w:rPr>
          <w:rFonts w:cs="Times New Roman"/>
          <w:position w:val="-12"/>
          <w:szCs w:val="24"/>
        </w:rPr>
        <w:object w:dxaOrig="380" w:dyaOrig="360" w14:anchorId="04AC3678">
          <v:shape id="_x0000_i1235" type="#_x0000_t75" style="width:19.3pt;height:18.45pt" o:ole="">
            <v:imagedata r:id="rId398" o:title=""/>
          </v:shape>
          <o:OLEObject Type="Embed" ProgID="Equation.DSMT4" ShapeID="_x0000_i1235" DrawAspect="Content" ObjectID="_1841834610" r:id="rId399"/>
        </w:object>
      </w:r>
      <w:r w:rsidR="00731020" w:rsidRPr="00B71211">
        <w:rPr>
          <w:rFonts w:cs="Times New Roman"/>
          <w:szCs w:val="24"/>
        </w:rPr>
        <w:t xml:space="preserve"> </w:t>
      </w:r>
      <w:r w:rsidR="00CB5D24" w:rsidRPr="00B71211">
        <w:rPr>
          <w:rFonts w:cs="Times New Roman"/>
          <w:szCs w:val="24"/>
        </w:rPr>
        <w:t xml:space="preserve">is the number of </w:t>
      </w:r>
      <w:r w:rsidR="00CD7486" w:rsidRPr="0093315A">
        <w:rPr>
          <w:rFonts w:cs="Times New Roman"/>
          <w:szCs w:val="24"/>
        </w:rPr>
        <w:t xml:space="preserve">non-constant parameters in each model. </w:t>
      </w:r>
      <w:r w:rsidR="00F605BE" w:rsidRPr="0093315A">
        <w:rPr>
          <w:rFonts w:cs="Times New Roman"/>
          <w:szCs w:val="24"/>
        </w:rPr>
        <w:t>The proposed model outperforms all three restricted models based on both adjusted likelihood ratio indices</w:t>
      </w:r>
      <w:r w:rsidR="007D6724">
        <w:rPr>
          <w:rFonts w:cs="Times New Roman"/>
          <w:szCs w:val="24"/>
        </w:rPr>
        <w:t xml:space="preserve"> (see the fifth and sixth numeric </w:t>
      </w:r>
      <w:r w:rsidR="007D6724">
        <w:rPr>
          <w:rFonts w:cs="Times New Roman"/>
          <w:szCs w:val="24"/>
        </w:rPr>
        <w:lastRenderedPageBreak/>
        <w:t>rows of Table 3)</w:t>
      </w:r>
      <w:r w:rsidR="00F605BE" w:rsidRPr="0093315A">
        <w:rPr>
          <w:rFonts w:cs="Times New Roman"/>
          <w:szCs w:val="24"/>
        </w:rPr>
        <w:t xml:space="preserve">. Next, we compare the </w:t>
      </w:r>
      <w:r w:rsidR="007D6724">
        <w:rPr>
          <w:rFonts w:cs="Times New Roman"/>
          <w:szCs w:val="24"/>
        </w:rPr>
        <w:t xml:space="preserve">restricted </w:t>
      </w:r>
      <w:r w:rsidR="00F605BE" w:rsidRPr="0093315A">
        <w:rPr>
          <w:rFonts w:cs="Times New Roman"/>
          <w:szCs w:val="24"/>
        </w:rPr>
        <w:t xml:space="preserve">models </w:t>
      </w:r>
      <w:r w:rsidR="007D6724">
        <w:rPr>
          <w:rFonts w:cs="Times New Roman"/>
          <w:szCs w:val="24"/>
        </w:rPr>
        <w:t xml:space="preserve">with the proposed MNYJRC model </w:t>
      </w:r>
      <w:r w:rsidR="00F605BE" w:rsidRPr="0093315A">
        <w:rPr>
          <w:rFonts w:cs="Times New Roman"/>
          <w:szCs w:val="24"/>
        </w:rPr>
        <w:t>using formal likelihood ratio test</w:t>
      </w:r>
      <w:r w:rsidR="007D6724">
        <w:rPr>
          <w:rFonts w:cs="Times New Roman"/>
          <w:szCs w:val="24"/>
        </w:rPr>
        <w:t>s</w:t>
      </w:r>
      <w:r w:rsidR="00F605BE" w:rsidRPr="0093315A">
        <w:rPr>
          <w:rFonts w:cs="Times New Roman"/>
          <w:szCs w:val="24"/>
        </w:rPr>
        <w:t>. Al</w:t>
      </w:r>
      <w:r w:rsidR="00F605BE" w:rsidRPr="0086018F">
        <w:rPr>
          <w:rFonts w:cs="Times New Roman"/>
          <w:szCs w:val="24"/>
        </w:rPr>
        <w:t xml:space="preserve">l three restricted models </w:t>
      </w:r>
      <w:r w:rsidR="007D6724">
        <w:rPr>
          <w:rFonts w:cs="Times New Roman"/>
          <w:szCs w:val="24"/>
        </w:rPr>
        <w:t xml:space="preserve">are rejected in favor of the proposed model </w:t>
      </w:r>
      <w:r w:rsidR="007E4C69" w:rsidRPr="00290D19">
        <w:rPr>
          <w:rFonts w:cs="Times New Roman"/>
          <w:szCs w:val="24"/>
        </w:rPr>
        <w:t xml:space="preserve">at </w:t>
      </w:r>
      <w:r w:rsidR="007D6724">
        <w:rPr>
          <w:rFonts w:cs="Times New Roman"/>
          <w:szCs w:val="24"/>
        </w:rPr>
        <w:t xml:space="preserve">well over </w:t>
      </w:r>
      <w:r w:rsidR="007E4C69" w:rsidRPr="0086018F">
        <w:rPr>
          <w:rFonts w:cs="Times New Roman"/>
          <w:szCs w:val="24"/>
        </w:rPr>
        <w:t>the 95% confidence level</w:t>
      </w:r>
      <w:r w:rsidR="007D6724">
        <w:rPr>
          <w:rFonts w:cs="Times New Roman"/>
          <w:szCs w:val="24"/>
        </w:rPr>
        <w:t xml:space="preserve">, with </w:t>
      </w:r>
      <w:r w:rsidR="0086018F">
        <w:rPr>
          <w:rFonts w:cs="Times New Roman"/>
          <w:szCs w:val="24"/>
        </w:rPr>
        <w:t xml:space="preserve">both </w:t>
      </w:r>
      <w:r w:rsidR="007D6724">
        <w:rPr>
          <w:rFonts w:cs="Times New Roman"/>
          <w:szCs w:val="24"/>
        </w:rPr>
        <w:t xml:space="preserve">the MNP models being rejected at </w:t>
      </w:r>
      <w:r w:rsidR="003C166A">
        <w:rPr>
          <w:rFonts w:cs="Times New Roman"/>
          <w:szCs w:val="24"/>
        </w:rPr>
        <w:t>essentially</w:t>
      </w:r>
      <w:r w:rsidR="007D6724">
        <w:rPr>
          <w:rFonts w:cs="Times New Roman"/>
          <w:szCs w:val="24"/>
        </w:rPr>
        <w:t xml:space="preserve"> the 100% confidence level. </w:t>
      </w:r>
      <w:r w:rsidR="00D859A6" w:rsidRPr="00290D19">
        <w:rPr>
          <w:rFonts w:cs="Times New Roman"/>
          <w:szCs w:val="24"/>
        </w:rPr>
        <w:t>Finally, we compare the average probability of a correct prediction across the four models</w:t>
      </w:r>
      <w:r w:rsidR="003C166A">
        <w:rPr>
          <w:rFonts w:cs="Times New Roman"/>
          <w:szCs w:val="24"/>
        </w:rPr>
        <w:t xml:space="preserve">. These </w:t>
      </w:r>
      <w:r w:rsidR="0086018F">
        <w:rPr>
          <w:rFonts w:cs="Times New Roman"/>
          <w:szCs w:val="24"/>
        </w:rPr>
        <w:t xml:space="preserve">statistics </w:t>
      </w:r>
      <w:r w:rsidR="003C166A">
        <w:rPr>
          <w:rFonts w:cs="Times New Roman"/>
          <w:szCs w:val="24"/>
        </w:rPr>
        <w:t xml:space="preserve">once </w:t>
      </w:r>
      <w:r w:rsidR="00D859A6" w:rsidRPr="0086018F">
        <w:rPr>
          <w:rFonts w:cs="Times New Roman"/>
          <w:szCs w:val="24"/>
        </w:rPr>
        <w:t>again highlight</w:t>
      </w:r>
      <w:r w:rsidR="00D859A6" w:rsidRPr="00290D19">
        <w:rPr>
          <w:rFonts w:cs="Times New Roman"/>
          <w:szCs w:val="24"/>
        </w:rPr>
        <w:t xml:space="preserve"> the improved predictive performance of the MNYJRC model</w:t>
      </w:r>
      <w:r w:rsidR="003C166A">
        <w:rPr>
          <w:rFonts w:cs="Times New Roman"/>
          <w:szCs w:val="24"/>
        </w:rPr>
        <w:t xml:space="preserve"> relative to </w:t>
      </w:r>
      <w:r w:rsidR="00D859A6" w:rsidRPr="00290D19">
        <w:rPr>
          <w:rFonts w:cs="Times New Roman"/>
          <w:szCs w:val="24"/>
        </w:rPr>
        <w:t xml:space="preserve">the restricted </w:t>
      </w:r>
      <w:r w:rsidR="0086018F">
        <w:rPr>
          <w:rFonts w:cs="Times New Roman"/>
          <w:szCs w:val="24"/>
        </w:rPr>
        <w:t>models</w:t>
      </w:r>
      <w:r w:rsidR="00D859A6" w:rsidRPr="00290D19">
        <w:rPr>
          <w:rFonts w:cs="Times New Roman"/>
          <w:szCs w:val="24"/>
        </w:rPr>
        <w:t xml:space="preserve">. </w:t>
      </w:r>
    </w:p>
    <w:p w14:paraId="317CB488" w14:textId="77777777" w:rsidR="003C166A" w:rsidRPr="009E4296" w:rsidRDefault="003C166A" w:rsidP="00037976">
      <w:pPr>
        <w:spacing w:line="240" w:lineRule="auto"/>
        <w:rPr>
          <w:rFonts w:cs="Times New Roman"/>
          <w:szCs w:val="24"/>
        </w:rPr>
      </w:pPr>
    </w:p>
    <w:p w14:paraId="098EF419" w14:textId="72FD2954" w:rsidR="00FC705B" w:rsidRPr="00290D19" w:rsidRDefault="00AD145D" w:rsidP="00037976">
      <w:pPr>
        <w:pStyle w:val="Heading2"/>
        <w:numPr>
          <w:ilvl w:val="0"/>
          <w:numId w:val="0"/>
        </w:numPr>
        <w:spacing w:before="0" w:after="0" w:line="240" w:lineRule="auto"/>
        <w:ind w:left="576" w:hanging="576"/>
        <w:rPr>
          <w:rFonts w:cs="Times New Roman"/>
          <w:szCs w:val="24"/>
        </w:rPr>
      </w:pPr>
      <w:r w:rsidRPr="00290D19">
        <w:rPr>
          <w:rFonts w:cs="Times New Roman"/>
          <w:szCs w:val="24"/>
        </w:rPr>
        <w:t xml:space="preserve">4.4 </w:t>
      </w:r>
      <w:r w:rsidR="00FC705B" w:rsidRPr="00290D19">
        <w:rPr>
          <w:rFonts w:cs="Times New Roman"/>
          <w:szCs w:val="24"/>
        </w:rPr>
        <w:t xml:space="preserve">Elasticity Effects and </w:t>
      </w:r>
      <w:r w:rsidR="00BC69D2" w:rsidRPr="00290D19">
        <w:rPr>
          <w:rFonts w:cs="Times New Roman"/>
          <w:szCs w:val="24"/>
        </w:rPr>
        <w:t xml:space="preserve">Policy </w:t>
      </w:r>
      <w:r w:rsidR="00FC705B" w:rsidRPr="00290D19">
        <w:rPr>
          <w:rFonts w:cs="Times New Roman"/>
          <w:szCs w:val="24"/>
        </w:rPr>
        <w:t>Implications</w:t>
      </w:r>
    </w:p>
    <w:p w14:paraId="61F38396" w14:textId="5587CED4" w:rsidR="005C0EE3" w:rsidRDefault="005C0EE3" w:rsidP="00037976">
      <w:pPr>
        <w:spacing w:line="240" w:lineRule="auto"/>
        <w:rPr>
          <w:rFonts w:cs="Times New Roman"/>
          <w:szCs w:val="24"/>
        </w:rPr>
      </w:pPr>
      <w:r>
        <w:t>While some differences across the models are readily apparent from the coefficients presented in Table 2, and the model fit of the proposed MNYJRC model outperforms the MNP models in overall fit, the coefficient values provide only the effects on the underlying utilities for each alternative, not the actual magnitude (or even direction) of effects on choice probabilities. Further, and as noted above, because of differences in the shapes and scales of the random error distributions for each model, the magnitudes of the coefficients are not readily comparable. Thus, to provide a better sense of the effects of the exogenous variables on the probability of selecting each alternative, we compute aggregate elasticity effects.</w:t>
      </w:r>
    </w:p>
    <w:p w14:paraId="50B2D5EF" w14:textId="7539565E" w:rsidR="003C166A" w:rsidRPr="00DD5FA6" w:rsidRDefault="005C0EE3" w:rsidP="00037976">
      <w:pPr>
        <w:spacing w:line="240" w:lineRule="auto"/>
        <w:rPr>
          <w:rFonts w:cs="Times New Roman"/>
          <w:szCs w:val="24"/>
        </w:rPr>
      </w:pPr>
      <w:r>
        <w:rPr>
          <w:rFonts w:cs="Times New Roman"/>
          <w:szCs w:val="24"/>
        </w:rPr>
        <w:tab/>
      </w:r>
      <w:r w:rsidR="00C77285">
        <w:rPr>
          <w:rFonts w:cs="Times New Roman"/>
          <w:szCs w:val="24"/>
        </w:rPr>
        <w:t>Specifically</w:t>
      </w:r>
      <w:r w:rsidR="0086018F">
        <w:rPr>
          <w:rFonts w:cs="Times New Roman"/>
          <w:szCs w:val="24"/>
        </w:rPr>
        <w:t>, f</w:t>
      </w:r>
      <w:r w:rsidR="00C346D8" w:rsidRPr="00290D19">
        <w:rPr>
          <w:rFonts w:cs="Times New Roman"/>
          <w:szCs w:val="24"/>
        </w:rPr>
        <w:t xml:space="preserve">or each </w:t>
      </w:r>
      <w:r w:rsidR="0086018F">
        <w:rPr>
          <w:rFonts w:cs="Times New Roman"/>
          <w:szCs w:val="24"/>
        </w:rPr>
        <w:t xml:space="preserve">categorical exogenous </w:t>
      </w:r>
      <w:r w:rsidR="00C346D8" w:rsidRPr="0086018F">
        <w:rPr>
          <w:rFonts w:cs="Times New Roman"/>
          <w:szCs w:val="24"/>
        </w:rPr>
        <w:t>variable</w:t>
      </w:r>
      <w:r w:rsidR="00316472" w:rsidRPr="0086018F">
        <w:rPr>
          <w:rFonts w:cs="Times New Roman"/>
          <w:szCs w:val="24"/>
        </w:rPr>
        <w:t>,</w:t>
      </w:r>
      <w:r w:rsidR="00C346D8" w:rsidRPr="0086018F">
        <w:rPr>
          <w:rFonts w:cs="Times New Roman"/>
          <w:szCs w:val="24"/>
        </w:rPr>
        <w:t xml:space="preserve"> all individuals </w:t>
      </w:r>
      <w:r>
        <w:rPr>
          <w:rFonts w:cs="Times New Roman"/>
          <w:szCs w:val="24"/>
        </w:rPr>
        <w:t xml:space="preserve">are first assigned </w:t>
      </w:r>
      <w:r w:rsidR="00C346D8" w:rsidRPr="0086018F">
        <w:rPr>
          <w:rFonts w:cs="Times New Roman"/>
          <w:szCs w:val="24"/>
        </w:rPr>
        <w:t>to a base level of the</w:t>
      </w:r>
      <w:r w:rsidR="00316472" w:rsidRPr="0086018F">
        <w:rPr>
          <w:rFonts w:cs="Times New Roman"/>
          <w:szCs w:val="24"/>
        </w:rPr>
        <w:t xml:space="preserve"> variable (for</w:t>
      </w:r>
      <w:r w:rsidR="00316472" w:rsidRPr="00BF3D78">
        <w:rPr>
          <w:rFonts w:cs="Times New Roman"/>
          <w:szCs w:val="24"/>
        </w:rPr>
        <w:t xml:space="preserve"> </w:t>
      </w:r>
      <w:r>
        <w:rPr>
          <w:rFonts w:cs="Times New Roman"/>
          <w:szCs w:val="24"/>
        </w:rPr>
        <w:t>example</w:t>
      </w:r>
      <w:r w:rsidR="00316472" w:rsidRPr="00BF3D78">
        <w:rPr>
          <w:rFonts w:cs="Times New Roman"/>
          <w:szCs w:val="24"/>
        </w:rPr>
        <w:t xml:space="preserve">, assigning all individuals to “Male”) </w:t>
      </w:r>
      <w:r w:rsidR="004C50BF" w:rsidRPr="00DD5FA6">
        <w:rPr>
          <w:rFonts w:cs="Times New Roman"/>
          <w:szCs w:val="24"/>
        </w:rPr>
        <w:t>while retaining the original values f</w:t>
      </w:r>
      <w:r w:rsidR="004C50BF" w:rsidRPr="009E4296">
        <w:rPr>
          <w:rFonts w:cs="Times New Roman"/>
          <w:szCs w:val="24"/>
        </w:rPr>
        <w:t xml:space="preserve">or all other exogenous variables. </w:t>
      </w:r>
      <w:r>
        <w:rPr>
          <w:rFonts w:cs="Times New Roman"/>
          <w:szCs w:val="24"/>
        </w:rPr>
        <w:t>E</w:t>
      </w:r>
      <w:r w:rsidR="004C50BF" w:rsidRPr="00290D19">
        <w:rPr>
          <w:rFonts w:cs="Times New Roman"/>
          <w:szCs w:val="24"/>
        </w:rPr>
        <w:t xml:space="preserve">ach of the four models is used to generate </w:t>
      </w:r>
      <w:r>
        <w:rPr>
          <w:rFonts w:cs="Times New Roman"/>
          <w:szCs w:val="24"/>
        </w:rPr>
        <w:t xml:space="preserve">predicted probabilities for </w:t>
      </w:r>
      <w:r w:rsidR="00347C26" w:rsidRPr="00290D19">
        <w:rPr>
          <w:rFonts w:cs="Times New Roman"/>
          <w:szCs w:val="24"/>
        </w:rPr>
        <w:t xml:space="preserve">each individual </w:t>
      </w:r>
      <w:r>
        <w:rPr>
          <w:rFonts w:cs="Times New Roman"/>
          <w:szCs w:val="24"/>
        </w:rPr>
        <w:t xml:space="preserve">choosing </w:t>
      </w:r>
      <w:r w:rsidR="00347C26" w:rsidRPr="00290D19">
        <w:rPr>
          <w:rFonts w:cs="Times New Roman"/>
          <w:szCs w:val="24"/>
        </w:rPr>
        <w:t xml:space="preserve">each alternative, and </w:t>
      </w:r>
      <w:r>
        <w:rPr>
          <w:rFonts w:cs="Times New Roman"/>
          <w:szCs w:val="24"/>
        </w:rPr>
        <w:t xml:space="preserve">aggregate </w:t>
      </w:r>
      <w:r w:rsidR="00347C26" w:rsidRPr="00290D19">
        <w:rPr>
          <w:rFonts w:cs="Times New Roman"/>
          <w:szCs w:val="24"/>
        </w:rPr>
        <w:t xml:space="preserve">shares </w:t>
      </w:r>
      <w:r>
        <w:rPr>
          <w:rFonts w:cs="Times New Roman"/>
          <w:szCs w:val="24"/>
        </w:rPr>
        <w:t xml:space="preserve">are computed as the averages of these probabilities across individuals. </w:t>
      </w:r>
      <w:r w:rsidR="00634578" w:rsidRPr="00290D19">
        <w:rPr>
          <w:rFonts w:cs="Times New Roman"/>
          <w:szCs w:val="24"/>
        </w:rPr>
        <w:t xml:space="preserve">Next, for the same exogenous variable, all individuals </w:t>
      </w:r>
      <w:r>
        <w:rPr>
          <w:rFonts w:cs="Times New Roman"/>
          <w:szCs w:val="24"/>
        </w:rPr>
        <w:t xml:space="preserve">are assigned to </w:t>
      </w:r>
      <w:r w:rsidR="00634578" w:rsidRPr="00290D19">
        <w:rPr>
          <w:rFonts w:cs="Times New Roman"/>
          <w:szCs w:val="24"/>
        </w:rPr>
        <w:t xml:space="preserve">a treatment level (for the gender </w:t>
      </w:r>
      <w:r>
        <w:rPr>
          <w:rFonts w:cs="Times New Roman"/>
          <w:szCs w:val="24"/>
        </w:rPr>
        <w:t xml:space="preserve">example, assigning all </w:t>
      </w:r>
      <w:r w:rsidR="00634578" w:rsidRPr="00290D19">
        <w:rPr>
          <w:rFonts w:cs="Times New Roman"/>
          <w:szCs w:val="24"/>
        </w:rPr>
        <w:t>individuals to “Female”)</w:t>
      </w:r>
      <w:r w:rsidR="001740E3" w:rsidRPr="00290D19">
        <w:rPr>
          <w:rFonts w:cs="Times New Roman"/>
          <w:szCs w:val="24"/>
        </w:rPr>
        <w:t>, again retaining all other exogenous variable</w:t>
      </w:r>
      <w:r>
        <w:rPr>
          <w:rFonts w:cs="Times New Roman"/>
          <w:szCs w:val="24"/>
        </w:rPr>
        <w:t xml:space="preserve"> values</w:t>
      </w:r>
      <w:r w:rsidR="001740E3" w:rsidRPr="00290D19">
        <w:rPr>
          <w:rFonts w:cs="Times New Roman"/>
          <w:szCs w:val="24"/>
        </w:rPr>
        <w:t xml:space="preserve">, and </w:t>
      </w:r>
      <w:r>
        <w:rPr>
          <w:rFonts w:cs="Times New Roman"/>
          <w:szCs w:val="24"/>
        </w:rPr>
        <w:t>the shares are re</w:t>
      </w:r>
      <w:r w:rsidR="001740E3" w:rsidRPr="00DD5FA6">
        <w:rPr>
          <w:rFonts w:cs="Times New Roman"/>
          <w:szCs w:val="24"/>
        </w:rPr>
        <w:t>compute</w:t>
      </w:r>
      <w:r>
        <w:rPr>
          <w:rFonts w:cs="Times New Roman"/>
          <w:szCs w:val="24"/>
        </w:rPr>
        <w:t>d</w:t>
      </w:r>
      <w:r w:rsidR="001740E3" w:rsidRPr="00290D19">
        <w:rPr>
          <w:rFonts w:cs="Times New Roman"/>
          <w:szCs w:val="24"/>
        </w:rPr>
        <w:t xml:space="preserve">. The percentage </w:t>
      </w:r>
      <w:r>
        <w:rPr>
          <w:rFonts w:cs="Times New Roman"/>
          <w:szCs w:val="24"/>
        </w:rPr>
        <w:t xml:space="preserve">change in </w:t>
      </w:r>
      <w:r w:rsidR="001740E3" w:rsidRPr="00290D19">
        <w:rPr>
          <w:rFonts w:cs="Times New Roman"/>
          <w:szCs w:val="24"/>
        </w:rPr>
        <w:t xml:space="preserve">the shares for each alternative </w:t>
      </w:r>
      <w:r w:rsidR="00AE0E5C" w:rsidRPr="00290D19">
        <w:rPr>
          <w:rFonts w:cs="Times New Roman"/>
          <w:szCs w:val="24"/>
        </w:rPr>
        <w:t xml:space="preserve">is </w:t>
      </w:r>
      <w:r>
        <w:rPr>
          <w:rFonts w:cs="Times New Roman"/>
          <w:szCs w:val="24"/>
        </w:rPr>
        <w:t xml:space="preserve">reported </w:t>
      </w:r>
      <w:r w:rsidR="00AE0E5C" w:rsidRPr="00290D19">
        <w:rPr>
          <w:rFonts w:cs="Times New Roman"/>
          <w:szCs w:val="24"/>
        </w:rPr>
        <w:t xml:space="preserve">in Table 4. For categorical exogenous variables, the elasticity effects </w:t>
      </w:r>
      <w:r>
        <w:rPr>
          <w:rFonts w:cs="Times New Roman"/>
          <w:szCs w:val="24"/>
        </w:rPr>
        <w:t xml:space="preserve">correspond to </w:t>
      </w:r>
      <w:r w:rsidR="00AE0E5C" w:rsidRPr="00290D19">
        <w:rPr>
          <w:rFonts w:cs="Times New Roman"/>
          <w:szCs w:val="24"/>
        </w:rPr>
        <w:t>change</w:t>
      </w:r>
      <w:r>
        <w:rPr>
          <w:rFonts w:cs="Times New Roman"/>
          <w:szCs w:val="24"/>
        </w:rPr>
        <w:t>s</w:t>
      </w:r>
      <w:r w:rsidR="00AE0E5C" w:rsidRPr="00DD5FA6">
        <w:rPr>
          <w:rFonts w:cs="Times New Roman"/>
          <w:szCs w:val="24"/>
        </w:rPr>
        <w:t xml:space="preserve"> from the lowest to the highest levels</w:t>
      </w:r>
      <w:r>
        <w:rPr>
          <w:rFonts w:cs="Times New Roman"/>
          <w:szCs w:val="24"/>
        </w:rPr>
        <w:t>. F</w:t>
      </w:r>
      <w:r w:rsidR="00D82E7A" w:rsidRPr="00290D19">
        <w:rPr>
          <w:rFonts w:cs="Times New Roman"/>
          <w:szCs w:val="24"/>
        </w:rPr>
        <w:t>or the continuous cost variables</w:t>
      </w:r>
      <w:r w:rsidR="0086018F">
        <w:rPr>
          <w:rFonts w:cs="Times New Roman"/>
          <w:szCs w:val="24"/>
        </w:rPr>
        <w:t>,</w:t>
      </w:r>
      <w:r w:rsidR="00D82E7A" w:rsidRPr="0086018F">
        <w:rPr>
          <w:rFonts w:cs="Times New Roman"/>
          <w:szCs w:val="24"/>
        </w:rPr>
        <w:t xml:space="preserve"> </w:t>
      </w:r>
      <w:r w:rsidR="00AA0131" w:rsidRPr="0086018F">
        <w:rPr>
          <w:rFonts w:cs="Times New Roman"/>
          <w:szCs w:val="24"/>
        </w:rPr>
        <w:t xml:space="preserve">the </w:t>
      </w:r>
      <w:r>
        <w:rPr>
          <w:rFonts w:cs="Times New Roman"/>
          <w:szCs w:val="24"/>
        </w:rPr>
        <w:t xml:space="preserve">reported </w:t>
      </w:r>
      <w:r w:rsidR="0086018F">
        <w:rPr>
          <w:rFonts w:cs="Times New Roman"/>
          <w:szCs w:val="24"/>
        </w:rPr>
        <w:t xml:space="preserve">“arc” </w:t>
      </w:r>
      <w:r w:rsidR="00AA0131" w:rsidRPr="0086018F">
        <w:rPr>
          <w:rFonts w:cs="Times New Roman"/>
          <w:szCs w:val="24"/>
        </w:rPr>
        <w:t xml:space="preserve">elasticity effects </w:t>
      </w:r>
      <w:r>
        <w:rPr>
          <w:rFonts w:cs="Times New Roman"/>
          <w:szCs w:val="24"/>
        </w:rPr>
        <w:t xml:space="preserve">correspond to a </w:t>
      </w:r>
      <w:r w:rsidR="00AD10D4" w:rsidRPr="00290D19">
        <w:rPr>
          <w:rFonts w:cs="Times New Roman"/>
          <w:szCs w:val="24"/>
        </w:rPr>
        <w:t>20%</w:t>
      </w:r>
      <w:r>
        <w:rPr>
          <w:rFonts w:cs="Times New Roman"/>
          <w:szCs w:val="24"/>
        </w:rPr>
        <w:t xml:space="preserve"> increase from the originally presented cost levels</w:t>
      </w:r>
      <w:r w:rsidR="00AD10D4" w:rsidRPr="00DD5FA6">
        <w:rPr>
          <w:rFonts w:cs="Times New Roman"/>
          <w:szCs w:val="24"/>
        </w:rPr>
        <w:t xml:space="preserve">. </w:t>
      </w:r>
    </w:p>
    <w:p w14:paraId="06004E43" w14:textId="54C55D3C" w:rsidR="00BB29F9" w:rsidRDefault="001C1900" w:rsidP="00037976">
      <w:pPr>
        <w:spacing w:line="240" w:lineRule="auto"/>
        <w:ind w:firstLine="720"/>
        <w:rPr>
          <w:rFonts w:cs="Times New Roman"/>
          <w:szCs w:val="24"/>
        </w:rPr>
      </w:pPr>
      <w:r w:rsidRPr="009E4296">
        <w:rPr>
          <w:rFonts w:cs="Times New Roman"/>
          <w:szCs w:val="24"/>
        </w:rPr>
        <w:t xml:space="preserve">As may be observed from the table, </w:t>
      </w:r>
      <w:r w:rsidR="009B4FB3" w:rsidRPr="009E4296">
        <w:rPr>
          <w:rFonts w:cs="Times New Roman"/>
          <w:szCs w:val="24"/>
        </w:rPr>
        <w:t xml:space="preserve">there is </w:t>
      </w:r>
      <w:r w:rsidR="009E4296">
        <w:rPr>
          <w:rFonts w:cs="Times New Roman"/>
          <w:szCs w:val="24"/>
        </w:rPr>
        <w:t xml:space="preserve">broad </w:t>
      </w:r>
      <w:r w:rsidR="009B4FB3" w:rsidRPr="00290D19">
        <w:rPr>
          <w:rFonts w:cs="Times New Roman"/>
          <w:szCs w:val="24"/>
        </w:rPr>
        <w:t xml:space="preserve">alignment across </w:t>
      </w:r>
      <w:r w:rsidR="009E4296">
        <w:rPr>
          <w:rFonts w:cs="Times New Roman"/>
          <w:szCs w:val="24"/>
        </w:rPr>
        <w:t xml:space="preserve">the </w:t>
      </w:r>
      <w:r w:rsidR="009B4FB3" w:rsidRPr="00290D19">
        <w:rPr>
          <w:rFonts w:cs="Times New Roman"/>
          <w:szCs w:val="24"/>
        </w:rPr>
        <w:t xml:space="preserve">four models in </w:t>
      </w:r>
      <w:r w:rsidR="009E4296">
        <w:rPr>
          <w:rFonts w:cs="Times New Roman"/>
          <w:szCs w:val="24"/>
        </w:rPr>
        <w:t xml:space="preserve">both </w:t>
      </w:r>
      <w:r w:rsidR="009B4FB3" w:rsidRPr="009E4296">
        <w:rPr>
          <w:rFonts w:cs="Times New Roman"/>
          <w:szCs w:val="24"/>
        </w:rPr>
        <w:t xml:space="preserve">the direction and magnitude of </w:t>
      </w:r>
      <w:r w:rsidR="009E4296">
        <w:rPr>
          <w:rFonts w:cs="Times New Roman"/>
          <w:szCs w:val="24"/>
        </w:rPr>
        <w:t xml:space="preserve">the </w:t>
      </w:r>
      <w:r w:rsidR="009B4FB3" w:rsidRPr="009E4296">
        <w:rPr>
          <w:rFonts w:cs="Times New Roman"/>
          <w:szCs w:val="24"/>
        </w:rPr>
        <w:t xml:space="preserve">cost effects, although the </w:t>
      </w:r>
      <w:r w:rsidR="009E4296">
        <w:rPr>
          <w:rFonts w:cs="Times New Roman"/>
          <w:szCs w:val="24"/>
        </w:rPr>
        <w:t xml:space="preserve">estimated effects </w:t>
      </w:r>
      <w:r w:rsidR="00316EB6" w:rsidRPr="009E4296">
        <w:rPr>
          <w:rFonts w:cs="Times New Roman"/>
          <w:szCs w:val="24"/>
        </w:rPr>
        <w:t xml:space="preserve">are generally somewhat smaller </w:t>
      </w:r>
      <w:r w:rsidR="00981EA6" w:rsidRPr="009E4296">
        <w:rPr>
          <w:rFonts w:cs="Times New Roman"/>
          <w:szCs w:val="24"/>
        </w:rPr>
        <w:t xml:space="preserve">in </w:t>
      </w:r>
      <w:r w:rsidR="009E4296">
        <w:rPr>
          <w:rFonts w:cs="Times New Roman"/>
          <w:szCs w:val="24"/>
        </w:rPr>
        <w:t xml:space="preserve">magnitude in </w:t>
      </w:r>
      <w:r w:rsidR="00981EA6" w:rsidRPr="009E4296">
        <w:rPr>
          <w:rFonts w:cs="Times New Roman"/>
          <w:szCs w:val="24"/>
        </w:rPr>
        <w:t>the MNYJ model</w:t>
      </w:r>
      <w:r w:rsidR="00981EA6" w:rsidRPr="00290D19">
        <w:rPr>
          <w:rFonts w:cs="Times New Roman"/>
          <w:szCs w:val="24"/>
        </w:rPr>
        <w:t xml:space="preserve">. </w:t>
      </w:r>
      <w:r w:rsidR="00BF3D78">
        <w:rPr>
          <w:rFonts w:cs="Times New Roman"/>
          <w:szCs w:val="24"/>
        </w:rPr>
        <w:t xml:space="preserve">Focusing on a comparison </w:t>
      </w:r>
      <w:r w:rsidR="009E4296">
        <w:rPr>
          <w:rFonts w:cs="Times New Roman"/>
          <w:szCs w:val="24"/>
        </w:rPr>
        <w:t xml:space="preserve">between </w:t>
      </w:r>
      <w:r w:rsidR="00BF3D78">
        <w:rPr>
          <w:rFonts w:cs="Times New Roman"/>
          <w:szCs w:val="24"/>
        </w:rPr>
        <w:t xml:space="preserve">the proposed MNYJRC model </w:t>
      </w:r>
      <w:r w:rsidR="009E4296">
        <w:rPr>
          <w:rFonts w:cs="Times New Roman"/>
          <w:szCs w:val="24"/>
        </w:rPr>
        <w:t xml:space="preserve">and </w:t>
      </w:r>
      <w:r w:rsidR="00BF3D78">
        <w:rPr>
          <w:rFonts w:cs="Times New Roman"/>
          <w:szCs w:val="24"/>
        </w:rPr>
        <w:t xml:space="preserve">the two MNP models, </w:t>
      </w:r>
      <w:r w:rsidR="009E4296">
        <w:rPr>
          <w:rFonts w:cs="Times New Roman"/>
          <w:szCs w:val="24"/>
        </w:rPr>
        <w:t xml:space="preserve">notable differences emerge for </w:t>
      </w:r>
      <w:r w:rsidR="0086018F">
        <w:rPr>
          <w:rFonts w:cs="Times New Roman"/>
          <w:szCs w:val="24"/>
        </w:rPr>
        <w:t>the AV fixed cost variable and the AV ride</w:t>
      </w:r>
      <w:r w:rsidR="00083D84">
        <w:rPr>
          <w:rFonts w:cs="Times New Roman"/>
          <w:szCs w:val="24"/>
        </w:rPr>
        <w:t>hailing</w:t>
      </w:r>
      <w:r w:rsidR="0086018F">
        <w:rPr>
          <w:rFonts w:cs="Times New Roman"/>
          <w:szCs w:val="24"/>
        </w:rPr>
        <w:t xml:space="preserve"> cost variable. Specifically, the MNP models overestimate the negative sensitivity toward AV </w:t>
      </w:r>
      <w:r w:rsidR="009E4296">
        <w:rPr>
          <w:rFonts w:cs="Times New Roman"/>
          <w:szCs w:val="24"/>
        </w:rPr>
        <w:t>ownership</w:t>
      </w:r>
      <w:r w:rsidR="0086018F">
        <w:rPr>
          <w:rFonts w:cs="Times New Roman"/>
          <w:szCs w:val="24"/>
        </w:rPr>
        <w:t xml:space="preserve"> </w:t>
      </w:r>
      <w:r w:rsidR="009E4296">
        <w:rPr>
          <w:rFonts w:cs="Times New Roman"/>
          <w:szCs w:val="24"/>
        </w:rPr>
        <w:t xml:space="preserve">associated with increases in </w:t>
      </w:r>
      <w:r w:rsidR="0086018F">
        <w:rPr>
          <w:rFonts w:cs="Times New Roman"/>
          <w:szCs w:val="24"/>
        </w:rPr>
        <w:t xml:space="preserve">AV fixed costs, </w:t>
      </w:r>
      <w:r w:rsidR="009E4296">
        <w:rPr>
          <w:rFonts w:cs="Times New Roman"/>
          <w:szCs w:val="24"/>
        </w:rPr>
        <w:t xml:space="preserve">while </w:t>
      </w:r>
      <w:r w:rsidR="0086018F">
        <w:rPr>
          <w:rFonts w:cs="Times New Roman"/>
          <w:szCs w:val="24"/>
        </w:rPr>
        <w:t>underestimat</w:t>
      </w:r>
      <w:r w:rsidR="009E4296">
        <w:rPr>
          <w:rFonts w:cs="Times New Roman"/>
          <w:szCs w:val="24"/>
        </w:rPr>
        <w:t>ing</w:t>
      </w:r>
      <w:r w:rsidR="0086018F">
        <w:rPr>
          <w:rFonts w:cs="Times New Roman"/>
          <w:szCs w:val="24"/>
        </w:rPr>
        <w:t xml:space="preserve"> the </w:t>
      </w:r>
      <w:r w:rsidR="00BF3D78">
        <w:rPr>
          <w:rFonts w:cs="Times New Roman"/>
          <w:szCs w:val="24"/>
        </w:rPr>
        <w:t>negative sensitivity to</w:t>
      </w:r>
      <w:r w:rsidR="009E4296">
        <w:rPr>
          <w:rFonts w:cs="Times New Roman"/>
          <w:szCs w:val="24"/>
        </w:rPr>
        <w:t>ward</w:t>
      </w:r>
      <w:r w:rsidR="00BF3D78">
        <w:rPr>
          <w:rFonts w:cs="Times New Roman"/>
          <w:szCs w:val="24"/>
        </w:rPr>
        <w:t xml:space="preserve"> AV ridehailing in response to an increase in AV ridehailing cost. </w:t>
      </w:r>
      <w:r w:rsidR="00D043BA" w:rsidRPr="00290D19">
        <w:rPr>
          <w:rFonts w:cs="Times New Roman"/>
          <w:szCs w:val="24"/>
        </w:rPr>
        <w:t xml:space="preserve">The implication is that </w:t>
      </w:r>
      <w:r w:rsidR="00BF3D78">
        <w:rPr>
          <w:rFonts w:cs="Times New Roman"/>
          <w:szCs w:val="24"/>
        </w:rPr>
        <w:t xml:space="preserve">AV fixed cost </w:t>
      </w:r>
      <w:r w:rsidR="00615489" w:rsidRPr="00BF3D78">
        <w:rPr>
          <w:rFonts w:cs="Times New Roman"/>
          <w:szCs w:val="24"/>
        </w:rPr>
        <w:t>pricing changes</w:t>
      </w:r>
      <w:r w:rsidR="00615489" w:rsidRPr="00290D19">
        <w:rPr>
          <w:rFonts w:cs="Times New Roman"/>
          <w:szCs w:val="24"/>
        </w:rPr>
        <w:t xml:space="preserve"> </w:t>
      </w:r>
      <w:r w:rsidR="00BF3D78">
        <w:rPr>
          <w:rFonts w:cs="Times New Roman"/>
          <w:szCs w:val="24"/>
        </w:rPr>
        <w:t>(AV ridehailing per-mile cost</w:t>
      </w:r>
      <w:r w:rsidR="009E4296">
        <w:rPr>
          <w:rFonts w:cs="Times New Roman"/>
          <w:szCs w:val="24"/>
        </w:rPr>
        <w:t xml:space="preserve"> changes</w:t>
      </w:r>
      <w:r w:rsidR="00BF3D78">
        <w:rPr>
          <w:rFonts w:cs="Times New Roman"/>
          <w:szCs w:val="24"/>
        </w:rPr>
        <w:t xml:space="preserve">) </w:t>
      </w:r>
      <w:r w:rsidR="00806560" w:rsidRPr="00290D19">
        <w:rPr>
          <w:rFonts w:cs="Times New Roman"/>
          <w:szCs w:val="24"/>
        </w:rPr>
        <w:t xml:space="preserve">have a somewhat smaller </w:t>
      </w:r>
      <w:r w:rsidR="00BF3D78">
        <w:rPr>
          <w:rFonts w:cs="Times New Roman"/>
          <w:szCs w:val="24"/>
        </w:rPr>
        <w:t xml:space="preserve">(larger) </w:t>
      </w:r>
      <w:r w:rsidR="00806560" w:rsidRPr="00BF3D78">
        <w:rPr>
          <w:rFonts w:cs="Times New Roman"/>
          <w:szCs w:val="24"/>
        </w:rPr>
        <w:t xml:space="preserve">effect on </w:t>
      </w:r>
      <w:r w:rsidR="00BF3D78">
        <w:rPr>
          <w:rFonts w:cs="Times New Roman"/>
          <w:szCs w:val="24"/>
        </w:rPr>
        <w:t xml:space="preserve">AV </w:t>
      </w:r>
      <w:r w:rsidR="00806560" w:rsidRPr="00BF3D78">
        <w:rPr>
          <w:rFonts w:cs="Times New Roman"/>
          <w:szCs w:val="24"/>
        </w:rPr>
        <w:t xml:space="preserve">ownership </w:t>
      </w:r>
      <w:r w:rsidR="00BF3D78">
        <w:rPr>
          <w:rFonts w:cs="Times New Roman"/>
          <w:szCs w:val="24"/>
        </w:rPr>
        <w:t xml:space="preserve">(AV ridehailing adoption) </w:t>
      </w:r>
      <w:r w:rsidR="00806560" w:rsidRPr="00BF3D78">
        <w:rPr>
          <w:rFonts w:cs="Times New Roman"/>
          <w:szCs w:val="24"/>
        </w:rPr>
        <w:t>decisions than</w:t>
      </w:r>
      <w:r w:rsidR="009E4296">
        <w:rPr>
          <w:rFonts w:cs="Times New Roman"/>
          <w:szCs w:val="24"/>
        </w:rPr>
        <w:t xml:space="preserve"> </w:t>
      </w:r>
      <w:r w:rsidR="00806560" w:rsidRPr="00BF3D78">
        <w:rPr>
          <w:rFonts w:cs="Times New Roman"/>
          <w:szCs w:val="24"/>
        </w:rPr>
        <w:t>implied by the MNP model</w:t>
      </w:r>
      <w:r w:rsidR="009E4296">
        <w:rPr>
          <w:rFonts w:cs="Times New Roman"/>
          <w:szCs w:val="24"/>
        </w:rPr>
        <w:t>s</w:t>
      </w:r>
      <w:r w:rsidR="00D344BE" w:rsidRPr="00BF3D78">
        <w:rPr>
          <w:rFonts w:cs="Times New Roman"/>
          <w:szCs w:val="24"/>
        </w:rPr>
        <w:t xml:space="preserve">. For </w:t>
      </w:r>
      <w:r w:rsidR="009E4296">
        <w:rPr>
          <w:rFonts w:cs="Times New Roman"/>
          <w:szCs w:val="24"/>
        </w:rPr>
        <w:t>example</w:t>
      </w:r>
      <w:r w:rsidR="00D344BE" w:rsidRPr="00BF3D78">
        <w:rPr>
          <w:rFonts w:cs="Times New Roman"/>
          <w:szCs w:val="24"/>
        </w:rPr>
        <w:t xml:space="preserve">, if a transportation agency were </w:t>
      </w:r>
      <w:r w:rsidR="009E4296">
        <w:rPr>
          <w:rFonts w:cs="Times New Roman"/>
          <w:szCs w:val="24"/>
        </w:rPr>
        <w:t xml:space="preserve">to </w:t>
      </w:r>
      <w:r w:rsidR="00D344BE" w:rsidRPr="00BF3D78">
        <w:rPr>
          <w:rFonts w:cs="Times New Roman"/>
          <w:szCs w:val="24"/>
        </w:rPr>
        <w:t>consider subsid</w:t>
      </w:r>
      <w:r w:rsidR="009E4296">
        <w:rPr>
          <w:rFonts w:cs="Times New Roman"/>
          <w:szCs w:val="24"/>
        </w:rPr>
        <w:t>ies</w:t>
      </w:r>
      <w:r w:rsidR="00D344BE" w:rsidRPr="00BF3D78">
        <w:rPr>
          <w:rFonts w:cs="Times New Roman"/>
          <w:szCs w:val="24"/>
        </w:rPr>
        <w:t xml:space="preserve"> for AV ownership with the </w:t>
      </w:r>
      <w:r w:rsidR="009E4296">
        <w:rPr>
          <w:rFonts w:cs="Times New Roman"/>
          <w:szCs w:val="24"/>
        </w:rPr>
        <w:t xml:space="preserve">goal </w:t>
      </w:r>
      <w:r w:rsidR="00D344BE" w:rsidRPr="00BF3D78">
        <w:rPr>
          <w:rFonts w:cs="Times New Roman"/>
          <w:szCs w:val="24"/>
        </w:rPr>
        <w:t>of shifting</w:t>
      </w:r>
      <w:r w:rsidR="009E4296">
        <w:rPr>
          <w:rFonts w:cs="Times New Roman"/>
          <w:szCs w:val="24"/>
        </w:rPr>
        <w:t xml:space="preserve"> travelers</w:t>
      </w:r>
      <w:r w:rsidR="00D344BE" w:rsidRPr="00BF3D78">
        <w:rPr>
          <w:rFonts w:cs="Times New Roman"/>
          <w:szCs w:val="24"/>
        </w:rPr>
        <w:t xml:space="preserve"> away from </w:t>
      </w:r>
      <w:r w:rsidR="009E4296">
        <w:rPr>
          <w:rFonts w:cs="Times New Roman"/>
          <w:szCs w:val="24"/>
        </w:rPr>
        <w:t>conventional</w:t>
      </w:r>
      <w:r w:rsidR="00D344BE" w:rsidRPr="00BF3D78">
        <w:rPr>
          <w:rFonts w:cs="Times New Roman"/>
          <w:szCs w:val="24"/>
        </w:rPr>
        <w:t xml:space="preserve"> vehicle ownership, the MNYJ models suggest that AV ownership uptake </w:t>
      </w:r>
      <w:r w:rsidR="009E4296">
        <w:rPr>
          <w:rFonts w:cs="Times New Roman"/>
          <w:szCs w:val="24"/>
        </w:rPr>
        <w:t xml:space="preserve">resulting </w:t>
      </w:r>
      <w:r w:rsidR="00D344BE" w:rsidRPr="00BF3D78">
        <w:rPr>
          <w:rFonts w:cs="Times New Roman"/>
          <w:szCs w:val="24"/>
        </w:rPr>
        <w:t>from such subsid</w:t>
      </w:r>
      <w:r w:rsidR="009E4296">
        <w:rPr>
          <w:rFonts w:cs="Times New Roman"/>
          <w:szCs w:val="24"/>
        </w:rPr>
        <w:t>ies</w:t>
      </w:r>
      <w:r w:rsidR="00D344BE" w:rsidRPr="00BF3D78">
        <w:rPr>
          <w:rFonts w:cs="Times New Roman"/>
          <w:szCs w:val="24"/>
        </w:rPr>
        <w:t xml:space="preserve"> would </w:t>
      </w:r>
      <w:r w:rsidR="009E4296">
        <w:rPr>
          <w:rFonts w:cs="Times New Roman"/>
          <w:szCs w:val="24"/>
        </w:rPr>
        <w:t xml:space="preserve">likely be </w:t>
      </w:r>
      <w:r w:rsidR="00D344BE" w:rsidRPr="00BF3D78">
        <w:rPr>
          <w:rFonts w:cs="Times New Roman"/>
          <w:szCs w:val="24"/>
        </w:rPr>
        <w:t xml:space="preserve">lower than </w:t>
      </w:r>
      <w:r w:rsidR="009E4296">
        <w:rPr>
          <w:rFonts w:cs="Times New Roman"/>
          <w:szCs w:val="24"/>
        </w:rPr>
        <w:t>t</w:t>
      </w:r>
      <w:r w:rsidR="00BF3D78">
        <w:rPr>
          <w:rFonts w:cs="Times New Roman"/>
          <w:szCs w:val="24"/>
        </w:rPr>
        <w:t xml:space="preserve">hat </w:t>
      </w:r>
      <w:r w:rsidR="009E4296">
        <w:rPr>
          <w:rFonts w:cs="Times New Roman"/>
          <w:szCs w:val="24"/>
        </w:rPr>
        <w:t xml:space="preserve">projected by the </w:t>
      </w:r>
      <w:r w:rsidR="00D344BE" w:rsidRPr="00BF3D78">
        <w:rPr>
          <w:rFonts w:cs="Times New Roman"/>
          <w:szCs w:val="24"/>
        </w:rPr>
        <w:t>MNP</w:t>
      </w:r>
      <w:r w:rsidR="009E4296">
        <w:rPr>
          <w:rFonts w:cs="Times New Roman"/>
          <w:szCs w:val="24"/>
        </w:rPr>
        <w:t xml:space="preserve"> models</w:t>
      </w:r>
      <w:r w:rsidR="00D344BE" w:rsidRPr="00BF3D78">
        <w:rPr>
          <w:rFonts w:cs="Times New Roman"/>
          <w:szCs w:val="24"/>
        </w:rPr>
        <w:t>.</w:t>
      </w:r>
      <w:r w:rsidR="00BF3D78">
        <w:rPr>
          <w:rFonts w:cs="Times New Roman"/>
          <w:szCs w:val="24"/>
        </w:rPr>
        <w:t xml:space="preserve"> </w:t>
      </w:r>
      <w:r w:rsidR="009E4296">
        <w:rPr>
          <w:rFonts w:cs="Times New Roman"/>
          <w:szCs w:val="24"/>
        </w:rPr>
        <w:t>Conversely</w:t>
      </w:r>
      <w:r w:rsidR="00BF3D78">
        <w:rPr>
          <w:rFonts w:cs="Times New Roman"/>
          <w:szCs w:val="24"/>
        </w:rPr>
        <w:t xml:space="preserve">, subsidies for AV ridehailing are likely to have a </w:t>
      </w:r>
      <w:r w:rsidR="009E4296">
        <w:rPr>
          <w:rFonts w:cs="Times New Roman"/>
          <w:szCs w:val="24"/>
        </w:rPr>
        <w:t>stronger</w:t>
      </w:r>
      <w:r w:rsidR="00BF3D78">
        <w:rPr>
          <w:rFonts w:cs="Times New Roman"/>
          <w:szCs w:val="24"/>
        </w:rPr>
        <w:t xml:space="preserve"> positive effect on </w:t>
      </w:r>
      <w:r w:rsidR="009E4296">
        <w:rPr>
          <w:rFonts w:cs="Times New Roman"/>
          <w:szCs w:val="24"/>
        </w:rPr>
        <w:t xml:space="preserve">AV ridehailing adoption than </w:t>
      </w:r>
      <w:r w:rsidR="00BF3D78">
        <w:rPr>
          <w:rFonts w:cs="Times New Roman"/>
          <w:szCs w:val="24"/>
        </w:rPr>
        <w:t xml:space="preserve">projected by the MNP models. </w:t>
      </w:r>
    </w:p>
    <w:p w14:paraId="4EF09D38" w14:textId="0D7C4859" w:rsidR="009E4296" w:rsidRDefault="00BD4613" w:rsidP="00037976">
      <w:pPr>
        <w:spacing w:line="240" w:lineRule="auto"/>
        <w:ind w:firstLine="720"/>
        <w:rPr>
          <w:rFonts w:cs="Times New Roman"/>
          <w:szCs w:val="24"/>
        </w:rPr>
      </w:pPr>
      <w:r w:rsidRPr="00DD5FA6">
        <w:rPr>
          <w:rFonts w:cs="Times New Roman"/>
          <w:szCs w:val="24"/>
        </w:rPr>
        <w:t xml:space="preserve">Regarding individual and household characteristics, </w:t>
      </w:r>
      <w:r w:rsidR="009E4296">
        <w:rPr>
          <w:rFonts w:cs="Times New Roman"/>
          <w:szCs w:val="24"/>
        </w:rPr>
        <w:t xml:space="preserve">several </w:t>
      </w:r>
      <w:r w:rsidR="001F6DD5" w:rsidRPr="00DD5FA6">
        <w:rPr>
          <w:rFonts w:cs="Times New Roman"/>
          <w:szCs w:val="24"/>
        </w:rPr>
        <w:t xml:space="preserve">notable differences </w:t>
      </w:r>
      <w:r w:rsidR="009E4296">
        <w:rPr>
          <w:rFonts w:cs="Times New Roman"/>
          <w:szCs w:val="24"/>
        </w:rPr>
        <w:t>also emerge across the models</w:t>
      </w:r>
      <w:r w:rsidR="001F6DD5" w:rsidRPr="00DD5FA6">
        <w:rPr>
          <w:rFonts w:cs="Times New Roman"/>
          <w:szCs w:val="24"/>
        </w:rPr>
        <w:t xml:space="preserve">. First, the </w:t>
      </w:r>
      <w:r w:rsidR="00241620" w:rsidRPr="009E4296">
        <w:rPr>
          <w:rFonts w:cs="Times New Roman"/>
          <w:szCs w:val="24"/>
        </w:rPr>
        <w:t xml:space="preserve">MNYJ models indicate that the effects of gender and educational attainment </w:t>
      </w:r>
      <w:r w:rsidR="009E4296">
        <w:rPr>
          <w:rFonts w:cs="Times New Roman"/>
          <w:szCs w:val="24"/>
        </w:rPr>
        <w:t xml:space="preserve">on AV ridehailing use </w:t>
      </w:r>
      <w:r w:rsidR="00FF5210" w:rsidRPr="009E4296">
        <w:rPr>
          <w:rFonts w:cs="Times New Roman"/>
          <w:szCs w:val="24"/>
        </w:rPr>
        <w:t xml:space="preserve">are </w:t>
      </w:r>
      <w:r w:rsidR="009E4296">
        <w:rPr>
          <w:rFonts w:cs="Times New Roman"/>
          <w:szCs w:val="24"/>
        </w:rPr>
        <w:t>substantially</w:t>
      </w:r>
      <w:r w:rsidR="00FF5210" w:rsidRPr="009E4296">
        <w:rPr>
          <w:rFonts w:cs="Times New Roman"/>
          <w:szCs w:val="24"/>
        </w:rPr>
        <w:t xml:space="preserve"> overestimated in the MNP model</w:t>
      </w:r>
      <w:r w:rsidR="00BF3D78">
        <w:rPr>
          <w:rFonts w:cs="Times New Roman"/>
          <w:szCs w:val="24"/>
        </w:rPr>
        <w:t>s</w:t>
      </w:r>
      <w:r w:rsidR="00FF5210" w:rsidRPr="00BF3D78">
        <w:rPr>
          <w:rFonts w:cs="Times New Roman"/>
          <w:szCs w:val="24"/>
        </w:rPr>
        <w:t xml:space="preserve">. In contrast, </w:t>
      </w:r>
      <w:r w:rsidR="00411C0F" w:rsidRPr="00BF3D78">
        <w:rPr>
          <w:rFonts w:cs="Times New Roman"/>
          <w:szCs w:val="24"/>
        </w:rPr>
        <w:t xml:space="preserve">the presence of children has </w:t>
      </w:r>
      <w:r w:rsidR="00411C0F" w:rsidRPr="00DD5FA6">
        <w:rPr>
          <w:rFonts w:cs="Times New Roman"/>
          <w:szCs w:val="24"/>
        </w:rPr>
        <w:t xml:space="preserve">a </w:t>
      </w:r>
      <w:r w:rsidR="009E4296">
        <w:rPr>
          <w:rFonts w:cs="Times New Roman"/>
          <w:szCs w:val="24"/>
        </w:rPr>
        <w:t xml:space="preserve">considerably </w:t>
      </w:r>
      <w:r w:rsidR="00411C0F" w:rsidRPr="00DD5FA6">
        <w:rPr>
          <w:rFonts w:cs="Times New Roman"/>
          <w:szCs w:val="24"/>
        </w:rPr>
        <w:t xml:space="preserve">larger </w:t>
      </w:r>
      <w:r w:rsidR="00BF3D78">
        <w:rPr>
          <w:rFonts w:cs="Times New Roman"/>
          <w:szCs w:val="24"/>
        </w:rPr>
        <w:t xml:space="preserve">negative </w:t>
      </w:r>
      <w:r w:rsidR="00411C0F" w:rsidRPr="00BF3D78">
        <w:rPr>
          <w:rFonts w:cs="Times New Roman"/>
          <w:szCs w:val="24"/>
        </w:rPr>
        <w:t xml:space="preserve">effect on </w:t>
      </w:r>
      <w:r w:rsidR="00BF3D78">
        <w:rPr>
          <w:rFonts w:cs="Times New Roman"/>
          <w:szCs w:val="24"/>
        </w:rPr>
        <w:t xml:space="preserve">AV </w:t>
      </w:r>
      <w:r w:rsidR="00411C0F" w:rsidRPr="00BF3D78">
        <w:rPr>
          <w:rFonts w:cs="Times New Roman"/>
          <w:szCs w:val="24"/>
        </w:rPr>
        <w:t xml:space="preserve">ridehailing </w:t>
      </w:r>
      <w:r w:rsidR="00BF3D78">
        <w:rPr>
          <w:rFonts w:cs="Times New Roman"/>
          <w:szCs w:val="24"/>
        </w:rPr>
        <w:lastRenderedPageBreak/>
        <w:t xml:space="preserve">uptake </w:t>
      </w:r>
      <w:r w:rsidR="00411C0F" w:rsidRPr="00BF3D78">
        <w:rPr>
          <w:rFonts w:cs="Times New Roman"/>
          <w:szCs w:val="24"/>
        </w:rPr>
        <w:t>in the MNYJ models (</w:t>
      </w:r>
      <w:r w:rsidR="00796292" w:rsidRPr="00BF3D78">
        <w:rPr>
          <w:rFonts w:cs="Times New Roman"/>
          <w:szCs w:val="24"/>
        </w:rPr>
        <w:t>-20.4</w:t>
      </w:r>
      <w:r w:rsidR="00BF3D78">
        <w:rPr>
          <w:rFonts w:cs="Times New Roman"/>
          <w:szCs w:val="24"/>
        </w:rPr>
        <w:t>0</w:t>
      </w:r>
      <w:r w:rsidR="00796292" w:rsidRPr="00BF3D78">
        <w:rPr>
          <w:rFonts w:cs="Times New Roman"/>
          <w:szCs w:val="24"/>
        </w:rPr>
        <w:t xml:space="preserve">% in the MNYJ and </w:t>
      </w:r>
      <w:r w:rsidR="00411C0F" w:rsidRPr="00BF3D78">
        <w:rPr>
          <w:rFonts w:cs="Times New Roman"/>
          <w:szCs w:val="24"/>
        </w:rPr>
        <w:t>-17.7</w:t>
      </w:r>
      <w:r w:rsidR="00BF3D78">
        <w:rPr>
          <w:rFonts w:cs="Times New Roman"/>
          <w:szCs w:val="24"/>
        </w:rPr>
        <w:t>7</w:t>
      </w:r>
      <w:r w:rsidR="00411C0F" w:rsidRPr="00BF3D78">
        <w:rPr>
          <w:rFonts w:cs="Times New Roman"/>
          <w:szCs w:val="24"/>
        </w:rPr>
        <w:t xml:space="preserve">% </w:t>
      </w:r>
      <w:r w:rsidR="00796292" w:rsidRPr="00BF3D78">
        <w:rPr>
          <w:rFonts w:cs="Times New Roman"/>
          <w:szCs w:val="24"/>
        </w:rPr>
        <w:t>in the MNYJRC</w:t>
      </w:r>
      <w:r w:rsidR="00411C0F" w:rsidRPr="00BF3D78">
        <w:rPr>
          <w:rFonts w:cs="Times New Roman"/>
          <w:szCs w:val="24"/>
        </w:rPr>
        <w:t xml:space="preserve">) </w:t>
      </w:r>
      <w:r w:rsidR="009E4296">
        <w:rPr>
          <w:rFonts w:cs="Times New Roman"/>
          <w:szCs w:val="24"/>
        </w:rPr>
        <w:t xml:space="preserve">than in </w:t>
      </w:r>
      <w:r w:rsidR="00411C0F" w:rsidRPr="00BF3D78">
        <w:rPr>
          <w:rFonts w:cs="Times New Roman"/>
          <w:szCs w:val="24"/>
        </w:rPr>
        <w:t>the MNP models (-8.</w:t>
      </w:r>
      <w:r w:rsidR="00BF3D78">
        <w:rPr>
          <w:rFonts w:cs="Times New Roman"/>
          <w:szCs w:val="24"/>
        </w:rPr>
        <w:t>57</w:t>
      </w:r>
      <w:r w:rsidR="00411C0F" w:rsidRPr="00BF3D78">
        <w:rPr>
          <w:rFonts w:cs="Times New Roman"/>
          <w:szCs w:val="24"/>
        </w:rPr>
        <w:t xml:space="preserve">% </w:t>
      </w:r>
      <w:r w:rsidR="00796292" w:rsidRPr="00BF3D78">
        <w:rPr>
          <w:rFonts w:cs="Times New Roman"/>
          <w:szCs w:val="24"/>
        </w:rPr>
        <w:t xml:space="preserve">in the MNP and </w:t>
      </w:r>
      <w:r w:rsidR="00411C0F" w:rsidRPr="00BF3D78">
        <w:rPr>
          <w:rFonts w:cs="Times New Roman"/>
          <w:szCs w:val="24"/>
        </w:rPr>
        <w:t>-8.</w:t>
      </w:r>
      <w:r w:rsidR="00BF3D78">
        <w:rPr>
          <w:rFonts w:cs="Times New Roman"/>
          <w:szCs w:val="24"/>
        </w:rPr>
        <w:t>39</w:t>
      </w:r>
      <w:r w:rsidR="00411C0F" w:rsidRPr="00290D19">
        <w:rPr>
          <w:rFonts w:cs="Times New Roman"/>
          <w:szCs w:val="24"/>
        </w:rPr>
        <w:t>%</w:t>
      </w:r>
      <w:r w:rsidR="008F06A3" w:rsidRPr="00290D19">
        <w:rPr>
          <w:rFonts w:cs="Times New Roman"/>
          <w:szCs w:val="24"/>
        </w:rPr>
        <w:t xml:space="preserve"> in the MNPRC</w:t>
      </w:r>
      <w:r w:rsidR="00411C0F" w:rsidRPr="00290D19">
        <w:rPr>
          <w:rFonts w:cs="Times New Roman"/>
          <w:szCs w:val="24"/>
        </w:rPr>
        <w:t>).</w:t>
      </w:r>
      <w:r w:rsidR="008F06A3" w:rsidRPr="00290D19">
        <w:rPr>
          <w:rFonts w:cs="Times New Roman"/>
          <w:szCs w:val="24"/>
        </w:rPr>
        <w:t xml:space="preserve"> From a policy and service design perspective, </w:t>
      </w:r>
      <w:r w:rsidR="00BF3D78">
        <w:rPr>
          <w:rFonts w:cs="Times New Roman"/>
          <w:szCs w:val="24"/>
        </w:rPr>
        <w:t>th</w:t>
      </w:r>
      <w:r w:rsidR="009E4296">
        <w:rPr>
          <w:rFonts w:cs="Times New Roman"/>
          <w:szCs w:val="24"/>
        </w:rPr>
        <w:t xml:space="preserve">is suggests </w:t>
      </w:r>
      <w:r w:rsidR="00BF3D78">
        <w:rPr>
          <w:rFonts w:cs="Times New Roman"/>
          <w:szCs w:val="24"/>
        </w:rPr>
        <w:t xml:space="preserve">that </w:t>
      </w:r>
      <w:r w:rsidR="00AE754A" w:rsidRPr="00BF3D78">
        <w:rPr>
          <w:rFonts w:cs="Times New Roman"/>
          <w:szCs w:val="24"/>
        </w:rPr>
        <w:t xml:space="preserve">reliance on the MNP results would overestimate </w:t>
      </w:r>
      <w:r w:rsidR="007E0B02" w:rsidRPr="00BF3D78">
        <w:rPr>
          <w:rFonts w:cs="Times New Roman"/>
          <w:szCs w:val="24"/>
        </w:rPr>
        <w:t xml:space="preserve">AV ridehailing adoption among </w:t>
      </w:r>
      <w:r w:rsidR="009E4296">
        <w:rPr>
          <w:rFonts w:cs="Times New Roman"/>
          <w:szCs w:val="24"/>
        </w:rPr>
        <w:t>hous</w:t>
      </w:r>
      <w:r w:rsidR="00C97AB0">
        <w:rPr>
          <w:rFonts w:cs="Times New Roman"/>
          <w:szCs w:val="24"/>
        </w:rPr>
        <w:t>e</w:t>
      </w:r>
      <w:r w:rsidR="009E4296">
        <w:rPr>
          <w:rFonts w:cs="Times New Roman"/>
          <w:szCs w:val="24"/>
        </w:rPr>
        <w:t xml:space="preserve">holds </w:t>
      </w:r>
      <w:r w:rsidR="007E0B02" w:rsidRPr="00BF3D78">
        <w:rPr>
          <w:rFonts w:cs="Times New Roman"/>
          <w:szCs w:val="24"/>
        </w:rPr>
        <w:t xml:space="preserve">with children, </w:t>
      </w:r>
      <w:r w:rsidR="009E4296">
        <w:rPr>
          <w:rFonts w:cs="Times New Roman"/>
          <w:szCs w:val="24"/>
        </w:rPr>
        <w:t xml:space="preserve">highlighting </w:t>
      </w:r>
      <w:r w:rsidR="003032D7">
        <w:rPr>
          <w:rFonts w:cs="Times New Roman"/>
          <w:szCs w:val="24"/>
        </w:rPr>
        <w:t xml:space="preserve">the need to </w:t>
      </w:r>
      <w:r w:rsidR="007E0B02" w:rsidRPr="00290D19">
        <w:rPr>
          <w:rFonts w:cs="Times New Roman"/>
          <w:szCs w:val="24"/>
        </w:rPr>
        <w:t xml:space="preserve">more specifically improve the appeal of </w:t>
      </w:r>
      <w:r w:rsidR="003032D7">
        <w:rPr>
          <w:rFonts w:cs="Times New Roman"/>
          <w:szCs w:val="24"/>
        </w:rPr>
        <w:t>AV ridehailing</w:t>
      </w:r>
      <w:r w:rsidR="007E0B02" w:rsidRPr="00290D19">
        <w:rPr>
          <w:rFonts w:cs="Times New Roman"/>
          <w:szCs w:val="24"/>
        </w:rPr>
        <w:t xml:space="preserve"> services </w:t>
      </w:r>
      <w:r w:rsidR="009E4296">
        <w:rPr>
          <w:rFonts w:cs="Times New Roman"/>
          <w:szCs w:val="24"/>
        </w:rPr>
        <w:t>for such households.</w:t>
      </w:r>
      <w:r w:rsidR="00353A6B">
        <w:rPr>
          <w:rFonts w:cs="Times New Roman"/>
          <w:szCs w:val="24"/>
        </w:rPr>
        <w:t xml:space="preserve"> </w:t>
      </w:r>
      <w:r w:rsidR="00353A6B">
        <w:t>Potential measures could include child-seat availability, guaranteed door-to-door service, or bundled family-oriented ridehailing plans.</w:t>
      </w:r>
      <w:r w:rsidR="003032D7">
        <w:rPr>
          <w:rFonts w:cs="Times New Roman"/>
          <w:szCs w:val="24"/>
        </w:rPr>
        <w:t xml:space="preserve"> </w:t>
      </w:r>
      <w:r w:rsidR="000B56AD" w:rsidRPr="009E4296">
        <w:rPr>
          <w:rFonts w:cs="Times New Roman"/>
          <w:szCs w:val="24"/>
        </w:rPr>
        <w:t xml:space="preserve">Overall, the elasticity results demonstrate that the </w:t>
      </w:r>
      <w:r w:rsidR="00353A6B">
        <w:rPr>
          <w:rFonts w:cs="Times New Roman"/>
          <w:szCs w:val="24"/>
        </w:rPr>
        <w:t xml:space="preserve">specification of the </w:t>
      </w:r>
      <w:r w:rsidR="003032D7">
        <w:rPr>
          <w:rFonts w:cs="Times New Roman"/>
          <w:szCs w:val="24"/>
        </w:rPr>
        <w:t xml:space="preserve">kernel error </w:t>
      </w:r>
      <w:r w:rsidR="000B56AD" w:rsidRPr="00DD5FA6">
        <w:rPr>
          <w:rFonts w:cs="Times New Roman"/>
          <w:szCs w:val="24"/>
        </w:rPr>
        <w:t>distribution</w:t>
      </w:r>
      <w:r w:rsidR="000B56AD" w:rsidRPr="00290D19">
        <w:rPr>
          <w:rFonts w:cs="Times New Roman"/>
          <w:szCs w:val="24"/>
        </w:rPr>
        <w:t xml:space="preserve"> meaningfully </w:t>
      </w:r>
      <w:r w:rsidR="00353A6B">
        <w:rPr>
          <w:rFonts w:cs="Times New Roman"/>
          <w:szCs w:val="24"/>
        </w:rPr>
        <w:t xml:space="preserve">affects the estimated impacts of several variables, and </w:t>
      </w:r>
      <w:r w:rsidR="007D21E5" w:rsidRPr="00353A6B">
        <w:rPr>
          <w:rFonts w:cs="Times New Roman"/>
          <w:szCs w:val="24"/>
        </w:rPr>
        <w:t xml:space="preserve">that ignoring the skewed nature of the error distribution </w:t>
      </w:r>
      <w:r w:rsidR="003032D7">
        <w:rPr>
          <w:rFonts w:cs="Times New Roman"/>
          <w:szCs w:val="24"/>
        </w:rPr>
        <w:t xml:space="preserve">can </w:t>
      </w:r>
      <w:r w:rsidR="007D21E5" w:rsidRPr="00DD5FA6">
        <w:rPr>
          <w:rFonts w:cs="Times New Roman"/>
          <w:szCs w:val="24"/>
        </w:rPr>
        <w:t>lea</w:t>
      </w:r>
      <w:r w:rsidR="003032D7">
        <w:rPr>
          <w:rFonts w:cs="Times New Roman"/>
          <w:szCs w:val="24"/>
        </w:rPr>
        <w:t>d</w:t>
      </w:r>
      <w:r w:rsidR="007D21E5" w:rsidRPr="00290D19">
        <w:rPr>
          <w:rFonts w:cs="Times New Roman"/>
          <w:szCs w:val="24"/>
        </w:rPr>
        <w:t xml:space="preserve"> </w:t>
      </w:r>
      <w:r w:rsidR="00353A6B">
        <w:rPr>
          <w:rFonts w:cs="Times New Roman"/>
          <w:szCs w:val="24"/>
        </w:rPr>
        <w:t xml:space="preserve">not only </w:t>
      </w:r>
      <w:r w:rsidR="007D21E5" w:rsidRPr="00353A6B">
        <w:rPr>
          <w:rFonts w:cs="Times New Roman"/>
          <w:szCs w:val="24"/>
        </w:rPr>
        <w:t xml:space="preserve">to poorer </w:t>
      </w:r>
      <w:r w:rsidR="00353A6B">
        <w:rPr>
          <w:rFonts w:cs="Times New Roman"/>
          <w:szCs w:val="24"/>
        </w:rPr>
        <w:t xml:space="preserve">model </w:t>
      </w:r>
      <w:r w:rsidR="007D21E5" w:rsidRPr="00353A6B">
        <w:rPr>
          <w:rFonts w:cs="Times New Roman"/>
          <w:szCs w:val="24"/>
        </w:rPr>
        <w:t>fit</w:t>
      </w:r>
      <w:r w:rsidR="00353A6B">
        <w:rPr>
          <w:rFonts w:cs="Times New Roman"/>
          <w:szCs w:val="24"/>
        </w:rPr>
        <w:t xml:space="preserve">, but also to materially different behavioral implications and policy conclusions. </w:t>
      </w:r>
      <w:r w:rsidR="007D21E5" w:rsidRPr="00353A6B">
        <w:rPr>
          <w:rFonts w:cs="Times New Roman"/>
          <w:szCs w:val="24"/>
        </w:rPr>
        <w:t xml:space="preserve"> </w:t>
      </w:r>
    </w:p>
    <w:p w14:paraId="58E25E1E" w14:textId="77777777" w:rsidR="009E4296" w:rsidRPr="009E4296" w:rsidRDefault="009E4296" w:rsidP="00037976">
      <w:pPr>
        <w:spacing w:line="240" w:lineRule="auto"/>
        <w:ind w:firstLine="432"/>
        <w:rPr>
          <w:rFonts w:cs="Times New Roman"/>
          <w:szCs w:val="24"/>
        </w:rPr>
      </w:pPr>
    </w:p>
    <w:p w14:paraId="2F8471E9" w14:textId="3014DFFB" w:rsidR="00D65CA4" w:rsidRPr="009E4296" w:rsidRDefault="0017745A" w:rsidP="00037976">
      <w:pPr>
        <w:pStyle w:val="Heading1"/>
        <w:numPr>
          <w:ilvl w:val="0"/>
          <w:numId w:val="19"/>
        </w:numPr>
        <w:spacing w:before="0" w:after="0" w:line="240" w:lineRule="auto"/>
        <w:ind w:left="360"/>
        <w:rPr>
          <w:rFonts w:cs="Times New Roman"/>
          <w:szCs w:val="24"/>
        </w:rPr>
      </w:pPr>
      <w:r w:rsidRPr="009E4296">
        <w:rPr>
          <w:rFonts w:cs="Times New Roman"/>
          <w:szCs w:val="24"/>
        </w:rPr>
        <w:t>CONCLUSION</w:t>
      </w:r>
    </w:p>
    <w:p w14:paraId="068AAC97" w14:textId="2DE973A7" w:rsidR="0067063C" w:rsidRDefault="0067063C" w:rsidP="00037976">
      <w:pPr>
        <w:spacing w:line="240" w:lineRule="auto"/>
      </w:pPr>
      <w:r>
        <w:t>This paper proposes and demonstrates the application of the MNYJ model, a flexible, computationally tractable, and parsimonious multinomial choice formulation that accommodates asymmetric and skewed kernel error distributions across alternatives. The model is built on the inverse Yeo–Johnson transformation of latent normal error terms, enabling a wide range of asymmetric distributional shapes while remaining analytically and computationally manageable. An implicit Gaussian copula is used to</w:t>
      </w:r>
      <w:r w:rsidR="00764D15">
        <w:t xml:space="preserve"> tie</w:t>
      </w:r>
      <w:r>
        <w:t xml:space="preserve"> the transformed marginals </w:t>
      </w:r>
      <w:r w:rsidR="00764D15">
        <w:t xml:space="preserve">together </w:t>
      </w:r>
      <w:r>
        <w:t xml:space="preserve">across alternatives, enabling the estimation of the full </w:t>
      </w:r>
      <w:r w:rsidR="00764D15">
        <w:t>set of s</w:t>
      </w:r>
      <w:r>
        <w:t>tructural scale</w:t>
      </w:r>
      <w:r w:rsidR="00764D15">
        <w:t>s</w:t>
      </w:r>
      <w:r>
        <w:t xml:space="preserve"> and correlation matri</w:t>
      </w:r>
      <w:r w:rsidR="00764D15">
        <w:t>x</w:t>
      </w:r>
      <w:r>
        <w:t xml:space="preserve">, rather than the scales and correlation matrix of the differenced kernel error terms, as in the traditional MNP formulation. This formulation </w:t>
      </w:r>
      <w:r w:rsidR="00764D15">
        <w:t xml:space="preserve">results in improvements in </w:t>
      </w:r>
      <w:r>
        <w:t xml:space="preserve">model fit and </w:t>
      </w:r>
      <w:r w:rsidR="00764D15">
        <w:t xml:space="preserve">estimation accuracy, as well as improving </w:t>
      </w:r>
      <w:r>
        <w:t xml:space="preserve">the interpretability of the structural parameters governing cross-alternative error dependence and asymmetry. The model extends naturally to </w:t>
      </w:r>
      <w:r w:rsidR="00764D15">
        <w:t xml:space="preserve">include </w:t>
      </w:r>
      <w:r>
        <w:t>asymmetric random coefficients that may be correlated with one another and with the kernel error terms.</w:t>
      </w:r>
    </w:p>
    <w:p w14:paraId="0637D415" w14:textId="4122BA81" w:rsidR="00764D15" w:rsidRPr="00290D19" w:rsidRDefault="0067063C" w:rsidP="00037976">
      <w:pPr>
        <w:spacing w:line="240" w:lineRule="auto"/>
        <w:ind w:firstLine="720"/>
        <w:rPr>
          <w:rFonts w:cs="Times New Roman"/>
          <w:szCs w:val="24"/>
        </w:rPr>
      </w:pPr>
      <w:r>
        <w:rPr>
          <w:rFonts w:cs="Times New Roman"/>
          <w:szCs w:val="24"/>
        </w:rPr>
        <w:t>Using a simulation exercise, w</w:t>
      </w:r>
      <w:r w:rsidR="00493646" w:rsidRPr="00290D19">
        <w:rPr>
          <w:rFonts w:cs="Times New Roman"/>
          <w:szCs w:val="24"/>
        </w:rPr>
        <w:t>e demonstrate the ability of th</w:t>
      </w:r>
      <w:r w:rsidR="00764D15">
        <w:rPr>
          <w:rFonts w:cs="Times New Roman"/>
          <w:szCs w:val="24"/>
        </w:rPr>
        <w:t>e</w:t>
      </w:r>
      <w:r w:rsidR="00493646" w:rsidRPr="00290D19">
        <w:rPr>
          <w:rFonts w:cs="Times New Roman"/>
          <w:szCs w:val="24"/>
        </w:rPr>
        <w:t xml:space="preserve"> model to </w:t>
      </w:r>
      <w:r w:rsidR="00764D15">
        <w:rPr>
          <w:rFonts w:cs="Times New Roman"/>
          <w:szCs w:val="24"/>
        </w:rPr>
        <w:t xml:space="preserve">recover </w:t>
      </w:r>
      <w:r w:rsidR="00493646" w:rsidRPr="00290D19">
        <w:rPr>
          <w:rFonts w:cs="Times New Roman"/>
          <w:szCs w:val="24"/>
        </w:rPr>
        <w:t xml:space="preserve">all parameters </w:t>
      </w:r>
      <w:r w:rsidR="00764D15">
        <w:rPr>
          <w:rFonts w:cs="Times New Roman"/>
          <w:szCs w:val="24"/>
        </w:rPr>
        <w:t xml:space="preserve">of the data-generating process, </w:t>
      </w:r>
      <w:r w:rsidR="00493646" w:rsidRPr="00290D19">
        <w:rPr>
          <w:rFonts w:cs="Times New Roman"/>
          <w:szCs w:val="24"/>
        </w:rPr>
        <w:t xml:space="preserve">including the full </w:t>
      </w:r>
      <w:r w:rsidR="00764D15">
        <w:rPr>
          <w:rFonts w:cs="Times New Roman"/>
          <w:szCs w:val="24"/>
        </w:rPr>
        <w:t xml:space="preserve">structural </w:t>
      </w:r>
      <w:r w:rsidR="00493646" w:rsidRPr="00290D19">
        <w:rPr>
          <w:rFonts w:cs="Times New Roman"/>
          <w:szCs w:val="24"/>
        </w:rPr>
        <w:t xml:space="preserve">correlation matrix </w:t>
      </w:r>
      <w:r w:rsidR="00764D15">
        <w:rPr>
          <w:rFonts w:cs="Times New Roman"/>
          <w:szCs w:val="24"/>
        </w:rPr>
        <w:t>of</w:t>
      </w:r>
      <w:r w:rsidR="00493646" w:rsidRPr="00290D19">
        <w:rPr>
          <w:rFonts w:cs="Times New Roman"/>
          <w:szCs w:val="24"/>
        </w:rPr>
        <w:t xml:space="preserve"> the </w:t>
      </w:r>
      <w:r w:rsidR="00764D15">
        <w:rPr>
          <w:rFonts w:cs="Times New Roman"/>
          <w:szCs w:val="24"/>
        </w:rPr>
        <w:t xml:space="preserve">kernel </w:t>
      </w:r>
      <w:r w:rsidR="00493646" w:rsidRPr="00290D19">
        <w:rPr>
          <w:rFonts w:cs="Times New Roman"/>
          <w:szCs w:val="24"/>
        </w:rPr>
        <w:t>error</w:t>
      </w:r>
      <w:r w:rsidR="00764D15">
        <w:rPr>
          <w:rFonts w:cs="Times New Roman"/>
          <w:szCs w:val="24"/>
        </w:rPr>
        <w:t>s</w:t>
      </w:r>
      <w:r>
        <w:rPr>
          <w:rFonts w:cs="Times New Roman"/>
          <w:szCs w:val="24"/>
        </w:rPr>
        <w:t>.</w:t>
      </w:r>
      <w:r w:rsidR="00493646" w:rsidRPr="00290D19">
        <w:rPr>
          <w:rFonts w:cs="Times New Roman"/>
          <w:szCs w:val="24"/>
        </w:rPr>
        <w:t xml:space="preserve"> </w:t>
      </w:r>
      <w:r w:rsidR="000F0B0B" w:rsidRPr="00290D19">
        <w:rPr>
          <w:rFonts w:cs="Times New Roman"/>
          <w:szCs w:val="24"/>
        </w:rPr>
        <w:t xml:space="preserve">The simulation analysis provides </w:t>
      </w:r>
      <w:r w:rsidR="00764D15">
        <w:rPr>
          <w:rFonts w:cs="Times New Roman"/>
          <w:szCs w:val="24"/>
        </w:rPr>
        <w:t>strong</w:t>
      </w:r>
      <w:r w:rsidR="000F0B0B" w:rsidRPr="00290D19">
        <w:rPr>
          <w:rFonts w:cs="Times New Roman"/>
          <w:szCs w:val="24"/>
        </w:rPr>
        <w:t xml:space="preserve"> evidence of </w:t>
      </w:r>
      <w:r w:rsidR="00764D15">
        <w:rPr>
          <w:rFonts w:cs="Times New Roman"/>
          <w:szCs w:val="24"/>
        </w:rPr>
        <w:t xml:space="preserve">low estimation bias and generally accurate finite-sample parameter recovery across all parameter categories, including the asymmetric shape parameters and the structural correlation matrix. </w:t>
      </w:r>
      <w:r w:rsidR="000F0B0B" w:rsidRPr="00290D19">
        <w:rPr>
          <w:rFonts w:cs="Times New Roman"/>
          <w:szCs w:val="24"/>
        </w:rPr>
        <w:t xml:space="preserve">Coverage probabilities are </w:t>
      </w:r>
      <w:r w:rsidR="00764D15">
        <w:rPr>
          <w:rFonts w:cs="Times New Roman"/>
          <w:szCs w:val="24"/>
        </w:rPr>
        <w:t>generally</w:t>
      </w:r>
      <w:r w:rsidR="000F0B0B" w:rsidRPr="00290D19">
        <w:rPr>
          <w:rFonts w:cs="Times New Roman"/>
          <w:szCs w:val="24"/>
        </w:rPr>
        <w:t xml:space="preserve"> close to their nominal 95% targets</w:t>
      </w:r>
      <w:r w:rsidR="00764D15">
        <w:rPr>
          <w:rFonts w:cs="Times New Roman"/>
          <w:szCs w:val="24"/>
        </w:rPr>
        <w:t xml:space="preserve">. </w:t>
      </w:r>
      <w:r w:rsidR="000F0B0B" w:rsidRPr="00290D19">
        <w:rPr>
          <w:rFonts w:cs="Times New Roman"/>
          <w:szCs w:val="24"/>
        </w:rPr>
        <w:t xml:space="preserve">By contrast, the traditional MNP model, when estimated on data generated from asymmetric kernel error processes, produces substantially biased parameter estimates and coverage probabilities that </w:t>
      </w:r>
      <w:r w:rsidR="00764D15">
        <w:rPr>
          <w:rFonts w:cs="Times New Roman"/>
          <w:szCs w:val="24"/>
        </w:rPr>
        <w:t xml:space="preserve">fall well </w:t>
      </w:r>
      <w:r w:rsidR="000F0B0B" w:rsidRPr="00290D19">
        <w:rPr>
          <w:rFonts w:cs="Times New Roman"/>
          <w:szCs w:val="24"/>
        </w:rPr>
        <w:t>below nominal levels. These simulation results reinforce</w:t>
      </w:r>
      <w:r w:rsidR="008D5DD8" w:rsidRPr="00290D19">
        <w:rPr>
          <w:rFonts w:cs="Times New Roman"/>
          <w:szCs w:val="24"/>
        </w:rPr>
        <w:t xml:space="preserve"> </w:t>
      </w:r>
      <w:r w:rsidR="00764D15">
        <w:rPr>
          <w:rFonts w:cs="Times New Roman"/>
          <w:szCs w:val="24"/>
        </w:rPr>
        <w:t>the importance of accounting for a</w:t>
      </w:r>
      <w:r w:rsidR="000F0B0B" w:rsidRPr="00290D19">
        <w:rPr>
          <w:rFonts w:cs="Times New Roman"/>
          <w:szCs w:val="24"/>
        </w:rPr>
        <w:t xml:space="preserve">symmetric </w:t>
      </w:r>
      <w:r w:rsidR="00764D15">
        <w:rPr>
          <w:rFonts w:cs="Times New Roman"/>
          <w:szCs w:val="24"/>
        </w:rPr>
        <w:t xml:space="preserve">kernel error </w:t>
      </w:r>
      <w:r w:rsidR="000F0B0B" w:rsidRPr="00290D19">
        <w:rPr>
          <w:rFonts w:cs="Times New Roman"/>
          <w:szCs w:val="24"/>
        </w:rPr>
        <w:t>distribution</w:t>
      </w:r>
      <w:r w:rsidR="00764D15">
        <w:rPr>
          <w:rFonts w:cs="Times New Roman"/>
          <w:szCs w:val="24"/>
        </w:rPr>
        <w:t xml:space="preserve">s, as </w:t>
      </w:r>
      <w:r w:rsidR="000F0B0B" w:rsidRPr="00290D19">
        <w:rPr>
          <w:rFonts w:cs="Times New Roman"/>
          <w:szCs w:val="24"/>
        </w:rPr>
        <w:t>incorrect</w:t>
      </w:r>
      <w:r w:rsidR="00764D15">
        <w:rPr>
          <w:rFonts w:cs="Times New Roman"/>
          <w:szCs w:val="24"/>
        </w:rPr>
        <w:t xml:space="preserve"> symmetry assumptions can lead not only to </w:t>
      </w:r>
      <w:r w:rsidR="000F0B0B" w:rsidRPr="00290D19">
        <w:rPr>
          <w:rFonts w:cs="Times New Roman"/>
          <w:szCs w:val="24"/>
        </w:rPr>
        <w:t xml:space="preserve">poorer </w:t>
      </w:r>
      <w:r w:rsidR="00E601BC" w:rsidRPr="00290D19">
        <w:rPr>
          <w:rFonts w:cs="Times New Roman"/>
          <w:szCs w:val="24"/>
        </w:rPr>
        <w:t xml:space="preserve">model </w:t>
      </w:r>
      <w:r w:rsidR="000F0B0B" w:rsidRPr="00290D19">
        <w:rPr>
          <w:rFonts w:cs="Times New Roman"/>
          <w:szCs w:val="24"/>
        </w:rPr>
        <w:t>fit</w:t>
      </w:r>
      <w:r w:rsidR="00764D15">
        <w:rPr>
          <w:rFonts w:cs="Times New Roman"/>
          <w:szCs w:val="24"/>
        </w:rPr>
        <w:t xml:space="preserve">, but also to materially distorted behavioral inference. </w:t>
      </w:r>
    </w:p>
    <w:p w14:paraId="63EDEA67" w14:textId="3A565AC4" w:rsidR="00704C92" w:rsidRDefault="005407B5" w:rsidP="00037976">
      <w:pPr>
        <w:spacing w:line="240" w:lineRule="auto"/>
        <w:ind w:firstLine="720"/>
        <w:rPr>
          <w:rFonts w:cs="Times New Roman"/>
          <w:szCs w:val="24"/>
        </w:rPr>
      </w:pPr>
      <w:r w:rsidRPr="00290D19">
        <w:rPr>
          <w:rFonts w:cs="Times New Roman"/>
          <w:szCs w:val="24"/>
        </w:rPr>
        <w:t xml:space="preserve">We also demonstrate the </w:t>
      </w:r>
      <w:r w:rsidR="00764D15">
        <w:rPr>
          <w:rFonts w:cs="Times New Roman"/>
          <w:szCs w:val="24"/>
        </w:rPr>
        <w:t>model</w:t>
      </w:r>
      <w:r w:rsidRPr="00290D19">
        <w:rPr>
          <w:rFonts w:cs="Times New Roman"/>
          <w:szCs w:val="24"/>
        </w:rPr>
        <w:t xml:space="preserve"> using an empirical application in</w:t>
      </w:r>
      <w:r w:rsidR="00764D15">
        <w:rPr>
          <w:rFonts w:cs="Times New Roman"/>
          <w:szCs w:val="24"/>
        </w:rPr>
        <w:t xml:space="preserve">volving </w:t>
      </w:r>
      <w:r w:rsidR="000F0B0B" w:rsidRPr="00290D19">
        <w:rPr>
          <w:rFonts w:cs="Times New Roman"/>
          <w:szCs w:val="24"/>
        </w:rPr>
        <w:t>future vehicle ownership intentions</w:t>
      </w:r>
      <w:r w:rsidR="00764D15">
        <w:rPr>
          <w:rFonts w:cs="Times New Roman"/>
          <w:szCs w:val="24"/>
        </w:rPr>
        <w:t xml:space="preserve">, specifically </w:t>
      </w:r>
      <w:r w:rsidR="000F0B0B" w:rsidRPr="00290D19">
        <w:rPr>
          <w:rFonts w:cs="Times New Roman"/>
          <w:szCs w:val="24"/>
        </w:rPr>
        <w:t>the choice among purchasing a regular vehicle, purchasing an AV, or relying on AV ridehailing services</w:t>
      </w:r>
      <w:r w:rsidRPr="00290D19">
        <w:rPr>
          <w:rFonts w:cs="Times New Roman"/>
          <w:szCs w:val="24"/>
        </w:rPr>
        <w:t xml:space="preserve">. </w:t>
      </w:r>
      <w:r w:rsidR="007F11DC" w:rsidRPr="00290D19">
        <w:rPr>
          <w:rFonts w:cs="Times New Roman"/>
          <w:szCs w:val="24"/>
        </w:rPr>
        <w:t>The proposed MNYJ</w:t>
      </w:r>
      <w:r w:rsidR="00764D15">
        <w:rPr>
          <w:rFonts w:cs="Times New Roman"/>
          <w:szCs w:val="24"/>
        </w:rPr>
        <w:t>RC</w:t>
      </w:r>
      <w:r w:rsidR="007F11DC" w:rsidRPr="00290D19">
        <w:rPr>
          <w:rFonts w:cs="Times New Roman"/>
          <w:szCs w:val="24"/>
        </w:rPr>
        <w:t xml:space="preserve"> model consistently outperforms all restricted alternatives </w:t>
      </w:r>
      <w:r w:rsidR="00764D15">
        <w:rPr>
          <w:rFonts w:cs="Times New Roman"/>
          <w:szCs w:val="24"/>
        </w:rPr>
        <w:t xml:space="preserve">based </w:t>
      </w:r>
      <w:r w:rsidR="007F11DC" w:rsidRPr="00290D19">
        <w:rPr>
          <w:rFonts w:cs="Times New Roman"/>
          <w:szCs w:val="24"/>
        </w:rPr>
        <w:t xml:space="preserve">on standard </w:t>
      </w:r>
      <w:r w:rsidR="00764D15">
        <w:rPr>
          <w:rFonts w:cs="Times New Roman"/>
          <w:szCs w:val="24"/>
        </w:rPr>
        <w:t>fit measures</w:t>
      </w:r>
      <w:r w:rsidR="007F11DC" w:rsidRPr="00290D19">
        <w:rPr>
          <w:rFonts w:cs="Times New Roman"/>
          <w:szCs w:val="24"/>
        </w:rPr>
        <w:t xml:space="preserve">, and the elasticity analysis reveals that the choice of </w:t>
      </w:r>
      <w:r w:rsidR="00764D15">
        <w:rPr>
          <w:rFonts w:cs="Times New Roman"/>
          <w:szCs w:val="24"/>
        </w:rPr>
        <w:t xml:space="preserve">kernel error </w:t>
      </w:r>
      <w:r w:rsidR="007F11DC" w:rsidRPr="00290D19">
        <w:rPr>
          <w:rFonts w:cs="Times New Roman"/>
          <w:szCs w:val="24"/>
        </w:rPr>
        <w:t>distribution</w:t>
      </w:r>
      <w:r w:rsidR="00764D15">
        <w:rPr>
          <w:rFonts w:cs="Times New Roman"/>
          <w:szCs w:val="24"/>
        </w:rPr>
        <w:t xml:space="preserve"> has meaningful implications for the </w:t>
      </w:r>
      <w:r w:rsidR="007F11DC" w:rsidRPr="00290D19">
        <w:rPr>
          <w:rFonts w:cs="Times New Roman"/>
          <w:szCs w:val="24"/>
        </w:rPr>
        <w:t xml:space="preserve">estimated effects of several variables. Most notably, the effects of gender, </w:t>
      </w:r>
      <w:r w:rsidR="00764D15">
        <w:rPr>
          <w:rFonts w:cs="Times New Roman"/>
          <w:szCs w:val="24"/>
        </w:rPr>
        <w:t xml:space="preserve">formal </w:t>
      </w:r>
      <w:r w:rsidR="007F11DC" w:rsidRPr="00290D19">
        <w:rPr>
          <w:rFonts w:cs="Times New Roman"/>
          <w:szCs w:val="24"/>
        </w:rPr>
        <w:t>education</w:t>
      </w:r>
      <w:r w:rsidR="00764D15">
        <w:rPr>
          <w:rFonts w:cs="Times New Roman"/>
          <w:szCs w:val="24"/>
        </w:rPr>
        <w:t>al attainment</w:t>
      </w:r>
      <w:r w:rsidR="007F11DC" w:rsidRPr="00290D19">
        <w:rPr>
          <w:rFonts w:cs="Times New Roman"/>
          <w:szCs w:val="24"/>
        </w:rPr>
        <w:t xml:space="preserve">, and the presence of children </w:t>
      </w:r>
      <w:r w:rsidR="00764D15">
        <w:rPr>
          <w:rFonts w:cs="Times New Roman"/>
          <w:szCs w:val="24"/>
        </w:rPr>
        <w:t xml:space="preserve">differ </w:t>
      </w:r>
      <w:r w:rsidR="007F11DC" w:rsidRPr="00290D19">
        <w:rPr>
          <w:rFonts w:cs="Times New Roman"/>
          <w:szCs w:val="24"/>
        </w:rPr>
        <w:t xml:space="preserve">substantially </w:t>
      </w:r>
      <w:r w:rsidR="00764D15">
        <w:rPr>
          <w:rFonts w:cs="Times New Roman"/>
          <w:szCs w:val="24"/>
        </w:rPr>
        <w:t xml:space="preserve">across the MNP and MNYJ formulations, with important </w:t>
      </w:r>
      <w:r w:rsidR="007F11DC" w:rsidRPr="00290D19">
        <w:rPr>
          <w:rFonts w:cs="Times New Roman"/>
          <w:szCs w:val="24"/>
        </w:rPr>
        <w:t>implications for transportation plann</w:t>
      </w:r>
      <w:r w:rsidR="00236645">
        <w:rPr>
          <w:rFonts w:cs="Times New Roman"/>
          <w:szCs w:val="24"/>
        </w:rPr>
        <w:t>ing</w:t>
      </w:r>
      <w:r w:rsidR="007F11DC" w:rsidRPr="00290D19">
        <w:rPr>
          <w:rFonts w:cs="Times New Roman"/>
          <w:szCs w:val="24"/>
        </w:rPr>
        <w:t xml:space="preserve"> and policy</w:t>
      </w:r>
      <w:r w:rsidR="00236645">
        <w:rPr>
          <w:rFonts w:cs="Times New Roman"/>
          <w:szCs w:val="24"/>
        </w:rPr>
        <w:t xml:space="preserve"> design</w:t>
      </w:r>
      <w:r w:rsidR="007F11DC" w:rsidRPr="00290D19">
        <w:rPr>
          <w:rFonts w:cs="Times New Roman"/>
          <w:szCs w:val="24"/>
        </w:rPr>
        <w:t xml:space="preserve">. Further, while the </w:t>
      </w:r>
      <w:r w:rsidR="00236645">
        <w:rPr>
          <w:rFonts w:cs="Times New Roman"/>
          <w:szCs w:val="24"/>
        </w:rPr>
        <w:t xml:space="preserve">differenced </w:t>
      </w:r>
      <w:r w:rsidR="00D81BC8" w:rsidRPr="00290D19">
        <w:rPr>
          <w:rFonts w:cs="Times New Roman"/>
          <w:szCs w:val="24"/>
        </w:rPr>
        <w:t>co</w:t>
      </w:r>
      <w:r w:rsidR="00236645">
        <w:rPr>
          <w:rFonts w:cs="Times New Roman"/>
          <w:szCs w:val="24"/>
        </w:rPr>
        <w:t xml:space="preserve">variance implications of the MNYJ and MNP models are broadly similar, </w:t>
      </w:r>
      <w:r w:rsidR="000653A3" w:rsidRPr="00290D19">
        <w:rPr>
          <w:rFonts w:cs="Times New Roman"/>
          <w:szCs w:val="24"/>
        </w:rPr>
        <w:t>t</w:t>
      </w:r>
      <w:r w:rsidR="000F0B0B" w:rsidRPr="00290D19">
        <w:rPr>
          <w:rFonts w:cs="Times New Roman"/>
          <w:szCs w:val="24"/>
        </w:rPr>
        <w:t xml:space="preserve">he MNYJ models </w:t>
      </w:r>
      <w:r w:rsidR="00236645">
        <w:rPr>
          <w:rFonts w:cs="Times New Roman"/>
          <w:szCs w:val="24"/>
        </w:rPr>
        <w:t xml:space="preserve">additionally recover the </w:t>
      </w:r>
      <w:r w:rsidR="00D81BC8" w:rsidRPr="00290D19">
        <w:rPr>
          <w:rFonts w:cs="Times New Roman"/>
          <w:szCs w:val="24"/>
        </w:rPr>
        <w:t>structura</w:t>
      </w:r>
      <w:r w:rsidR="00236645">
        <w:rPr>
          <w:rFonts w:cs="Times New Roman"/>
          <w:szCs w:val="24"/>
        </w:rPr>
        <w:t>l utility-level</w:t>
      </w:r>
      <w:r w:rsidR="00D81BC8" w:rsidRPr="00290D19">
        <w:rPr>
          <w:rFonts w:cs="Times New Roman"/>
          <w:szCs w:val="24"/>
        </w:rPr>
        <w:t xml:space="preserve"> </w:t>
      </w:r>
      <w:r w:rsidR="007A1F12" w:rsidRPr="00290D19">
        <w:rPr>
          <w:rFonts w:cs="Times New Roman"/>
          <w:szCs w:val="24"/>
        </w:rPr>
        <w:t xml:space="preserve">error correlation </w:t>
      </w:r>
      <w:r w:rsidR="00236645">
        <w:rPr>
          <w:rFonts w:cs="Times New Roman"/>
          <w:szCs w:val="24"/>
        </w:rPr>
        <w:t>matrix</w:t>
      </w:r>
      <w:r w:rsidR="000F0B0B" w:rsidRPr="00290D19">
        <w:rPr>
          <w:rFonts w:cs="Times New Roman"/>
          <w:szCs w:val="24"/>
        </w:rPr>
        <w:t xml:space="preserve">, enabling direct interpretation of cross-alternative </w:t>
      </w:r>
      <w:r w:rsidR="00236645">
        <w:rPr>
          <w:rFonts w:cs="Times New Roman"/>
          <w:szCs w:val="24"/>
        </w:rPr>
        <w:t xml:space="preserve">dependence </w:t>
      </w:r>
      <w:r w:rsidR="000F0B0B" w:rsidRPr="00290D19">
        <w:rPr>
          <w:rFonts w:cs="Times New Roman"/>
          <w:szCs w:val="24"/>
        </w:rPr>
        <w:t xml:space="preserve">at the level of the original utilities rather than only </w:t>
      </w:r>
      <w:r w:rsidR="000F0B0B" w:rsidRPr="00290D19">
        <w:rPr>
          <w:rFonts w:cs="Times New Roman"/>
          <w:szCs w:val="24"/>
        </w:rPr>
        <w:lastRenderedPageBreak/>
        <w:t xml:space="preserve">in the differenced space. </w:t>
      </w:r>
      <w:r w:rsidR="007A1F12" w:rsidRPr="00290D19">
        <w:rPr>
          <w:rFonts w:cs="Times New Roman"/>
          <w:szCs w:val="24"/>
        </w:rPr>
        <w:t>Finally, t</w:t>
      </w:r>
      <w:r w:rsidR="000F0B0B" w:rsidRPr="00290D19">
        <w:rPr>
          <w:rFonts w:cs="Times New Roman"/>
          <w:szCs w:val="24"/>
        </w:rPr>
        <w:t>he estimated YJ shape parameters reveal meaningful asymmetries across the three alternatives</w:t>
      </w:r>
      <w:r w:rsidR="00236645">
        <w:rPr>
          <w:rFonts w:cs="Times New Roman"/>
          <w:szCs w:val="24"/>
        </w:rPr>
        <w:t xml:space="preserve">, including </w:t>
      </w:r>
      <w:r w:rsidR="000F0B0B" w:rsidRPr="00290D19">
        <w:rPr>
          <w:rFonts w:cs="Times New Roman"/>
          <w:szCs w:val="24"/>
        </w:rPr>
        <w:t xml:space="preserve">a moderate leftward skew for regular vehicle ownership, a larger leftward skew for AV ownership, and a pronounced rightward skew for </w:t>
      </w:r>
      <w:r w:rsidR="00236645">
        <w:rPr>
          <w:rFonts w:cs="Times New Roman"/>
          <w:szCs w:val="24"/>
        </w:rPr>
        <w:t xml:space="preserve">AV </w:t>
      </w:r>
      <w:r w:rsidR="000F0B0B" w:rsidRPr="00290D19">
        <w:rPr>
          <w:rFonts w:cs="Times New Roman"/>
          <w:szCs w:val="24"/>
        </w:rPr>
        <w:t>ridehailing</w:t>
      </w:r>
      <w:r w:rsidR="00EF0397" w:rsidRPr="00290D19">
        <w:rPr>
          <w:rFonts w:cs="Times New Roman"/>
          <w:szCs w:val="24"/>
        </w:rPr>
        <w:t xml:space="preserve">, highlighting the importance of </w:t>
      </w:r>
      <w:r w:rsidR="00F12B7D" w:rsidRPr="00290D19">
        <w:rPr>
          <w:rFonts w:cs="Times New Roman"/>
          <w:szCs w:val="24"/>
        </w:rPr>
        <w:t>allowing for these asymmetri</w:t>
      </w:r>
      <w:r w:rsidR="00236645">
        <w:rPr>
          <w:rFonts w:cs="Times New Roman"/>
          <w:szCs w:val="24"/>
        </w:rPr>
        <w:t>c</w:t>
      </w:r>
      <w:r w:rsidR="00F12B7D" w:rsidRPr="00290D19">
        <w:rPr>
          <w:rFonts w:cs="Times New Roman"/>
          <w:szCs w:val="24"/>
        </w:rPr>
        <w:t xml:space="preserve"> kernel error </w:t>
      </w:r>
      <w:r w:rsidR="00236645">
        <w:rPr>
          <w:rFonts w:cs="Times New Roman"/>
          <w:szCs w:val="24"/>
        </w:rPr>
        <w:t>structures in multinomial choice settings</w:t>
      </w:r>
      <w:r w:rsidR="00F12B7D" w:rsidRPr="00290D19">
        <w:rPr>
          <w:rFonts w:cs="Times New Roman"/>
          <w:szCs w:val="24"/>
        </w:rPr>
        <w:t xml:space="preserve">. </w:t>
      </w:r>
    </w:p>
    <w:p w14:paraId="061A572D" w14:textId="2D862616" w:rsidR="00236645" w:rsidRDefault="00236645" w:rsidP="00037976">
      <w:pPr>
        <w:spacing w:line="240" w:lineRule="auto"/>
      </w:pPr>
      <w:r>
        <w:rPr>
          <w:rFonts w:cs="Times New Roman"/>
          <w:szCs w:val="24"/>
        </w:rPr>
        <w:tab/>
      </w:r>
      <w:r>
        <w:t xml:space="preserve">Several directions for future research remain. First, the MNYJ framework may be extended to richer panel, spatial, and dynamic choice settings in which asymmetric preference evolution and state dependence may play an important role. Second, additional work is needed on computationally efficient covariance estimation and inference procedures for highly flexible asymmetric choice models, particularly in the presence of weak curvature and simulation-based likelihood evaluation. Third, future research may explore more general copula structures beyond the </w:t>
      </w:r>
      <w:r w:rsidR="00BB29F9">
        <w:t xml:space="preserve">implicit </w:t>
      </w:r>
      <w:r>
        <w:t>Gaussian copula considered here, allowing for asymmetric dependence and tail dependence across alternatives. Finally, the proposed framework may prove particularly useful in emerging transportation settings involving autonomous mobility, shared mobility services, and evolving vehicle ownership paradigms, where behavioral asymmetries and heterogeneous substitution patterns are likely to be especially important.</w:t>
      </w:r>
    </w:p>
    <w:p w14:paraId="7B759A9A" w14:textId="77777777" w:rsidR="00236645" w:rsidRDefault="00236645" w:rsidP="00037976">
      <w:pPr>
        <w:spacing w:line="240" w:lineRule="auto"/>
      </w:pPr>
    </w:p>
    <w:p w14:paraId="39466EC6" w14:textId="3B8F1717" w:rsidR="00704C92" w:rsidRDefault="00704C92" w:rsidP="00037976">
      <w:pPr>
        <w:keepNext/>
        <w:spacing w:line="240" w:lineRule="auto"/>
        <w:rPr>
          <w:rFonts w:cs="Times New Roman"/>
          <w:b/>
          <w:bCs/>
          <w:szCs w:val="24"/>
        </w:rPr>
      </w:pPr>
      <w:r w:rsidRPr="00290D19">
        <w:rPr>
          <w:rFonts w:cs="Times New Roman"/>
          <w:b/>
          <w:bCs/>
          <w:szCs w:val="24"/>
        </w:rPr>
        <w:t>ACKNOWLEDGMENTS</w:t>
      </w:r>
    </w:p>
    <w:p w14:paraId="469ABC7A" w14:textId="77777777" w:rsidR="007B6C8F" w:rsidRDefault="007B6C8F" w:rsidP="00037976">
      <w:pPr>
        <w:spacing w:line="240" w:lineRule="auto"/>
      </w:pPr>
      <w:r w:rsidRPr="00FE4EAE">
        <w:t xml:space="preserve">This research was partially supported by the U.S. Department of Transportation through the Center for Understanding Future Travel Behavior and Demand (TBD) (Grant No. 69A3552344815 and No. 69A3552348320). The authors are grateful to Lisa Macias for her help in formatting this document. </w:t>
      </w:r>
    </w:p>
    <w:p w14:paraId="3721AB08" w14:textId="77777777" w:rsidR="00E75A41" w:rsidRPr="00290D19" w:rsidRDefault="00E75A41" w:rsidP="00A725F8">
      <w:pPr>
        <w:spacing w:line="240" w:lineRule="auto"/>
        <w:rPr>
          <w:rFonts w:cs="Times New Roman"/>
          <w:szCs w:val="24"/>
        </w:rPr>
      </w:pPr>
    </w:p>
    <w:p w14:paraId="04F86216" w14:textId="78C19FF0" w:rsidR="00762332" w:rsidRPr="00290D19" w:rsidRDefault="00762332" w:rsidP="00A725F8">
      <w:pPr>
        <w:spacing w:line="240" w:lineRule="auto"/>
        <w:rPr>
          <w:rFonts w:cs="Times New Roman"/>
          <w:b/>
          <w:szCs w:val="24"/>
        </w:rPr>
      </w:pPr>
      <w:r w:rsidRPr="00290D19">
        <w:rPr>
          <w:rFonts w:cs="Times New Roman"/>
          <w:b/>
          <w:szCs w:val="24"/>
        </w:rPr>
        <w:t>REFERENCES</w:t>
      </w:r>
    </w:p>
    <w:p w14:paraId="3DD3899E" w14:textId="77777777" w:rsidR="007327FE" w:rsidRPr="007327FE" w:rsidRDefault="007327FE" w:rsidP="00A725F8">
      <w:pPr>
        <w:spacing w:line="240" w:lineRule="auto"/>
        <w:ind w:left="540" w:hanging="540"/>
        <w:rPr>
          <w:rFonts w:cs="Times New Roman"/>
          <w:szCs w:val="24"/>
        </w:rPr>
      </w:pPr>
      <w:r w:rsidRPr="007327FE">
        <w:rPr>
          <w:rFonts w:cs="Times New Roman"/>
          <w:szCs w:val="24"/>
        </w:rPr>
        <w:t>Ahmed, T., Hyland, M., 2023. Exploring the Role of Ride-Hailing in Trip Chains. Transportation 50, 959–1002. https://doi.org/10.1007/s11116-022-10269-w</w:t>
      </w:r>
    </w:p>
    <w:p w14:paraId="77535454" w14:textId="77777777" w:rsidR="007327FE" w:rsidRPr="007327FE" w:rsidRDefault="007327FE" w:rsidP="00A725F8">
      <w:pPr>
        <w:spacing w:line="240" w:lineRule="auto"/>
        <w:ind w:left="540" w:hanging="540"/>
        <w:rPr>
          <w:rFonts w:cs="Times New Roman"/>
          <w:szCs w:val="24"/>
        </w:rPr>
      </w:pPr>
      <w:r w:rsidRPr="007327FE">
        <w:rPr>
          <w:rFonts w:cs="Times New Roman"/>
          <w:szCs w:val="24"/>
        </w:rPr>
        <w:t>Allcott, H., Wozny, N., 2014. Gasoline Prices, Fuel Economy, and the Energy Paradox. Rev. Econ. Stat. 96, 779–795. https://doi.org/10.1162/REST_a_00419</w:t>
      </w:r>
    </w:p>
    <w:p w14:paraId="52D703DD" w14:textId="77777777" w:rsidR="007327FE" w:rsidRPr="007327FE" w:rsidRDefault="007327FE" w:rsidP="00A725F8">
      <w:pPr>
        <w:spacing w:line="240" w:lineRule="auto"/>
        <w:ind w:left="540" w:hanging="540"/>
        <w:rPr>
          <w:rFonts w:cs="Times New Roman"/>
          <w:szCs w:val="24"/>
        </w:rPr>
      </w:pPr>
      <w:r w:rsidRPr="007327FE">
        <w:rPr>
          <w:rFonts w:cs="Times New Roman"/>
          <w:szCs w:val="24"/>
        </w:rPr>
        <w:t>Asmussen, K., Mondal, A., Bhat, C.R., 2020. A Socio-Technical Model of Autonomous Vehicle Adoption Using Ranked Choice Stated Preference Data. Transp. Res. Part C Emerg. Technol. 121. https://doi.org/10.1016/j.trc.2020.102835</w:t>
      </w:r>
    </w:p>
    <w:p w14:paraId="1DBC1E1D" w14:textId="77777777" w:rsidR="007327FE" w:rsidRPr="007327FE" w:rsidRDefault="007327FE" w:rsidP="00A725F8">
      <w:pPr>
        <w:spacing w:line="240" w:lineRule="auto"/>
        <w:ind w:left="540" w:hanging="540"/>
        <w:rPr>
          <w:rFonts w:cs="Times New Roman"/>
          <w:szCs w:val="24"/>
        </w:rPr>
      </w:pPr>
      <w:proofErr w:type="spellStart"/>
      <w:r w:rsidRPr="007327FE">
        <w:rPr>
          <w:rFonts w:cs="Times New Roman"/>
          <w:szCs w:val="24"/>
        </w:rPr>
        <w:t>Azzalini</w:t>
      </w:r>
      <w:proofErr w:type="spellEnd"/>
      <w:r w:rsidRPr="007327FE">
        <w:rPr>
          <w:rFonts w:cs="Times New Roman"/>
          <w:szCs w:val="24"/>
        </w:rPr>
        <w:t>, A., 2005. The Skew-normal Distribution and Related Multivariate Families. Scand. J. Stat. 32, 159–188. https://doi.org/10.1111/j.1467-9469.2005.00426.x</w:t>
      </w:r>
    </w:p>
    <w:p w14:paraId="54DBF66E" w14:textId="77777777" w:rsidR="007327FE" w:rsidRPr="007327FE" w:rsidRDefault="007327FE" w:rsidP="00A725F8">
      <w:pPr>
        <w:spacing w:line="240" w:lineRule="auto"/>
        <w:ind w:left="540" w:hanging="540"/>
        <w:rPr>
          <w:rFonts w:cs="Times New Roman"/>
          <w:szCs w:val="24"/>
        </w:rPr>
      </w:pPr>
      <w:r w:rsidRPr="007327FE">
        <w:rPr>
          <w:rFonts w:cs="Times New Roman"/>
          <w:szCs w:val="24"/>
        </w:rPr>
        <w:t>Bhat, C.R., 2024. Transformation-Based Flexible Error Structures for Choice Modeling. J. Choice Model. 53, 100522. https://doi.org/10.1016/j.jocm.2024.100522</w:t>
      </w:r>
    </w:p>
    <w:p w14:paraId="1589C722" w14:textId="77777777" w:rsidR="007327FE" w:rsidRPr="007327FE" w:rsidRDefault="007327FE" w:rsidP="00A725F8">
      <w:pPr>
        <w:spacing w:line="240" w:lineRule="auto"/>
        <w:ind w:left="540" w:hanging="540"/>
        <w:rPr>
          <w:rFonts w:cs="Times New Roman"/>
          <w:szCs w:val="24"/>
        </w:rPr>
      </w:pPr>
      <w:r w:rsidRPr="007327FE">
        <w:rPr>
          <w:rFonts w:cs="Times New Roman"/>
          <w:szCs w:val="24"/>
        </w:rPr>
        <w:t>Bhat, C.R., 2020. Consumer choice modeling: The promises and the cautions, in: Mapping the Travel Behavior Genome. Elsevier, pp. 63–80. https://doi.org/10.1016/B978-0-12-817340-4.00005-X</w:t>
      </w:r>
    </w:p>
    <w:p w14:paraId="61A92FC7"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Bhat, C.R., 2018. New Matrix-Based Methods for the Analytic Evaluation of the Multivariate Cumulative Normal Distribution Function. Transp. Res. Part B </w:t>
      </w:r>
      <w:proofErr w:type="spellStart"/>
      <w:r w:rsidRPr="007327FE">
        <w:rPr>
          <w:rFonts w:cs="Times New Roman"/>
          <w:szCs w:val="24"/>
        </w:rPr>
        <w:t>Methodol</w:t>
      </w:r>
      <w:proofErr w:type="spellEnd"/>
      <w:r w:rsidRPr="007327FE">
        <w:rPr>
          <w:rFonts w:cs="Times New Roman"/>
          <w:szCs w:val="24"/>
        </w:rPr>
        <w:t>. 109, 238–256. https://doi.org/10.1016/j.trb.2018.01.011</w:t>
      </w:r>
    </w:p>
    <w:p w14:paraId="329AC9A0"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Bhat, C.R., 2001. Quasi-Random Maximum Simulated Likelihood Estimation of the Mixed Multinomial Logit Model. Transp. Res. Part B </w:t>
      </w:r>
      <w:proofErr w:type="spellStart"/>
      <w:r w:rsidRPr="007327FE">
        <w:rPr>
          <w:rFonts w:cs="Times New Roman"/>
          <w:szCs w:val="24"/>
        </w:rPr>
        <w:t>Methodol</w:t>
      </w:r>
      <w:proofErr w:type="spellEnd"/>
      <w:r w:rsidRPr="007327FE">
        <w:rPr>
          <w:rFonts w:cs="Times New Roman"/>
          <w:szCs w:val="24"/>
        </w:rPr>
        <w:t>. 35, 677–693. https://doi.org/10.1016/S0191-2615(00)00014-X</w:t>
      </w:r>
    </w:p>
    <w:p w14:paraId="7735BAEA" w14:textId="5CCE846E" w:rsidR="007327FE" w:rsidRPr="007327FE" w:rsidRDefault="007327FE" w:rsidP="00A725F8">
      <w:pPr>
        <w:spacing w:line="240" w:lineRule="auto"/>
        <w:ind w:left="540" w:hanging="540"/>
        <w:rPr>
          <w:rFonts w:cs="Times New Roman"/>
          <w:szCs w:val="24"/>
        </w:rPr>
      </w:pPr>
      <w:r w:rsidRPr="007327FE">
        <w:rPr>
          <w:rFonts w:cs="Times New Roman"/>
          <w:szCs w:val="24"/>
        </w:rPr>
        <w:t>Bhat, C.R., 1999. Quasi-Random Maximum Simulated Likelihood Estimation of the Mixed Multinomial Logit Model. Work. Pap. Dep. Civ. Eng. University Tex</w:t>
      </w:r>
      <w:r w:rsidR="00A725F8">
        <w:rPr>
          <w:rFonts w:cs="Times New Roman"/>
          <w:szCs w:val="24"/>
        </w:rPr>
        <w:t>as at</w:t>
      </w:r>
      <w:r w:rsidRPr="007327FE">
        <w:rPr>
          <w:rFonts w:cs="Times New Roman"/>
          <w:szCs w:val="24"/>
        </w:rPr>
        <w:t xml:space="preserve"> Austin.</w:t>
      </w:r>
    </w:p>
    <w:p w14:paraId="6350A143" w14:textId="77777777" w:rsidR="007327FE" w:rsidRPr="007327FE" w:rsidRDefault="007327FE" w:rsidP="00A725F8">
      <w:pPr>
        <w:spacing w:line="240" w:lineRule="auto"/>
        <w:ind w:left="540" w:hanging="540"/>
        <w:rPr>
          <w:rFonts w:cs="Times New Roman"/>
          <w:szCs w:val="24"/>
        </w:rPr>
      </w:pPr>
      <w:r w:rsidRPr="007327FE">
        <w:rPr>
          <w:rFonts w:cs="Times New Roman"/>
          <w:szCs w:val="24"/>
        </w:rPr>
        <w:lastRenderedPageBreak/>
        <w:t xml:space="preserve">Bhat, C.R., 1995. A Heteroscedastic Extreme Value Model of Intercity Travel Mode Choice. Transp. Res. Part B </w:t>
      </w:r>
      <w:proofErr w:type="spellStart"/>
      <w:r w:rsidRPr="007327FE">
        <w:rPr>
          <w:rFonts w:cs="Times New Roman"/>
          <w:szCs w:val="24"/>
        </w:rPr>
        <w:t>Methodol</w:t>
      </w:r>
      <w:proofErr w:type="spellEnd"/>
      <w:r w:rsidRPr="007327FE">
        <w:rPr>
          <w:rFonts w:cs="Times New Roman"/>
          <w:szCs w:val="24"/>
        </w:rPr>
        <w:t>. 29, 471–483. https://doi.org/10.1016/0191-2615(95)00015-6</w:t>
      </w:r>
    </w:p>
    <w:p w14:paraId="274763BA"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Bhat, C.R., Mondal, A., Pinjari, A.R., 2025. A Flexible Non-Normal Random Coefficient Multinomial Probit Model: Application to Investigating Commuter’s Mode Choice Behavior in a Developing Economy Context. Transp. Res. Part B </w:t>
      </w:r>
      <w:proofErr w:type="spellStart"/>
      <w:r w:rsidRPr="007327FE">
        <w:rPr>
          <w:rFonts w:cs="Times New Roman"/>
          <w:szCs w:val="24"/>
        </w:rPr>
        <w:t>Methodol</w:t>
      </w:r>
      <w:proofErr w:type="spellEnd"/>
      <w:r w:rsidRPr="007327FE">
        <w:rPr>
          <w:rFonts w:cs="Times New Roman"/>
          <w:szCs w:val="24"/>
        </w:rPr>
        <w:t>. 195, 103186. https://doi.org/10.1016/j.trb.2025.103186</w:t>
      </w:r>
    </w:p>
    <w:p w14:paraId="78C9AEFC"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Brown, A., 2019. Redefining Car Access: Ride-Hail Travel and Use in Los Angeles. J. Am. </w:t>
      </w:r>
      <w:proofErr w:type="spellStart"/>
      <w:r w:rsidRPr="007327FE">
        <w:rPr>
          <w:rFonts w:cs="Times New Roman"/>
          <w:szCs w:val="24"/>
        </w:rPr>
        <w:t>Plann</w:t>
      </w:r>
      <w:proofErr w:type="spellEnd"/>
      <w:r w:rsidRPr="007327FE">
        <w:rPr>
          <w:rFonts w:cs="Times New Roman"/>
          <w:szCs w:val="24"/>
        </w:rPr>
        <w:t>. Assoc. 85, 83–95. https://doi.org/10.1080/01944363.2019.1603761</w:t>
      </w:r>
    </w:p>
    <w:p w14:paraId="6C4AE045"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Bunch, D.S., 1991. </w:t>
      </w:r>
      <w:proofErr w:type="spellStart"/>
      <w:r w:rsidRPr="007327FE">
        <w:rPr>
          <w:rFonts w:cs="Times New Roman"/>
          <w:szCs w:val="24"/>
        </w:rPr>
        <w:t>Estimability</w:t>
      </w:r>
      <w:proofErr w:type="spellEnd"/>
      <w:r w:rsidRPr="007327FE">
        <w:rPr>
          <w:rFonts w:cs="Times New Roman"/>
          <w:szCs w:val="24"/>
        </w:rPr>
        <w:t xml:space="preserve"> in the Multinomial Probit Model. Transp. Res. Part B </w:t>
      </w:r>
      <w:proofErr w:type="spellStart"/>
      <w:r w:rsidRPr="007327FE">
        <w:rPr>
          <w:rFonts w:cs="Times New Roman"/>
          <w:szCs w:val="24"/>
        </w:rPr>
        <w:t>Methodol</w:t>
      </w:r>
      <w:proofErr w:type="spellEnd"/>
      <w:r w:rsidRPr="007327FE">
        <w:rPr>
          <w:rFonts w:cs="Times New Roman"/>
          <w:szCs w:val="24"/>
        </w:rPr>
        <w:t>. 25, 1–12. https://doi.org/10.1016/0191-2615(91)90009-8</w:t>
      </w:r>
    </w:p>
    <w:p w14:paraId="0F8AB879"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Castillo, E., Menéndez, J.M., Jiménez, P., Rivas, A., 2008. Closed Form Expressions for Choice Probabilities in the Weibull Case. Transp. Res. Part B </w:t>
      </w:r>
      <w:proofErr w:type="spellStart"/>
      <w:r w:rsidRPr="007327FE">
        <w:rPr>
          <w:rFonts w:cs="Times New Roman"/>
          <w:szCs w:val="24"/>
        </w:rPr>
        <w:t>Methodol</w:t>
      </w:r>
      <w:proofErr w:type="spellEnd"/>
      <w:r w:rsidRPr="007327FE">
        <w:rPr>
          <w:rFonts w:cs="Times New Roman"/>
          <w:szCs w:val="24"/>
        </w:rPr>
        <w:t>. 42, 373–380. https://doi.org/10.1016/j.trb.2007.08.002</w:t>
      </w:r>
    </w:p>
    <w:p w14:paraId="57D3A1BE" w14:textId="77777777" w:rsidR="007327FE" w:rsidRPr="007327FE" w:rsidRDefault="007327FE" w:rsidP="00A725F8">
      <w:pPr>
        <w:spacing w:line="240" w:lineRule="auto"/>
        <w:ind w:left="540" w:hanging="540"/>
        <w:rPr>
          <w:rFonts w:cs="Times New Roman"/>
          <w:szCs w:val="24"/>
        </w:rPr>
      </w:pPr>
      <w:proofErr w:type="spellStart"/>
      <w:r w:rsidRPr="007327FE">
        <w:rPr>
          <w:rFonts w:cs="Times New Roman"/>
          <w:szCs w:val="24"/>
        </w:rPr>
        <w:t>Charness</w:t>
      </w:r>
      <w:proofErr w:type="spellEnd"/>
      <w:r w:rsidRPr="007327FE">
        <w:rPr>
          <w:rFonts w:cs="Times New Roman"/>
          <w:szCs w:val="24"/>
        </w:rPr>
        <w:t>, N., Yoon, J.S., Souders, D., Stothart, C., Yehnert, C., 2018. Predictors of Attitudes Toward Autonomous Vehicles: The Roles of Age, Gender, Prior Knowledge, and Personality. Front. Psychol. 9. https://doi.org/10.3389/fpsyg.2018.02589</w:t>
      </w:r>
    </w:p>
    <w:p w14:paraId="6CF0E12B" w14:textId="77777777" w:rsidR="007327FE" w:rsidRPr="007327FE" w:rsidRDefault="007327FE" w:rsidP="00A725F8">
      <w:pPr>
        <w:spacing w:line="240" w:lineRule="auto"/>
        <w:ind w:left="540" w:hanging="540"/>
        <w:rPr>
          <w:rFonts w:cs="Times New Roman"/>
          <w:szCs w:val="24"/>
        </w:rPr>
      </w:pPr>
      <w:r w:rsidRPr="007327FE">
        <w:rPr>
          <w:rFonts w:cs="Times New Roman"/>
          <w:szCs w:val="24"/>
        </w:rPr>
        <w:t>Daganzo, C., 2014. Multinomial Probit: The Theory and Its Application to Demand Forecasting. Elsevier.</w:t>
      </w:r>
    </w:p>
    <w:p w14:paraId="6FFB2515" w14:textId="77777777" w:rsidR="007327FE" w:rsidRPr="007327FE" w:rsidRDefault="007327FE" w:rsidP="00A725F8">
      <w:pPr>
        <w:spacing w:line="240" w:lineRule="auto"/>
        <w:ind w:left="540" w:hanging="540"/>
        <w:rPr>
          <w:rFonts w:cs="Times New Roman"/>
          <w:szCs w:val="24"/>
        </w:rPr>
      </w:pPr>
      <w:r w:rsidRPr="007327FE">
        <w:rPr>
          <w:rFonts w:cs="Times New Roman"/>
          <w:szCs w:val="24"/>
        </w:rPr>
        <w:t>De Leonardis, D., Levi, S., Benedick, A.K., Eisenhauer, E., Ferg, R., Petraglia, E., 2024. Child Passenger Safety Perception and Practices in Ride-Sharing Vehicles (No. DOT HS 813 532). National Highway Traffic Safety Administration.</w:t>
      </w:r>
    </w:p>
    <w:p w14:paraId="10CA7737"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Dias, C., Abdullah, M., </w:t>
      </w:r>
      <w:proofErr w:type="spellStart"/>
      <w:r w:rsidRPr="007327FE">
        <w:rPr>
          <w:rFonts w:cs="Times New Roman"/>
          <w:szCs w:val="24"/>
        </w:rPr>
        <w:t>Lovreglio</w:t>
      </w:r>
      <w:proofErr w:type="spellEnd"/>
      <w:r w:rsidRPr="007327FE">
        <w:rPr>
          <w:rFonts w:cs="Times New Roman"/>
          <w:szCs w:val="24"/>
        </w:rPr>
        <w:t xml:space="preserve">, R., </w:t>
      </w:r>
      <w:proofErr w:type="spellStart"/>
      <w:r w:rsidRPr="007327FE">
        <w:rPr>
          <w:rFonts w:cs="Times New Roman"/>
          <w:szCs w:val="24"/>
        </w:rPr>
        <w:t>Sachchithanantham</w:t>
      </w:r>
      <w:proofErr w:type="spellEnd"/>
      <w:r w:rsidRPr="007327FE">
        <w:rPr>
          <w:rFonts w:cs="Times New Roman"/>
          <w:szCs w:val="24"/>
        </w:rPr>
        <w:t xml:space="preserve">, S., </w:t>
      </w:r>
      <w:proofErr w:type="spellStart"/>
      <w:r w:rsidRPr="007327FE">
        <w:rPr>
          <w:rFonts w:cs="Times New Roman"/>
          <w:szCs w:val="24"/>
        </w:rPr>
        <w:t>Rekatheeban</w:t>
      </w:r>
      <w:proofErr w:type="spellEnd"/>
      <w:r w:rsidRPr="007327FE">
        <w:rPr>
          <w:rFonts w:cs="Times New Roman"/>
          <w:szCs w:val="24"/>
        </w:rPr>
        <w:t xml:space="preserve">, M., </w:t>
      </w:r>
      <w:proofErr w:type="spellStart"/>
      <w:r w:rsidRPr="007327FE">
        <w:rPr>
          <w:rFonts w:cs="Times New Roman"/>
          <w:szCs w:val="24"/>
        </w:rPr>
        <w:t>Sathyaprasad</w:t>
      </w:r>
      <w:proofErr w:type="spellEnd"/>
      <w:r w:rsidRPr="007327FE">
        <w:rPr>
          <w:rFonts w:cs="Times New Roman"/>
          <w:szCs w:val="24"/>
        </w:rPr>
        <w:t xml:space="preserve">, I.M.S., 2022. Exploring Home-to-School Trip Mode Choices in Kandy, Sri Lanka. J. Transp. </w:t>
      </w:r>
      <w:proofErr w:type="spellStart"/>
      <w:r w:rsidRPr="007327FE">
        <w:rPr>
          <w:rFonts w:cs="Times New Roman"/>
          <w:szCs w:val="24"/>
        </w:rPr>
        <w:t>Geogr</w:t>
      </w:r>
      <w:proofErr w:type="spellEnd"/>
      <w:r w:rsidRPr="007327FE">
        <w:rPr>
          <w:rFonts w:cs="Times New Roman"/>
          <w:szCs w:val="24"/>
        </w:rPr>
        <w:t>. 99, 103279. https://doi.org/10.1016/j.jtrangeo.2022.103279</w:t>
      </w:r>
    </w:p>
    <w:p w14:paraId="424C31B4"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Dubey, S., Bansal, P., Daziano, R.A., Guerra, E., 2020. A Generalized Continuous-Multinomial Response Model with a T-Distributed Error Kernel. Transp. Res. Part B </w:t>
      </w:r>
      <w:proofErr w:type="spellStart"/>
      <w:r w:rsidRPr="007327FE">
        <w:rPr>
          <w:rFonts w:cs="Times New Roman"/>
          <w:szCs w:val="24"/>
        </w:rPr>
        <w:t>Methodol</w:t>
      </w:r>
      <w:proofErr w:type="spellEnd"/>
      <w:r w:rsidRPr="007327FE">
        <w:rPr>
          <w:rFonts w:cs="Times New Roman"/>
          <w:szCs w:val="24"/>
        </w:rPr>
        <w:t>. 133, 114–141. https://doi.org/10.1016/j.trb.2019.12.007</w:t>
      </w:r>
    </w:p>
    <w:p w14:paraId="001B8D21"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Fosgerau, M., Bierlaire, M., 2009. Discrete Choice Models with Multiplicative Error Terms. Transp. Res. Part B </w:t>
      </w:r>
      <w:proofErr w:type="spellStart"/>
      <w:r w:rsidRPr="007327FE">
        <w:rPr>
          <w:rFonts w:cs="Times New Roman"/>
          <w:szCs w:val="24"/>
        </w:rPr>
        <w:t>Methodol</w:t>
      </w:r>
      <w:proofErr w:type="spellEnd"/>
      <w:r w:rsidRPr="007327FE">
        <w:rPr>
          <w:rFonts w:cs="Times New Roman"/>
          <w:szCs w:val="24"/>
        </w:rPr>
        <w:t>. 43, 494–505. https://doi.org/10.1016/j.trb.2008.10.004</w:t>
      </w:r>
    </w:p>
    <w:p w14:paraId="2BB27015" w14:textId="77777777" w:rsidR="007327FE" w:rsidRPr="007327FE" w:rsidRDefault="007327FE" w:rsidP="00A725F8">
      <w:pPr>
        <w:spacing w:line="240" w:lineRule="auto"/>
        <w:ind w:left="540" w:hanging="540"/>
        <w:rPr>
          <w:rFonts w:cs="Times New Roman"/>
          <w:szCs w:val="24"/>
        </w:rPr>
      </w:pPr>
      <w:r w:rsidRPr="007327FE">
        <w:rPr>
          <w:rFonts w:cs="Times New Roman"/>
          <w:szCs w:val="24"/>
        </w:rPr>
        <w:t>Gallaugher, M.P.B., McNicholas, P.D., Melnykov, V., Zhu, X., 2020. Skewed Distributions or Transformations? Modelling Skewness for a Cluster Analysis. https://doi.org/10.48550/arXiv.2011.09152</w:t>
      </w:r>
    </w:p>
    <w:p w14:paraId="77829F6E" w14:textId="77777777" w:rsidR="007327FE" w:rsidRPr="007327FE" w:rsidRDefault="007327FE" w:rsidP="00A725F8">
      <w:pPr>
        <w:spacing w:line="240" w:lineRule="auto"/>
        <w:ind w:left="540" w:hanging="540"/>
        <w:rPr>
          <w:rFonts w:cs="Times New Roman"/>
          <w:szCs w:val="24"/>
        </w:rPr>
      </w:pPr>
      <w:r w:rsidRPr="007327FE">
        <w:rPr>
          <w:rFonts w:cs="Times New Roman"/>
          <w:szCs w:val="24"/>
        </w:rPr>
        <w:t>Gillingham, K.T., Houde, S., van Benthem, A.A., 2021. Consumer Myopia in Vehicle Purchases: Evidence from a Natural Experiment. Am. Econ. J. Econ. Policy 13, 207–238. https://doi.org/10.1257/pol.20200322</w:t>
      </w:r>
    </w:p>
    <w:p w14:paraId="692B3BF0" w14:textId="77777777" w:rsidR="007327FE" w:rsidRPr="007327FE" w:rsidRDefault="007327FE" w:rsidP="00A725F8">
      <w:pPr>
        <w:spacing w:line="240" w:lineRule="auto"/>
        <w:ind w:left="540" w:hanging="540"/>
        <w:rPr>
          <w:rFonts w:cs="Times New Roman"/>
          <w:szCs w:val="24"/>
        </w:rPr>
      </w:pPr>
      <w:r w:rsidRPr="007327FE">
        <w:rPr>
          <w:rFonts w:cs="Times New Roman"/>
          <w:szCs w:val="24"/>
        </w:rPr>
        <w:t>Guo, J., Feng, T., Timmermans, H.J.P., 2020. Co-Dependent Workplace, Residence and Commuting Mode Choice: Results of a Multi-Dimensional Mixed Logit Model with Panel Effects. Cities 96, 102448. https://doi.org/10.1016/j.cities.2019.102448</w:t>
      </w:r>
    </w:p>
    <w:p w14:paraId="42ED5D8D"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Huse, C., Koptyug, N., 2022. Salience and Policy Instruments: Evidence from the Auto Market. J. Assoc. Environ. </w:t>
      </w:r>
      <w:proofErr w:type="spellStart"/>
      <w:r w:rsidRPr="007327FE">
        <w:rPr>
          <w:rFonts w:cs="Times New Roman"/>
          <w:szCs w:val="24"/>
        </w:rPr>
        <w:t>Resour</w:t>
      </w:r>
      <w:proofErr w:type="spellEnd"/>
      <w:r w:rsidRPr="007327FE">
        <w:rPr>
          <w:rFonts w:cs="Times New Roman"/>
          <w:szCs w:val="24"/>
        </w:rPr>
        <w:t>. Econ. 9, 345–382. https://doi.org/10.1086/716878</w:t>
      </w:r>
    </w:p>
    <w:p w14:paraId="272ACEB4" w14:textId="77777777" w:rsidR="007327FE" w:rsidRPr="007327FE" w:rsidRDefault="007327FE" w:rsidP="00A725F8">
      <w:pPr>
        <w:spacing w:line="240" w:lineRule="auto"/>
        <w:ind w:left="540" w:hanging="540"/>
        <w:rPr>
          <w:rFonts w:cs="Times New Roman"/>
          <w:szCs w:val="24"/>
        </w:rPr>
      </w:pPr>
      <w:r w:rsidRPr="007327FE">
        <w:rPr>
          <w:rFonts w:cs="Times New Roman"/>
          <w:szCs w:val="24"/>
        </w:rPr>
        <w:t>Johnson, N.L., Kotz, S., Balakrishnan, N., 1994. Continuous Univariate Distributions, Volume 1. John Wiley &amp; Sons.</w:t>
      </w:r>
    </w:p>
    <w:p w14:paraId="3048991F"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Kahneman, D., Tversky, A., 1979. Prospect Theory: An Analysis of Decision Under Risk. </w:t>
      </w:r>
      <w:proofErr w:type="spellStart"/>
      <w:r w:rsidRPr="007327FE">
        <w:rPr>
          <w:rFonts w:cs="Times New Roman"/>
          <w:szCs w:val="24"/>
        </w:rPr>
        <w:t>Econometrica</w:t>
      </w:r>
      <w:proofErr w:type="spellEnd"/>
      <w:r w:rsidRPr="007327FE">
        <w:rPr>
          <w:rFonts w:cs="Times New Roman"/>
          <w:szCs w:val="24"/>
        </w:rPr>
        <w:t xml:space="preserve"> 47, 263–292.</w:t>
      </w:r>
    </w:p>
    <w:p w14:paraId="6C2709E8" w14:textId="77777777" w:rsidR="007327FE" w:rsidRPr="007327FE" w:rsidRDefault="007327FE" w:rsidP="00FE31FA">
      <w:pPr>
        <w:keepLines/>
        <w:spacing w:line="240" w:lineRule="auto"/>
        <w:ind w:left="547" w:hanging="547"/>
        <w:rPr>
          <w:rFonts w:cs="Times New Roman"/>
          <w:szCs w:val="24"/>
        </w:rPr>
      </w:pPr>
      <w:r w:rsidRPr="007327FE">
        <w:rPr>
          <w:rFonts w:cs="Times New Roman"/>
          <w:szCs w:val="24"/>
        </w:rPr>
        <w:lastRenderedPageBreak/>
        <w:t>Khoeini, S., Pendyala, R.M., Capasso da Silva, D., Lee, Y., Dias, F., Salon, D., Circella, G., Maness, M., 2019. Attitudes Towards Emerging Mobility Options and Technologies – Phase 2: Pilot and Full Survey Deployment. Teaching Old Models New Tricks (TOMNET) Transportation Center, Arizona State University.</w:t>
      </w:r>
    </w:p>
    <w:p w14:paraId="30B40CB5" w14:textId="77777777" w:rsidR="007327FE" w:rsidRPr="007327FE" w:rsidRDefault="007327FE" w:rsidP="00A725F8">
      <w:pPr>
        <w:spacing w:line="240" w:lineRule="auto"/>
        <w:ind w:left="540" w:hanging="540"/>
        <w:rPr>
          <w:rFonts w:cs="Times New Roman"/>
          <w:szCs w:val="24"/>
        </w:rPr>
      </w:pPr>
      <w:r w:rsidRPr="007327FE">
        <w:rPr>
          <w:rFonts w:cs="Times New Roman"/>
          <w:szCs w:val="24"/>
        </w:rPr>
        <w:t>Khoeini, S., Pendyala, R.M., Capasso da Silva, D., Lee, Y., Dias, F., Salon, D., Circella, G., Maness, M., 2018. Attitudes towards Emerging Mobility Options and Technologies – Phase 1: Survey Design. Teaching Old Models New Tricks (TOMNET) Transportation Center, Arizona State University.</w:t>
      </w:r>
    </w:p>
    <w:p w14:paraId="06584650" w14:textId="77777777" w:rsidR="007327FE" w:rsidRPr="007327FE" w:rsidRDefault="007327FE" w:rsidP="00A725F8">
      <w:pPr>
        <w:spacing w:line="240" w:lineRule="auto"/>
        <w:ind w:left="540" w:hanging="540"/>
        <w:rPr>
          <w:rFonts w:cs="Times New Roman"/>
          <w:szCs w:val="24"/>
        </w:rPr>
      </w:pPr>
      <w:r w:rsidRPr="007327FE">
        <w:rPr>
          <w:rFonts w:cs="Times New Roman"/>
          <w:szCs w:val="24"/>
        </w:rPr>
        <w:t>Klein, N.J., Smart, M.J., 2017. Car Today, Gone Tomorrow: The Ephemeral Car in Low-Income, Immigrant and Minority Families. Transportation 44, 495–510. https://doi.org/10.1007/s11116-015-9664-4</w:t>
      </w:r>
    </w:p>
    <w:p w14:paraId="038E1447"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Krueger, R., Bierlaire, M., </w:t>
      </w:r>
      <w:proofErr w:type="spellStart"/>
      <w:r w:rsidRPr="007327FE">
        <w:rPr>
          <w:rFonts w:cs="Times New Roman"/>
          <w:szCs w:val="24"/>
        </w:rPr>
        <w:t>Gasos</w:t>
      </w:r>
      <w:proofErr w:type="spellEnd"/>
      <w:r w:rsidRPr="007327FE">
        <w:rPr>
          <w:rFonts w:cs="Times New Roman"/>
          <w:szCs w:val="24"/>
        </w:rPr>
        <w:t xml:space="preserve">, T., Bansal, P., 2023. Robust Discrete Choice Models with T-Distributed Kernel Errors. Stat. </w:t>
      </w:r>
      <w:proofErr w:type="spellStart"/>
      <w:r w:rsidRPr="007327FE">
        <w:rPr>
          <w:rFonts w:cs="Times New Roman"/>
          <w:szCs w:val="24"/>
        </w:rPr>
        <w:t>Comput</w:t>
      </w:r>
      <w:proofErr w:type="spellEnd"/>
      <w:r w:rsidRPr="007327FE">
        <w:rPr>
          <w:rFonts w:cs="Times New Roman"/>
          <w:szCs w:val="24"/>
        </w:rPr>
        <w:t>. 33, 2. https://doi.org/10.1007/s11222-022-10182-3</w:t>
      </w:r>
    </w:p>
    <w:p w14:paraId="7CAC9785"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McFadden, D., Train, K., 2000. Mixed MNL models for discrete response. J. Appl. </w:t>
      </w:r>
      <w:proofErr w:type="spellStart"/>
      <w:r w:rsidRPr="007327FE">
        <w:rPr>
          <w:rFonts w:cs="Times New Roman"/>
          <w:szCs w:val="24"/>
        </w:rPr>
        <w:t>Econom</w:t>
      </w:r>
      <w:proofErr w:type="spellEnd"/>
      <w:r w:rsidRPr="007327FE">
        <w:rPr>
          <w:rFonts w:cs="Times New Roman"/>
          <w:szCs w:val="24"/>
        </w:rPr>
        <w:t>. 15, 447–470. https://doi.org/10.1002/1099-1255(200009/10)15:5%3C447::AID-JAE570%3E3.0.CO;2-1</w:t>
      </w:r>
    </w:p>
    <w:p w14:paraId="043DBE35" w14:textId="77777777" w:rsidR="007327FE" w:rsidRPr="007327FE" w:rsidRDefault="007327FE" w:rsidP="00A725F8">
      <w:pPr>
        <w:spacing w:line="240" w:lineRule="auto"/>
        <w:ind w:left="540" w:hanging="540"/>
        <w:rPr>
          <w:rFonts w:cs="Times New Roman"/>
          <w:szCs w:val="24"/>
        </w:rPr>
      </w:pPr>
      <w:r w:rsidRPr="007327FE">
        <w:rPr>
          <w:rFonts w:cs="Times New Roman"/>
          <w:szCs w:val="24"/>
        </w:rPr>
        <w:t>Molloy, Q., Garrick, N., Atkinson-Palombo, C., 2024. Black Households Are More Burdened by Vehicle Ownership than White Households. Transp. Res. Rec. 2678, 163–173. https://doi.org/10.1177/03611981241231968</w:t>
      </w:r>
    </w:p>
    <w:p w14:paraId="4FB6B884"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Nagler, J., 1994. </w:t>
      </w:r>
      <w:proofErr w:type="spellStart"/>
      <w:r w:rsidRPr="007327FE">
        <w:rPr>
          <w:rFonts w:cs="Times New Roman"/>
          <w:szCs w:val="24"/>
        </w:rPr>
        <w:t>Scobit</w:t>
      </w:r>
      <w:proofErr w:type="spellEnd"/>
      <w:r w:rsidRPr="007327FE">
        <w:rPr>
          <w:rFonts w:cs="Times New Roman"/>
          <w:szCs w:val="24"/>
        </w:rPr>
        <w:t>: An Alternative Estimator to Logit and Probit. Am. J. Polit. Sci. 38, 230–255. https://doi.org/10.2307/2111343</w:t>
      </w:r>
    </w:p>
    <w:p w14:paraId="2FD181D0" w14:textId="77777777" w:rsidR="007327FE" w:rsidRPr="007327FE" w:rsidRDefault="007327FE" w:rsidP="00A725F8">
      <w:pPr>
        <w:spacing w:line="240" w:lineRule="auto"/>
        <w:ind w:left="540" w:hanging="540"/>
        <w:rPr>
          <w:rFonts w:cs="Times New Roman"/>
          <w:szCs w:val="24"/>
        </w:rPr>
      </w:pPr>
      <w:r w:rsidRPr="007327FE">
        <w:rPr>
          <w:rFonts w:cs="Times New Roman"/>
          <w:szCs w:val="24"/>
        </w:rPr>
        <w:t>Paleti, R., 2019. Discrete Choice Models with Alternate Kernel Error Distributions. J. Indian Inst. Sci. 99, 673–681. https://doi.org/10.1007/s41745-019-00128-6</w:t>
      </w:r>
    </w:p>
    <w:p w14:paraId="136DC495" w14:textId="77777777" w:rsidR="007327FE" w:rsidRPr="007327FE" w:rsidRDefault="007327FE" w:rsidP="00A725F8">
      <w:pPr>
        <w:spacing w:line="240" w:lineRule="auto"/>
        <w:ind w:left="540" w:hanging="540"/>
        <w:rPr>
          <w:rFonts w:cs="Times New Roman"/>
          <w:szCs w:val="24"/>
        </w:rPr>
      </w:pPr>
      <w:r w:rsidRPr="007327FE">
        <w:rPr>
          <w:rFonts w:cs="Times New Roman"/>
          <w:szCs w:val="24"/>
        </w:rPr>
        <w:t>Patil, G.R., Basu, R., Rashidi, T.H., 2020. Mode Choice Modeling Using Adaptive Data Collection for Different Trip Purposes in Mumbai Metropolitan Region. Transp. Dev. Econ. 6, 9. https://doi.org/10.1007/s40890-020-0099-z</w:t>
      </w:r>
    </w:p>
    <w:p w14:paraId="751B4E8F" w14:textId="77777777" w:rsidR="007327FE" w:rsidRPr="007327FE" w:rsidRDefault="007327FE" w:rsidP="00A725F8">
      <w:pPr>
        <w:spacing w:line="240" w:lineRule="auto"/>
        <w:ind w:left="540" w:hanging="540"/>
        <w:rPr>
          <w:rFonts w:cs="Times New Roman"/>
          <w:szCs w:val="24"/>
        </w:rPr>
      </w:pPr>
      <w:r w:rsidRPr="007327FE">
        <w:rPr>
          <w:rFonts w:cs="Times New Roman"/>
          <w:szCs w:val="24"/>
        </w:rPr>
        <w:t>Petrov, I., Carroll, J., Denny, E., 2025. Communicating Car Costs: Results from Stated and Revealed Preference Experiments. Transp. Res. Part Transp. Environ. 147, 104921. https://doi.org/10.1016/j.trd.2025.104921</w:t>
      </w:r>
    </w:p>
    <w:p w14:paraId="33A1BA43" w14:textId="77777777" w:rsidR="007327FE" w:rsidRPr="007327FE" w:rsidRDefault="007327FE" w:rsidP="00A725F8">
      <w:pPr>
        <w:spacing w:line="240" w:lineRule="auto"/>
        <w:ind w:left="540" w:hanging="540"/>
        <w:rPr>
          <w:rFonts w:cs="Times New Roman"/>
          <w:szCs w:val="24"/>
        </w:rPr>
      </w:pPr>
      <w:r w:rsidRPr="007327FE">
        <w:rPr>
          <w:rFonts w:cs="Times New Roman"/>
          <w:szCs w:val="24"/>
        </w:rPr>
        <w:t>Peyhardi, D.J., 2020. Robustness of Student link function in multinomial choice models. J. Choice Model. 36, 100228. https://doi.org/10.1016/j.jocm.2020.100228</w:t>
      </w:r>
    </w:p>
    <w:p w14:paraId="5E736EFC" w14:textId="77777777" w:rsidR="007327FE" w:rsidRPr="007327FE" w:rsidRDefault="007327FE" w:rsidP="00A725F8">
      <w:pPr>
        <w:spacing w:line="240" w:lineRule="auto"/>
        <w:ind w:left="540" w:hanging="540"/>
        <w:rPr>
          <w:rFonts w:cs="Times New Roman"/>
          <w:szCs w:val="24"/>
        </w:rPr>
      </w:pPr>
      <w:r w:rsidRPr="007327FE">
        <w:rPr>
          <w:rFonts w:cs="Times New Roman"/>
          <w:szCs w:val="24"/>
        </w:rPr>
        <w:t>Prentice, R.L., Gloeckler, L.A., 1978. Regression Analysis of Grouped Survival Data with Application to Breast Cancer Data. Biometrics 34, 57–67. https://doi.org/10.2307/2529588</w:t>
      </w:r>
    </w:p>
    <w:p w14:paraId="0D75A0CD"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Rahman, </w:t>
      </w:r>
      <w:proofErr w:type="spellStart"/>
      <w:r w:rsidRPr="007327FE">
        <w:rPr>
          <w:rFonts w:cs="Times New Roman"/>
          <w:szCs w:val="24"/>
        </w:rPr>
        <w:t>Md.M</w:t>
      </w:r>
      <w:proofErr w:type="spellEnd"/>
      <w:r w:rsidRPr="007327FE">
        <w:rPr>
          <w:rFonts w:cs="Times New Roman"/>
          <w:szCs w:val="24"/>
        </w:rPr>
        <w:t>., Thill, J.-C., 2026. Who Is Inclined to Buy an Autonomous Vehicle? Empirical Evidence from California. Transportation 53, 71–104. https://doi.org/10.1007/s11116-024-10490-9</w:t>
      </w:r>
    </w:p>
    <w:p w14:paraId="360E6709" w14:textId="77777777" w:rsidR="007327FE" w:rsidRPr="007327FE" w:rsidRDefault="007327FE" w:rsidP="00A725F8">
      <w:pPr>
        <w:spacing w:line="240" w:lineRule="auto"/>
        <w:ind w:left="540" w:hanging="540"/>
        <w:rPr>
          <w:rFonts w:cs="Times New Roman"/>
          <w:szCs w:val="24"/>
        </w:rPr>
      </w:pPr>
      <w:r w:rsidRPr="007327FE">
        <w:rPr>
          <w:rFonts w:cs="Times New Roman"/>
          <w:szCs w:val="24"/>
        </w:rPr>
        <w:t>Stukel, T.A., 1988. Generalized Logistic Models. J. Am. Stat. Assoc. 83, 426–431. https://doi.org/10.1080/01621459.1988.10478613</w:t>
      </w:r>
    </w:p>
    <w:p w14:paraId="619388D4" w14:textId="77777777" w:rsidR="007327FE" w:rsidRPr="007327FE" w:rsidRDefault="007327FE" w:rsidP="00A725F8">
      <w:pPr>
        <w:spacing w:line="240" w:lineRule="auto"/>
        <w:ind w:left="540" w:hanging="540"/>
        <w:rPr>
          <w:rFonts w:cs="Times New Roman"/>
          <w:szCs w:val="24"/>
        </w:rPr>
      </w:pPr>
      <w:r w:rsidRPr="007327FE">
        <w:rPr>
          <w:rFonts w:cs="Times New Roman"/>
          <w:szCs w:val="24"/>
        </w:rPr>
        <w:t>Train, K., 2000. Halton Sequences for Mixed Logit. Tech. Pap. Dep. Econ. Univ. Calif. Berkeley.</w:t>
      </w:r>
    </w:p>
    <w:p w14:paraId="73F50E92" w14:textId="77777777" w:rsidR="007327FE" w:rsidRPr="007327FE" w:rsidRDefault="007327FE" w:rsidP="00A725F8">
      <w:pPr>
        <w:spacing w:line="240" w:lineRule="auto"/>
        <w:ind w:left="540" w:hanging="540"/>
        <w:rPr>
          <w:rFonts w:cs="Times New Roman"/>
          <w:szCs w:val="24"/>
        </w:rPr>
      </w:pPr>
      <w:r w:rsidRPr="007327FE">
        <w:rPr>
          <w:rFonts w:cs="Times New Roman"/>
          <w:szCs w:val="24"/>
        </w:rPr>
        <w:t>Train, K.E., 2009. Discrete Choice Methods with Simulation. Cambridge University Press.</w:t>
      </w:r>
    </w:p>
    <w:p w14:paraId="1B3CE3EA" w14:textId="77777777" w:rsidR="007327FE" w:rsidRPr="007327FE" w:rsidRDefault="007327FE" w:rsidP="00A725F8">
      <w:pPr>
        <w:spacing w:line="240" w:lineRule="auto"/>
        <w:ind w:left="540" w:hanging="540"/>
        <w:rPr>
          <w:rFonts w:cs="Times New Roman"/>
          <w:szCs w:val="24"/>
        </w:rPr>
      </w:pPr>
      <w:proofErr w:type="spellStart"/>
      <w:r w:rsidRPr="007327FE">
        <w:rPr>
          <w:rFonts w:cs="Times New Roman"/>
          <w:szCs w:val="24"/>
        </w:rPr>
        <w:t>Vichiensan</w:t>
      </w:r>
      <w:proofErr w:type="spellEnd"/>
      <w:r w:rsidRPr="007327FE">
        <w:rPr>
          <w:rFonts w:cs="Times New Roman"/>
          <w:szCs w:val="24"/>
        </w:rPr>
        <w:t xml:space="preserve">, V., </w:t>
      </w:r>
      <w:proofErr w:type="spellStart"/>
      <w:r w:rsidRPr="007327FE">
        <w:rPr>
          <w:rFonts w:cs="Times New Roman"/>
          <w:szCs w:val="24"/>
        </w:rPr>
        <w:t>Wasuntarasook</w:t>
      </w:r>
      <w:proofErr w:type="spellEnd"/>
      <w:r w:rsidRPr="007327FE">
        <w:rPr>
          <w:rFonts w:cs="Times New Roman"/>
          <w:szCs w:val="24"/>
        </w:rPr>
        <w:t xml:space="preserve">, V., Malaitham, S., Fukuda, A., </w:t>
      </w:r>
      <w:proofErr w:type="spellStart"/>
      <w:r w:rsidRPr="007327FE">
        <w:rPr>
          <w:rFonts w:cs="Times New Roman"/>
          <w:szCs w:val="24"/>
        </w:rPr>
        <w:t>Rujopakarn</w:t>
      </w:r>
      <w:proofErr w:type="spellEnd"/>
      <w:r w:rsidRPr="007327FE">
        <w:rPr>
          <w:rFonts w:cs="Times New Roman"/>
          <w:szCs w:val="24"/>
        </w:rPr>
        <w:t>, W., 2025. Willingness to Pay for Station Access Transport: A Mixed Logit Model with Heterogeneous Travel Time Valuation. Sustainability 17. https://doi.org/10.3390/su17156715</w:t>
      </w:r>
    </w:p>
    <w:p w14:paraId="0A0038A4"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White, H., 1982. Maximum Likelihood Estimation of </w:t>
      </w:r>
      <w:proofErr w:type="spellStart"/>
      <w:r w:rsidRPr="007327FE">
        <w:rPr>
          <w:rFonts w:cs="Times New Roman"/>
          <w:szCs w:val="24"/>
        </w:rPr>
        <w:t>Misspecified</w:t>
      </w:r>
      <w:proofErr w:type="spellEnd"/>
      <w:r w:rsidRPr="007327FE">
        <w:rPr>
          <w:rFonts w:cs="Times New Roman"/>
          <w:szCs w:val="24"/>
        </w:rPr>
        <w:t xml:space="preserve"> Models. </w:t>
      </w:r>
      <w:proofErr w:type="spellStart"/>
      <w:r w:rsidRPr="007327FE">
        <w:rPr>
          <w:rFonts w:cs="Times New Roman"/>
          <w:szCs w:val="24"/>
        </w:rPr>
        <w:t>Econometrica</w:t>
      </w:r>
      <w:proofErr w:type="spellEnd"/>
      <w:r w:rsidRPr="007327FE">
        <w:rPr>
          <w:rFonts w:cs="Times New Roman"/>
          <w:szCs w:val="24"/>
        </w:rPr>
        <w:t xml:space="preserve"> 50, 1–25. https://doi.org/10.2307/1912526</w:t>
      </w:r>
    </w:p>
    <w:p w14:paraId="45899AA2" w14:textId="77777777" w:rsidR="007327FE" w:rsidRPr="007327FE" w:rsidRDefault="007327FE" w:rsidP="00A725F8">
      <w:pPr>
        <w:spacing w:line="240" w:lineRule="auto"/>
        <w:ind w:left="540" w:hanging="540"/>
        <w:rPr>
          <w:rFonts w:cs="Times New Roman"/>
          <w:szCs w:val="24"/>
        </w:rPr>
      </w:pPr>
      <w:r w:rsidRPr="007327FE">
        <w:rPr>
          <w:rFonts w:cs="Times New Roman"/>
          <w:szCs w:val="24"/>
        </w:rPr>
        <w:lastRenderedPageBreak/>
        <w:t xml:space="preserve">Wu, Y., </w:t>
      </w:r>
      <w:proofErr w:type="spellStart"/>
      <w:r w:rsidRPr="007327FE">
        <w:rPr>
          <w:rFonts w:cs="Times New Roman"/>
          <w:szCs w:val="24"/>
        </w:rPr>
        <w:t>Yildirimoglu</w:t>
      </w:r>
      <w:proofErr w:type="spellEnd"/>
      <w:r w:rsidRPr="007327FE">
        <w:rPr>
          <w:rFonts w:cs="Times New Roman"/>
          <w:szCs w:val="24"/>
        </w:rPr>
        <w:t>, M., Zheng, Z., 2026. Modeling car owners’ stated preferences for electric micro-mobility ownership: Evidence from a mixed logit approach. Transp. Policy 181, 104063. https://doi.org/10.1016/j.tranpol.2026.104063</w:t>
      </w:r>
    </w:p>
    <w:p w14:paraId="4AFE1563" w14:textId="77777777" w:rsidR="007327FE" w:rsidRPr="007327FE" w:rsidRDefault="007327FE" w:rsidP="00A725F8">
      <w:pPr>
        <w:spacing w:line="240" w:lineRule="auto"/>
        <w:ind w:left="540" w:hanging="540"/>
        <w:rPr>
          <w:rFonts w:cs="Times New Roman"/>
          <w:szCs w:val="24"/>
        </w:rPr>
      </w:pPr>
      <w:r w:rsidRPr="007327FE">
        <w:rPr>
          <w:rFonts w:cs="Times New Roman"/>
          <w:szCs w:val="24"/>
        </w:rPr>
        <w:t xml:space="preserve">Yeo, I., Johnson, R.A., 2000. A New Family of Power Transformations to Improve Normality or Symmetry. </w:t>
      </w:r>
      <w:proofErr w:type="spellStart"/>
      <w:r w:rsidRPr="007327FE">
        <w:rPr>
          <w:rFonts w:cs="Times New Roman"/>
          <w:szCs w:val="24"/>
        </w:rPr>
        <w:t>Biometrika</w:t>
      </w:r>
      <w:proofErr w:type="spellEnd"/>
      <w:r w:rsidRPr="007327FE">
        <w:rPr>
          <w:rFonts w:cs="Times New Roman"/>
          <w:szCs w:val="24"/>
        </w:rPr>
        <w:t xml:space="preserve"> 87, 954–959. https://doi.org/10.1093/biomet/87.4.954</w:t>
      </w:r>
    </w:p>
    <w:p w14:paraId="41120BDE" w14:textId="77777777" w:rsidR="00F54073" w:rsidRDefault="00F54073" w:rsidP="005D21EF">
      <w:pPr>
        <w:spacing w:line="276" w:lineRule="auto"/>
        <w:rPr>
          <w:rFonts w:cs="Times New Roman"/>
          <w:szCs w:val="24"/>
        </w:rPr>
        <w:sectPr w:rsidR="00F54073" w:rsidSect="00A725F8">
          <w:footerReference w:type="default" r:id="rId400"/>
          <w:pgSz w:w="12240" w:h="15840"/>
          <w:pgMar w:top="1440" w:right="1440" w:bottom="1440" w:left="1440" w:header="720" w:footer="720" w:gutter="0"/>
          <w:pgNumType w:start="1"/>
          <w:cols w:space="720"/>
          <w:docGrid w:linePitch="360"/>
        </w:sectPr>
      </w:pPr>
    </w:p>
    <w:p w14:paraId="5878AD31" w14:textId="30BF196C" w:rsidR="00F54073" w:rsidRPr="00F54073" w:rsidRDefault="00F54073" w:rsidP="005D21EF">
      <w:pPr>
        <w:spacing w:line="276" w:lineRule="auto"/>
        <w:rPr>
          <w:rFonts w:cs="Times New Roman"/>
          <w:b/>
          <w:bCs/>
          <w:szCs w:val="24"/>
        </w:rPr>
      </w:pPr>
      <w:r>
        <w:rPr>
          <w:rFonts w:cs="Times New Roman"/>
          <w:b/>
          <w:bCs/>
          <w:szCs w:val="24"/>
        </w:rPr>
        <w:lastRenderedPageBreak/>
        <w:t>Table 1: Simulation Results</w:t>
      </w:r>
    </w:p>
    <w:p w14:paraId="6D2FF339" w14:textId="77777777" w:rsidR="00F54073" w:rsidRDefault="00F54073" w:rsidP="005D21EF">
      <w:pPr>
        <w:spacing w:line="276" w:lineRule="auto"/>
        <w:rPr>
          <w:rFonts w:cs="Times New Roman"/>
          <w:szCs w:val="24"/>
        </w:rPr>
      </w:pPr>
    </w:p>
    <w:tbl>
      <w:tblPr>
        <w:tblW w:w="5000" w:type="pct"/>
        <w:jc w:val="center"/>
        <w:tblLook w:val="04A0" w:firstRow="1" w:lastRow="0" w:firstColumn="1" w:lastColumn="0" w:noHBand="0" w:noVBand="1"/>
      </w:tblPr>
      <w:tblGrid>
        <w:gridCol w:w="3439"/>
        <w:gridCol w:w="830"/>
        <w:gridCol w:w="865"/>
        <w:gridCol w:w="865"/>
        <w:gridCol w:w="829"/>
        <w:gridCol w:w="829"/>
        <w:gridCol w:w="829"/>
        <w:gridCol w:w="932"/>
        <w:gridCol w:w="976"/>
        <w:gridCol w:w="829"/>
        <w:gridCol w:w="865"/>
        <w:gridCol w:w="826"/>
      </w:tblGrid>
      <w:tr w:rsidR="00F54073" w:rsidRPr="00F54073" w14:paraId="66072B43" w14:textId="77777777" w:rsidTr="00BB7CF5">
        <w:trPr>
          <w:trHeight w:val="310"/>
          <w:jc w:val="center"/>
        </w:trPr>
        <w:tc>
          <w:tcPr>
            <w:tcW w:w="5000" w:type="pct"/>
            <w:gridSpan w:val="12"/>
            <w:tcBorders>
              <w:top w:val="single" w:sz="18" w:space="0" w:color="auto"/>
              <w:left w:val="single" w:sz="18" w:space="0" w:color="auto"/>
              <w:bottom w:val="single" w:sz="18" w:space="0" w:color="auto"/>
              <w:right w:val="single" w:sz="18" w:space="0" w:color="auto"/>
            </w:tcBorders>
            <w:noWrap/>
            <w:vAlign w:val="center"/>
            <w:hideMark/>
          </w:tcPr>
          <w:p w14:paraId="3AC9AD39" w14:textId="77777777" w:rsidR="00F54073" w:rsidRPr="00F54073" w:rsidRDefault="00F54073" w:rsidP="00F54073">
            <w:pPr>
              <w:spacing w:line="240" w:lineRule="auto"/>
              <w:jc w:val="center"/>
              <w:rPr>
                <w:rFonts w:eastAsia="Times New Roman" w:cs="Times New Roman"/>
                <w:b/>
                <w:bCs/>
                <w:color w:val="000000"/>
                <w:sz w:val="20"/>
                <w:szCs w:val="20"/>
              </w:rPr>
            </w:pPr>
            <w:r w:rsidRPr="00F54073">
              <w:rPr>
                <w:rFonts w:eastAsia="Times New Roman" w:cs="Times New Roman"/>
                <w:b/>
                <w:bCs/>
                <w:color w:val="000000"/>
                <w:sz w:val="20"/>
                <w:szCs w:val="20"/>
              </w:rPr>
              <w:t>MNYJ Model Performance</w:t>
            </w:r>
          </w:p>
        </w:tc>
      </w:tr>
      <w:tr w:rsidR="00F54073" w:rsidRPr="00F54073" w14:paraId="3E7EA53B" w14:textId="77777777" w:rsidTr="00BB7CF5">
        <w:trPr>
          <w:trHeight w:val="295"/>
          <w:jc w:val="center"/>
        </w:trPr>
        <w:tc>
          <w:tcPr>
            <w:tcW w:w="1331" w:type="pct"/>
            <w:vMerge w:val="restart"/>
            <w:tcBorders>
              <w:top w:val="single" w:sz="18" w:space="0" w:color="auto"/>
              <w:left w:val="single" w:sz="18" w:space="0" w:color="auto"/>
              <w:bottom w:val="single" w:sz="4" w:space="0" w:color="000000"/>
              <w:right w:val="single" w:sz="18" w:space="0" w:color="auto"/>
            </w:tcBorders>
            <w:noWrap/>
            <w:vAlign w:val="center"/>
            <w:hideMark/>
          </w:tcPr>
          <w:p w14:paraId="3C139516"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Metric</w:t>
            </w:r>
          </w:p>
        </w:tc>
        <w:tc>
          <w:tcPr>
            <w:tcW w:w="991" w:type="pct"/>
            <w:gridSpan w:val="3"/>
            <w:tcBorders>
              <w:top w:val="single" w:sz="18" w:space="0" w:color="auto"/>
              <w:left w:val="single" w:sz="18" w:space="0" w:color="auto"/>
              <w:bottom w:val="nil"/>
              <w:right w:val="nil"/>
            </w:tcBorders>
            <w:noWrap/>
            <w:vAlign w:val="center"/>
            <w:hideMark/>
          </w:tcPr>
          <w:p w14:paraId="564B4E79"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Main Coefficients</w:t>
            </w:r>
          </w:p>
        </w:tc>
        <w:tc>
          <w:tcPr>
            <w:tcW w:w="962" w:type="pct"/>
            <w:gridSpan w:val="3"/>
            <w:tcBorders>
              <w:top w:val="single" w:sz="18" w:space="0" w:color="auto"/>
              <w:left w:val="nil"/>
              <w:bottom w:val="nil"/>
              <w:right w:val="nil"/>
            </w:tcBorders>
            <w:noWrap/>
            <w:vAlign w:val="center"/>
            <w:hideMark/>
          </w:tcPr>
          <w:p w14:paraId="220E5DDD"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Correlation Terms</w:t>
            </w:r>
          </w:p>
        </w:tc>
        <w:tc>
          <w:tcPr>
            <w:tcW w:w="739" w:type="pct"/>
            <w:gridSpan w:val="2"/>
            <w:tcBorders>
              <w:top w:val="single" w:sz="18" w:space="0" w:color="auto"/>
              <w:left w:val="nil"/>
              <w:bottom w:val="nil"/>
              <w:right w:val="nil"/>
            </w:tcBorders>
            <w:noWrap/>
            <w:vAlign w:val="center"/>
            <w:hideMark/>
          </w:tcPr>
          <w:p w14:paraId="1C339BF6" w14:textId="4523C77B"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Scale Parameters</w:t>
            </w:r>
            <w:r w:rsidR="00E55FFD">
              <w:rPr>
                <w:rFonts w:eastAsia="Times New Roman" w:cs="Times New Roman"/>
                <w:color w:val="000000"/>
                <w:sz w:val="20"/>
                <w:szCs w:val="20"/>
              </w:rPr>
              <w:t>*</w:t>
            </w:r>
          </w:p>
        </w:tc>
        <w:tc>
          <w:tcPr>
            <w:tcW w:w="977" w:type="pct"/>
            <w:gridSpan w:val="3"/>
            <w:tcBorders>
              <w:top w:val="single" w:sz="18" w:space="0" w:color="auto"/>
              <w:left w:val="nil"/>
              <w:bottom w:val="nil"/>
              <w:right w:val="single" w:sz="18" w:space="0" w:color="auto"/>
            </w:tcBorders>
            <w:noWrap/>
            <w:vAlign w:val="center"/>
            <w:hideMark/>
          </w:tcPr>
          <w:p w14:paraId="02F2FA72"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YJ Parameters</w:t>
            </w:r>
          </w:p>
        </w:tc>
      </w:tr>
      <w:tr w:rsidR="00F54073" w:rsidRPr="00F54073" w14:paraId="2C277B10" w14:textId="77777777" w:rsidTr="00BB7CF5">
        <w:trPr>
          <w:trHeight w:val="295"/>
          <w:jc w:val="center"/>
        </w:trPr>
        <w:tc>
          <w:tcPr>
            <w:tcW w:w="1331" w:type="pct"/>
            <w:vMerge/>
            <w:tcBorders>
              <w:top w:val="nil"/>
              <w:left w:val="single" w:sz="18" w:space="0" w:color="auto"/>
              <w:bottom w:val="single" w:sz="18" w:space="0" w:color="auto"/>
              <w:right w:val="single" w:sz="18" w:space="0" w:color="auto"/>
            </w:tcBorders>
            <w:vAlign w:val="center"/>
            <w:hideMark/>
          </w:tcPr>
          <w:p w14:paraId="1B959CA8" w14:textId="77777777" w:rsidR="00F54073" w:rsidRPr="00F54073" w:rsidRDefault="00F54073" w:rsidP="00F54073">
            <w:pPr>
              <w:spacing w:line="240" w:lineRule="auto"/>
              <w:jc w:val="left"/>
              <w:rPr>
                <w:rFonts w:eastAsia="Times New Roman" w:cs="Times New Roman"/>
                <w:color w:val="000000"/>
                <w:sz w:val="20"/>
                <w:szCs w:val="20"/>
              </w:rPr>
            </w:pPr>
          </w:p>
        </w:tc>
        <w:tc>
          <w:tcPr>
            <w:tcW w:w="321" w:type="pct"/>
            <w:tcBorders>
              <w:top w:val="nil"/>
              <w:left w:val="single" w:sz="18" w:space="0" w:color="auto"/>
              <w:bottom w:val="single" w:sz="18" w:space="0" w:color="auto"/>
              <w:right w:val="nil"/>
            </w:tcBorders>
            <w:noWrap/>
            <w:vAlign w:val="center"/>
            <w:hideMark/>
          </w:tcPr>
          <w:p w14:paraId="55A7A9CE" w14:textId="5CB84A51" w:rsidR="00F54073" w:rsidRPr="00F54073" w:rsidRDefault="00D77B01" w:rsidP="00D77B01">
            <w:pPr>
              <w:spacing w:line="240" w:lineRule="auto"/>
              <w:jc w:val="center"/>
              <w:rPr>
                <w:rFonts w:eastAsia="Times New Roman" w:cs="Times New Roman"/>
                <w:color w:val="000000"/>
                <w:sz w:val="20"/>
                <w:szCs w:val="20"/>
              </w:rPr>
            </w:pPr>
            <w:r w:rsidRPr="00DF4DDF">
              <w:rPr>
                <w:position w:val="-12"/>
              </w:rPr>
              <w:object w:dxaOrig="220" w:dyaOrig="360" w14:anchorId="0F3AC585">
                <v:shape id="_x0000_i1236" type="#_x0000_t75" style="width:12pt;height:18.45pt" o:ole="">
                  <v:imagedata r:id="rId401" o:title=""/>
                </v:shape>
                <o:OLEObject Type="Embed" ProgID="Equation.DSMT4" ShapeID="_x0000_i1236" DrawAspect="Content" ObjectID="_1841834611" r:id="rId402"/>
              </w:object>
            </w:r>
          </w:p>
        </w:tc>
        <w:tc>
          <w:tcPr>
            <w:tcW w:w="335" w:type="pct"/>
            <w:tcBorders>
              <w:top w:val="nil"/>
              <w:left w:val="nil"/>
              <w:bottom w:val="single" w:sz="18" w:space="0" w:color="auto"/>
              <w:right w:val="nil"/>
            </w:tcBorders>
            <w:noWrap/>
            <w:vAlign w:val="center"/>
            <w:hideMark/>
          </w:tcPr>
          <w:p w14:paraId="1C2A1656" w14:textId="648F81A1" w:rsidR="00F54073" w:rsidRPr="00F54073" w:rsidRDefault="00D77B01" w:rsidP="00D77B01">
            <w:pPr>
              <w:spacing w:line="240" w:lineRule="auto"/>
              <w:jc w:val="center"/>
              <w:rPr>
                <w:rFonts w:eastAsia="Times New Roman" w:cs="Times New Roman"/>
                <w:color w:val="000000"/>
                <w:sz w:val="20"/>
                <w:szCs w:val="20"/>
              </w:rPr>
            </w:pPr>
            <w:r w:rsidRPr="00DF4DDF">
              <w:rPr>
                <w:position w:val="-12"/>
              </w:rPr>
              <w:object w:dxaOrig="240" w:dyaOrig="360" w14:anchorId="530971E5">
                <v:shape id="_x0000_i1237" type="#_x0000_t75" style="width:12pt;height:18.45pt" o:ole="">
                  <v:imagedata r:id="rId403" o:title=""/>
                </v:shape>
                <o:OLEObject Type="Embed" ProgID="Equation.DSMT4" ShapeID="_x0000_i1237" DrawAspect="Content" ObjectID="_1841834612" r:id="rId404"/>
              </w:object>
            </w:r>
          </w:p>
        </w:tc>
        <w:tc>
          <w:tcPr>
            <w:tcW w:w="335" w:type="pct"/>
            <w:tcBorders>
              <w:top w:val="nil"/>
              <w:left w:val="nil"/>
              <w:bottom w:val="single" w:sz="18" w:space="0" w:color="auto"/>
              <w:right w:val="nil"/>
            </w:tcBorders>
            <w:noWrap/>
            <w:vAlign w:val="center"/>
            <w:hideMark/>
          </w:tcPr>
          <w:p w14:paraId="15A79432" w14:textId="3637386F" w:rsidR="00F54073" w:rsidRPr="00F54073" w:rsidRDefault="00D77B01" w:rsidP="00D77B01">
            <w:pPr>
              <w:spacing w:line="240" w:lineRule="auto"/>
              <w:jc w:val="center"/>
              <w:rPr>
                <w:rFonts w:eastAsia="Times New Roman" w:cs="Times New Roman"/>
                <w:color w:val="000000"/>
                <w:sz w:val="20"/>
                <w:szCs w:val="20"/>
              </w:rPr>
            </w:pPr>
            <w:r w:rsidRPr="00DF4DDF">
              <w:rPr>
                <w:position w:val="-12"/>
              </w:rPr>
              <w:object w:dxaOrig="240" w:dyaOrig="360" w14:anchorId="05C030F5">
                <v:shape id="_x0000_i1238" type="#_x0000_t75" style="width:12pt;height:18.45pt" o:ole="">
                  <v:imagedata r:id="rId405" o:title=""/>
                </v:shape>
                <o:OLEObject Type="Embed" ProgID="Equation.DSMT4" ShapeID="_x0000_i1238" DrawAspect="Content" ObjectID="_1841834613" r:id="rId406"/>
              </w:object>
            </w:r>
          </w:p>
        </w:tc>
        <w:tc>
          <w:tcPr>
            <w:tcW w:w="321" w:type="pct"/>
            <w:tcBorders>
              <w:top w:val="nil"/>
              <w:left w:val="nil"/>
              <w:bottom w:val="single" w:sz="18" w:space="0" w:color="auto"/>
              <w:right w:val="nil"/>
            </w:tcBorders>
            <w:noWrap/>
            <w:vAlign w:val="center"/>
            <w:hideMark/>
          </w:tcPr>
          <w:p w14:paraId="58ED096B" w14:textId="51549A6C" w:rsidR="00F54073" w:rsidRPr="00F54073" w:rsidRDefault="005F10C6" w:rsidP="00D77B01">
            <w:pPr>
              <w:spacing w:line="240" w:lineRule="auto"/>
              <w:jc w:val="center"/>
              <w:rPr>
                <w:rFonts w:eastAsia="Times New Roman" w:cs="Times New Roman"/>
                <w:color w:val="000000"/>
                <w:sz w:val="20"/>
                <w:szCs w:val="20"/>
              </w:rPr>
            </w:pPr>
            <w:r w:rsidRPr="00DF4DDF">
              <w:rPr>
                <w:position w:val="-12"/>
              </w:rPr>
              <w:object w:dxaOrig="300" w:dyaOrig="360" w14:anchorId="5DD50CB0">
                <v:shape id="_x0000_i1239" type="#_x0000_t75" style="width:14.55pt;height:18.45pt" o:ole="">
                  <v:imagedata r:id="rId407" o:title=""/>
                </v:shape>
                <o:OLEObject Type="Embed" ProgID="Equation.DSMT4" ShapeID="_x0000_i1239" DrawAspect="Content" ObjectID="_1841834614" r:id="rId408"/>
              </w:object>
            </w:r>
          </w:p>
        </w:tc>
        <w:tc>
          <w:tcPr>
            <w:tcW w:w="321" w:type="pct"/>
            <w:tcBorders>
              <w:top w:val="nil"/>
              <w:left w:val="nil"/>
              <w:bottom w:val="single" w:sz="18" w:space="0" w:color="auto"/>
              <w:right w:val="nil"/>
            </w:tcBorders>
            <w:noWrap/>
            <w:vAlign w:val="center"/>
            <w:hideMark/>
          </w:tcPr>
          <w:p w14:paraId="188F441C" w14:textId="57581719" w:rsidR="00F54073" w:rsidRPr="00F54073" w:rsidRDefault="005F10C6" w:rsidP="00D77B01">
            <w:pPr>
              <w:spacing w:line="240" w:lineRule="auto"/>
              <w:jc w:val="center"/>
              <w:rPr>
                <w:rFonts w:eastAsia="Times New Roman" w:cs="Times New Roman"/>
                <w:color w:val="000000"/>
                <w:sz w:val="20"/>
                <w:szCs w:val="20"/>
              </w:rPr>
            </w:pPr>
            <w:r w:rsidRPr="00DF4DDF">
              <w:rPr>
                <w:position w:val="-12"/>
              </w:rPr>
              <w:object w:dxaOrig="340" w:dyaOrig="360" w14:anchorId="12256FAA">
                <v:shape id="_x0000_i1240" type="#_x0000_t75" style="width:16.7pt;height:18.45pt" o:ole="">
                  <v:imagedata r:id="rId409" o:title=""/>
                </v:shape>
                <o:OLEObject Type="Embed" ProgID="Equation.DSMT4" ShapeID="_x0000_i1240" DrawAspect="Content" ObjectID="_1841834615" r:id="rId410"/>
              </w:object>
            </w:r>
          </w:p>
        </w:tc>
        <w:tc>
          <w:tcPr>
            <w:tcW w:w="321" w:type="pct"/>
            <w:tcBorders>
              <w:top w:val="nil"/>
              <w:left w:val="nil"/>
              <w:bottom w:val="single" w:sz="18" w:space="0" w:color="auto"/>
              <w:right w:val="nil"/>
            </w:tcBorders>
            <w:noWrap/>
            <w:vAlign w:val="center"/>
            <w:hideMark/>
          </w:tcPr>
          <w:p w14:paraId="4B34B1C6" w14:textId="0DD5C912" w:rsidR="00F54073" w:rsidRPr="00F54073" w:rsidRDefault="005F10C6" w:rsidP="00D77B01">
            <w:pPr>
              <w:spacing w:line="240" w:lineRule="auto"/>
              <w:jc w:val="center"/>
              <w:rPr>
                <w:rFonts w:eastAsia="Times New Roman" w:cs="Times New Roman"/>
                <w:color w:val="000000"/>
                <w:sz w:val="20"/>
                <w:szCs w:val="20"/>
              </w:rPr>
            </w:pPr>
            <w:r w:rsidRPr="00DF4DDF">
              <w:rPr>
                <w:position w:val="-12"/>
              </w:rPr>
              <w:object w:dxaOrig="320" w:dyaOrig="360" w14:anchorId="10E248A7">
                <v:shape id="_x0000_i1241" type="#_x0000_t75" style="width:15.45pt;height:18.45pt" o:ole="">
                  <v:imagedata r:id="rId411" o:title=""/>
                </v:shape>
                <o:OLEObject Type="Embed" ProgID="Equation.DSMT4" ShapeID="_x0000_i1241" DrawAspect="Content" ObjectID="_1841834616" r:id="rId412"/>
              </w:object>
            </w:r>
          </w:p>
        </w:tc>
        <w:tc>
          <w:tcPr>
            <w:tcW w:w="361" w:type="pct"/>
            <w:tcBorders>
              <w:top w:val="nil"/>
              <w:left w:val="nil"/>
              <w:bottom w:val="single" w:sz="18" w:space="0" w:color="auto"/>
              <w:right w:val="nil"/>
            </w:tcBorders>
            <w:noWrap/>
            <w:vAlign w:val="center"/>
            <w:hideMark/>
          </w:tcPr>
          <w:p w14:paraId="3F94DD55" w14:textId="005AAD94" w:rsidR="00F54073" w:rsidRPr="00F54073" w:rsidRDefault="005F10C6" w:rsidP="00D77B01">
            <w:pPr>
              <w:spacing w:line="240" w:lineRule="auto"/>
              <w:jc w:val="center"/>
              <w:rPr>
                <w:rFonts w:eastAsia="Times New Roman" w:cs="Times New Roman"/>
                <w:color w:val="000000"/>
                <w:sz w:val="20"/>
                <w:szCs w:val="20"/>
              </w:rPr>
            </w:pPr>
            <w:r w:rsidRPr="00DF4DDF">
              <w:rPr>
                <w:position w:val="-12"/>
              </w:rPr>
              <w:object w:dxaOrig="240" w:dyaOrig="360" w14:anchorId="5DF7A3FB">
                <v:shape id="_x0000_i1242" type="#_x0000_t75" style="width:12pt;height:18.45pt" o:ole="">
                  <v:imagedata r:id="rId413" o:title=""/>
                </v:shape>
                <o:OLEObject Type="Embed" ProgID="Equation.DSMT4" ShapeID="_x0000_i1242" DrawAspect="Content" ObjectID="_1841834617" r:id="rId414"/>
              </w:object>
            </w:r>
          </w:p>
        </w:tc>
        <w:tc>
          <w:tcPr>
            <w:tcW w:w="378" w:type="pct"/>
            <w:tcBorders>
              <w:top w:val="nil"/>
              <w:left w:val="nil"/>
              <w:bottom w:val="single" w:sz="18" w:space="0" w:color="auto"/>
              <w:right w:val="nil"/>
            </w:tcBorders>
            <w:noWrap/>
            <w:vAlign w:val="center"/>
            <w:hideMark/>
          </w:tcPr>
          <w:p w14:paraId="4CFBEF01" w14:textId="514E4C61" w:rsidR="00F54073" w:rsidRPr="00F54073" w:rsidRDefault="003E01ED" w:rsidP="00D77B01">
            <w:pPr>
              <w:spacing w:line="240" w:lineRule="auto"/>
              <w:jc w:val="center"/>
              <w:rPr>
                <w:rFonts w:eastAsia="Times New Roman" w:cs="Times New Roman"/>
                <w:color w:val="000000"/>
                <w:sz w:val="20"/>
                <w:szCs w:val="20"/>
              </w:rPr>
            </w:pPr>
            <w:r w:rsidRPr="00DF4DDF">
              <w:rPr>
                <w:position w:val="-12"/>
              </w:rPr>
              <w:object w:dxaOrig="240" w:dyaOrig="360" w14:anchorId="706AA9FF">
                <v:shape id="_x0000_i1243" type="#_x0000_t75" style="width:12pt;height:18.45pt" o:ole="">
                  <v:imagedata r:id="rId415" o:title=""/>
                </v:shape>
                <o:OLEObject Type="Embed" ProgID="Equation.DSMT4" ShapeID="_x0000_i1243" DrawAspect="Content" ObjectID="_1841834618" r:id="rId416"/>
              </w:object>
            </w:r>
          </w:p>
        </w:tc>
        <w:tc>
          <w:tcPr>
            <w:tcW w:w="321" w:type="pct"/>
            <w:tcBorders>
              <w:top w:val="nil"/>
              <w:left w:val="nil"/>
              <w:bottom w:val="single" w:sz="18" w:space="0" w:color="auto"/>
              <w:right w:val="nil"/>
            </w:tcBorders>
            <w:noWrap/>
            <w:vAlign w:val="center"/>
            <w:hideMark/>
          </w:tcPr>
          <w:p w14:paraId="780CCD21" w14:textId="2A765A97" w:rsidR="00F54073" w:rsidRPr="00F54073" w:rsidRDefault="003E01ED" w:rsidP="00D77B01">
            <w:pPr>
              <w:spacing w:line="240" w:lineRule="auto"/>
              <w:jc w:val="center"/>
              <w:rPr>
                <w:rFonts w:eastAsia="Times New Roman" w:cs="Times New Roman"/>
                <w:color w:val="000000"/>
                <w:sz w:val="20"/>
                <w:szCs w:val="20"/>
              </w:rPr>
            </w:pPr>
            <w:r w:rsidRPr="00DF4DDF">
              <w:rPr>
                <w:position w:val="-12"/>
              </w:rPr>
              <w:object w:dxaOrig="240" w:dyaOrig="360" w14:anchorId="158BACF1">
                <v:shape id="_x0000_i1244" type="#_x0000_t75" style="width:12pt;height:18.45pt" o:ole="">
                  <v:imagedata r:id="rId417" o:title=""/>
                </v:shape>
                <o:OLEObject Type="Embed" ProgID="Equation.DSMT4" ShapeID="_x0000_i1244" DrawAspect="Content" ObjectID="_1841834619" r:id="rId418"/>
              </w:object>
            </w:r>
          </w:p>
        </w:tc>
        <w:tc>
          <w:tcPr>
            <w:tcW w:w="335" w:type="pct"/>
            <w:tcBorders>
              <w:top w:val="nil"/>
              <w:left w:val="nil"/>
              <w:bottom w:val="single" w:sz="18" w:space="0" w:color="auto"/>
              <w:right w:val="nil"/>
            </w:tcBorders>
            <w:noWrap/>
            <w:vAlign w:val="center"/>
            <w:hideMark/>
          </w:tcPr>
          <w:p w14:paraId="1E266E0A" w14:textId="2EB5E767" w:rsidR="00F54073" w:rsidRPr="00F54073" w:rsidRDefault="003E01ED" w:rsidP="00D77B01">
            <w:pPr>
              <w:spacing w:line="240" w:lineRule="auto"/>
              <w:jc w:val="center"/>
              <w:rPr>
                <w:rFonts w:eastAsia="Times New Roman" w:cs="Times New Roman"/>
                <w:color w:val="000000"/>
                <w:sz w:val="20"/>
                <w:szCs w:val="20"/>
              </w:rPr>
            </w:pPr>
            <w:r w:rsidRPr="00DF4DDF">
              <w:rPr>
                <w:position w:val="-12"/>
              </w:rPr>
              <w:object w:dxaOrig="279" w:dyaOrig="360" w14:anchorId="6E9E9D5D">
                <v:shape id="_x0000_i1245" type="#_x0000_t75" style="width:14.55pt;height:18.45pt" o:ole="">
                  <v:imagedata r:id="rId419" o:title=""/>
                </v:shape>
                <o:OLEObject Type="Embed" ProgID="Equation.DSMT4" ShapeID="_x0000_i1245" DrawAspect="Content" ObjectID="_1841834620" r:id="rId420"/>
              </w:object>
            </w:r>
          </w:p>
        </w:tc>
        <w:tc>
          <w:tcPr>
            <w:tcW w:w="321" w:type="pct"/>
            <w:tcBorders>
              <w:top w:val="nil"/>
              <w:left w:val="nil"/>
              <w:bottom w:val="single" w:sz="18" w:space="0" w:color="auto"/>
              <w:right w:val="single" w:sz="18" w:space="0" w:color="auto"/>
            </w:tcBorders>
            <w:noWrap/>
            <w:vAlign w:val="center"/>
            <w:hideMark/>
          </w:tcPr>
          <w:p w14:paraId="435843A2" w14:textId="2FDDCF8A" w:rsidR="00F54073" w:rsidRPr="00F54073" w:rsidRDefault="00527EA8" w:rsidP="00D77B01">
            <w:pPr>
              <w:spacing w:line="240" w:lineRule="auto"/>
              <w:jc w:val="center"/>
              <w:rPr>
                <w:rFonts w:eastAsia="Times New Roman" w:cs="Times New Roman"/>
                <w:color w:val="000000"/>
                <w:sz w:val="20"/>
                <w:szCs w:val="20"/>
              </w:rPr>
            </w:pPr>
            <w:r w:rsidRPr="00DF4DDF">
              <w:rPr>
                <w:position w:val="-12"/>
              </w:rPr>
              <w:object w:dxaOrig="260" w:dyaOrig="360" w14:anchorId="7767F23C">
                <v:shape id="_x0000_i1246" type="#_x0000_t75" style="width:13.7pt;height:18.45pt" o:ole="">
                  <v:imagedata r:id="rId421" o:title=""/>
                </v:shape>
                <o:OLEObject Type="Embed" ProgID="Equation.DSMT4" ShapeID="_x0000_i1246" DrawAspect="Content" ObjectID="_1841834621" r:id="rId422"/>
              </w:object>
            </w:r>
          </w:p>
        </w:tc>
      </w:tr>
      <w:tr w:rsidR="00F54073" w:rsidRPr="00F54073" w14:paraId="59774B8F" w14:textId="77777777" w:rsidTr="00BB7CF5">
        <w:trPr>
          <w:trHeight w:val="295"/>
          <w:jc w:val="center"/>
        </w:trPr>
        <w:tc>
          <w:tcPr>
            <w:tcW w:w="1331" w:type="pct"/>
            <w:tcBorders>
              <w:top w:val="single" w:sz="18" w:space="0" w:color="auto"/>
              <w:left w:val="single" w:sz="18" w:space="0" w:color="auto"/>
              <w:bottom w:val="nil"/>
              <w:right w:val="single" w:sz="18" w:space="0" w:color="auto"/>
            </w:tcBorders>
            <w:noWrap/>
            <w:vAlign w:val="center"/>
            <w:hideMark/>
          </w:tcPr>
          <w:p w14:paraId="01A8ED28"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True Values</w:t>
            </w:r>
          </w:p>
        </w:tc>
        <w:tc>
          <w:tcPr>
            <w:tcW w:w="321" w:type="pct"/>
            <w:tcBorders>
              <w:top w:val="single" w:sz="18" w:space="0" w:color="auto"/>
              <w:left w:val="single" w:sz="18" w:space="0" w:color="auto"/>
              <w:bottom w:val="nil"/>
              <w:right w:val="nil"/>
            </w:tcBorders>
            <w:noWrap/>
            <w:vAlign w:val="center"/>
            <w:hideMark/>
          </w:tcPr>
          <w:p w14:paraId="489ED0E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-0.500</w:t>
            </w:r>
          </w:p>
        </w:tc>
        <w:tc>
          <w:tcPr>
            <w:tcW w:w="335" w:type="pct"/>
            <w:tcBorders>
              <w:top w:val="single" w:sz="18" w:space="0" w:color="auto"/>
              <w:left w:val="nil"/>
              <w:bottom w:val="nil"/>
              <w:right w:val="nil"/>
            </w:tcBorders>
            <w:noWrap/>
            <w:vAlign w:val="center"/>
            <w:hideMark/>
          </w:tcPr>
          <w:p w14:paraId="0FC1F330"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0.250</w:t>
            </w:r>
          </w:p>
        </w:tc>
        <w:tc>
          <w:tcPr>
            <w:tcW w:w="335" w:type="pct"/>
            <w:tcBorders>
              <w:top w:val="single" w:sz="18" w:space="0" w:color="auto"/>
              <w:left w:val="nil"/>
              <w:bottom w:val="nil"/>
              <w:right w:val="nil"/>
            </w:tcBorders>
            <w:noWrap/>
            <w:vAlign w:val="center"/>
            <w:hideMark/>
          </w:tcPr>
          <w:p w14:paraId="1E9B244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0.500</w:t>
            </w:r>
          </w:p>
        </w:tc>
        <w:tc>
          <w:tcPr>
            <w:tcW w:w="321" w:type="pct"/>
            <w:tcBorders>
              <w:top w:val="single" w:sz="18" w:space="0" w:color="auto"/>
              <w:left w:val="nil"/>
              <w:bottom w:val="nil"/>
              <w:right w:val="nil"/>
            </w:tcBorders>
            <w:noWrap/>
            <w:vAlign w:val="center"/>
            <w:hideMark/>
          </w:tcPr>
          <w:p w14:paraId="40CB4EDF"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0.350</w:t>
            </w:r>
          </w:p>
        </w:tc>
        <w:tc>
          <w:tcPr>
            <w:tcW w:w="321" w:type="pct"/>
            <w:tcBorders>
              <w:top w:val="single" w:sz="18" w:space="0" w:color="auto"/>
              <w:left w:val="nil"/>
              <w:bottom w:val="nil"/>
              <w:right w:val="nil"/>
            </w:tcBorders>
            <w:noWrap/>
            <w:vAlign w:val="center"/>
            <w:hideMark/>
          </w:tcPr>
          <w:p w14:paraId="529D98C0"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0.200</w:t>
            </w:r>
          </w:p>
        </w:tc>
        <w:tc>
          <w:tcPr>
            <w:tcW w:w="321" w:type="pct"/>
            <w:tcBorders>
              <w:top w:val="single" w:sz="18" w:space="0" w:color="auto"/>
              <w:left w:val="nil"/>
              <w:bottom w:val="nil"/>
              <w:right w:val="nil"/>
            </w:tcBorders>
            <w:noWrap/>
            <w:vAlign w:val="center"/>
            <w:hideMark/>
          </w:tcPr>
          <w:p w14:paraId="02F9F27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0.300</w:t>
            </w:r>
          </w:p>
        </w:tc>
        <w:tc>
          <w:tcPr>
            <w:tcW w:w="361" w:type="pct"/>
            <w:tcBorders>
              <w:top w:val="single" w:sz="18" w:space="0" w:color="auto"/>
              <w:left w:val="nil"/>
              <w:bottom w:val="nil"/>
              <w:right w:val="nil"/>
            </w:tcBorders>
            <w:noWrap/>
            <w:vAlign w:val="center"/>
            <w:hideMark/>
          </w:tcPr>
          <w:p w14:paraId="49D87F19"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0.500</w:t>
            </w:r>
          </w:p>
        </w:tc>
        <w:tc>
          <w:tcPr>
            <w:tcW w:w="378" w:type="pct"/>
            <w:tcBorders>
              <w:top w:val="single" w:sz="18" w:space="0" w:color="auto"/>
              <w:left w:val="nil"/>
              <w:bottom w:val="nil"/>
              <w:right w:val="nil"/>
            </w:tcBorders>
            <w:noWrap/>
            <w:vAlign w:val="center"/>
            <w:hideMark/>
          </w:tcPr>
          <w:p w14:paraId="1190CC30"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0.350</w:t>
            </w:r>
          </w:p>
        </w:tc>
        <w:tc>
          <w:tcPr>
            <w:tcW w:w="321" w:type="pct"/>
            <w:tcBorders>
              <w:top w:val="single" w:sz="18" w:space="0" w:color="auto"/>
              <w:left w:val="nil"/>
              <w:bottom w:val="nil"/>
              <w:right w:val="nil"/>
            </w:tcBorders>
            <w:noWrap/>
            <w:vAlign w:val="center"/>
            <w:hideMark/>
          </w:tcPr>
          <w:p w14:paraId="7AF5F958"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0.250</w:t>
            </w:r>
          </w:p>
        </w:tc>
        <w:tc>
          <w:tcPr>
            <w:tcW w:w="335" w:type="pct"/>
            <w:tcBorders>
              <w:top w:val="single" w:sz="18" w:space="0" w:color="auto"/>
              <w:left w:val="nil"/>
              <w:bottom w:val="nil"/>
              <w:right w:val="nil"/>
            </w:tcBorders>
            <w:noWrap/>
            <w:vAlign w:val="center"/>
            <w:hideMark/>
          </w:tcPr>
          <w:p w14:paraId="496B8FB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0.550</w:t>
            </w:r>
          </w:p>
        </w:tc>
        <w:tc>
          <w:tcPr>
            <w:tcW w:w="321" w:type="pct"/>
            <w:tcBorders>
              <w:top w:val="single" w:sz="18" w:space="0" w:color="auto"/>
              <w:left w:val="nil"/>
              <w:bottom w:val="nil"/>
              <w:right w:val="single" w:sz="18" w:space="0" w:color="auto"/>
            </w:tcBorders>
            <w:noWrap/>
            <w:vAlign w:val="center"/>
            <w:hideMark/>
          </w:tcPr>
          <w:p w14:paraId="3E763FB8"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1.450</w:t>
            </w:r>
          </w:p>
        </w:tc>
      </w:tr>
      <w:tr w:rsidR="00F54073" w:rsidRPr="00F54073" w14:paraId="5CB1A124"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509AA55C"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Mean Parameter Estimate</w:t>
            </w:r>
          </w:p>
        </w:tc>
        <w:tc>
          <w:tcPr>
            <w:tcW w:w="321" w:type="pct"/>
            <w:tcBorders>
              <w:top w:val="nil"/>
              <w:left w:val="single" w:sz="18" w:space="0" w:color="auto"/>
              <w:bottom w:val="nil"/>
              <w:right w:val="nil"/>
            </w:tcBorders>
            <w:noWrap/>
            <w:vAlign w:val="center"/>
            <w:hideMark/>
          </w:tcPr>
          <w:p w14:paraId="57C6904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-0.499</w:t>
            </w:r>
          </w:p>
        </w:tc>
        <w:tc>
          <w:tcPr>
            <w:tcW w:w="335" w:type="pct"/>
            <w:tcBorders>
              <w:top w:val="nil"/>
              <w:left w:val="nil"/>
              <w:bottom w:val="nil"/>
              <w:right w:val="nil"/>
            </w:tcBorders>
            <w:noWrap/>
            <w:vAlign w:val="center"/>
            <w:hideMark/>
          </w:tcPr>
          <w:p w14:paraId="779A46D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0.248</w:t>
            </w:r>
          </w:p>
        </w:tc>
        <w:tc>
          <w:tcPr>
            <w:tcW w:w="335" w:type="pct"/>
            <w:tcBorders>
              <w:top w:val="nil"/>
              <w:left w:val="nil"/>
              <w:bottom w:val="nil"/>
              <w:right w:val="nil"/>
            </w:tcBorders>
            <w:noWrap/>
            <w:vAlign w:val="center"/>
            <w:hideMark/>
          </w:tcPr>
          <w:p w14:paraId="749D804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0.497</w:t>
            </w:r>
          </w:p>
        </w:tc>
        <w:tc>
          <w:tcPr>
            <w:tcW w:w="321" w:type="pct"/>
            <w:tcBorders>
              <w:top w:val="nil"/>
              <w:left w:val="nil"/>
              <w:bottom w:val="nil"/>
              <w:right w:val="nil"/>
            </w:tcBorders>
            <w:noWrap/>
            <w:vAlign w:val="center"/>
            <w:hideMark/>
          </w:tcPr>
          <w:p w14:paraId="594EDE29"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0.348</w:t>
            </w:r>
          </w:p>
        </w:tc>
        <w:tc>
          <w:tcPr>
            <w:tcW w:w="321" w:type="pct"/>
            <w:tcBorders>
              <w:top w:val="nil"/>
              <w:left w:val="nil"/>
              <w:bottom w:val="nil"/>
              <w:right w:val="nil"/>
            </w:tcBorders>
            <w:noWrap/>
            <w:vAlign w:val="center"/>
            <w:hideMark/>
          </w:tcPr>
          <w:p w14:paraId="41ADB7E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0.207</w:t>
            </w:r>
          </w:p>
        </w:tc>
        <w:tc>
          <w:tcPr>
            <w:tcW w:w="321" w:type="pct"/>
            <w:tcBorders>
              <w:top w:val="nil"/>
              <w:left w:val="nil"/>
              <w:bottom w:val="nil"/>
              <w:right w:val="nil"/>
            </w:tcBorders>
            <w:noWrap/>
            <w:vAlign w:val="center"/>
            <w:hideMark/>
          </w:tcPr>
          <w:p w14:paraId="407570D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0.294</w:t>
            </w:r>
          </w:p>
        </w:tc>
        <w:tc>
          <w:tcPr>
            <w:tcW w:w="361" w:type="pct"/>
            <w:tcBorders>
              <w:top w:val="nil"/>
              <w:left w:val="nil"/>
              <w:bottom w:val="nil"/>
              <w:right w:val="nil"/>
            </w:tcBorders>
            <w:noWrap/>
            <w:vAlign w:val="center"/>
            <w:hideMark/>
          </w:tcPr>
          <w:p w14:paraId="7477947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0.496</w:t>
            </w:r>
          </w:p>
        </w:tc>
        <w:tc>
          <w:tcPr>
            <w:tcW w:w="378" w:type="pct"/>
            <w:tcBorders>
              <w:top w:val="nil"/>
              <w:left w:val="nil"/>
              <w:bottom w:val="nil"/>
              <w:right w:val="nil"/>
            </w:tcBorders>
            <w:noWrap/>
            <w:vAlign w:val="center"/>
            <w:hideMark/>
          </w:tcPr>
          <w:p w14:paraId="2A88872F"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0.352</w:t>
            </w:r>
          </w:p>
        </w:tc>
        <w:tc>
          <w:tcPr>
            <w:tcW w:w="321" w:type="pct"/>
            <w:tcBorders>
              <w:top w:val="nil"/>
              <w:left w:val="nil"/>
              <w:bottom w:val="nil"/>
              <w:right w:val="nil"/>
            </w:tcBorders>
            <w:noWrap/>
            <w:vAlign w:val="center"/>
            <w:hideMark/>
          </w:tcPr>
          <w:p w14:paraId="52B6CEA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0.253</w:t>
            </w:r>
          </w:p>
        </w:tc>
        <w:tc>
          <w:tcPr>
            <w:tcW w:w="335" w:type="pct"/>
            <w:tcBorders>
              <w:top w:val="nil"/>
              <w:left w:val="nil"/>
              <w:bottom w:val="nil"/>
              <w:right w:val="nil"/>
            </w:tcBorders>
            <w:noWrap/>
            <w:vAlign w:val="center"/>
            <w:hideMark/>
          </w:tcPr>
          <w:p w14:paraId="4A226F1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0.554</w:t>
            </w:r>
          </w:p>
        </w:tc>
        <w:tc>
          <w:tcPr>
            <w:tcW w:w="321" w:type="pct"/>
            <w:tcBorders>
              <w:top w:val="nil"/>
              <w:left w:val="nil"/>
              <w:bottom w:val="nil"/>
              <w:right w:val="single" w:sz="18" w:space="0" w:color="auto"/>
            </w:tcBorders>
            <w:noWrap/>
            <w:vAlign w:val="center"/>
            <w:hideMark/>
          </w:tcPr>
          <w:p w14:paraId="260D062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1.454</w:t>
            </w:r>
          </w:p>
        </w:tc>
      </w:tr>
      <w:tr w:rsidR="00F54073" w:rsidRPr="00F54073" w14:paraId="32EF101C"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257FCAE8"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APB</w:t>
            </w:r>
          </w:p>
        </w:tc>
        <w:tc>
          <w:tcPr>
            <w:tcW w:w="321" w:type="pct"/>
            <w:tcBorders>
              <w:top w:val="nil"/>
              <w:left w:val="single" w:sz="18" w:space="0" w:color="auto"/>
              <w:bottom w:val="nil"/>
              <w:right w:val="nil"/>
            </w:tcBorders>
            <w:noWrap/>
            <w:vAlign w:val="center"/>
            <w:hideMark/>
          </w:tcPr>
          <w:p w14:paraId="3297DE2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0.285</w:t>
            </w:r>
          </w:p>
        </w:tc>
        <w:tc>
          <w:tcPr>
            <w:tcW w:w="335" w:type="pct"/>
            <w:tcBorders>
              <w:top w:val="nil"/>
              <w:left w:val="nil"/>
              <w:bottom w:val="nil"/>
              <w:right w:val="nil"/>
            </w:tcBorders>
            <w:noWrap/>
            <w:vAlign w:val="center"/>
            <w:hideMark/>
          </w:tcPr>
          <w:p w14:paraId="0733518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0.971</w:t>
            </w:r>
          </w:p>
        </w:tc>
        <w:tc>
          <w:tcPr>
            <w:tcW w:w="335" w:type="pct"/>
            <w:tcBorders>
              <w:top w:val="nil"/>
              <w:left w:val="nil"/>
              <w:bottom w:val="nil"/>
              <w:right w:val="nil"/>
            </w:tcBorders>
            <w:noWrap/>
            <w:vAlign w:val="center"/>
            <w:hideMark/>
          </w:tcPr>
          <w:p w14:paraId="56CB27B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0.671</w:t>
            </w:r>
          </w:p>
        </w:tc>
        <w:tc>
          <w:tcPr>
            <w:tcW w:w="321" w:type="pct"/>
            <w:tcBorders>
              <w:top w:val="nil"/>
              <w:left w:val="nil"/>
              <w:bottom w:val="nil"/>
              <w:right w:val="nil"/>
            </w:tcBorders>
            <w:noWrap/>
            <w:vAlign w:val="center"/>
            <w:hideMark/>
          </w:tcPr>
          <w:p w14:paraId="4AC0885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0.617</w:t>
            </w:r>
          </w:p>
        </w:tc>
        <w:tc>
          <w:tcPr>
            <w:tcW w:w="321" w:type="pct"/>
            <w:tcBorders>
              <w:top w:val="nil"/>
              <w:left w:val="nil"/>
              <w:bottom w:val="nil"/>
              <w:right w:val="nil"/>
            </w:tcBorders>
            <w:noWrap/>
            <w:vAlign w:val="center"/>
            <w:hideMark/>
          </w:tcPr>
          <w:p w14:paraId="573BC6D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3.465</w:t>
            </w:r>
          </w:p>
        </w:tc>
        <w:tc>
          <w:tcPr>
            <w:tcW w:w="321" w:type="pct"/>
            <w:tcBorders>
              <w:top w:val="nil"/>
              <w:left w:val="nil"/>
              <w:bottom w:val="nil"/>
              <w:right w:val="nil"/>
            </w:tcBorders>
            <w:noWrap/>
            <w:vAlign w:val="center"/>
            <w:hideMark/>
          </w:tcPr>
          <w:p w14:paraId="2B48711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2.076</w:t>
            </w:r>
          </w:p>
        </w:tc>
        <w:tc>
          <w:tcPr>
            <w:tcW w:w="361" w:type="pct"/>
            <w:tcBorders>
              <w:top w:val="nil"/>
              <w:left w:val="nil"/>
              <w:bottom w:val="nil"/>
              <w:right w:val="nil"/>
            </w:tcBorders>
            <w:noWrap/>
            <w:vAlign w:val="center"/>
            <w:hideMark/>
          </w:tcPr>
          <w:p w14:paraId="1527354F"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0.813</w:t>
            </w:r>
          </w:p>
        </w:tc>
        <w:tc>
          <w:tcPr>
            <w:tcW w:w="378" w:type="pct"/>
            <w:tcBorders>
              <w:top w:val="nil"/>
              <w:left w:val="nil"/>
              <w:bottom w:val="nil"/>
              <w:right w:val="nil"/>
            </w:tcBorders>
            <w:noWrap/>
            <w:vAlign w:val="center"/>
            <w:hideMark/>
          </w:tcPr>
          <w:p w14:paraId="1C34C2C9"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0.533</w:t>
            </w:r>
          </w:p>
        </w:tc>
        <w:tc>
          <w:tcPr>
            <w:tcW w:w="321" w:type="pct"/>
            <w:tcBorders>
              <w:top w:val="nil"/>
              <w:left w:val="nil"/>
              <w:bottom w:val="nil"/>
              <w:right w:val="nil"/>
            </w:tcBorders>
            <w:noWrap/>
            <w:vAlign w:val="center"/>
            <w:hideMark/>
          </w:tcPr>
          <w:p w14:paraId="2F215D81"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1.072</w:t>
            </w:r>
          </w:p>
        </w:tc>
        <w:tc>
          <w:tcPr>
            <w:tcW w:w="335" w:type="pct"/>
            <w:tcBorders>
              <w:top w:val="nil"/>
              <w:left w:val="nil"/>
              <w:bottom w:val="nil"/>
              <w:right w:val="nil"/>
            </w:tcBorders>
            <w:noWrap/>
            <w:vAlign w:val="center"/>
            <w:hideMark/>
          </w:tcPr>
          <w:p w14:paraId="2E0CF874"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0.747</w:t>
            </w:r>
          </w:p>
        </w:tc>
        <w:tc>
          <w:tcPr>
            <w:tcW w:w="321" w:type="pct"/>
            <w:tcBorders>
              <w:top w:val="nil"/>
              <w:left w:val="nil"/>
              <w:bottom w:val="nil"/>
              <w:right w:val="single" w:sz="18" w:space="0" w:color="auto"/>
            </w:tcBorders>
            <w:noWrap/>
            <w:vAlign w:val="center"/>
            <w:hideMark/>
          </w:tcPr>
          <w:p w14:paraId="42A444C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0.249</w:t>
            </w:r>
          </w:p>
        </w:tc>
      </w:tr>
      <w:tr w:rsidR="00F54073" w:rsidRPr="00F54073" w14:paraId="5EC5026F"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1849D425"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CP</w:t>
            </w:r>
          </w:p>
        </w:tc>
        <w:tc>
          <w:tcPr>
            <w:tcW w:w="321" w:type="pct"/>
            <w:tcBorders>
              <w:top w:val="nil"/>
              <w:left w:val="single" w:sz="18" w:space="0" w:color="auto"/>
              <w:bottom w:val="nil"/>
              <w:right w:val="nil"/>
            </w:tcBorders>
            <w:noWrap/>
            <w:vAlign w:val="center"/>
            <w:hideMark/>
          </w:tcPr>
          <w:p w14:paraId="635C5E57" w14:textId="229E1EB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93.2</w:t>
            </w:r>
            <w:r w:rsidR="000C72C2">
              <w:rPr>
                <w:rFonts w:eastAsia="Times New Roman" w:cs="Times New Roman"/>
                <w:color w:val="000000"/>
                <w:sz w:val="20"/>
                <w:szCs w:val="20"/>
              </w:rPr>
              <w:t>00</w:t>
            </w:r>
          </w:p>
        </w:tc>
        <w:tc>
          <w:tcPr>
            <w:tcW w:w="335" w:type="pct"/>
            <w:tcBorders>
              <w:top w:val="nil"/>
              <w:left w:val="nil"/>
              <w:bottom w:val="nil"/>
              <w:right w:val="nil"/>
            </w:tcBorders>
            <w:noWrap/>
            <w:vAlign w:val="center"/>
            <w:hideMark/>
          </w:tcPr>
          <w:p w14:paraId="699C13B5" w14:textId="62A8739E"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92.0</w:t>
            </w:r>
            <w:r w:rsidR="000C72C2">
              <w:rPr>
                <w:rFonts w:eastAsia="Times New Roman" w:cs="Times New Roman"/>
                <w:color w:val="000000"/>
                <w:sz w:val="20"/>
                <w:szCs w:val="20"/>
              </w:rPr>
              <w:t>00</w:t>
            </w:r>
          </w:p>
        </w:tc>
        <w:tc>
          <w:tcPr>
            <w:tcW w:w="335" w:type="pct"/>
            <w:tcBorders>
              <w:top w:val="nil"/>
              <w:left w:val="nil"/>
              <w:bottom w:val="nil"/>
              <w:right w:val="nil"/>
            </w:tcBorders>
            <w:noWrap/>
            <w:vAlign w:val="center"/>
            <w:hideMark/>
          </w:tcPr>
          <w:p w14:paraId="23ACFA5F" w14:textId="6C98D8AF"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91.2</w:t>
            </w:r>
            <w:r w:rsidR="000C72C2">
              <w:rPr>
                <w:rFonts w:eastAsia="Times New Roman" w:cs="Times New Roman"/>
                <w:color w:val="000000"/>
                <w:sz w:val="20"/>
                <w:szCs w:val="20"/>
              </w:rPr>
              <w:t>00</w:t>
            </w:r>
          </w:p>
        </w:tc>
        <w:tc>
          <w:tcPr>
            <w:tcW w:w="321" w:type="pct"/>
            <w:tcBorders>
              <w:top w:val="nil"/>
              <w:left w:val="nil"/>
              <w:bottom w:val="nil"/>
              <w:right w:val="nil"/>
            </w:tcBorders>
            <w:noWrap/>
            <w:vAlign w:val="center"/>
            <w:hideMark/>
          </w:tcPr>
          <w:p w14:paraId="3E0DCC67" w14:textId="49232FC8"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96.4</w:t>
            </w:r>
            <w:r w:rsidR="000C72C2">
              <w:rPr>
                <w:rFonts w:eastAsia="Times New Roman" w:cs="Times New Roman"/>
                <w:color w:val="000000"/>
                <w:sz w:val="20"/>
                <w:szCs w:val="20"/>
              </w:rPr>
              <w:t>00</w:t>
            </w:r>
          </w:p>
        </w:tc>
        <w:tc>
          <w:tcPr>
            <w:tcW w:w="321" w:type="pct"/>
            <w:tcBorders>
              <w:top w:val="nil"/>
              <w:left w:val="nil"/>
              <w:bottom w:val="nil"/>
              <w:right w:val="nil"/>
            </w:tcBorders>
            <w:noWrap/>
            <w:vAlign w:val="center"/>
            <w:hideMark/>
          </w:tcPr>
          <w:p w14:paraId="3267669B" w14:textId="71119A2E"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94.4</w:t>
            </w:r>
            <w:r w:rsidR="000C72C2">
              <w:rPr>
                <w:rFonts w:eastAsia="Times New Roman" w:cs="Times New Roman"/>
                <w:color w:val="000000"/>
                <w:sz w:val="20"/>
                <w:szCs w:val="20"/>
              </w:rPr>
              <w:t>00</w:t>
            </w:r>
          </w:p>
        </w:tc>
        <w:tc>
          <w:tcPr>
            <w:tcW w:w="321" w:type="pct"/>
            <w:tcBorders>
              <w:top w:val="nil"/>
              <w:left w:val="nil"/>
              <w:bottom w:val="nil"/>
              <w:right w:val="nil"/>
            </w:tcBorders>
            <w:noWrap/>
            <w:vAlign w:val="center"/>
            <w:hideMark/>
          </w:tcPr>
          <w:p w14:paraId="43D82452" w14:textId="61A2AE89"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92.8</w:t>
            </w:r>
            <w:r w:rsidR="000C72C2">
              <w:rPr>
                <w:rFonts w:eastAsia="Times New Roman" w:cs="Times New Roman"/>
                <w:color w:val="000000"/>
                <w:sz w:val="20"/>
                <w:szCs w:val="20"/>
              </w:rPr>
              <w:t>00</w:t>
            </w:r>
          </w:p>
        </w:tc>
        <w:tc>
          <w:tcPr>
            <w:tcW w:w="361" w:type="pct"/>
            <w:tcBorders>
              <w:top w:val="nil"/>
              <w:left w:val="nil"/>
              <w:bottom w:val="nil"/>
              <w:right w:val="nil"/>
            </w:tcBorders>
            <w:noWrap/>
            <w:vAlign w:val="center"/>
            <w:hideMark/>
          </w:tcPr>
          <w:p w14:paraId="55F639BA" w14:textId="69A01F5E"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96.0</w:t>
            </w:r>
            <w:r w:rsidR="000C72C2">
              <w:rPr>
                <w:rFonts w:eastAsia="Times New Roman" w:cs="Times New Roman"/>
                <w:color w:val="000000"/>
                <w:sz w:val="20"/>
                <w:szCs w:val="20"/>
              </w:rPr>
              <w:t>00</w:t>
            </w:r>
          </w:p>
        </w:tc>
        <w:tc>
          <w:tcPr>
            <w:tcW w:w="378" w:type="pct"/>
            <w:tcBorders>
              <w:top w:val="nil"/>
              <w:left w:val="nil"/>
              <w:bottom w:val="nil"/>
              <w:right w:val="nil"/>
            </w:tcBorders>
            <w:noWrap/>
            <w:vAlign w:val="center"/>
            <w:hideMark/>
          </w:tcPr>
          <w:p w14:paraId="6211698A" w14:textId="0F10827E"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95.6</w:t>
            </w:r>
            <w:r w:rsidR="000C72C2">
              <w:rPr>
                <w:rFonts w:eastAsia="Times New Roman" w:cs="Times New Roman"/>
                <w:color w:val="000000"/>
                <w:sz w:val="20"/>
                <w:szCs w:val="20"/>
              </w:rPr>
              <w:t>00</w:t>
            </w:r>
          </w:p>
        </w:tc>
        <w:tc>
          <w:tcPr>
            <w:tcW w:w="321" w:type="pct"/>
            <w:tcBorders>
              <w:top w:val="nil"/>
              <w:left w:val="nil"/>
              <w:bottom w:val="nil"/>
              <w:right w:val="nil"/>
            </w:tcBorders>
            <w:noWrap/>
            <w:vAlign w:val="center"/>
            <w:hideMark/>
          </w:tcPr>
          <w:p w14:paraId="510AAC39" w14:textId="2657CFCA"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90.4</w:t>
            </w:r>
            <w:r w:rsidR="000C72C2">
              <w:rPr>
                <w:rFonts w:eastAsia="Times New Roman" w:cs="Times New Roman"/>
                <w:color w:val="000000"/>
                <w:sz w:val="20"/>
                <w:szCs w:val="20"/>
              </w:rPr>
              <w:t>00</w:t>
            </w:r>
          </w:p>
        </w:tc>
        <w:tc>
          <w:tcPr>
            <w:tcW w:w="335" w:type="pct"/>
            <w:tcBorders>
              <w:top w:val="nil"/>
              <w:left w:val="nil"/>
              <w:bottom w:val="nil"/>
              <w:right w:val="nil"/>
            </w:tcBorders>
            <w:noWrap/>
            <w:vAlign w:val="center"/>
            <w:hideMark/>
          </w:tcPr>
          <w:p w14:paraId="217DDF6D" w14:textId="7DEE2514"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96.8</w:t>
            </w:r>
            <w:r w:rsidR="000C72C2">
              <w:rPr>
                <w:rFonts w:eastAsia="Times New Roman" w:cs="Times New Roman"/>
                <w:color w:val="000000"/>
                <w:sz w:val="20"/>
                <w:szCs w:val="20"/>
              </w:rPr>
              <w:t>00</w:t>
            </w:r>
          </w:p>
        </w:tc>
        <w:tc>
          <w:tcPr>
            <w:tcW w:w="321" w:type="pct"/>
            <w:tcBorders>
              <w:top w:val="nil"/>
              <w:left w:val="nil"/>
              <w:bottom w:val="nil"/>
              <w:right w:val="single" w:sz="18" w:space="0" w:color="auto"/>
            </w:tcBorders>
            <w:noWrap/>
            <w:vAlign w:val="center"/>
            <w:hideMark/>
          </w:tcPr>
          <w:p w14:paraId="74F10E78" w14:textId="5EEFFC22"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94.0</w:t>
            </w:r>
            <w:r w:rsidR="000C72C2">
              <w:rPr>
                <w:rFonts w:eastAsia="Times New Roman" w:cs="Times New Roman"/>
                <w:color w:val="000000"/>
                <w:sz w:val="20"/>
                <w:szCs w:val="20"/>
              </w:rPr>
              <w:t>00</w:t>
            </w:r>
          </w:p>
        </w:tc>
      </w:tr>
      <w:tr w:rsidR="00F54073" w:rsidRPr="00F54073" w14:paraId="40E9E2AF"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46FB4B71"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FSSD</w:t>
            </w:r>
          </w:p>
        </w:tc>
        <w:tc>
          <w:tcPr>
            <w:tcW w:w="321" w:type="pct"/>
            <w:tcBorders>
              <w:top w:val="nil"/>
              <w:left w:val="single" w:sz="18" w:space="0" w:color="auto"/>
              <w:bottom w:val="nil"/>
              <w:right w:val="nil"/>
            </w:tcBorders>
            <w:noWrap/>
            <w:vAlign w:val="center"/>
            <w:hideMark/>
          </w:tcPr>
          <w:p w14:paraId="318A1634"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0.019</w:t>
            </w:r>
          </w:p>
        </w:tc>
        <w:tc>
          <w:tcPr>
            <w:tcW w:w="335" w:type="pct"/>
            <w:tcBorders>
              <w:top w:val="nil"/>
              <w:left w:val="nil"/>
              <w:bottom w:val="nil"/>
              <w:right w:val="nil"/>
            </w:tcBorders>
            <w:noWrap/>
            <w:vAlign w:val="center"/>
            <w:hideMark/>
          </w:tcPr>
          <w:p w14:paraId="19828EC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0.032</w:t>
            </w:r>
          </w:p>
        </w:tc>
        <w:tc>
          <w:tcPr>
            <w:tcW w:w="335" w:type="pct"/>
            <w:tcBorders>
              <w:top w:val="nil"/>
              <w:left w:val="nil"/>
              <w:bottom w:val="nil"/>
              <w:right w:val="nil"/>
            </w:tcBorders>
            <w:noWrap/>
            <w:vAlign w:val="center"/>
            <w:hideMark/>
          </w:tcPr>
          <w:p w14:paraId="40AD1402"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0.038</w:t>
            </w:r>
          </w:p>
        </w:tc>
        <w:tc>
          <w:tcPr>
            <w:tcW w:w="321" w:type="pct"/>
            <w:tcBorders>
              <w:top w:val="nil"/>
              <w:left w:val="nil"/>
              <w:bottom w:val="nil"/>
              <w:right w:val="nil"/>
            </w:tcBorders>
            <w:noWrap/>
            <w:vAlign w:val="center"/>
            <w:hideMark/>
          </w:tcPr>
          <w:p w14:paraId="4AE559C8"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0.050</w:t>
            </w:r>
          </w:p>
        </w:tc>
        <w:tc>
          <w:tcPr>
            <w:tcW w:w="321" w:type="pct"/>
            <w:tcBorders>
              <w:top w:val="nil"/>
              <w:left w:val="nil"/>
              <w:bottom w:val="nil"/>
              <w:right w:val="nil"/>
            </w:tcBorders>
            <w:noWrap/>
            <w:vAlign w:val="center"/>
            <w:hideMark/>
          </w:tcPr>
          <w:p w14:paraId="5BB22B51"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0.074</w:t>
            </w:r>
          </w:p>
        </w:tc>
        <w:tc>
          <w:tcPr>
            <w:tcW w:w="321" w:type="pct"/>
            <w:tcBorders>
              <w:top w:val="nil"/>
              <w:left w:val="nil"/>
              <w:bottom w:val="nil"/>
              <w:right w:val="nil"/>
            </w:tcBorders>
            <w:noWrap/>
            <w:vAlign w:val="center"/>
            <w:hideMark/>
          </w:tcPr>
          <w:p w14:paraId="5D349E3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0.067</w:t>
            </w:r>
          </w:p>
        </w:tc>
        <w:tc>
          <w:tcPr>
            <w:tcW w:w="361" w:type="pct"/>
            <w:tcBorders>
              <w:top w:val="nil"/>
              <w:left w:val="nil"/>
              <w:bottom w:val="nil"/>
              <w:right w:val="nil"/>
            </w:tcBorders>
            <w:noWrap/>
            <w:vAlign w:val="center"/>
            <w:hideMark/>
          </w:tcPr>
          <w:p w14:paraId="46A66B03"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0.039</w:t>
            </w:r>
          </w:p>
        </w:tc>
        <w:tc>
          <w:tcPr>
            <w:tcW w:w="378" w:type="pct"/>
            <w:tcBorders>
              <w:top w:val="nil"/>
              <w:left w:val="nil"/>
              <w:bottom w:val="nil"/>
              <w:right w:val="nil"/>
            </w:tcBorders>
            <w:noWrap/>
            <w:vAlign w:val="center"/>
            <w:hideMark/>
          </w:tcPr>
          <w:p w14:paraId="7964336B"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0.041</w:t>
            </w:r>
          </w:p>
        </w:tc>
        <w:tc>
          <w:tcPr>
            <w:tcW w:w="321" w:type="pct"/>
            <w:tcBorders>
              <w:top w:val="nil"/>
              <w:left w:val="nil"/>
              <w:bottom w:val="nil"/>
              <w:right w:val="nil"/>
            </w:tcBorders>
            <w:noWrap/>
            <w:vAlign w:val="center"/>
            <w:hideMark/>
          </w:tcPr>
          <w:p w14:paraId="14158E34"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0.062</w:t>
            </w:r>
          </w:p>
        </w:tc>
        <w:tc>
          <w:tcPr>
            <w:tcW w:w="335" w:type="pct"/>
            <w:tcBorders>
              <w:top w:val="nil"/>
              <w:left w:val="nil"/>
              <w:bottom w:val="nil"/>
              <w:right w:val="nil"/>
            </w:tcBorders>
            <w:noWrap/>
            <w:vAlign w:val="center"/>
            <w:hideMark/>
          </w:tcPr>
          <w:p w14:paraId="19FD1DF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0.122</w:t>
            </w:r>
          </w:p>
        </w:tc>
        <w:tc>
          <w:tcPr>
            <w:tcW w:w="321" w:type="pct"/>
            <w:tcBorders>
              <w:top w:val="nil"/>
              <w:left w:val="nil"/>
              <w:bottom w:val="nil"/>
              <w:right w:val="single" w:sz="18" w:space="0" w:color="auto"/>
            </w:tcBorders>
            <w:noWrap/>
            <w:vAlign w:val="center"/>
            <w:hideMark/>
          </w:tcPr>
          <w:p w14:paraId="1E731B4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0.071</w:t>
            </w:r>
          </w:p>
        </w:tc>
      </w:tr>
      <w:tr w:rsidR="00F54073" w:rsidRPr="00F54073" w14:paraId="3E1ABA58"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67AA2B63"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ASE</w:t>
            </w:r>
          </w:p>
        </w:tc>
        <w:tc>
          <w:tcPr>
            <w:tcW w:w="321" w:type="pct"/>
            <w:tcBorders>
              <w:top w:val="nil"/>
              <w:left w:val="single" w:sz="18" w:space="0" w:color="auto"/>
              <w:bottom w:val="nil"/>
              <w:right w:val="nil"/>
            </w:tcBorders>
            <w:noWrap/>
            <w:vAlign w:val="center"/>
            <w:hideMark/>
          </w:tcPr>
          <w:p w14:paraId="064F70A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0.021</w:t>
            </w:r>
          </w:p>
        </w:tc>
        <w:tc>
          <w:tcPr>
            <w:tcW w:w="335" w:type="pct"/>
            <w:tcBorders>
              <w:top w:val="nil"/>
              <w:left w:val="nil"/>
              <w:bottom w:val="nil"/>
              <w:right w:val="nil"/>
            </w:tcBorders>
            <w:noWrap/>
            <w:vAlign w:val="center"/>
            <w:hideMark/>
          </w:tcPr>
          <w:p w14:paraId="30A24C0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0.035</w:t>
            </w:r>
          </w:p>
        </w:tc>
        <w:tc>
          <w:tcPr>
            <w:tcW w:w="335" w:type="pct"/>
            <w:tcBorders>
              <w:top w:val="nil"/>
              <w:left w:val="nil"/>
              <w:bottom w:val="nil"/>
              <w:right w:val="nil"/>
            </w:tcBorders>
            <w:noWrap/>
            <w:vAlign w:val="center"/>
            <w:hideMark/>
          </w:tcPr>
          <w:p w14:paraId="5D4C7932"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0.043</w:t>
            </w:r>
          </w:p>
        </w:tc>
        <w:tc>
          <w:tcPr>
            <w:tcW w:w="321" w:type="pct"/>
            <w:tcBorders>
              <w:top w:val="nil"/>
              <w:left w:val="nil"/>
              <w:bottom w:val="nil"/>
              <w:right w:val="nil"/>
            </w:tcBorders>
            <w:noWrap/>
            <w:vAlign w:val="center"/>
            <w:hideMark/>
          </w:tcPr>
          <w:p w14:paraId="59D25146"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0.049</w:t>
            </w:r>
          </w:p>
        </w:tc>
        <w:tc>
          <w:tcPr>
            <w:tcW w:w="321" w:type="pct"/>
            <w:tcBorders>
              <w:top w:val="nil"/>
              <w:left w:val="nil"/>
              <w:bottom w:val="nil"/>
              <w:right w:val="nil"/>
            </w:tcBorders>
            <w:noWrap/>
            <w:vAlign w:val="center"/>
            <w:hideMark/>
          </w:tcPr>
          <w:p w14:paraId="7484C9A9"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0.076</w:t>
            </w:r>
          </w:p>
        </w:tc>
        <w:tc>
          <w:tcPr>
            <w:tcW w:w="321" w:type="pct"/>
            <w:tcBorders>
              <w:top w:val="nil"/>
              <w:left w:val="nil"/>
              <w:bottom w:val="nil"/>
              <w:right w:val="nil"/>
            </w:tcBorders>
            <w:noWrap/>
            <w:vAlign w:val="center"/>
            <w:hideMark/>
          </w:tcPr>
          <w:p w14:paraId="2539536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0.065</w:t>
            </w:r>
          </w:p>
        </w:tc>
        <w:tc>
          <w:tcPr>
            <w:tcW w:w="361" w:type="pct"/>
            <w:tcBorders>
              <w:top w:val="nil"/>
              <w:left w:val="nil"/>
              <w:bottom w:val="nil"/>
              <w:right w:val="nil"/>
            </w:tcBorders>
            <w:noWrap/>
            <w:vAlign w:val="center"/>
            <w:hideMark/>
          </w:tcPr>
          <w:p w14:paraId="23426054"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0.040</w:t>
            </w:r>
          </w:p>
        </w:tc>
        <w:tc>
          <w:tcPr>
            <w:tcW w:w="378" w:type="pct"/>
            <w:tcBorders>
              <w:top w:val="nil"/>
              <w:left w:val="nil"/>
              <w:bottom w:val="nil"/>
              <w:right w:val="nil"/>
            </w:tcBorders>
            <w:noWrap/>
            <w:vAlign w:val="center"/>
            <w:hideMark/>
          </w:tcPr>
          <w:p w14:paraId="4476474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0.043</w:t>
            </w:r>
          </w:p>
        </w:tc>
        <w:tc>
          <w:tcPr>
            <w:tcW w:w="321" w:type="pct"/>
            <w:tcBorders>
              <w:top w:val="nil"/>
              <w:left w:val="nil"/>
              <w:bottom w:val="nil"/>
              <w:right w:val="nil"/>
            </w:tcBorders>
            <w:noWrap/>
            <w:vAlign w:val="center"/>
            <w:hideMark/>
          </w:tcPr>
          <w:p w14:paraId="0899B462"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0.060</w:t>
            </w:r>
          </w:p>
        </w:tc>
        <w:tc>
          <w:tcPr>
            <w:tcW w:w="335" w:type="pct"/>
            <w:tcBorders>
              <w:top w:val="nil"/>
              <w:left w:val="nil"/>
              <w:bottom w:val="nil"/>
              <w:right w:val="nil"/>
            </w:tcBorders>
            <w:noWrap/>
            <w:vAlign w:val="center"/>
            <w:hideMark/>
          </w:tcPr>
          <w:p w14:paraId="0BA9C68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0.136</w:t>
            </w:r>
          </w:p>
        </w:tc>
        <w:tc>
          <w:tcPr>
            <w:tcW w:w="321" w:type="pct"/>
            <w:tcBorders>
              <w:top w:val="nil"/>
              <w:left w:val="nil"/>
              <w:bottom w:val="nil"/>
              <w:right w:val="single" w:sz="18" w:space="0" w:color="auto"/>
            </w:tcBorders>
            <w:noWrap/>
            <w:vAlign w:val="center"/>
            <w:hideMark/>
          </w:tcPr>
          <w:p w14:paraId="0B32FCD9"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0.068</w:t>
            </w:r>
          </w:p>
        </w:tc>
      </w:tr>
      <w:tr w:rsidR="00F54073" w:rsidRPr="00F54073" w14:paraId="53450283"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226B8D93"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APBASE</w:t>
            </w:r>
          </w:p>
        </w:tc>
        <w:tc>
          <w:tcPr>
            <w:tcW w:w="321" w:type="pct"/>
            <w:tcBorders>
              <w:top w:val="nil"/>
              <w:left w:val="single" w:sz="18" w:space="0" w:color="auto"/>
              <w:bottom w:val="nil"/>
              <w:right w:val="nil"/>
            </w:tcBorders>
            <w:noWrap/>
            <w:vAlign w:val="center"/>
            <w:hideMark/>
          </w:tcPr>
          <w:p w14:paraId="1322FE72"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8.276</w:t>
            </w:r>
          </w:p>
        </w:tc>
        <w:tc>
          <w:tcPr>
            <w:tcW w:w="335" w:type="pct"/>
            <w:tcBorders>
              <w:top w:val="nil"/>
              <w:left w:val="nil"/>
              <w:bottom w:val="nil"/>
              <w:right w:val="nil"/>
            </w:tcBorders>
            <w:noWrap/>
            <w:vAlign w:val="center"/>
            <w:hideMark/>
          </w:tcPr>
          <w:p w14:paraId="40881E2D"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7.908</w:t>
            </w:r>
          </w:p>
        </w:tc>
        <w:tc>
          <w:tcPr>
            <w:tcW w:w="335" w:type="pct"/>
            <w:tcBorders>
              <w:top w:val="nil"/>
              <w:left w:val="nil"/>
              <w:bottom w:val="nil"/>
              <w:right w:val="nil"/>
            </w:tcBorders>
            <w:noWrap/>
            <w:vAlign w:val="center"/>
            <w:hideMark/>
          </w:tcPr>
          <w:p w14:paraId="40FA781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11.310</w:t>
            </w:r>
          </w:p>
        </w:tc>
        <w:tc>
          <w:tcPr>
            <w:tcW w:w="321" w:type="pct"/>
            <w:tcBorders>
              <w:top w:val="nil"/>
              <w:left w:val="nil"/>
              <w:bottom w:val="nil"/>
              <w:right w:val="nil"/>
            </w:tcBorders>
            <w:noWrap/>
            <w:vAlign w:val="center"/>
            <w:hideMark/>
          </w:tcPr>
          <w:p w14:paraId="63DEF39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1.358</w:t>
            </w:r>
          </w:p>
        </w:tc>
        <w:tc>
          <w:tcPr>
            <w:tcW w:w="321" w:type="pct"/>
            <w:tcBorders>
              <w:top w:val="nil"/>
              <w:left w:val="nil"/>
              <w:bottom w:val="nil"/>
              <w:right w:val="nil"/>
            </w:tcBorders>
            <w:noWrap/>
            <w:vAlign w:val="center"/>
            <w:hideMark/>
          </w:tcPr>
          <w:p w14:paraId="7B338F6A"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3.301</w:t>
            </w:r>
          </w:p>
        </w:tc>
        <w:tc>
          <w:tcPr>
            <w:tcW w:w="321" w:type="pct"/>
            <w:tcBorders>
              <w:top w:val="nil"/>
              <w:left w:val="nil"/>
              <w:bottom w:val="nil"/>
              <w:right w:val="nil"/>
            </w:tcBorders>
            <w:noWrap/>
            <w:vAlign w:val="center"/>
            <w:hideMark/>
          </w:tcPr>
          <w:p w14:paraId="0411D21E"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3.444</w:t>
            </w:r>
          </w:p>
        </w:tc>
        <w:tc>
          <w:tcPr>
            <w:tcW w:w="361" w:type="pct"/>
            <w:tcBorders>
              <w:top w:val="nil"/>
              <w:left w:val="nil"/>
              <w:bottom w:val="nil"/>
              <w:right w:val="nil"/>
            </w:tcBorders>
            <w:noWrap/>
            <w:vAlign w:val="center"/>
            <w:hideMark/>
          </w:tcPr>
          <w:p w14:paraId="3AB67F12"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0.878</w:t>
            </w:r>
          </w:p>
        </w:tc>
        <w:tc>
          <w:tcPr>
            <w:tcW w:w="378" w:type="pct"/>
            <w:tcBorders>
              <w:top w:val="nil"/>
              <w:left w:val="nil"/>
              <w:bottom w:val="nil"/>
              <w:right w:val="nil"/>
            </w:tcBorders>
            <w:noWrap/>
            <w:vAlign w:val="center"/>
            <w:hideMark/>
          </w:tcPr>
          <w:p w14:paraId="0635BBE5"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4.720</w:t>
            </w:r>
          </w:p>
        </w:tc>
        <w:tc>
          <w:tcPr>
            <w:tcW w:w="321" w:type="pct"/>
            <w:tcBorders>
              <w:top w:val="nil"/>
              <w:left w:val="nil"/>
              <w:bottom w:val="nil"/>
              <w:right w:val="nil"/>
            </w:tcBorders>
            <w:noWrap/>
            <w:vAlign w:val="center"/>
            <w:hideMark/>
          </w:tcPr>
          <w:p w14:paraId="5675F850"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3.741</w:t>
            </w:r>
          </w:p>
        </w:tc>
        <w:tc>
          <w:tcPr>
            <w:tcW w:w="335" w:type="pct"/>
            <w:tcBorders>
              <w:top w:val="nil"/>
              <w:left w:val="nil"/>
              <w:bottom w:val="nil"/>
              <w:right w:val="nil"/>
            </w:tcBorders>
            <w:noWrap/>
            <w:vAlign w:val="center"/>
            <w:hideMark/>
          </w:tcPr>
          <w:p w14:paraId="06C3F0C7"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11.278</w:t>
            </w:r>
          </w:p>
        </w:tc>
        <w:tc>
          <w:tcPr>
            <w:tcW w:w="321" w:type="pct"/>
            <w:tcBorders>
              <w:top w:val="nil"/>
              <w:left w:val="nil"/>
              <w:bottom w:val="nil"/>
              <w:right w:val="single" w:sz="18" w:space="0" w:color="auto"/>
            </w:tcBorders>
            <w:noWrap/>
            <w:vAlign w:val="center"/>
            <w:hideMark/>
          </w:tcPr>
          <w:p w14:paraId="25F8C25C" w14:textId="77777777" w:rsidR="00F54073" w:rsidRPr="00F54073" w:rsidRDefault="00F54073"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4.611</w:t>
            </w:r>
          </w:p>
        </w:tc>
      </w:tr>
      <w:tr w:rsidR="00F54073" w:rsidRPr="00F54073" w14:paraId="1E304D86" w14:textId="77777777" w:rsidTr="00BB7CF5">
        <w:trPr>
          <w:trHeight w:val="310"/>
          <w:jc w:val="center"/>
        </w:trPr>
        <w:tc>
          <w:tcPr>
            <w:tcW w:w="1331" w:type="pct"/>
            <w:tcBorders>
              <w:top w:val="nil"/>
              <w:left w:val="single" w:sz="18" w:space="0" w:color="auto"/>
              <w:bottom w:val="single" w:sz="18" w:space="0" w:color="auto"/>
              <w:right w:val="single" w:sz="18" w:space="0" w:color="auto"/>
            </w:tcBorders>
            <w:noWrap/>
            <w:vAlign w:val="center"/>
            <w:hideMark/>
          </w:tcPr>
          <w:p w14:paraId="197E332F" w14:textId="77777777" w:rsidR="00F54073" w:rsidRPr="00F54073" w:rsidRDefault="00F54073" w:rsidP="00F54073">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Mean Likelihood</w:t>
            </w:r>
          </w:p>
        </w:tc>
        <w:tc>
          <w:tcPr>
            <w:tcW w:w="3669" w:type="pct"/>
            <w:gridSpan w:val="11"/>
            <w:tcBorders>
              <w:top w:val="nil"/>
              <w:left w:val="single" w:sz="18" w:space="0" w:color="auto"/>
              <w:bottom w:val="single" w:sz="18" w:space="0" w:color="auto"/>
              <w:right w:val="single" w:sz="18" w:space="0" w:color="auto"/>
            </w:tcBorders>
            <w:noWrap/>
            <w:vAlign w:val="center"/>
            <w:hideMark/>
          </w:tcPr>
          <w:p w14:paraId="197E5284"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-5321.395</w:t>
            </w:r>
          </w:p>
        </w:tc>
      </w:tr>
      <w:tr w:rsidR="00F54073" w:rsidRPr="00F54073" w14:paraId="25C3F26F" w14:textId="77777777" w:rsidTr="00BB7CF5">
        <w:trPr>
          <w:trHeight w:val="310"/>
          <w:jc w:val="center"/>
        </w:trPr>
        <w:tc>
          <w:tcPr>
            <w:tcW w:w="5000" w:type="pct"/>
            <w:gridSpan w:val="12"/>
            <w:tcBorders>
              <w:top w:val="single" w:sz="18" w:space="0" w:color="auto"/>
              <w:left w:val="single" w:sz="18" w:space="0" w:color="auto"/>
              <w:bottom w:val="single" w:sz="18" w:space="0" w:color="auto"/>
              <w:right w:val="single" w:sz="18" w:space="0" w:color="auto"/>
            </w:tcBorders>
            <w:noWrap/>
            <w:vAlign w:val="center"/>
            <w:hideMark/>
          </w:tcPr>
          <w:p w14:paraId="3E1AD0AB" w14:textId="77777777" w:rsidR="00F54073" w:rsidRPr="00F54073" w:rsidRDefault="00F54073" w:rsidP="00F54073">
            <w:pPr>
              <w:spacing w:line="240" w:lineRule="auto"/>
              <w:jc w:val="center"/>
              <w:rPr>
                <w:rFonts w:eastAsia="Times New Roman" w:cs="Times New Roman"/>
                <w:b/>
                <w:bCs/>
                <w:color w:val="000000"/>
                <w:sz w:val="20"/>
                <w:szCs w:val="20"/>
              </w:rPr>
            </w:pPr>
            <w:r w:rsidRPr="00F54073">
              <w:rPr>
                <w:rFonts w:eastAsia="Times New Roman" w:cs="Times New Roman"/>
                <w:b/>
                <w:bCs/>
                <w:color w:val="000000"/>
                <w:sz w:val="20"/>
                <w:szCs w:val="20"/>
              </w:rPr>
              <w:t>MNP Model Performance</w:t>
            </w:r>
          </w:p>
        </w:tc>
      </w:tr>
      <w:tr w:rsidR="00F54073" w:rsidRPr="00F54073" w14:paraId="616D10B7" w14:textId="77777777" w:rsidTr="00BB7CF5">
        <w:trPr>
          <w:trHeight w:val="295"/>
          <w:jc w:val="center"/>
        </w:trPr>
        <w:tc>
          <w:tcPr>
            <w:tcW w:w="1331" w:type="pct"/>
            <w:vMerge w:val="restart"/>
            <w:tcBorders>
              <w:top w:val="single" w:sz="18" w:space="0" w:color="auto"/>
              <w:left w:val="single" w:sz="18" w:space="0" w:color="auto"/>
              <w:bottom w:val="single" w:sz="4" w:space="0" w:color="000000"/>
              <w:right w:val="single" w:sz="18" w:space="0" w:color="auto"/>
            </w:tcBorders>
            <w:noWrap/>
            <w:vAlign w:val="center"/>
            <w:hideMark/>
          </w:tcPr>
          <w:p w14:paraId="69385CA5"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Metric</w:t>
            </w:r>
          </w:p>
        </w:tc>
        <w:tc>
          <w:tcPr>
            <w:tcW w:w="991" w:type="pct"/>
            <w:gridSpan w:val="3"/>
            <w:tcBorders>
              <w:top w:val="single" w:sz="18" w:space="0" w:color="auto"/>
              <w:left w:val="single" w:sz="18" w:space="0" w:color="auto"/>
              <w:bottom w:val="nil"/>
              <w:right w:val="nil"/>
            </w:tcBorders>
            <w:noWrap/>
            <w:vAlign w:val="center"/>
            <w:hideMark/>
          </w:tcPr>
          <w:p w14:paraId="32471B5B"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Main Coefficients</w:t>
            </w:r>
          </w:p>
        </w:tc>
        <w:tc>
          <w:tcPr>
            <w:tcW w:w="962" w:type="pct"/>
            <w:gridSpan w:val="3"/>
            <w:tcBorders>
              <w:top w:val="single" w:sz="18" w:space="0" w:color="auto"/>
              <w:left w:val="nil"/>
              <w:bottom w:val="nil"/>
              <w:right w:val="nil"/>
            </w:tcBorders>
            <w:noWrap/>
            <w:vAlign w:val="center"/>
            <w:hideMark/>
          </w:tcPr>
          <w:p w14:paraId="6CF13DBC" w14:textId="6EF442C3"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Correlation Terms</w:t>
            </w:r>
          </w:p>
        </w:tc>
        <w:tc>
          <w:tcPr>
            <w:tcW w:w="739" w:type="pct"/>
            <w:gridSpan w:val="2"/>
            <w:tcBorders>
              <w:top w:val="single" w:sz="18" w:space="0" w:color="auto"/>
              <w:left w:val="nil"/>
              <w:bottom w:val="nil"/>
              <w:right w:val="nil"/>
            </w:tcBorders>
            <w:noWrap/>
            <w:vAlign w:val="center"/>
            <w:hideMark/>
          </w:tcPr>
          <w:p w14:paraId="7DDA40AA" w14:textId="39939CD4"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Scale Parameters</w:t>
            </w:r>
          </w:p>
        </w:tc>
        <w:tc>
          <w:tcPr>
            <w:tcW w:w="977" w:type="pct"/>
            <w:gridSpan w:val="3"/>
            <w:tcBorders>
              <w:top w:val="single" w:sz="18" w:space="0" w:color="auto"/>
              <w:left w:val="nil"/>
              <w:bottom w:val="nil"/>
              <w:right w:val="single" w:sz="18" w:space="0" w:color="auto"/>
            </w:tcBorders>
            <w:noWrap/>
            <w:vAlign w:val="center"/>
            <w:hideMark/>
          </w:tcPr>
          <w:p w14:paraId="38EFC533" w14:textId="77777777" w:rsidR="00F54073" w:rsidRPr="00F54073" w:rsidRDefault="00F54073" w:rsidP="00F54073">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YJ Parameters</w:t>
            </w:r>
          </w:p>
        </w:tc>
      </w:tr>
      <w:tr w:rsidR="00527EA8" w:rsidRPr="00F54073" w14:paraId="222104AB" w14:textId="77777777" w:rsidTr="00BB7CF5">
        <w:trPr>
          <w:trHeight w:val="295"/>
          <w:jc w:val="center"/>
        </w:trPr>
        <w:tc>
          <w:tcPr>
            <w:tcW w:w="1331" w:type="pct"/>
            <w:vMerge/>
            <w:tcBorders>
              <w:top w:val="nil"/>
              <w:left w:val="single" w:sz="18" w:space="0" w:color="auto"/>
              <w:bottom w:val="single" w:sz="18" w:space="0" w:color="auto"/>
              <w:right w:val="single" w:sz="18" w:space="0" w:color="auto"/>
            </w:tcBorders>
            <w:vAlign w:val="center"/>
            <w:hideMark/>
          </w:tcPr>
          <w:p w14:paraId="3027187E" w14:textId="77777777" w:rsidR="00527EA8" w:rsidRPr="00F54073" w:rsidRDefault="00527EA8" w:rsidP="00527EA8">
            <w:pPr>
              <w:spacing w:line="240" w:lineRule="auto"/>
              <w:jc w:val="left"/>
              <w:rPr>
                <w:rFonts w:eastAsia="Times New Roman" w:cs="Times New Roman"/>
                <w:color w:val="000000"/>
                <w:sz w:val="20"/>
                <w:szCs w:val="20"/>
              </w:rPr>
            </w:pPr>
          </w:p>
        </w:tc>
        <w:tc>
          <w:tcPr>
            <w:tcW w:w="321" w:type="pct"/>
            <w:tcBorders>
              <w:top w:val="nil"/>
              <w:left w:val="single" w:sz="18" w:space="0" w:color="auto"/>
              <w:bottom w:val="single" w:sz="18" w:space="0" w:color="auto"/>
              <w:right w:val="nil"/>
            </w:tcBorders>
            <w:noWrap/>
            <w:vAlign w:val="center"/>
            <w:hideMark/>
          </w:tcPr>
          <w:p w14:paraId="66E375B5" w14:textId="49A157A6"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20" w:dyaOrig="360" w14:anchorId="4601AEF2">
                <v:shape id="_x0000_i1247" type="#_x0000_t75" style="width:12pt;height:18.45pt" o:ole="">
                  <v:imagedata r:id="rId401" o:title=""/>
                </v:shape>
                <o:OLEObject Type="Embed" ProgID="Equation.DSMT4" ShapeID="_x0000_i1247" DrawAspect="Content" ObjectID="_1841834622" r:id="rId423"/>
              </w:object>
            </w:r>
          </w:p>
        </w:tc>
        <w:tc>
          <w:tcPr>
            <w:tcW w:w="335" w:type="pct"/>
            <w:tcBorders>
              <w:top w:val="nil"/>
              <w:left w:val="nil"/>
              <w:bottom w:val="single" w:sz="18" w:space="0" w:color="auto"/>
              <w:right w:val="nil"/>
            </w:tcBorders>
            <w:noWrap/>
            <w:vAlign w:val="center"/>
            <w:hideMark/>
          </w:tcPr>
          <w:p w14:paraId="3F279C16" w14:textId="0F55F0EB"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40" w:dyaOrig="360" w14:anchorId="68A14EB9">
                <v:shape id="_x0000_i1248" type="#_x0000_t75" style="width:12pt;height:18.45pt" o:ole="">
                  <v:imagedata r:id="rId403" o:title=""/>
                </v:shape>
                <o:OLEObject Type="Embed" ProgID="Equation.DSMT4" ShapeID="_x0000_i1248" DrawAspect="Content" ObjectID="_1841834623" r:id="rId424"/>
              </w:object>
            </w:r>
          </w:p>
        </w:tc>
        <w:tc>
          <w:tcPr>
            <w:tcW w:w="335" w:type="pct"/>
            <w:tcBorders>
              <w:top w:val="nil"/>
              <w:left w:val="nil"/>
              <w:bottom w:val="single" w:sz="18" w:space="0" w:color="auto"/>
              <w:right w:val="nil"/>
            </w:tcBorders>
            <w:noWrap/>
            <w:vAlign w:val="center"/>
            <w:hideMark/>
          </w:tcPr>
          <w:p w14:paraId="6D9BD114" w14:textId="401D0E46"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40" w:dyaOrig="360" w14:anchorId="242BD1D1">
                <v:shape id="_x0000_i1249" type="#_x0000_t75" style="width:12pt;height:18.45pt" o:ole="">
                  <v:imagedata r:id="rId405" o:title=""/>
                </v:shape>
                <o:OLEObject Type="Embed" ProgID="Equation.DSMT4" ShapeID="_x0000_i1249" DrawAspect="Content" ObjectID="_1841834624" r:id="rId425"/>
              </w:object>
            </w:r>
          </w:p>
        </w:tc>
        <w:tc>
          <w:tcPr>
            <w:tcW w:w="321" w:type="pct"/>
            <w:tcBorders>
              <w:top w:val="nil"/>
              <w:left w:val="nil"/>
              <w:bottom w:val="single" w:sz="18" w:space="0" w:color="auto"/>
              <w:right w:val="nil"/>
            </w:tcBorders>
            <w:noWrap/>
            <w:vAlign w:val="center"/>
            <w:hideMark/>
          </w:tcPr>
          <w:p w14:paraId="0DB0EB59" w14:textId="1DE7FB0B"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300" w:dyaOrig="360" w14:anchorId="27AFCA13">
                <v:shape id="_x0000_i1250" type="#_x0000_t75" style="width:14.55pt;height:18.45pt" o:ole="">
                  <v:imagedata r:id="rId407" o:title=""/>
                </v:shape>
                <o:OLEObject Type="Embed" ProgID="Equation.DSMT4" ShapeID="_x0000_i1250" DrawAspect="Content" ObjectID="_1841834625" r:id="rId426"/>
              </w:object>
            </w:r>
          </w:p>
        </w:tc>
        <w:tc>
          <w:tcPr>
            <w:tcW w:w="321" w:type="pct"/>
            <w:tcBorders>
              <w:top w:val="nil"/>
              <w:left w:val="nil"/>
              <w:bottom w:val="single" w:sz="18" w:space="0" w:color="auto"/>
              <w:right w:val="nil"/>
            </w:tcBorders>
            <w:noWrap/>
            <w:vAlign w:val="center"/>
            <w:hideMark/>
          </w:tcPr>
          <w:p w14:paraId="57416B34" w14:textId="51449DC3"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340" w:dyaOrig="360" w14:anchorId="17C73B8F">
                <v:shape id="_x0000_i1251" type="#_x0000_t75" style="width:16.7pt;height:18.45pt" o:ole="">
                  <v:imagedata r:id="rId409" o:title=""/>
                </v:shape>
                <o:OLEObject Type="Embed" ProgID="Equation.DSMT4" ShapeID="_x0000_i1251" DrawAspect="Content" ObjectID="_1841834626" r:id="rId427"/>
              </w:object>
            </w:r>
          </w:p>
        </w:tc>
        <w:tc>
          <w:tcPr>
            <w:tcW w:w="321" w:type="pct"/>
            <w:tcBorders>
              <w:top w:val="nil"/>
              <w:left w:val="nil"/>
              <w:bottom w:val="single" w:sz="18" w:space="0" w:color="auto"/>
              <w:right w:val="nil"/>
            </w:tcBorders>
            <w:noWrap/>
            <w:vAlign w:val="center"/>
            <w:hideMark/>
          </w:tcPr>
          <w:p w14:paraId="03BA9ABD" w14:textId="50AC676B" w:rsidR="00527EA8" w:rsidRPr="00F54073" w:rsidRDefault="007318B3" w:rsidP="00527EA8">
            <w:pPr>
              <w:spacing w:line="240" w:lineRule="auto"/>
              <w:jc w:val="center"/>
              <w:rPr>
                <w:rFonts w:eastAsia="Times New Roman" w:cs="Times New Roman"/>
                <w:color w:val="000000"/>
                <w:sz w:val="20"/>
                <w:szCs w:val="20"/>
              </w:rPr>
            </w:pPr>
            <w:r w:rsidRPr="00DF4DDF">
              <w:rPr>
                <w:position w:val="-12"/>
              </w:rPr>
              <w:object w:dxaOrig="320" w:dyaOrig="380" w14:anchorId="52930BFE">
                <v:shape id="_x0000_i1252" type="#_x0000_t75" style="width:15.45pt;height:19.3pt" o:ole="">
                  <v:imagedata r:id="rId428" o:title=""/>
                </v:shape>
                <o:OLEObject Type="Embed" ProgID="Equation.DSMT4" ShapeID="_x0000_i1252" DrawAspect="Content" ObjectID="_1841834627" r:id="rId429"/>
              </w:object>
            </w:r>
          </w:p>
        </w:tc>
        <w:tc>
          <w:tcPr>
            <w:tcW w:w="361" w:type="pct"/>
            <w:tcBorders>
              <w:top w:val="nil"/>
              <w:left w:val="nil"/>
              <w:bottom w:val="single" w:sz="18" w:space="0" w:color="auto"/>
              <w:right w:val="nil"/>
            </w:tcBorders>
            <w:noWrap/>
            <w:vAlign w:val="center"/>
            <w:hideMark/>
          </w:tcPr>
          <w:p w14:paraId="28CEE6E7" w14:textId="49EF2E41"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40" w:dyaOrig="360" w14:anchorId="22163B57">
                <v:shape id="_x0000_i1253" type="#_x0000_t75" style="width:12pt;height:18.45pt" o:ole="">
                  <v:imagedata r:id="rId413" o:title=""/>
                </v:shape>
                <o:OLEObject Type="Embed" ProgID="Equation.DSMT4" ShapeID="_x0000_i1253" DrawAspect="Content" ObjectID="_1841834628" r:id="rId430"/>
              </w:object>
            </w:r>
          </w:p>
        </w:tc>
        <w:tc>
          <w:tcPr>
            <w:tcW w:w="378" w:type="pct"/>
            <w:tcBorders>
              <w:top w:val="nil"/>
              <w:left w:val="nil"/>
              <w:bottom w:val="single" w:sz="18" w:space="0" w:color="auto"/>
              <w:right w:val="nil"/>
            </w:tcBorders>
            <w:noWrap/>
            <w:vAlign w:val="center"/>
            <w:hideMark/>
          </w:tcPr>
          <w:p w14:paraId="247D0622" w14:textId="0185EEC6" w:rsidR="00527EA8" w:rsidRPr="00F54073" w:rsidRDefault="00001B8C" w:rsidP="00527EA8">
            <w:pPr>
              <w:spacing w:line="240" w:lineRule="auto"/>
              <w:jc w:val="center"/>
              <w:rPr>
                <w:rFonts w:eastAsia="Times New Roman" w:cs="Times New Roman"/>
                <w:color w:val="000000"/>
                <w:sz w:val="20"/>
                <w:szCs w:val="20"/>
              </w:rPr>
            </w:pPr>
            <w:r w:rsidRPr="00DF4DDF">
              <w:rPr>
                <w:position w:val="-12"/>
              </w:rPr>
              <w:object w:dxaOrig="240" w:dyaOrig="360" w14:anchorId="40CEA931">
                <v:shape id="_x0000_i1254" type="#_x0000_t75" style="width:12pt;height:18.45pt" o:ole="">
                  <v:imagedata r:id="rId431" o:title=""/>
                </v:shape>
                <o:OLEObject Type="Embed" ProgID="Equation.DSMT4" ShapeID="_x0000_i1254" DrawAspect="Content" ObjectID="_1841834629" r:id="rId432"/>
              </w:object>
            </w:r>
          </w:p>
        </w:tc>
        <w:tc>
          <w:tcPr>
            <w:tcW w:w="321" w:type="pct"/>
            <w:tcBorders>
              <w:top w:val="nil"/>
              <w:left w:val="nil"/>
              <w:bottom w:val="single" w:sz="18" w:space="0" w:color="auto"/>
              <w:right w:val="nil"/>
            </w:tcBorders>
            <w:noWrap/>
            <w:vAlign w:val="center"/>
            <w:hideMark/>
          </w:tcPr>
          <w:p w14:paraId="6B611480" w14:textId="52DACB41"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40" w:dyaOrig="360" w14:anchorId="4F8F9883">
                <v:shape id="_x0000_i1255" type="#_x0000_t75" style="width:12pt;height:18.45pt" o:ole="">
                  <v:imagedata r:id="rId417" o:title=""/>
                </v:shape>
                <o:OLEObject Type="Embed" ProgID="Equation.DSMT4" ShapeID="_x0000_i1255" DrawAspect="Content" ObjectID="_1841834630" r:id="rId433"/>
              </w:object>
            </w:r>
          </w:p>
        </w:tc>
        <w:tc>
          <w:tcPr>
            <w:tcW w:w="335" w:type="pct"/>
            <w:tcBorders>
              <w:top w:val="nil"/>
              <w:left w:val="nil"/>
              <w:bottom w:val="single" w:sz="18" w:space="0" w:color="auto"/>
              <w:right w:val="nil"/>
            </w:tcBorders>
            <w:noWrap/>
            <w:vAlign w:val="center"/>
            <w:hideMark/>
          </w:tcPr>
          <w:p w14:paraId="065C5DA7" w14:textId="75164D3A"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79" w:dyaOrig="360" w14:anchorId="5A8D2D78">
                <v:shape id="_x0000_i1256" type="#_x0000_t75" style="width:14.55pt;height:18.45pt" o:ole="">
                  <v:imagedata r:id="rId419" o:title=""/>
                </v:shape>
                <o:OLEObject Type="Embed" ProgID="Equation.DSMT4" ShapeID="_x0000_i1256" DrawAspect="Content" ObjectID="_1841834631" r:id="rId434"/>
              </w:object>
            </w:r>
          </w:p>
        </w:tc>
        <w:tc>
          <w:tcPr>
            <w:tcW w:w="321" w:type="pct"/>
            <w:tcBorders>
              <w:top w:val="nil"/>
              <w:left w:val="nil"/>
              <w:bottom w:val="single" w:sz="18" w:space="0" w:color="auto"/>
              <w:right w:val="single" w:sz="18" w:space="0" w:color="auto"/>
            </w:tcBorders>
            <w:noWrap/>
            <w:vAlign w:val="center"/>
            <w:hideMark/>
          </w:tcPr>
          <w:p w14:paraId="2081798E" w14:textId="38E77F0D" w:rsidR="00527EA8" w:rsidRPr="00F54073" w:rsidRDefault="00527EA8" w:rsidP="00527EA8">
            <w:pPr>
              <w:spacing w:line="240" w:lineRule="auto"/>
              <w:jc w:val="center"/>
              <w:rPr>
                <w:rFonts w:eastAsia="Times New Roman" w:cs="Times New Roman"/>
                <w:color w:val="000000"/>
                <w:sz w:val="20"/>
                <w:szCs w:val="20"/>
              </w:rPr>
            </w:pPr>
            <w:r w:rsidRPr="00DF4DDF">
              <w:rPr>
                <w:position w:val="-12"/>
              </w:rPr>
              <w:object w:dxaOrig="260" w:dyaOrig="360" w14:anchorId="7F63F629">
                <v:shape id="_x0000_i1257" type="#_x0000_t75" style="width:13.7pt;height:18.45pt" o:ole="">
                  <v:imagedata r:id="rId421" o:title=""/>
                </v:shape>
                <o:OLEObject Type="Embed" ProgID="Equation.DSMT4" ShapeID="_x0000_i1257" DrawAspect="Content" ObjectID="_1841834632" r:id="rId435"/>
              </w:object>
            </w:r>
          </w:p>
        </w:tc>
      </w:tr>
      <w:tr w:rsidR="00A231FE" w:rsidRPr="00F54073" w14:paraId="4BCC65B7" w14:textId="77777777" w:rsidTr="00BB7CF5">
        <w:trPr>
          <w:trHeight w:val="295"/>
          <w:jc w:val="center"/>
        </w:trPr>
        <w:tc>
          <w:tcPr>
            <w:tcW w:w="1331" w:type="pct"/>
            <w:tcBorders>
              <w:top w:val="single" w:sz="18" w:space="0" w:color="auto"/>
              <w:left w:val="single" w:sz="18" w:space="0" w:color="auto"/>
              <w:bottom w:val="nil"/>
              <w:right w:val="single" w:sz="18" w:space="0" w:color="auto"/>
            </w:tcBorders>
            <w:noWrap/>
            <w:vAlign w:val="center"/>
            <w:hideMark/>
          </w:tcPr>
          <w:p w14:paraId="67BCE3EB"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True Values</w:t>
            </w:r>
          </w:p>
        </w:tc>
        <w:tc>
          <w:tcPr>
            <w:tcW w:w="321" w:type="pct"/>
            <w:tcBorders>
              <w:top w:val="single" w:sz="18" w:space="0" w:color="auto"/>
              <w:left w:val="single" w:sz="18" w:space="0" w:color="auto"/>
              <w:bottom w:val="nil"/>
              <w:right w:val="nil"/>
            </w:tcBorders>
            <w:noWrap/>
            <w:vAlign w:val="center"/>
            <w:hideMark/>
          </w:tcPr>
          <w:p w14:paraId="5480995E"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-0.500</w:t>
            </w:r>
          </w:p>
        </w:tc>
        <w:tc>
          <w:tcPr>
            <w:tcW w:w="335" w:type="pct"/>
            <w:tcBorders>
              <w:top w:val="single" w:sz="18" w:space="0" w:color="auto"/>
              <w:left w:val="nil"/>
              <w:bottom w:val="nil"/>
              <w:right w:val="nil"/>
            </w:tcBorders>
            <w:noWrap/>
            <w:vAlign w:val="center"/>
            <w:hideMark/>
          </w:tcPr>
          <w:p w14:paraId="648893AC"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0.250</w:t>
            </w:r>
          </w:p>
        </w:tc>
        <w:tc>
          <w:tcPr>
            <w:tcW w:w="335" w:type="pct"/>
            <w:tcBorders>
              <w:top w:val="single" w:sz="18" w:space="0" w:color="auto"/>
              <w:left w:val="nil"/>
              <w:bottom w:val="nil"/>
              <w:right w:val="nil"/>
            </w:tcBorders>
            <w:noWrap/>
            <w:vAlign w:val="center"/>
            <w:hideMark/>
          </w:tcPr>
          <w:p w14:paraId="6696163B"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0.500</w:t>
            </w:r>
          </w:p>
        </w:tc>
        <w:tc>
          <w:tcPr>
            <w:tcW w:w="321" w:type="pct"/>
            <w:tcBorders>
              <w:top w:val="single" w:sz="18" w:space="0" w:color="auto"/>
              <w:left w:val="nil"/>
              <w:bottom w:val="nil"/>
              <w:right w:val="nil"/>
            </w:tcBorders>
            <w:noWrap/>
            <w:vAlign w:val="center"/>
            <w:hideMark/>
          </w:tcPr>
          <w:p w14:paraId="26DFD317" w14:textId="0927B92E"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single" w:sz="18" w:space="0" w:color="auto"/>
              <w:left w:val="nil"/>
              <w:bottom w:val="nil"/>
              <w:right w:val="nil"/>
            </w:tcBorders>
            <w:noWrap/>
            <w:vAlign w:val="center"/>
            <w:hideMark/>
          </w:tcPr>
          <w:p w14:paraId="73B1E448" w14:textId="67A97806"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single" w:sz="18" w:space="0" w:color="auto"/>
              <w:left w:val="nil"/>
              <w:bottom w:val="nil"/>
              <w:right w:val="nil"/>
            </w:tcBorders>
            <w:noWrap/>
            <w:vAlign w:val="center"/>
            <w:hideMark/>
          </w:tcPr>
          <w:p w14:paraId="0A8F9093" w14:textId="4D1C9020" w:rsidR="00A231FE" w:rsidRPr="00F54073" w:rsidRDefault="000520AF" w:rsidP="00BB7CF5">
            <w:pPr>
              <w:tabs>
                <w:tab w:val="decimal" w:pos="209"/>
              </w:tabs>
              <w:spacing w:line="240" w:lineRule="auto"/>
              <w:jc w:val="center"/>
              <w:rPr>
                <w:rFonts w:eastAsia="Times New Roman" w:cs="Times New Roman"/>
                <w:sz w:val="20"/>
                <w:szCs w:val="20"/>
              </w:rPr>
            </w:pPr>
            <w:r>
              <w:rPr>
                <w:rFonts w:eastAsia="Times New Roman" w:cs="Times New Roman"/>
                <w:color w:val="000000"/>
                <w:sz w:val="20"/>
                <w:szCs w:val="20"/>
              </w:rPr>
              <w:t>--</w:t>
            </w:r>
          </w:p>
        </w:tc>
        <w:tc>
          <w:tcPr>
            <w:tcW w:w="361" w:type="pct"/>
            <w:tcBorders>
              <w:top w:val="single" w:sz="18" w:space="0" w:color="auto"/>
              <w:left w:val="nil"/>
              <w:bottom w:val="nil"/>
              <w:right w:val="nil"/>
            </w:tcBorders>
            <w:noWrap/>
            <w:vAlign w:val="center"/>
          </w:tcPr>
          <w:p w14:paraId="40AA18F7" w14:textId="52B70AB4"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single" w:sz="18" w:space="0" w:color="auto"/>
              <w:left w:val="nil"/>
              <w:bottom w:val="nil"/>
              <w:right w:val="nil"/>
            </w:tcBorders>
            <w:noWrap/>
            <w:vAlign w:val="center"/>
            <w:hideMark/>
          </w:tcPr>
          <w:p w14:paraId="588C9318" w14:textId="1257FAE1" w:rsidR="00A231FE" w:rsidRPr="00F54073" w:rsidRDefault="000520AF"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single" w:sz="18" w:space="0" w:color="auto"/>
              <w:left w:val="nil"/>
              <w:bottom w:val="nil"/>
              <w:right w:val="nil"/>
            </w:tcBorders>
            <w:noWrap/>
            <w:vAlign w:val="center"/>
            <w:hideMark/>
          </w:tcPr>
          <w:p w14:paraId="23F3F7FB" w14:textId="6B3792C5"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single" w:sz="18" w:space="0" w:color="auto"/>
              <w:left w:val="nil"/>
              <w:bottom w:val="nil"/>
              <w:right w:val="nil"/>
            </w:tcBorders>
            <w:noWrap/>
            <w:vAlign w:val="center"/>
            <w:hideMark/>
          </w:tcPr>
          <w:p w14:paraId="617D201D" w14:textId="6817A051"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single" w:sz="18" w:space="0" w:color="auto"/>
              <w:left w:val="nil"/>
              <w:bottom w:val="nil"/>
              <w:right w:val="single" w:sz="18" w:space="0" w:color="auto"/>
            </w:tcBorders>
            <w:noWrap/>
            <w:vAlign w:val="center"/>
            <w:hideMark/>
          </w:tcPr>
          <w:p w14:paraId="1845E0C3" w14:textId="353D21AD"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3C637CCC"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7B670541"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Mean Parameter Estimate</w:t>
            </w:r>
          </w:p>
        </w:tc>
        <w:tc>
          <w:tcPr>
            <w:tcW w:w="321" w:type="pct"/>
            <w:tcBorders>
              <w:top w:val="nil"/>
              <w:left w:val="single" w:sz="18" w:space="0" w:color="auto"/>
              <w:bottom w:val="nil"/>
              <w:right w:val="nil"/>
            </w:tcBorders>
            <w:noWrap/>
            <w:vAlign w:val="center"/>
            <w:hideMark/>
          </w:tcPr>
          <w:p w14:paraId="3A417E68"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-0.470</w:t>
            </w:r>
          </w:p>
        </w:tc>
        <w:tc>
          <w:tcPr>
            <w:tcW w:w="335" w:type="pct"/>
            <w:tcBorders>
              <w:top w:val="nil"/>
              <w:left w:val="nil"/>
              <w:bottom w:val="nil"/>
              <w:right w:val="nil"/>
            </w:tcBorders>
            <w:noWrap/>
            <w:vAlign w:val="center"/>
            <w:hideMark/>
          </w:tcPr>
          <w:p w14:paraId="7D9B35EB"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0.310</w:t>
            </w:r>
          </w:p>
        </w:tc>
        <w:tc>
          <w:tcPr>
            <w:tcW w:w="335" w:type="pct"/>
            <w:tcBorders>
              <w:top w:val="nil"/>
              <w:left w:val="nil"/>
              <w:bottom w:val="nil"/>
              <w:right w:val="nil"/>
            </w:tcBorders>
            <w:noWrap/>
            <w:vAlign w:val="center"/>
            <w:hideMark/>
          </w:tcPr>
          <w:p w14:paraId="467065EB"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0.584</w:t>
            </w:r>
          </w:p>
        </w:tc>
        <w:tc>
          <w:tcPr>
            <w:tcW w:w="321" w:type="pct"/>
            <w:tcBorders>
              <w:top w:val="nil"/>
              <w:left w:val="nil"/>
              <w:bottom w:val="nil"/>
              <w:right w:val="nil"/>
            </w:tcBorders>
            <w:noWrap/>
            <w:vAlign w:val="center"/>
            <w:hideMark/>
          </w:tcPr>
          <w:p w14:paraId="6102B16D" w14:textId="65C42F3B"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3F5D8042" w14:textId="7E868336"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010E3FC5" w14:textId="447E9D38" w:rsidR="00A231FE" w:rsidRPr="00F54073" w:rsidRDefault="00A231FE" w:rsidP="00BB7CF5">
            <w:pPr>
              <w:tabs>
                <w:tab w:val="decimal" w:pos="209"/>
              </w:tabs>
              <w:spacing w:line="240" w:lineRule="auto"/>
              <w:jc w:val="center"/>
              <w:rPr>
                <w:rFonts w:eastAsia="Times New Roman" w:cs="Times New Roman"/>
                <w:sz w:val="20"/>
                <w:szCs w:val="20"/>
              </w:rPr>
            </w:pPr>
            <w:r w:rsidRPr="00F54073">
              <w:rPr>
                <w:rFonts w:eastAsia="Times New Roman" w:cs="Times New Roman"/>
                <w:color w:val="000000"/>
                <w:sz w:val="20"/>
                <w:szCs w:val="20"/>
              </w:rPr>
              <w:t>0.731</w:t>
            </w:r>
          </w:p>
        </w:tc>
        <w:tc>
          <w:tcPr>
            <w:tcW w:w="361" w:type="pct"/>
            <w:tcBorders>
              <w:top w:val="nil"/>
              <w:left w:val="nil"/>
              <w:bottom w:val="nil"/>
              <w:right w:val="nil"/>
            </w:tcBorders>
            <w:noWrap/>
            <w:vAlign w:val="center"/>
          </w:tcPr>
          <w:p w14:paraId="1AB1093D" w14:textId="48CD89D9"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14BC2422"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0.716</w:t>
            </w:r>
          </w:p>
        </w:tc>
        <w:tc>
          <w:tcPr>
            <w:tcW w:w="321" w:type="pct"/>
            <w:tcBorders>
              <w:top w:val="nil"/>
              <w:left w:val="nil"/>
              <w:bottom w:val="nil"/>
              <w:right w:val="nil"/>
            </w:tcBorders>
            <w:noWrap/>
            <w:vAlign w:val="center"/>
            <w:hideMark/>
          </w:tcPr>
          <w:p w14:paraId="10C2E975" w14:textId="09031FF4"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2082F912" w14:textId="57ED7834"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5B99F547" w14:textId="68BA792F"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7A115B15"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4FB771BB"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APB</w:t>
            </w:r>
          </w:p>
        </w:tc>
        <w:tc>
          <w:tcPr>
            <w:tcW w:w="321" w:type="pct"/>
            <w:tcBorders>
              <w:top w:val="nil"/>
              <w:left w:val="single" w:sz="18" w:space="0" w:color="auto"/>
              <w:bottom w:val="nil"/>
              <w:right w:val="nil"/>
            </w:tcBorders>
            <w:noWrap/>
            <w:vAlign w:val="center"/>
            <w:hideMark/>
          </w:tcPr>
          <w:p w14:paraId="4B92E1AF"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5.973</w:t>
            </w:r>
          </w:p>
        </w:tc>
        <w:tc>
          <w:tcPr>
            <w:tcW w:w="335" w:type="pct"/>
            <w:tcBorders>
              <w:top w:val="nil"/>
              <w:left w:val="nil"/>
              <w:bottom w:val="nil"/>
              <w:right w:val="nil"/>
            </w:tcBorders>
            <w:noWrap/>
            <w:vAlign w:val="center"/>
            <w:hideMark/>
          </w:tcPr>
          <w:p w14:paraId="5CE8CCBE"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24.078</w:t>
            </w:r>
          </w:p>
        </w:tc>
        <w:tc>
          <w:tcPr>
            <w:tcW w:w="335" w:type="pct"/>
            <w:tcBorders>
              <w:top w:val="nil"/>
              <w:left w:val="nil"/>
              <w:bottom w:val="nil"/>
              <w:right w:val="nil"/>
            </w:tcBorders>
            <w:noWrap/>
            <w:vAlign w:val="center"/>
            <w:hideMark/>
          </w:tcPr>
          <w:p w14:paraId="6A036A84"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16.890</w:t>
            </w:r>
          </w:p>
        </w:tc>
        <w:tc>
          <w:tcPr>
            <w:tcW w:w="321" w:type="pct"/>
            <w:tcBorders>
              <w:top w:val="nil"/>
              <w:left w:val="nil"/>
              <w:bottom w:val="nil"/>
              <w:right w:val="nil"/>
            </w:tcBorders>
            <w:noWrap/>
            <w:vAlign w:val="center"/>
            <w:hideMark/>
          </w:tcPr>
          <w:p w14:paraId="201A2D76" w14:textId="623692C8"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274EC3BD" w14:textId="62A9FAB1"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13B7E229" w14:textId="6CB22B13" w:rsidR="00A231FE" w:rsidRPr="00F54073" w:rsidRDefault="000520AF" w:rsidP="00BB7CF5">
            <w:pPr>
              <w:tabs>
                <w:tab w:val="decimal" w:pos="209"/>
              </w:tabs>
              <w:spacing w:line="240" w:lineRule="auto"/>
              <w:jc w:val="center"/>
              <w:rPr>
                <w:rFonts w:eastAsia="Times New Roman" w:cs="Times New Roman"/>
                <w:sz w:val="20"/>
                <w:szCs w:val="20"/>
              </w:rPr>
            </w:pPr>
            <w:r>
              <w:rPr>
                <w:rFonts w:eastAsia="Times New Roman" w:cs="Times New Roman"/>
                <w:color w:val="000000"/>
                <w:sz w:val="20"/>
                <w:szCs w:val="20"/>
              </w:rPr>
              <w:t>--</w:t>
            </w:r>
          </w:p>
        </w:tc>
        <w:tc>
          <w:tcPr>
            <w:tcW w:w="361" w:type="pct"/>
            <w:tcBorders>
              <w:top w:val="nil"/>
              <w:left w:val="nil"/>
              <w:bottom w:val="nil"/>
              <w:right w:val="nil"/>
            </w:tcBorders>
            <w:noWrap/>
            <w:vAlign w:val="center"/>
          </w:tcPr>
          <w:p w14:paraId="106BF0BA" w14:textId="1AA110E8"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17FEBB08" w14:textId="577AD9C4" w:rsidR="00A231FE" w:rsidRPr="00F54073" w:rsidRDefault="000520AF"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2259E2DF" w14:textId="53721840"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6D614AFE" w14:textId="5B194004"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4886E523" w14:textId="5B3F5D79"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47D69427"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06E04000"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CP</w:t>
            </w:r>
          </w:p>
        </w:tc>
        <w:tc>
          <w:tcPr>
            <w:tcW w:w="321" w:type="pct"/>
            <w:tcBorders>
              <w:top w:val="nil"/>
              <w:left w:val="single" w:sz="18" w:space="0" w:color="auto"/>
              <w:bottom w:val="nil"/>
              <w:right w:val="nil"/>
            </w:tcBorders>
            <w:noWrap/>
            <w:vAlign w:val="center"/>
            <w:hideMark/>
          </w:tcPr>
          <w:p w14:paraId="6403EDC8" w14:textId="04EA4974"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47.2</w:t>
            </w:r>
            <w:r w:rsidR="000C72C2">
              <w:rPr>
                <w:rFonts w:eastAsia="Times New Roman" w:cs="Times New Roman"/>
                <w:color w:val="000000"/>
                <w:sz w:val="20"/>
                <w:szCs w:val="20"/>
              </w:rPr>
              <w:t>00</w:t>
            </w:r>
          </w:p>
        </w:tc>
        <w:tc>
          <w:tcPr>
            <w:tcW w:w="335" w:type="pct"/>
            <w:tcBorders>
              <w:top w:val="nil"/>
              <w:left w:val="nil"/>
              <w:bottom w:val="nil"/>
              <w:right w:val="nil"/>
            </w:tcBorders>
            <w:noWrap/>
            <w:vAlign w:val="center"/>
            <w:hideMark/>
          </w:tcPr>
          <w:p w14:paraId="05C5EAD3" w14:textId="25E19D6C"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26.0</w:t>
            </w:r>
            <w:r w:rsidR="000C72C2">
              <w:rPr>
                <w:rFonts w:eastAsia="Times New Roman" w:cs="Times New Roman"/>
                <w:color w:val="000000"/>
                <w:sz w:val="20"/>
                <w:szCs w:val="20"/>
              </w:rPr>
              <w:t>00</w:t>
            </w:r>
          </w:p>
        </w:tc>
        <w:tc>
          <w:tcPr>
            <w:tcW w:w="335" w:type="pct"/>
            <w:tcBorders>
              <w:top w:val="nil"/>
              <w:left w:val="nil"/>
              <w:bottom w:val="nil"/>
              <w:right w:val="nil"/>
            </w:tcBorders>
            <w:noWrap/>
            <w:vAlign w:val="center"/>
            <w:hideMark/>
          </w:tcPr>
          <w:p w14:paraId="14CE59FA" w14:textId="7DA09C40"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1.6</w:t>
            </w:r>
            <w:r w:rsidR="000C72C2">
              <w:rPr>
                <w:rFonts w:eastAsia="Times New Roman" w:cs="Times New Roman"/>
                <w:color w:val="000000"/>
                <w:sz w:val="20"/>
                <w:szCs w:val="20"/>
              </w:rPr>
              <w:t>00</w:t>
            </w:r>
          </w:p>
        </w:tc>
        <w:tc>
          <w:tcPr>
            <w:tcW w:w="321" w:type="pct"/>
            <w:tcBorders>
              <w:top w:val="nil"/>
              <w:left w:val="nil"/>
              <w:bottom w:val="nil"/>
              <w:right w:val="nil"/>
            </w:tcBorders>
            <w:noWrap/>
            <w:vAlign w:val="center"/>
            <w:hideMark/>
          </w:tcPr>
          <w:p w14:paraId="4B5E7D93" w14:textId="00BA12FD"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03043B42" w14:textId="7D7726C8"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5462180F" w14:textId="67EC0D16" w:rsidR="00A231FE" w:rsidRPr="00F54073" w:rsidRDefault="000520AF" w:rsidP="00BB7CF5">
            <w:pPr>
              <w:tabs>
                <w:tab w:val="decimal" w:pos="209"/>
              </w:tabs>
              <w:spacing w:line="240" w:lineRule="auto"/>
              <w:jc w:val="center"/>
              <w:rPr>
                <w:rFonts w:eastAsia="Times New Roman" w:cs="Times New Roman"/>
                <w:sz w:val="20"/>
                <w:szCs w:val="20"/>
              </w:rPr>
            </w:pPr>
            <w:r>
              <w:rPr>
                <w:rFonts w:eastAsia="Times New Roman" w:cs="Times New Roman"/>
                <w:color w:val="000000"/>
                <w:sz w:val="20"/>
                <w:szCs w:val="20"/>
              </w:rPr>
              <w:t>--</w:t>
            </w:r>
          </w:p>
        </w:tc>
        <w:tc>
          <w:tcPr>
            <w:tcW w:w="361" w:type="pct"/>
            <w:tcBorders>
              <w:top w:val="nil"/>
              <w:left w:val="nil"/>
              <w:bottom w:val="nil"/>
              <w:right w:val="nil"/>
            </w:tcBorders>
            <w:noWrap/>
            <w:vAlign w:val="center"/>
          </w:tcPr>
          <w:p w14:paraId="5241E36C" w14:textId="00CF9E2C"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44BE8D43" w14:textId="3FAFF5FC" w:rsidR="00A231FE" w:rsidRPr="00F54073" w:rsidRDefault="000520AF"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5D3E13D0" w14:textId="236C9EEA"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318AEF8D" w14:textId="1919490F"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3A14B7A9" w14:textId="7DB1379F"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48D0EB86"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0DFE7A22"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FSSD</w:t>
            </w:r>
          </w:p>
        </w:tc>
        <w:tc>
          <w:tcPr>
            <w:tcW w:w="321" w:type="pct"/>
            <w:tcBorders>
              <w:top w:val="nil"/>
              <w:left w:val="single" w:sz="18" w:space="0" w:color="auto"/>
              <w:bottom w:val="nil"/>
              <w:right w:val="nil"/>
            </w:tcBorders>
            <w:noWrap/>
            <w:vAlign w:val="center"/>
            <w:hideMark/>
          </w:tcPr>
          <w:p w14:paraId="76A01548"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0.015</w:t>
            </w:r>
          </w:p>
        </w:tc>
        <w:tc>
          <w:tcPr>
            <w:tcW w:w="335" w:type="pct"/>
            <w:tcBorders>
              <w:top w:val="nil"/>
              <w:left w:val="nil"/>
              <w:bottom w:val="nil"/>
              <w:right w:val="nil"/>
            </w:tcBorders>
            <w:noWrap/>
            <w:vAlign w:val="center"/>
            <w:hideMark/>
          </w:tcPr>
          <w:p w14:paraId="765D6E6D"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0.024</w:t>
            </w:r>
          </w:p>
        </w:tc>
        <w:tc>
          <w:tcPr>
            <w:tcW w:w="335" w:type="pct"/>
            <w:tcBorders>
              <w:top w:val="nil"/>
              <w:left w:val="nil"/>
              <w:bottom w:val="nil"/>
              <w:right w:val="nil"/>
            </w:tcBorders>
            <w:noWrap/>
            <w:vAlign w:val="center"/>
            <w:hideMark/>
          </w:tcPr>
          <w:p w14:paraId="796254CA"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0.022</w:t>
            </w:r>
          </w:p>
        </w:tc>
        <w:tc>
          <w:tcPr>
            <w:tcW w:w="321" w:type="pct"/>
            <w:tcBorders>
              <w:top w:val="nil"/>
              <w:left w:val="nil"/>
              <w:bottom w:val="nil"/>
              <w:right w:val="nil"/>
            </w:tcBorders>
            <w:noWrap/>
            <w:vAlign w:val="center"/>
            <w:hideMark/>
          </w:tcPr>
          <w:p w14:paraId="4C5BB9B3" w14:textId="29F2BD80"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75EFECA7" w14:textId="605CAA38"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1056C0B3" w14:textId="70537420" w:rsidR="00A231FE" w:rsidRPr="00F54073" w:rsidRDefault="00A231FE" w:rsidP="00BB7CF5">
            <w:pPr>
              <w:tabs>
                <w:tab w:val="decimal" w:pos="209"/>
              </w:tabs>
              <w:spacing w:line="240" w:lineRule="auto"/>
              <w:jc w:val="center"/>
              <w:rPr>
                <w:rFonts w:eastAsia="Times New Roman" w:cs="Times New Roman"/>
                <w:sz w:val="20"/>
                <w:szCs w:val="20"/>
              </w:rPr>
            </w:pPr>
            <w:r w:rsidRPr="00F54073">
              <w:rPr>
                <w:rFonts w:eastAsia="Times New Roman" w:cs="Times New Roman"/>
                <w:color w:val="000000"/>
                <w:sz w:val="20"/>
                <w:szCs w:val="20"/>
              </w:rPr>
              <w:t>0.027</w:t>
            </w:r>
          </w:p>
        </w:tc>
        <w:tc>
          <w:tcPr>
            <w:tcW w:w="361" w:type="pct"/>
            <w:tcBorders>
              <w:top w:val="nil"/>
              <w:left w:val="nil"/>
              <w:bottom w:val="nil"/>
              <w:right w:val="nil"/>
            </w:tcBorders>
            <w:noWrap/>
            <w:vAlign w:val="center"/>
          </w:tcPr>
          <w:p w14:paraId="6B2B5A95" w14:textId="1D649908"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793EF1DF"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0.009</w:t>
            </w:r>
          </w:p>
        </w:tc>
        <w:tc>
          <w:tcPr>
            <w:tcW w:w="321" w:type="pct"/>
            <w:tcBorders>
              <w:top w:val="nil"/>
              <w:left w:val="nil"/>
              <w:bottom w:val="nil"/>
              <w:right w:val="nil"/>
            </w:tcBorders>
            <w:noWrap/>
            <w:vAlign w:val="center"/>
            <w:hideMark/>
          </w:tcPr>
          <w:p w14:paraId="7ED20001" w14:textId="383A87DA"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59571A47" w14:textId="387A7CB4"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7D97EFA1" w14:textId="2B269127"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7A4A19E8"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11E84D39"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ASE</w:t>
            </w:r>
          </w:p>
        </w:tc>
        <w:tc>
          <w:tcPr>
            <w:tcW w:w="321" w:type="pct"/>
            <w:tcBorders>
              <w:top w:val="nil"/>
              <w:left w:val="single" w:sz="18" w:space="0" w:color="auto"/>
              <w:bottom w:val="nil"/>
              <w:right w:val="nil"/>
            </w:tcBorders>
            <w:noWrap/>
            <w:vAlign w:val="center"/>
            <w:hideMark/>
          </w:tcPr>
          <w:p w14:paraId="17E73982"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0.014</w:t>
            </w:r>
          </w:p>
        </w:tc>
        <w:tc>
          <w:tcPr>
            <w:tcW w:w="335" w:type="pct"/>
            <w:tcBorders>
              <w:top w:val="nil"/>
              <w:left w:val="nil"/>
              <w:bottom w:val="nil"/>
              <w:right w:val="nil"/>
            </w:tcBorders>
            <w:noWrap/>
            <w:vAlign w:val="center"/>
            <w:hideMark/>
          </w:tcPr>
          <w:p w14:paraId="1C95F3BD"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0.022</w:t>
            </w:r>
          </w:p>
        </w:tc>
        <w:tc>
          <w:tcPr>
            <w:tcW w:w="335" w:type="pct"/>
            <w:tcBorders>
              <w:top w:val="nil"/>
              <w:left w:val="nil"/>
              <w:bottom w:val="nil"/>
              <w:right w:val="nil"/>
            </w:tcBorders>
            <w:noWrap/>
            <w:vAlign w:val="center"/>
            <w:hideMark/>
          </w:tcPr>
          <w:p w14:paraId="3FB46663"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0.020</w:t>
            </w:r>
          </w:p>
        </w:tc>
        <w:tc>
          <w:tcPr>
            <w:tcW w:w="321" w:type="pct"/>
            <w:tcBorders>
              <w:top w:val="nil"/>
              <w:left w:val="nil"/>
              <w:bottom w:val="nil"/>
              <w:right w:val="nil"/>
            </w:tcBorders>
            <w:noWrap/>
            <w:vAlign w:val="center"/>
            <w:hideMark/>
          </w:tcPr>
          <w:p w14:paraId="06C8BDCF" w14:textId="17B84BAB"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5E265982" w14:textId="143B8D34"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0044A99F" w14:textId="4C9AD6A7" w:rsidR="00A231FE" w:rsidRPr="00F54073" w:rsidRDefault="00A231FE" w:rsidP="00BB7CF5">
            <w:pPr>
              <w:tabs>
                <w:tab w:val="decimal" w:pos="209"/>
              </w:tabs>
              <w:spacing w:line="240" w:lineRule="auto"/>
              <w:jc w:val="center"/>
              <w:rPr>
                <w:rFonts w:eastAsia="Times New Roman" w:cs="Times New Roman"/>
                <w:sz w:val="20"/>
                <w:szCs w:val="20"/>
              </w:rPr>
            </w:pPr>
            <w:r w:rsidRPr="00F54073">
              <w:rPr>
                <w:rFonts w:eastAsia="Times New Roman" w:cs="Times New Roman"/>
                <w:color w:val="000000"/>
                <w:sz w:val="20"/>
                <w:szCs w:val="20"/>
              </w:rPr>
              <w:t>0.025</w:t>
            </w:r>
          </w:p>
        </w:tc>
        <w:tc>
          <w:tcPr>
            <w:tcW w:w="361" w:type="pct"/>
            <w:tcBorders>
              <w:top w:val="nil"/>
              <w:left w:val="nil"/>
              <w:bottom w:val="nil"/>
              <w:right w:val="nil"/>
            </w:tcBorders>
            <w:noWrap/>
            <w:vAlign w:val="center"/>
          </w:tcPr>
          <w:p w14:paraId="652BE09F" w14:textId="45F7B5AE"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5F5525E1"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0.010</w:t>
            </w:r>
          </w:p>
        </w:tc>
        <w:tc>
          <w:tcPr>
            <w:tcW w:w="321" w:type="pct"/>
            <w:tcBorders>
              <w:top w:val="nil"/>
              <w:left w:val="nil"/>
              <w:bottom w:val="nil"/>
              <w:right w:val="nil"/>
            </w:tcBorders>
            <w:noWrap/>
            <w:vAlign w:val="center"/>
            <w:hideMark/>
          </w:tcPr>
          <w:p w14:paraId="609B031A" w14:textId="3D176F90"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35D2D888" w14:textId="471FAC2C"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74C9BC4F" w14:textId="61722E1C"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58BDF36D"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07D0D930"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APBASE</w:t>
            </w:r>
          </w:p>
        </w:tc>
        <w:tc>
          <w:tcPr>
            <w:tcW w:w="321" w:type="pct"/>
            <w:tcBorders>
              <w:top w:val="nil"/>
              <w:left w:val="single" w:sz="18" w:space="0" w:color="auto"/>
              <w:bottom w:val="nil"/>
              <w:right w:val="nil"/>
            </w:tcBorders>
            <w:noWrap/>
            <w:vAlign w:val="center"/>
            <w:hideMark/>
          </w:tcPr>
          <w:p w14:paraId="7228BC4F"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1.671</w:t>
            </w:r>
          </w:p>
        </w:tc>
        <w:tc>
          <w:tcPr>
            <w:tcW w:w="335" w:type="pct"/>
            <w:tcBorders>
              <w:top w:val="nil"/>
              <w:left w:val="nil"/>
              <w:bottom w:val="nil"/>
              <w:right w:val="nil"/>
            </w:tcBorders>
            <w:noWrap/>
            <w:vAlign w:val="center"/>
            <w:hideMark/>
          </w:tcPr>
          <w:p w14:paraId="1FCD138B"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7.863</w:t>
            </w:r>
          </w:p>
        </w:tc>
        <w:tc>
          <w:tcPr>
            <w:tcW w:w="335" w:type="pct"/>
            <w:tcBorders>
              <w:top w:val="nil"/>
              <w:left w:val="nil"/>
              <w:bottom w:val="nil"/>
              <w:right w:val="nil"/>
            </w:tcBorders>
            <w:noWrap/>
            <w:vAlign w:val="center"/>
            <w:hideMark/>
          </w:tcPr>
          <w:p w14:paraId="19738441"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6.268</w:t>
            </w:r>
          </w:p>
        </w:tc>
        <w:tc>
          <w:tcPr>
            <w:tcW w:w="321" w:type="pct"/>
            <w:tcBorders>
              <w:top w:val="nil"/>
              <w:left w:val="nil"/>
              <w:bottom w:val="nil"/>
              <w:right w:val="nil"/>
            </w:tcBorders>
            <w:noWrap/>
            <w:vAlign w:val="center"/>
            <w:hideMark/>
          </w:tcPr>
          <w:p w14:paraId="7FA57366" w14:textId="2B9FA562"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21" w:type="pct"/>
            <w:tcBorders>
              <w:top w:val="nil"/>
              <w:left w:val="nil"/>
              <w:bottom w:val="nil"/>
              <w:right w:val="nil"/>
            </w:tcBorders>
            <w:noWrap/>
            <w:vAlign w:val="center"/>
            <w:hideMark/>
          </w:tcPr>
          <w:p w14:paraId="0948FC54" w14:textId="26985DF8"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nil"/>
            </w:tcBorders>
            <w:noWrap/>
            <w:vAlign w:val="center"/>
            <w:hideMark/>
          </w:tcPr>
          <w:p w14:paraId="5004E820" w14:textId="6B299537" w:rsidR="00A231FE" w:rsidRPr="00F54073" w:rsidRDefault="00A231FE" w:rsidP="00BB7CF5">
            <w:pPr>
              <w:tabs>
                <w:tab w:val="decimal" w:pos="209"/>
              </w:tabs>
              <w:spacing w:line="240" w:lineRule="auto"/>
              <w:jc w:val="center"/>
              <w:rPr>
                <w:rFonts w:eastAsia="Times New Roman" w:cs="Times New Roman"/>
                <w:sz w:val="20"/>
                <w:szCs w:val="20"/>
              </w:rPr>
            </w:pPr>
            <w:r w:rsidRPr="00F54073">
              <w:rPr>
                <w:rFonts w:eastAsia="Times New Roman" w:cs="Times New Roman"/>
                <w:color w:val="000000"/>
                <w:sz w:val="20"/>
                <w:szCs w:val="20"/>
              </w:rPr>
              <w:t>8.273</w:t>
            </w:r>
          </w:p>
        </w:tc>
        <w:tc>
          <w:tcPr>
            <w:tcW w:w="361" w:type="pct"/>
            <w:tcBorders>
              <w:top w:val="nil"/>
              <w:left w:val="nil"/>
              <w:bottom w:val="nil"/>
              <w:right w:val="nil"/>
            </w:tcBorders>
            <w:noWrap/>
            <w:vAlign w:val="center"/>
          </w:tcPr>
          <w:p w14:paraId="6749E3A5" w14:textId="09C3691E"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78" w:type="pct"/>
            <w:tcBorders>
              <w:top w:val="nil"/>
              <w:left w:val="nil"/>
              <w:bottom w:val="nil"/>
              <w:right w:val="nil"/>
            </w:tcBorders>
            <w:noWrap/>
            <w:vAlign w:val="center"/>
            <w:hideMark/>
          </w:tcPr>
          <w:p w14:paraId="18AF30D9" w14:textId="77777777" w:rsidR="00A231FE" w:rsidRPr="00F54073" w:rsidRDefault="00A231FE" w:rsidP="00BB7CF5">
            <w:pPr>
              <w:tabs>
                <w:tab w:val="decimal" w:pos="209"/>
              </w:tabs>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10.362</w:t>
            </w:r>
          </w:p>
        </w:tc>
        <w:tc>
          <w:tcPr>
            <w:tcW w:w="321" w:type="pct"/>
            <w:tcBorders>
              <w:top w:val="nil"/>
              <w:left w:val="nil"/>
              <w:bottom w:val="nil"/>
              <w:right w:val="nil"/>
            </w:tcBorders>
            <w:noWrap/>
            <w:vAlign w:val="center"/>
            <w:hideMark/>
          </w:tcPr>
          <w:p w14:paraId="13F1AAA2" w14:textId="171B0B39"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335" w:type="pct"/>
            <w:tcBorders>
              <w:top w:val="nil"/>
              <w:left w:val="nil"/>
              <w:bottom w:val="nil"/>
              <w:right w:val="nil"/>
            </w:tcBorders>
            <w:noWrap/>
            <w:vAlign w:val="center"/>
            <w:hideMark/>
          </w:tcPr>
          <w:p w14:paraId="392BCC5D" w14:textId="038A3817" w:rsidR="00A231FE" w:rsidRPr="00F54073" w:rsidRDefault="00A231FE" w:rsidP="00BB7CF5">
            <w:pPr>
              <w:tabs>
                <w:tab w:val="decimal" w:pos="209"/>
              </w:tabs>
              <w:spacing w:line="240" w:lineRule="auto"/>
              <w:jc w:val="center"/>
              <w:rPr>
                <w:rFonts w:eastAsia="Times New Roman" w:cs="Times New Roman"/>
                <w:sz w:val="20"/>
                <w:szCs w:val="20"/>
              </w:rPr>
            </w:pPr>
            <w:r>
              <w:rPr>
                <w:rFonts w:eastAsia="Times New Roman" w:cs="Times New Roman"/>
                <w:sz w:val="20"/>
                <w:szCs w:val="20"/>
              </w:rPr>
              <w:t>--</w:t>
            </w:r>
          </w:p>
        </w:tc>
        <w:tc>
          <w:tcPr>
            <w:tcW w:w="321" w:type="pct"/>
            <w:tcBorders>
              <w:top w:val="nil"/>
              <w:left w:val="nil"/>
              <w:bottom w:val="nil"/>
              <w:right w:val="single" w:sz="18" w:space="0" w:color="auto"/>
            </w:tcBorders>
            <w:noWrap/>
            <w:vAlign w:val="center"/>
            <w:hideMark/>
          </w:tcPr>
          <w:p w14:paraId="604BD883" w14:textId="72E72935" w:rsidR="00A231FE" w:rsidRPr="00F54073" w:rsidRDefault="00A231FE" w:rsidP="00BB7CF5">
            <w:pPr>
              <w:tabs>
                <w:tab w:val="decimal" w:pos="209"/>
              </w:tabs>
              <w:spacing w:line="240" w:lineRule="auto"/>
              <w:jc w:val="center"/>
              <w:rPr>
                <w:rFonts w:eastAsia="Times New Roman" w:cs="Times New Roman"/>
                <w:color w:val="000000"/>
                <w:sz w:val="20"/>
                <w:szCs w:val="20"/>
              </w:rPr>
            </w:pPr>
            <w:r>
              <w:rPr>
                <w:rFonts w:eastAsia="Times New Roman" w:cs="Times New Roman"/>
                <w:color w:val="000000"/>
                <w:sz w:val="20"/>
                <w:szCs w:val="20"/>
              </w:rPr>
              <w:t>--</w:t>
            </w:r>
            <w:r w:rsidRPr="00F54073">
              <w:rPr>
                <w:rFonts w:eastAsia="Times New Roman" w:cs="Times New Roman"/>
                <w:color w:val="000000"/>
                <w:sz w:val="20"/>
                <w:szCs w:val="20"/>
              </w:rPr>
              <w:t> </w:t>
            </w:r>
          </w:p>
        </w:tc>
      </w:tr>
      <w:tr w:rsidR="00A231FE" w:rsidRPr="00F54073" w14:paraId="43BAECC0" w14:textId="77777777" w:rsidTr="00BB7CF5">
        <w:trPr>
          <w:trHeight w:val="295"/>
          <w:jc w:val="center"/>
        </w:trPr>
        <w:tc>
          <w:tcPr>
            <w:tcW w:w="1331" w:type="pct"/>
            <w:tcBorders>
              <w:top w:val="nil"/>
              <w:left w:val="single" w:sz="18" w:space="0" w:color="auto"/>
              <w:bottom w:val="nil"/>
              <w:right w:val="single" w:sz="18" w:space="0" w:color="auto"/>
            </w:tcBorders>
            <w:noWrap/>
            <w:vAlign w:val="center"/>
            <w:hideMark/>
          </w:tcPr>
          <w:p w14:paraId="0A3094A3"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Mean Likelihood</w:t>
            </w:r>
          </w:p>
        </w:tc>
        <w:tc>
          <w:tcPr>
            <w:tcW w:w="3669" w:type="pct"/>
            <w:gridSpan w:val="11"/>
            <w:tcBorders>
              <w:top w:val="nil"/>
              <w:left w:val="single" w:sz="18" w:space="0" w:color="auto"/>
              <w:bottom w:val="nil"/>
              <w:right w:val="single" w:sz="18" w:space="0" w:color="auto"/>
            </w:tcBorders>
            <w:noWrap/>
            <w:vAlign w:val="center"/>
            <w:hideMark/>
          </w:tcPr>
          <w:p w14:paraId="04C2E43F" w14:textId="77777777" w:rsidR="00A231FE" w:rsidRPr="00F54073" w:rsidRDefault="00A231FE" w:rsidP="00A231FE">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-5355.6</w:t>
            </w:r>
          </w:p>
        </w:tc>
      </w:tr>
      <w:tr w:rsidR="00A231FE" w:rsidRPr="00F54073" w14:paraId="4C4F2E23" w14:textId="77777777" w:rsidTr="00BB7CF5">
        <w:trPr>
          <w:trHeight w:val="310"/>
          <w:jc w:val="center"/>
        </w:trPr>
        <w:tc>
          <w:tcPr>
            <w:tcW w:w="1331" w:type="pct"/>
            <w:tcBorders>
              <w:top w:val="nil"/>
              <w:left w:val="single" w:sz="18" w:space="0" w:color="auto"/>
              <w:bottom w:val="single" w:sz="18" w:space="0" w:color="auto"/>
              <w:right w:val="single" w:sz="18" w:space="0" w:color="auto"/>
            </w:tcBorders>
            <w:noWrap/>
            <w:vAlign w:val="center"/>
            <w:hideMark/>
          </w:tcPr>
          <w:p w14:paraId="75194D80" w14:textId="77777777" w:rsidR="00A231FE" w:rsidRPr="00F54073" w:rsidRDefault="00A231FE" w:rsidP="00A231FE">
            <w:pPr>
              <w:spacing w:line="240" w:lineRule="auto"/>
              <w:jc w:val="left"/>
              <w:rPr>
                <w:rFonts w:eastAsia="Times New Roman" w:cs="Times New Roman"/>
                <w:color w:val="000000"/>
                <w:sz w:val="20"/>
                <w:szCs w:val="20"/>
              </w:rPr>
            </w:pPr>
            <w:r w:rsidRPr="00F54073">
              <w:rPr>
                <w:rFonts w:eastAsia="Times New Roman" w:cs="Times New Roman"/>
                <w:color w:val="000000"/>
                <w:sz w:val="20"/>
                <w:szCs w:val="20"/>
              </w:rPr>
              <w:t>Likelihood Ratio Test Performance</w:t>
            </w:r>
          </w:p>
        </w:tc>
        <w:tc>
          <w:tcPr>
            <w:tcW w:w="3669" w:type="pct"/>
            <w:gridSpan w:val="11"/>
            <w:tcBorders>
              <w:top w:val="nil"/>
              <w:left w:val="single" w:sz="18" w:space="0" w:color="auto"/>
              <w:bottom w:val="single" w:sz="18" w:space="0" w:color="auto"/>
              <w:right w:val="single" w:sz="18" w:space="0" w:color="auto"/>
            </w:tcBorders>
            <w:noWrap/>
            <w:vAlign w:val="center"/>
            <w:hideMark/>
          </w:tcPr>
          <w:p w14:paraId="66BF19D7" w14:textId="77777777" w:rsidR="00A231FE" w:rsidRPr="00F54073" w:rsidRDefault="00A231FE" w:rsidP="00A231FE">
            <w:pPr>
              <w:spacing w:line="240" w:lineRule="auto"/>
              <w:jc w:val="center"/>
              <w:rPr>
                <w:rFonts w:eastAsia="Times New Roman" w:cs="Times New Roman"/>
                <w:color w:val="000000"/>
                <w:sz w:val="20"/>
                <w:szCs w:val="20"/>
              </w:rPr>
            </w:pPr>
            <w:r w:rsidRPr="00F54073">
              <w:rPr>
                <w:rFonts w:eastAsia="Times New Roman" w:cs="Times New Roman"/>
                <w:color w:val="000000"/>
                <w:sz w:val="20"/>
                <w:szCs w:val="20"/>
              </w:rPr>
              <w:t>100%</w:t>
            </w:r>
          </w:p>
        </w:tc>
      </w:tr>
    </w:tbl>
    <w:p w14:paraId="7BF1DC73" w14:textId="4E26E2BF" w:rsidR="00F54073" w:rsidRDefault="00E55FFD" w:rsidP="003A65AC">
      <w:pPr>
        <w:spacing w:line="276" w:lineRule="auto"/>
        <w:ind w:left="144" w:hanging="144"/>
        <w:rPr>
          <w:rFonts w:eastAsia="Times New Roman" w:cs="Times New Roman"/>
          <w:color w:val="000000"/>
          <w:sz w:val="20"/>
          <w:szCs w:val="20"/>
        </w:rPr>
      </w:pPr>
      <w:r>
        <w:rPr>
          <w:rFonts w:eastAsia="Times New Roman" w:cs="Times New Roman"/>
          <w:color w:val="000000"/>
          <w:sz w:val="20"/>
          <w:szCs w:val="20"/>
        </w:rPr>
        <w:t xml:space="preserve">* </w:t>
      </w:r>
      <w:r w:rsidR="00C01FA9">
        <w:rPr>
          <w:rFonts w:eastAsia="Times New Roman" w:cs="Times New Roman"/>
          <w:color w:val="000000"/>
          <w:sz w:val="20"/>
          <w:szCs w:val="20"/>
        </w:rPr>
        <w:t>The final scale parameter (</w:t>
      </w:r>
      <w:r w:rsidR="005731B3" w:rsidRPr="00DF4DDF">
        <w:rPr>
          <w:position w:val="-12"/>
        </w:rPr>
        <w:object w:dxaOrig="220" w:dyaOrig="360" w14:anchorId="19F36C32">
          <v:shape id="_x0000_i1258" type="#_x0000_t75" style="width:10.7pt;height:18.45pt" o:ole="">
            <v:imagedata r:id="rId436" o:title=""/>
          </v:shape>
          <o:OLEObject Type="Embed" ProgID="Equation.DSMT4" ShapeID="_x0000_i1258" DrawAspect="Content" ObjectID="_1841834633" r:id="rId437"/>
        </w:object>
      </w:r>
      <w:r w:rsidR="00C01FA9">
        <w:rPr>
          <w:rFonts w:eastAsia="Times New Roman" w:cs="Times New Roman"/>
          <w:color w:val="000000"/>
          <w:sz w:val="20"/>
          <w:szCs w:val="20"/>
        </w:rPr>
        <w:t xml:space="preserve">) is implicitly identified through the scale normalization. </w:t>
      </w:r>
    </w:p>
    <w:p w14:paraId="4853DA96" w14:textId="5FA2694F" w:rsidR="00C01FA9" w:rsidRDefault="00C01FA9" w:rsidP="003A65AC">
      <w:pPr>
        <w:spacing w:line="276" w:lineRule="auto"/>
        <w:ind w:left="144" w:hanging="144"/>
        <w:rPr>
          <w:rFonts w:cs="Times New Roman"/>
          <w:sz w:val="20"/>
          <w:szCs w:val="20"/>
        </w:rPr>
      </w:pPr>
    </w:p>
    <w:p w14:paraId="74AA0520" w14:textId="77777777" w:rsidR="000520AF" w:rsidRDefault="000520AF">
      <w:pPr>
        <w:spacing w:after="160"/>
        <w:jc w:val="left"/>
        <w:rPr>
          <w:rFonts w:cs="Times New Roman"/>
          <w:b/>
          <w:bCs/>
          <w:szCs w:val="24"/>
        </w:rPr>
      </w:pPr>
      <w:r>
        <w:rPr>
          <w:rFonts w:cs="Times New Roman"/>
          <w:b/>
          <w:bCs/>
          <w:szCs w:val="24"/>
        </w:rPr>
        <w:br w:type="page"/>
      </w:r>
    </w:p>
    <w:p w14:paraId="7CFA80D1" w14:textId="74AEE592" w:rsidR="005B4A03" w:rsidRPr="001E1F0E" w:rsidRDefault="005B2189" w:rsidP="003A65AC">
      <w:pPr>
        <w:spacing w:line="276" w:lineRule="auto"/>
        <w:ind w:left="144" w:hanging="144"/>
        <w:rPr>
          <w:rFonts w:cs="Times New Roman"/>
          <w:b/>
          <w:bCs/>
          <w:szCs w:val="24"/>
        </w:rPr>
      </w:pPr>
      <w:r w:rsidRPr="001E1F0E">
        <w:rPr>
          <w:rFonts w:cs="Times New Roman"/>
          <w:b/>
          <w:bCs/>
          <w:szCs w:val="24"/>
        </w:rPr>
        <w:lastRenderedPageBreak/>
        <w:t>Table 2: Vehicle Ownership Model Results for MNP and MNYJ Models</w:t>
      </w:r>
    </w:p>
    <w:p w14:paraId="3393D85D" w14:textId="77777777" w:rsidR="005B2189" w:rsidRDefault="005B2189" w:rsidP="003A65AC">
      <w:pPr>
        <w:spacing w:line="276" w:lineRule="auto"/>
        <w:ind w:left="144" w:hanging="144"/>
        <w:rPr>
          <w:rFonts w:cs="Times New Roman"/>
          <w:sz w:val="20"/>
          <w:szCs w:val="20"/>
        </w:rPr>
      </w:pPr>
    </w:p>
    <w:tbl>
      <w:tblPr>
        <w:tblW w:w="15035" w:type="dxa"/>
        <w:jc w:val="center"/>
        <w:tblLayout w:type="fixed"/>
        <w:tblCellMar>
          <w:left w:w="29" w:type="dxa"/>
          <w:right w:w="29" w:type="dxa"/>
        </w:tblCellMar>
        <w:tblLook w:val="04A0" w:firstRow="1" w:lastRow="0" w:firstColumn="1" w:lastColumn="0" w:noHBand="0" w:noVBand="1"/>
      </w:tblPr>
      <w:tblGrid>
        <w:gridCol w:w="2227"/>
        <w:gridCol w:w="454"/>
        <w:gridCol w:w="450"/>
        <w:gridCol w:w="523"/>
        <w:gridCol w:w="523"/>
        <w:gridCol w:w="523"/>
        <w:gridCol w:w="677"/>
        <w:gridCol w:w="540"/>
        <w:gridCol w:w="423"/>
        <w:gridCol w:w="523"/>
        <w:gridCol w:w="523"/>
        <w:gridCol w:w="523"/>
        <w:gridCol w:w="654"/>
        <w:gridCol w:w="594"/>
        <w:gridCol w:w="516"/>
        <w:gridCol w:w="7"/>
        <w:gridCol w:w="523"/>
        <w:gridCol w:w="516"/>
        <w:gridCol w:w="7"/>
        <w:gridCol w:w="523"/>
        <w:gridCol w:w="535"/>
        <w:gridCol w:w="11"/>
        <w:gridCol w:w="7"/>
        <w:gridCol w:w="523"/>
        <w:gridCol w:w="516"/>
        <w:gridCol w:w="7"/>
        <w:gridCol w:w="523"/>
        <w:gridCol w:w="516"/>
        <w:gridCol w:w="7"/>
        <w:gridCol w:w="523"/>
        <w:gridCol w:w="611"/>
        <w:gridCol w:w="7"/>
      </w:tblGrid>
      <w:tr w:rsidR="00EB2763" w:rsidRPr="00952A5F" w14:paraId="51BE9CF8" w14:textId="77777777" w:rsidTr="00014DCE">
        <w:trPr>
          <w:gridAfter w:val="1"/>
          <w:wAfter w:w="7" w:type="dxa"/>
          <w:trHeight w:val="20"/>
          <w:jc w:val="center"/>
        </w:trPr>
        <w:tc>
          <w:tcPr>
            <w:tcW w:w="2227" w:type="dxa"/>
            <w:vMerge w:val="restart"/>
            <w:tcBorders>
              <w:top w:val="single" w:sz="18" w:space="0" w:color="auto"/>
              <w:left w:val="single" w:sz="18" w:space="0" w:color="auto"/>
              <w:bottom w:val="single" w:sz="18" w:space="0" w:color="auto"/>
              <w:right w:val="single" w:sz="18" w:space="0" w:color="auto"/>
            </w:tcBorders>
            <w:noWrap/>
            <w:vAlign w:val="center"/>
            <w:hideMark/>
          </w:tcPr>
          <w:p w14:paraId="4DF96059" w14:textId="77777777" w:rsidR="00EB2763" w:rsidRPr="00952A5F" w:rsidRDefault="00EB2763" w:rsidP="00EB2763">
            <w:pPr>
              <w:spacing w:line="240" w:lineRule="auto"/>
              <w:jc w:val="center"/>
              <w:rPr>
                <w:rFonts w:eastAsia="Times New Roman" w:cs="Times New Roman"/>
                <w:sz w:val="18"/>
                <w:szCs w:val="18"/>
              </w:rPr>
            </w:pPr>
            <w:r w:rsidRPr="00952A5F">
              <w:rPr>
                <w:rFonts w:eastAsia="Times New Roman" w:cs="Times New Roman"/>
                <w:sz w:val="18"/>
                <w:szCs w:val="18"/>
              </w:rPr>
              <w:t>Variable (base)</w:t>
            </w:r>
          </w:p>
        </w:tc>
        <w:tc>
          <w:tcPr>
            <w:tcW w:w="3150" w:type="dxa"/>
            <w:gridSpan w:val="6"/>
            <w:tcBorders>
              <w:top w:val="single" w:sz="18" w:space="0" w:color="auto"/>
              <w:left w:val="single" w:sz="18" w:space="0" w:color="auto"/>
              <w:bottom w:val="single" w:sz="18" w:space="0" w:color="auto"/>
              <w:right w:val="single" w:sz="18" w:space="0" w:color="auto"/>
            </w:tcBorders>
            <w:vAlign w:val="center"/>
            <w:hideMark/>
          </w:tcPr>
          <w:p w14:paraId="72F21590" w14:textId="77777777" w:rsidR="00EB2763" w:rsidRPr="00952A5F" w:rsidRDefault="00EB2763" w:rsidP="00EB2763">
            <w:pPr>
              <w:spacing w:line="240" w:lineRule="auto"/>
              <w:jc w:val="center"/>
              <w:rPr>
                <w:rFonts w:eastAsia="Times New Roman" w:cs="Times New Roman"/>
                <w:b/>
                <w:bCs/>
                <w:sz w:val="18"/>
                <w:szCs w:val="18"/>
              </w:rPr>
            </w:pPr>
            <w:r w:rsidRPr="00952A5F">
              <w:rPr>
                <w:rFonts w:eastAsia="Times New Roman" w:cs="Times New Roman"/>
                <w:b/>
                <w:bCs/>
                <w:sz w:val="18"/>
                <w:szCs w:val="18"/>
              </w:rPr>
              <w:t>MNP</w:t>
            </w:r>
          </w:p>
        </w:tc>
        <w:tc>
          <w:tcPr>
            <w:tcW w:w="3186" w:type="dxa"/>
            <w:gridSpan w:val="6"/>
            <w:tcBorders>
              <w:top w:val="single" w:sz="18" w:space="0" w:color="auto"/>
              <w:left w:val="single" w:sz="18" w:space="0" w:color="auto"/>
              <w:bottom w:val="single" w:sz="18" w:space="0" w:color="auto"/>
              <w:right w:val="single" w:sz="18" w:space="0" w:color="auto"/>
            </w:tcBorders>
            <w:vAlign w:val="center"/>
            <w:hideMark/>
          </w:tcPr>
          <w:p w14:paraId="4C323058" w14:textId="77777777" w:rsidR="00EB2763" w:rsidRPr="00952A5F" w:rsidRDefault="00EB2763" w:rsidP="00EB2763">
            <w:pPr>
              <w:spacing w:line="240" w:lineRule="auto"/>
              <w:jc w:val="center"/>
              <w:rPr>
                <w:rFonts w:eastAsia="Times New Roman" w:cs="Times New Roman"/>
                <w:b/>
                <w:bCs/>
                <w:sz w:val="18"/>
                <w:szCs w:val="18"/>
              </w:rPr>
            </w:pPr>
            <w:r w:rsidRPr="00952A5F">
              <w:rPr>
                <w:rFonts w:eastAsia="Times New Roman" w:cs="Times New Roman"/>
                <w:b/>
                <w:bCs/>
                <w:sz w:val="18"/>
                <w:szCs w:val="18"/>
              </w:rPr>
              <w:t>MNPRC</w:t>
            </w:r>
          </w:p>
        </w:tc>
        <w:tc>
          <w:tcPr>
            <w:tcW w:w="3221" w:type="dxa"/>
            <w:gridSpan w:val="8"/>
            <w:tcBorders>
              <w:top w:val="single" w:sz="18" w:space="0" w:color="auto"/>
              <w:left w:val="single" w:sz="18" w:space="0" w:color="auto"/>
              <w:bottom w:val="single" w:sz="18" w:space="0" w:color="auto"/>
              <w:right w:val="single" w:sz="18" w:space="0" w:color="auto"/>
            </w:tcBorders>
            <w:vAlign w:val="center"/>
            <w:hideMark/>
          </w:tcPr>
          <w:p w14:paraId="3C7583B3" w14:textId="77777777" w:rsidR="00EB2763" w:rsidRPr="00952A5F" w:rsidRDefault="00EB2763" w:rsidP="00EB2763">
            <w:pPr>
              <w:spacing w:line="240" w:lineRule="auto"/>
              <w:jc w:val="center"/>
              <w:rPr>
                <w:rFonts w:eastAsia="Times New Roman" w:cs="Times New Roman"/>
                <w:b/>
                <w:bCs/>
                <w:sz w:val="18"/>
                <w:szCs w:val="18"/>
              </w:rPr>
            </w:pPr>
            <w:r w:rsidRPr="00952A5F">
              <w:rPr>
                <w:rFonts w:eastAsia="Times New Roman" w:cs="Times New Roman"/>
                <w:b/>
                <w:bCs/>
                <w:sz w:val="18"/>
                <w:szCs w:val="18"/>
              </w:rPr>
              <w:t>MNYJ</w:t>
            </w:r>
          </w:p>
        </w:tc>
        <w:tc>
          <w:tcPr>
            <w:tcW w:w="3244" w:type="dxa"/>
            <w:gridSpan w:val="10"/>
            <w:tcBorders>
              <w:top w:val="single" w:sz="18" w:space="0" w:color="auto"/>
              <w:left w:val="single" w:sz="18" w:space="0" w:color="auto"/>
              <w:bottom w:val="single" w:sz="18" w:space="0" w:color="auto"/>
              <w:right w:val="single" w:sz="18" w:space="0" w:color="auto"/>
            </w:tcBorders>
            <w:vAlign w:val="center"/>
            <w:hideMark/>
          </w:tcPr>
          <w:p w14:paraId="034A3ACE" w14:textId="77777777" w:rsidR="00EB2763" w:rsidRPr="00952A5F" w:rsidRDefault="00EB2763" w:rsidP="00EB2763">
            <w:pPr>
              <w:spacing w:line="240" w:lineRule="auto"/>
              <w:jc w:val="center"/>
              <w:rPr>
                <w:rFonts w:eastAsia="Times New Roman" w:cs="Times New Roman"/>
                <w:b/>
                <w:bCs/>
                <w:sz w:val="18"/>
                <w:szCs w:val="18"/>
              </w:rPr>
            </w:pPr>
            <w:r w:rsidRPr="00952A5F">
              <w:rPr>
                <w:rFonts w:eastAsia="Times New Roman" w:cs="Times New Roman"/>
                <w:b/>
                <w:bCs/>
                <w:sz w:val="18"/>
                <w:szCs w:val="18"/>
              </w:rPr>
              <w:t>MNYJRC</w:t>
            </w:r>
          </w:p>
        </w:tc>
      </w:tr>
      <w:tr w:rsidR="00E34F9E" w:rsidRPr="00952A5F" w14:paraId="0EC629C3" w14:textId="77777777" w:rsidTr="00014DCE">
        <w:trPr>
          <w:gridAfter w:val="1"/>
          <w:wAfter w:w="7" w:type="dxa"/>
          <w:trHeight w:val="20"/>
          <w:jc w:val="center"/>
        </w:trPr>
        <w:tc>
          <w:tcPr>
            <w:tcW w:w="2227" w:type="dxa"/>
            <w:vMerge/>
            <w:tcBorders>
              <w:top w:val="single" w:sz="8" w:space="0" w:color="000000"/>
              <w:left w:val="single" w:sz="18" w:space="0" w:color="auto"/>
              <w:bottom w:val="single" w:sz="18" w:space="0" w:color="auto"/>
              <w:right w:val="single" w:sz="18" w:space="0" w:color="auto"/>
            </w:tcBorders>
            <w:vAlign w:val="center"/>
            <w:hideMark/>
          </w:tcPr>
          <w:p w14:paraId="1898AF6A" w14:textId="77777777" w:rsidR="00E34F9E" w:rsidRPr="00952A5F" w:rsidRDefault="00E34F9E" w:rsidP="00E34F9E">
            <w:pPr>
              <w:spacing w:line="240" w:lineRule="auto"/>
              <w:jc w:val="left"/>
              <w:rPr>
                <w:rFonts w:eastAsia="Times New Roman" w:cs="Times New Roman"/>
                <w:sz w:val="18"/>
                <w:szCs w:val="18"/>
              </w:rPr>
            </w:pPr>
          </w:p>
        </w:tc>
        <w:tc>
          <w:tcPr>
            <w:tcW w:w="904" w:type="dxa"/>
            <w:gridSpan w:val="2"/>
            <w:tcBorders>
              <w:top w:val="single" w:sz="18" w:space="0" w:color="auto"/>
              <w:left w:val="single" w:sz="18" w:space="0" w:color="auto"/>
              <w:bottom w:val="single" w:sz="18" w:space="0" w:color="auto"/>
              <w:right w:val="nil"/>
            </w:tcBorders>
            <w:vAlign w:val="center"/>
            <w:hideMark/>
          </w:tcPr>
          <w:p w14:paraId="348E2D68" w14:textId="2200ECDA"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Regular Vehicle</w:t>
            </w:r>
          </w:p>
        </w:tc>
        <w:tc>
          <w:tcPr>
            <w:tcW w:w="1046" w:type="dxa"/>
            <w:gridSpan w:val="2"/>
            <w:tcBorders>
              <w:top w:val="single" w:sz="18" w:space="0" w:color="auto"/>
              <w:left w:val="nil"/>
              <w:bottom w:val="single" w:sz="18" w:space="0" w:color="auto"/>
              <w:right w:val="nil"/>
            </w:tcBorders>
            <w:vAlign w:val="center"/>
            <w:hideMark/>
          </w:tcPr>
          <w:p w14:paraId="4D70B597" w14:textId="1CC7A904"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Autonomous Vehicle</w:t>
            </w:r>
          </w:p>
        </w:tc>
        <w:tc>
          <w:tcPr>
            <w:tcW w:w="1200" w:type="dxa"/>
            <w:gridSpan w:val="2"/>
            <w:tcBorders>
              <w:top w:val="single" w:sz="18" w:space="0" w:color="auto"/>
              <w:left w:val="nil"/>
              <w:bottom w:val="single" w:sz="18" w:space="0" w:color="auto"/>
              <w:right w:val="single" w:sz="18" w:space="0" w:color="auto"/>
            </w:tcBorders>
            <w:vAlign w:val="center"/>
            <w:hideMark/>
          </w:tcPr>
          <w:p w14:paraId="77F32E47" w14:textId="69A38DBF"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No Vehicle</w:t>
            </w:r>
            <w:r w:rsidR="003C7751" w:rsidRPr="00952A5F">
              <w:rPr>
                <w:rFonts w:eastAsia="Times New Roman" w:cs="Times New Roman"/>
                <w:b/>
                <w:bCs/>
                <w:sz w:val="18"/>
                <w:szCs w:val="18"/>
              </w:rPr>
              <w:t xml:space="preserve"> </w:t>
            </w:r>
            <w:r w:rsidRPr="00952A5F">
              <w:rPr>
                <w:rFonts w:eastAsia="Times New Roman" w:cs="Times New Roman"/>
                <w:b/>
                <w:bCs/>
                <w:sz w:val="18"/>
                <w:szCs w:val="18"/>
              </w:rPr>
              <w:t xml:space="preserve">/ </w:t>
            </w:r>
            <w:r w:rsidR="00CE6A1D">
              <w:rPr>
                <w:rFonts w:eastAsia="Times New Roman" w:cs="Times New Roman"/>
                <w:b/>
                <w:bCs/>
                <w:sz w:val="18"/>
                <w:szCs w:val="18"/>
              </w:rPr>
              <w:t xml:space="preserve">AV </w:t>
            </w:r>
            <w:r w:rsidRPr="00952A5F">
              <w:rPr>
                <w:rFonts w:eastAsia="Times New Roman" w:cs="Times New Roman"/>
                <w:b/>
                <w:bCs/>
                <w:sz w:val="18"/>
                <w:szCs w:val="18"/>
              </w:rPr>
              <w:t>Ridehailing</w:t>
            </w:r>
          </w:p>
        </w:tc>
        <w:tc>
          <w:tcPr>
            <w:tcW w:w="963" w:type="dxa"/>
            <w:gridSpan w:val="2"/>
            <w:tcBorders>
              <w:top w:val="single" w:sz="18" w:space="0" w:color="auto"/>
              <w:left w:val="single" w:sz="18" w:space="0" w:color="auto"/>
              <w:bottom w:val="single" w:sz="18" w:space="0" w:color="auto"/>
              <w:right w:val="nil"/>
            </w:tcBorders>
            <w:vAlign w:val="center"/>
            <w:hideMark/>
          </w:tcPr>
          <w:p w14:paraId="4743647C" w14:textId="6445358F"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Regular Vehicle</w:t>
            </w:r>
          </w:p>
        </w:tc>
        <w:tc>
          <w:tcPr>
            <w:tcW w:w="1046" w:type="dxa"/>
            <w:gridSpan w:val="2"/>
            <w:tcBorders>
              <w:top w:val="single" w:sz="18" w:space="0" w:color="auto"/>
              <w:left w:val="nil"/>
              <w:bottom w:val="single" w:sz="18" w:space="0" w:color="auto"/>
              <w:right w:val="nil"/>
            </w:tcBorders>
            <w:vAlign w:val="center"/>
            <w:hideMark/>
          </w:tcPr>
          <w:p w14:paraId="7F72CB46" w14:textId="6CBCE6BD"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Autonomous Vehicle</w:t>
            </w:r>
          </w:p>
        </w:tc>
        <w:tc>
          <w:tcPr>
            <w:tcW w:w="1177" w:type="dxa"/>
            <w:gridSpan w:val="2"/>
            <w:tcBorders>
              <w:top w:val="single" w:sz="18" w:space="0" w:color="auto"/>
              <w:left w:val="nil"/>
              <w:bottom w:val="single" w:sz="18" w:space="0" w:color="auto"/>
              <w:right w:val="single" w:sz="18" w:space="0" w:color="auto"/>
            </w:tcBorders>
            <w:vAlign w:val="center"/>
            <w:hideMark/>
          </w:tcPr>
          <w:p w14:paraId="71ED41A6" w14:textId="45D2E7FB"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No Vehicle</w:t>
            </w:r>
            <w:r w:rsidR="003C7751" w:rsidRPr="00952A5F">
              <w:rPr>
                <w:rFonts w:eastAsia="Times New Roman" w:cs="Times New Roman"/>
                <w:b/>
                <w:bCs/>
                <w:sz w:val="18"/>
                <w:szCs w:val="18"/>
              </w:rPr>
              <w:t xml:space="preserve"> </w:t>
            </w:r>
            <w:r w:rsidRPr="00952A5F">
              <w:rPr>
                <w:rFonts w:eastAsia="Times New Roman" w:cs="Times New Roman"/>
                <w:b/>
                <w:bCs/>
                <w:sz w:val="18"/>
                <w:szCs w:val="18"/>
              </w:rPr>
              <w:t xml:space="preserve">/ </w:t>
            </w:r>
            <w:r w:rsidR="00CE6A1D">
              <w:rPr>
                <w:rFonts w:eastAsia="Times New Roman" w:cs="Times New Roman"/>
                <w:b/>
                <w:bCs/>
                <w:sz w:val="18"/>
                <w:szCs w:val="18"/>
              </w:rPr>
              <w:t xml:space="preserve">AV </w:t>
            </w:r>
            <w:r w:rsidRPr="00952A5F">
              <w:rPr>
                <w:rFonts w:eastAsia="Times New Roman" w:cs="Times New Roman"/>
                <w:b/>
                <w:bCs/>
                <w:sz w:val="18"/>
                <w:szCs w:val="18"/>
              </w:rPr>
              <w:t>Ridehailing</w:t>
            </w:r>
          </w:p>
        </w:tc>
        <w:tc>
          <w:tcPr>
            <w:tcW w:w="1110" w:type="dxa"/>
            <w:gridSpan w:val="2"/>
            <w:tcBorders>
              <w:top w:val="single" w:sz="18" w:space="0" w:color="auto"/>
              <w:left w:val="single" w:sz="18" w:space="0" w:color="auto"/>
              <w:bottom w:val="single" w:sz="18" w:space="0" w:color="auto"/>
              <w:right w:val="nil"/>
            </w:tcBorders>
            <w:vAlign w:val="center"/>
            <w:hideMark/>
          </w:tcPr>
          <w:p w14:paraId="35FC7C02" w14:textId="664E7C50"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Regular Vehicle</w:t>
            </w:r>
          </w:p>
        </w:tc>
        <w:tc>
          <w:tcPr>
            <w:tcW w:w="1046" w:type="dxa"/>
            <w:gridSpan w:val="3"/>
            <w:tcBorders>
              <w:top w:val="single" w:sz="18" w:space="0" w:color="auto"/>
              <w:left w:val="nil"/>
              <w:bottom w:val="single" w:sz="18" w:space="0" w:color="auto"/>
              <w:right w:val="nil"/>
            </w:tcBorders>
            <w:vAlign w:val="center"/>
            <w:hideMark/>
          </w:tcPr>
          <w:p w14:paraId="322E3890" w14:textId="6E4C70C2"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Autonomous Vehicle</w:t>
            </w:r>
          </w:p>
        </w:tc>
        <w:tc>
          <w:tcPr>
            <w:tcW w:w="1076" w:type="dxa"/>
            <w:gridSpan w:val="4"/>
            <w:tcBorders>
              <w:top w:val="single" w:sz="18" w:space="0" w:color="auto"/>
              <w:left w:val="nil"/>
              <w:bottom w:val="single" w:sz="18" w:space="0" w:color="auto"/>
              <w:right w:val="single" w:sz="18" w:space="0" w:color="auto"/>
            </w:tcBorders>
            <w:vAlign w:val="center"/>
            <w:hideMark/>
          </w:tcPr>
          <w:p w14:paraId="323CAC01" w14:textId="60770C59"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No Vehicle</w:t>
            </w:r>
            <w:r w:rsidR="003C7751" w:rsidRPr="00952A5F">
              <w:rPr>
                <w:rFonts w:eastAsia="Times New Roman" w:cs="Times New Roman"/>
                <w:b/>
                <w:bCs/>
                <w:sz w:val="18"/>
                <w:szCs w:val="18"/>
              </w:rPr>
              <w:t xml:space="preserve"> </w:t>
            </w:r>
            <w:r w:rsidRPr="00952A5F">
              <w:rPr>
                <w:rFonts w:eastAsia="Times New Roman" w:cs="Times New Roman"/>
                <w:b/>
                <w:bCs/>
                <w:sz w:val="18"/>
                <w:szCs w:val="18"/>
              </w:rPr>
              <w:t xml:space="preserve">/ </w:t>
            </w:r>
            <w:r w:rsidR="00CE6A1D">
              <w:rPr>
                <w:rFonts w:eastAsia="Times New Roman" w:cs="Times New Roman"/>
                <w:b/>
                <w:bCs/>
                <w:sz w:val="18"/>
                <w:szCs w:val="18"/>
              </w:rPr>
              <w:t xml:space="preserve">AV </w:t>
            </w:r>
            <w:r w:rsidRPr="00952A5F">
              <w:rPr>
                <w:rFonts w:eastAsia="Times New Roman" w:cs="Times New Roman"/>
                <w:b/>
                <w:bCs/>
                <w:sz w:val="18"/>
                <w:szCs w:val="18"/>
              </w:rPr>
              <w:t>Ridehailing</w:t>
            </w:r>
          </w:p>
        </w:tc>
        <w:tc>
          <w:tcPr>
            <w:tcW w:w="1046" w:type="dxa"/>
            <w:gridSpan w:val="3"/>
            <w:tcBorders>
              <w:top w:val="single" w:sz="18" w:space="0" w:color="auto"/>
              <w:left w:val="single" w:sz="18" w:space="0" w:color="auto"/>
              <w:bottom w:val="single" w:sz="18" w:space="0" w:color="auto"/>
              <w:right w:val="nil"/>
            </w:tcBorders>
            <w:vAlign w:val="center"/>
            <w:hideMark/>
          </w:tcPr>
          <w:p w14:paraId="5C9F64F9" w14:textId="5929E131"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Regular Vehicle</w:t>
            </w:r>
          </w:p>
        </w:tc>
        <w:tc>
          <w:tcPr>
            <w:tcW w:w="1046" w:type="dxa"/>
            <w:gridSpan w:val="3"/>
            <w:tcBorders>
              <w:top w:val="single" w:sz="18" w:space="0" w:color="auto"/>
              <w:left w:val="nil"/>
              <w:bottom w:val="single" w:sz="18" w:space="0" w:color="auto"/>
              <w:right w:val="nil"/>
            </w:tcBorders>
            <w:vAlign w:val="center"/>
            <w:hideMark/>
          </w:tcPr>
          <w:p w14:paraId="69F190A7" w14:textId="3EF621C6"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Autonomous Vehicle</w:t>
            </w:r>
          </w:p>
        </w:tc>
        <w:tc>
          <w:tcPr>
            <w:tcW w:w="1141" w:type="dxa"/>
            <w:gridSpan w:val="3"/>
            <w:tcBorders>
              <w:top w:val="single" w:sz="18" w:space="0" w:color="auto"/>
              <w:left w:val="nil"/>
              <w:bottom w:val="single" w:sz="18" w:space="0" w:color="auto"/>
              <w:right w:val="single" w:sz="18" w:space="0" w:color="auto"/>
            </w:tcBorders>
            <w:vAlign w:val="center"/>
            <w:hideMark/>
          </w:tcPr>
          <w:p w14:paraId="73473B98" w14:textId="3C0D4837" w:rsidR="00E34F9E" w:rsidRPr="00952A5F" w:rsidRDefault="00E34F9E" w:rsidP="00E34F9E">
            <w:pPr>
              <w:spacing w:line="240" w:lineRule="auto"/>
              <w:jc w:val="center"/>
              <w:rPr>
                <w:rFonts w:eastAsia="Times New Roman" w:cs="Times New Roman"/>
                <w:b/>
                <w:bCs/>
                <w:sz w:val="18"/>
                <w:szCs w:val="18"/>
              </w:rPr>
            </w:pPr>
            <w:r w:rsidRPr="00952A5F">
              <w:rPr>
                <w:rFonts w:eastAsia="Times New Roman" w:cs="Times New Roman"/>
                <w:b/>
                <w:bCs/>
                <w:sz w:val="18"/>
                <w:szCs w:val="18"/>
              </w:rPr>
              <w:t>No Vehicle</w:t>
            </w:r>
            <w:r w:rsidR="003C7751" w:rsidRPr="00952A5F">
              <w:rPr>
                <w:rFonts w:eastAsia="Times New Roman" w:cs="Times New Roman"/>
                <w:b/>
                <w:bCs/>
                <w:sz w:val="18"/>
                <w:szCs w:val="18"/>
              </w:rPr>
              <w:t xml:space="preserve"> </w:t>
            </w:r>
            <w:r w:rsidRPr="00952A5F">
              <w:rPr>
                <w:rFonts w:eastAsia="Times New Roman" w:cs="Times New Roman"/>
                <w:b/>
                <w:bCs/>
                <w:sz w:val="18"/>
                <w:szCs w:val="18"/>
              </w:rPr>
              <w:t xml:space="preserve">/ </w:t>
            </w:r>
            <w:r w:rsidR="00CE6A1D">
              <w:rPr>
                <w:rFonts w:eastAsia="Times New Roman" w:cs="Times New Roman"/>
                <w:b/>
                <w:bCs/>
                <w:sz w:val="18"/>
                <w:szCs w:val="18"/>
              </w:rPr>
              <w:t xml:space="preserve">AV </w:t>
            </w:r>
            <w:r w:rsidRPr="00952A5F">
              <w:rPr>
                <w:rFonts w:eastAsia="Times New Roman" w:cs="Times New Roman"/>
                <w:b/>
                <w:bCs/>
                <w:sz w:val="18"/>
                <w:szCs w:val="18"/>
              </w:rPr>
              <w:t>Ridehailing</w:t>
            </w:r>
          </w:p>
        </w:tc>
      </w:tr>
      <w:tr w:rsidR="00EB2763" w:rsidRPr="00952A5F" w14:paraId="636028B7" w14:textId="77777777" w:rsidTr="00014DCE">
        <w:trPr>
          <w:trHeight w:val="20"/>
          <w:jc w:val="center"/>
        </w:trPr>
        <w:tc>
          <w:tcPr>
            <w:tcW w:w="2227" w:type="dxa"/>
            <w:vMerge/>
            <w:tcBorders>
              <w:top w:val="single" w:sz="8" w:space="0" w:color="000000"/>
              <w:left w:val="single" w:sz="18" w:space="0" w:color="auto"/>
              <w:bottom w:val="single" w:sz="18" w:space="0" w:color="auto"/>
              <w:right w:val="single" w:sz="18" w:space="0" w:color="auto"/>
            </w:tcBorders>
            <w:vAlign w:val="center"/>
            <w:hideMark/>
          </w:tcPr>
          <w:p w14:paraId="633CD4E9" w14:textId="77777777" w:rsidR="00EB2763" w:rsidRPr="00952A5F" w:rsidRDefault="00EB2763" w:rsidP="00EB2763">
            <w:pPr>
              <w:spacing w:line="240" w:lineRule="auto"/>
              <w:jc w:val="left"/>
              <w:rPr>
                <w:rFonts w:eastAsia="Times New Roman" w:cs="Times New Roman"/>
                <w:sz w:val="18"/>
                <w:szCs w:val="18"/>
              </w:rPr>
            </w:pPr>
          </w:p>
        </w:tc>
        <w:tc>
          <w:tcPr>
            <w:tcW w:w="454" w:type="dxa"/>
            <w:tcBorders>
              <w:top w:val="single" w:sz="18" w:space="0" w:color="auto"/>
              <w:left w:val="single" w:sz="18" w:space="0" w:color="auto"/>
              <w:bottom w:val="single" w:sz="18" w:space="0" w:color="auto"/>
              <w:right w:val="nil"/>
            </w:tcBorders>
            <w:noWrap/>
            <w:vAlign w:val="center"/>
            <w:hideMark/>
          </w:tcPr>
          <w:p w14:paraId="2FC0DBE4"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450" w:type="dxa"/>
            <w:tcBorders>
              <w:top w:val="single" w:sz="18" w:space="0" w:color="auto"/>
              <w:left w:val="nil"/>
              <w:bottom w:val="single" w:sz="18" w:space="0" w:color="auto"/>
              <w:right w:val="nil"/>
            </w:tcBorders>
            <w:noWrap/>
            <w:vAlign w:val="center"/>
            <w:hideMark/>
          </w:tcPr>
          <w:p w14:paraId="14C08D3A"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39F6A3EA"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tcBorders>
              <w:top w:val="single" w:sz="18" w:space="0" w:color="auto"/>
              <w:left w:val="nil"/>
              <w:bottom w:val="single" w:sz="18" w:space="0" w:color="auto"/>
              <w:right w:val="nil"/>
            </w:tcBorders>
            <w:noWrap/>
            <w:vAlign w:val="center"/>
            <w:hideMark/>
          </w:tcPr>
          <w:p w14:paraId="45FB2A8A"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4F9BC480"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677" w:type="dxa"/>
            <w:tcBorders>
              <w:top w:val="single" w:sz="18" w:space="0" w:color="auto"/>
              <w:left w:val="nil"/>
              <w:bottom w:val="single" w:sz="18" w:space="0" w:color="auto"/>
              <w:right w:val="single" w:sz="18" w:space="0" w:color="auto"/>
            </w:tcBorders>
            <w:noWrap/>
            <w:vAlign w:val="center"/>
            <w:hideMark/>
          </w:tcPr>
          <w:p w14:paraId="25CE5092"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40" w:type="dxa"/>
            <w:tcBorders>
              <w:top w:val="single" w:sz="18" w:space="0" w:color="auto"/>
              <w:left w:val="single" w:sz="18" w:space="0" w:color="auto"/>
              <w:bottom w:val="single" w:sz="18" w:space="0" w:color="auto"/>
              <w:right w:val="nil"/>
            </w:tcBorders>
            <w:noWrap/>
            <w:vAlign w:val="center"/>
            <w:hideMark/>
          </w:tcPr>
          <w:p w14:paraId="76F5C45B"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423" w:type="dxa"/>
            <w:tcBorders>
              <w:top w:val="single" w:sz="18" w:space="0" w:color="auto"/>
              <w:left w:val="nil"/>
              <w:bottom w:val="single" w:sz="18" w:space="0" w:color="auto"/>
              <w:right w:val="nil"/>
            </w:tcBorders>
            <w:noWrap/>
            <w:vAlign w:val="center"/>
            <w:hideMark/>
          </w:tcPr>
          <w:p w14:paraId="4D7AD6A9"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7C89F81E"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tcBorders>
              <w:top w:val="single" w:sz="18" w:space="0" w:color="auto"/>
              <w:left w:val="nil"/>
              <w:bottom w:val="single" w:sz="18" w:space="0" w:color="auto"/>
              <w:right w:val="nil"/>
            </w:tcBorders>
            <w:noWrap/>
            <w:vAlign w:val="center"/>
            <w:hideMark/>
          </w:tcPr>
          <w:p w14:paraId="54009839"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35DCB054"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654" w:type="dxa"/>
            <w:tcBorders>
              <w:top w:val="single" w:sz="18" w:space="0" w:color="auto"/>
              <w:left w:val="nil"/>
              <w:bottom w:val="single" w:sz="18" w:space="0" w:color="auto"/>
              <w:right w:val="single" w:sz="18" w:space="0" w:color="auto"/>
            </w:tcBorders>
            <w:noWrap/>
            <w:vAlign w:val="center"/>
            <w:hideMark/>
          </w:tcPr>
          <w:p w14:paraId="6E655663"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94" w:type="dxa"/>
            <w:tcBorders>
              <w:top w:val="single" w:sz="18" w:space="0" w:color="auto"/>
              <w:left w:val="single" w:sz="18" w:space="0" w:color="auto"/>
              <w:bottom w:val="single" w:sz="18" w:space="0" w:color="auto"/>
              <w:right w:val="nil"/>
            </w:tcBorders>
            <w:noWrap/>
            <w:vAlign w:val="center"/>
            <w:hideMark/>
          </w:tcPr>
          <w:p w14:paraId="40B005EE"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gridSpan w:val="2"/>
            <w:tcBorders>
              <w:top w:val="single" w:sz="18" w:space="0" w:color="auto"/>
              <w:left w:val="nil"/>
              <w:bottom w:val="single" w:sz="18" w:space="0" w:color="auto"/>
              <w:right w:val="nil"/>
            </w:tcBorders>
            <w:noWrap/>
            <w:vAlign w:val="center"/>
            <w:hideMark/>
          </w:tcPr>
          <w:p w14:paraId="3BE05FF1"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29CD6A48"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gridSpan w:val="2"/>
            <w:tcBorders>
              <w:top w:val="single" w:sz="18" w:space="0" w:color="auto"/>
              <w:left w:val="nil"/>
              <w:bottom w:val="single" w:sz="18" w:space="0" w:color="auto"/>
              <w:right w:val="nil"/>
            </w:tcBorders>
            <w:noWrap/>
            <w:vAlign w:val="center"/>
            <w:hideMark/>
          </w:tcPr>
          <w:p w14:paraId="48731BCE"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02FE8AE7"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53" w:type="dxa"/>
            <w:gridSpan w:val="3"/>
            <w:tcBorders>
              <w:top w:val="single" w:sz="18" w:space="0" w:color="auto"/>
              <w:left w:val="nil"/>
              <w:bottom w:val="single" w:sz="18" w:space="0" w:color="auto"/>
              <w:right w:val="single" w:sz="18" w:space="0" w:color="auto"/>
            </w:tcBorders>
            <w:noWrap/>
            <w:vAlign w:val="center"/>
            <w:hideMark/>
          </w:tcPr>
          <w:p w14:paraId="7A2363F5"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single" w:sz="18" w:space="0" w:color="auto"/>
              <w:bottom w:val="single" w:sz="18" w:space="0" w:color="auto"/>
              <w:right w:val="nil"/>
            </w:tcBorders>
            <w:noWrap/>
            <w:vAlign w:val="center"/>
            <w:hideMark/>
          </w:tcPr>
          <w:p w14:paraId="3ABE9602"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gridSpan w:val="2"/>
            <w:tcBorders>
              <w:top w:val="single" w:sz="18" w:space="0" w:color="auto"/>
              <w:left w:val="nil"/>
              <w:bottom w:val="single" w:sz="18" w:space="0" w:color="auto"/>
              <w:right w:val="nil"/>
            </w:tcBorders>
            <w:noWrap/>
            <w:vAlign w:val="center"/>
            <w:hideMark/>
          </w:tcPr>
          <w:p w14:paraId="3C8D99C7"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1F5132F9"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523" w:type="dxa"/>
            <w:gridSpan w:val="2"/>
            <w:tcBorders>
              <w:top w:val="single" w:sz="18" w:space="0" w:color="auto"/>
              <w:left w:val="nil"/>
              <w:bottom w:val="single" w:sz="18" w:space="0" w:color="auto"/>
              <w:right w:val="nil"/>
            </w:tcBorders>
            <w:noWrap/>
            <w:vAlign w:val="center"/>
            <w:hideMark/>
          </w:tcPr>
          <w:p w14:paraId="091D3F78"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c>
          <w:tcPr>
            <w:tcW w:w="523" w:type="dxa"/>
            <w:tcBorders>
              <w:top w:val="single" w:sz="18" w:space="0" w:color="auto"/>
              <w:left w:val="nil"/>
              <w:bottom w:val="single" w:sz="18" w:space="0" w:color="auto"/>
              <w:right w:val="nil"/>
            </w:tcBorders>
            <w:noWrap/>
            <w:vAlign w:val="center"/>
            <w:hideMark/>
          </w:tcPr>
          <w:p w14:paraId="42189D3C"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Coef.</w:t>
            </w:r>
          </w:p>
        </w:tc>
        <w:tc>
          <w:tcPr>
            <w:tcW w:w="618" w:type="dxa"/>
            <w:gridSpan w:val="2"/>
            <w:tcBorders>
              <w:top w:val="single" w:sz="18" w:space="0" w:color="auto"/>
              <w:left w:val="nil"/>
              <w:bottom w:val="single" w:sz="18" w:space="0" w:color="auto"/>
              <w:right w:val="single" w:sz="18" w:space="0" w:color="auto"/>
            </w:tcBorders>
            <w:noWrap/>
            <w:vAlign w:val="center"/>
            <w:hideMark/>
          </w:tcPr>
          <w:p w14:paraId="4554DAF1" w14:textId="77777777" w:rsidR="00EB2763" w:rsidRPr="00952A5F" w:rsidRDefault="00EB2763" w:rsidP="00EB2763">
            <w:pPr>
              <w:spacing w:line="240" w:lineRule="auto"/>
              <w:jc w:val="left"/>
              <w:rPr>
                <w:rFonts w:eastAsia="Times New Roman" w:cs="Times New Roman"/>
                <w:sz w:val="18"/>
                <w:szCs w:val="18"/>
              </w:rPr>
            </w:pPr>
            <w:r w:rsidRPr="00952A5F">
              <w:rPr>
                <w:rFonts w:eastAsia="Times New Roman" w:cs="Times New Roman"/>
                <w:sz w:val="18"/>
                <w:szCs w:val="18"/>
              </w:rPr>
              <w:t>t-stat</w:t>
            </w:r>
          </w:p>
        </w:tc>
      </w:tr>
      <w:tr w:rsidR="00EB2763" w:rsidRPr="00952A5F" w14:paraId="63883B4C" w14:textId="77777777" w:rsidTr="00014DCE">
        <w:trPr>
          <w:trHeight w:val="20"/>
          <w:jc w:val="center"/>
        </w:trPr>
        <w:tc>
          <w:tcPr>
            <w:tcW w:w="2227" w:type="dxa"/>
            <w:tcBorders>
              <w:top w:val="single" w:sz="18" w:space="0" w:color="auto"/>
              <w:left w:val="single" w:sz="18" w:space="0" w:color="auto"/>
              <w:bottom w:val="nil"/>
              <w:right w:val="single" w:sz="18" w:space="0" w:color="auto"/>
            </w:tcBorders>
            <w:noWrap/>
            <w:vAlign w:val="center"/>
            <w:hideMark/>
          </w:tcPr>
          <w:p w14:paraId="529F45E3" w14:textId="77777777" w:rsidR="00EB2763" w:rsidRPr="00952A5F" w:rsidRDefault="00EB2763" w:rsidP="003C7751">
            <w:pPr>
              <w:spacing w:line="240" w:lineRule="auto"/>
              <w:ind w:left="288" w:hanging="288"/>
              <w:jc w:val="left"/>
              <w:rPr>
                <w:rFonts w:eastAsia="Times New Roman" w:cs="Times New Roman"/>
                <w:b/>
                <w:bCs/>
                <w:sz w:val="18"/>
                <w:szCs w:val="18"/>
              </w:rPr>
            </w:pPr>
            <w:r w:rsidRPr="00952A5F">
              <w:rPr>
                <w:rFonts w:eastAsia="Times New Roman" w:cs="Times New Roman"/>
                <w:b/>
                <w:bCs/>
                <w:sz w:val="18"/>
                <w:szCs w:val="18"/>
              </w:rPr>
              <w:t>Service Attributes</w:t>
            </w:r>
          </w:p>
        </w:tc>
        <w:tc>
          <w:tcPr>
            <w:tcW w:w="454" w:type="dxa"/>
            <w:tcBorders>
              <w:top w:val="single" w:sz="18" w:space="0" w:color="auto"/>
              <w:left w:val="single" w:sz="18" w:space="0" w:color="auto"/>
              <w:bottom w:val="nil"/>
              <w:right w:val="nil"/>
            </w:tcBorders>
            <w:noWrap/>
            <w:vAlign w:val="center"/>
            <w:hideMark/>
          </w:tcPr>
          <w:p w14:paraId="4348F97F"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450" w:type="dxa"/>
            <w:tcBorders>
              <w:top w:val="single" w:sz="18" w:space="0" w:color="auto"/>
              <w:left w:val="nil"/>
              <w:bottom w:val="nil"/>
              <w:right w:val="nil"/>
            </w:tcBorders>
            <w:noWrap/>
            <w:vAlign w:val="center"/>
            <w:hideMark/>
          </w:tcPr>
          <w:p w14:paraId="6198436B"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295F483F"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476373B3"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4D5A798F"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677" w:type="dxa"/>
            <w:tcBorders>
              <w:top w:val="single" w:sz="18" w:space="0" w:color="auto"/>
              <w:left w:val="nil"/>
              <w:bottom w:val="nil"/>
              <w:right w:val="single" w:sz="18" w:space="0" w:color="auto"/>
            </w:tcBorders>
            <w:noWrap/>
            <w:vAlign w:val="center"/>
            <w:hideMark/>
          </w:tcPr>
          <w:p w14:paraId="22F6537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40" w:type="dxa"/>
            <w:tcBorders>
              <w:top w:val="single" w:sz="18" w:space="0" w:color="auto"/>
              <w:left w:val="single" w:sz="18" w:space="0" w:color="auto"/>
              <w:bottom w:val="nil"/>
              <w:right w:val="nil"/>
            </w:tcBorders>
            <w:noWrap/>
            <w:vAlign w:val="center"/>
            <w:hideMark/>
          </w:tcPr>
          <w:p w14:paraId="5EEDDBD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423" w:type="dxa"/>
            <w:tcBorders>
              <w:top w:val="single" w:sz="18" w:space="0" w:color="auto"/>
              <w:left w:val="nil"/>
              <w:bottom w:val="nil"/>
              <w:right w:val="nil"/>
            </w:tcBorders>
            <w:noWrap/>
            <w:vAlign w:val="center"/>
            <w:hideMark/>
          </w:tcPr>
          <w:p w14:paraId="6618BE58"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5E4B28FB"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04701E6C"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5C4BC4AA"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654" w:type="dxa"/>
            <w:tcBorders>
              <w:top w:val="single" w:sz="18" w:space="0" w:color="auto"/>
              <w:left w:val="nil"/>
              <w:bottom w:val="nil"/>
              <w:right w:val="single" w:sz="18" w:space="0" w:color="auto"/>
            </w:tcBorders>
            <w:noWrap/>
            <w:vAlign w:val="center"/>
            <w:hideMark/>
          </w:tcPr>
          <w:p w14:paraId="61C486C5"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94" w:type="dxa"/>
            <w:tcBorders>
              <w:top w:val="single" w:sz="18" w:space="0" w:color="auto"/>
              <w:left w:val="single" w:sz="18" w:space="0" w:color="auto"/>
              <w:bottom w:val="nil"/>
              <w:right w:val="nil"/>
            </w:tcBorders>
            <w:noWrap/>
            <w:vAlign w:val="center"/>
            <w:hideMark/>
          </w:tcPr>
          <w:p w14:paraId="4B732BAD"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gridSpan w:val="2"/>
            <w:tcBorders>
              <w:top w:val="single" w:sz="18" w:space="0" w:color="auto"/>
              <w:left w:val="nil"/>
              <w:bottom w:val="nil"/>
              <w:right w:val="nil"/>
            </w:tcBorders>
            <w:noWrap/>
            <w:vAlign w:val="center"/>
            <w:hideMark/>
          </w:tcPr>
          <w:p w14:paraId="1C5F6C35"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13C6F75C"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gridSpan w:val="2"/>
            <w:tcBorders>
              <w:top w:val="single" w:sz="18" w:space="0" w:color="auto"/>
              <w:left w:val="nil"/>
              <w:bottom w:val="nil"/>
              <w:right w:val="nil"/>
            </w:tcBorders>
            <w:noWrap/>
            <w:vAlign w:val="center"/>
            <w:hideMark/>
          </w:tcPr>
          <w:p w14:paraId="530C508C"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1A7AF9A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53" w:type="dxa"/>
            <w:gridSpan w:val="3"/>
            <w:tcBorders>
              <w:top w:val="single" w:sz="18" w:space="0" w:color="auto"/>
              <w:left w:val="nil"/>
              <w:bottom w:val="nil"/>
              <w:right w:val="single" w:sz="18" w:space="0" w:color="auto"/>
            </w:tcBorders>
            <w:noWrap/>
            <w:vAlign w:val="center"/>
            <w:hideMark/>
          </w:tcPr>
          <w:p w14:paraId="7AC9547C"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single" w:sz="18" w:space="0" w:color="auto"/>
              <w:bottom w:val="nil"/>
              <w:right w:val="nil"/>
            </w:tcBorders>
            <w:noWrap/>
            <w:vAlign w:val="center"/>
            <w:hideMark/>
          </w:tcPr>
          <w:p w14:paraId="18BB15C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gridSpan w:val="2"/>
            <w:tcBorders>
              <w:top w:val="single" w:sz="18" w:space="0" w:color="auto"/>
              <w:left w:val="nil"/>
              <w:bottom w:val="nil"/>
              <w:right w:val="nil"/>
            </w:tcBorders>
            <w:noWrap/>
            <w:vAlign w:val="center"/>
            <w:hideMark/>
          </w:tcPr>
          <w:p w14:paraId="5C4043F2"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287B7907"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gridSpan w:val="2"/>
            <w:tcBorders>
              <w:top w:val="single" w:sz="18" w:space="0" w:color="auto"/>
              <w:left w:val="nil"/>
              <w:bottom w:val="nil"/>
              <w:right w:val="nil"/>
            </w:tcBorders>
            <w:noWrap/>
            <w:vAlign w:val="center"/>
            <w:hideMark/>
          </w:tcPr>
          <w:p w14:paraId="23DEBA6A"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single" w:sz="18" w:space="0" w:color="auto"/>
              <w:left w:val="nil"/>
              <w:bottom w:val="nil"/>
              <w:right w:val="nil"/>
            </w:tcBorders>
            <w:noWrap/>
            <w:vAlign w:val="center"/>
            <w:hideMark/>
          </w:tcPr>
          <w:p w14:paraId="32A2492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618" w:type="dxa"/>
            <w:gridSpan w:val="2"/>
            <w:tcBorders>
              <w:top w:val="single" w:sz="18" w:space="0" w:color="auto"/>
              <w:left w:val="nil"/>
              <w:bottom w:val="nil"/>
              <w:right w:val="single" w:sz="18" w:space="0" w:color="auto"/>
            </w:tcBorders>
            <w:noWrap/>
            <w:vAlign w:val="center"/>
            <w:hideMark/>
          </w:tcPr>
          <w:p w14:paraId="16DE26EE" w14:textId="77777777" w:rsidR="00EB2763" w:rsidRPr="00952A5F" w:rsidRDefault="00EB2763" w:rsidP="004F758A">
            <w:pPr>
              <w:spacing w:line="240" w:lineRule="auto"/>
              <w:jc w:val="right"/>
              <w:rPr>
                <w:rFonts w:eastAsia="Times New Roman" w:cs="Times New Roman"/>
                <w:sz w:val="18"/>
                <w:szCs w:val="18"/>
              </w:rPr>
            </w:pPr>
            <w:r w:rsidRPr="00952A5F">
              <w:rPr>
                <w:rFonts w:eastAsia="Times New Roman" w:cs="Times New Roman"/>
                <w:sz w:val="18"/>
                <w:szCs w:val="18"/>
              </w:rPr>
              <w:t> </w:t>
            </w:r>
          </w:p>
        </w:tc>
      </w:tr>
      <w:tr w:rsidR="009F4FD8" w:rsidRPr="00952A5F" w14:paraId="64049793" w14:textId="77777777" w:rsidTr="00290D19">
        <w:trPr>
          <w:trHeight w:val="20"/>
          <w:jc w:val="center"/>
        </w:trPr>
        <w:tc>
          <w:tcPr>
            <w:tcW w:w="2227" w:type="dxa"/>
            <w:tcBorders>
              <w:top w:val="nil"/>
              <w:left w:val="single" w:sz="18" w:space="0" w:color="auto"/>
              <w:bottom w:val="nil"/>
              <w:right w:val="single" w:sz="18" w:space="0" w:color="auto"/>
            </w:tcBorders>
            <w:noWrap/>
            <w:vAlign w:val="center"/>
            <w:hideMark/>
          </w:tcPr>
          <w:p w14:paraId="7C57AD58" w14:textId="25DC3B14" w:rsidR="009F4FD8" w:rsidRPr="00952A5F" w:rsidRDefault="009F4FD8" w:rsidP="009F4FD8">
            <w:pPr>
              <w:spacing w:line="240" w:lineRule="auto"/>
              <w:ind w:left="288" w:hanging="288"/>
              <w:jc w:val="left"/>
              <w:rPr>
                <w:rFonts w:eastAsia="Times New Roman" w:cs="Times New Roman"/>
                <w:sz w:val="18"/>
                <w:szCs w:val="18"/>
              </w:rPr>
            </w:pPr>
            <w:r w:rsidRPr="00952A5F">
              <w:rPr>
                <w:rFonts w:eastAsia="Times New Roman" w:cs="Times New Roman"/>
                <w:sz w:val="18"/>
                <w:szCs w:val="18"/>
              </w:rPr>
              <w:t>Fixed Cost</w:t>
            </w:r>
            <w:r w:rsidR="00221E13">
              <w:rPr>
                <w:rFonts w:eastAsia="Times New Roman" w:cs="Times New Roman"/>
                <w:sz w:val="18"/>
                <w:szCs w:val="18"/>
              </w:rPr>
              <w:t xml:space="preserve"> (in $100/month)</w:t>
            </w:r>
          </w:p>
        </w:tc>
        <w:tc>
          <w:tcPr>
            <w:tcW w:w="454" w:type="dxa"/>
            <w:tcBorders>
              <w:top w:val="nil"/>
              <w:left w:val="single" w:sz="18" w:space="0" w:color="auto"/>
              <w:bottom w:val="nil"/>
              <w:right w:val="nil"/>
            </w:tcBorders>
            <w:noWrap/>
            <w:vAlign w:val="center"/>
            <w:hideMark/>
          </w:tcPr>
          <w:p w14:paraId="4AA207E6" w14:textId="77777777" w:rsidR="009F4FD8" w:rsidRPr="00952A5F" w:rsidRDefault="009F4FD8" w:rsidP="009F4FD8">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hideMark/>
          </w:tcPr>
          <w:p w14:paraId="4515D101" w14:textId="77777777"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70FFF405" w14:textId="0CD33CB8"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264149CC" w14:textId="1ECD1924"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31B8D2D4" w14:textId="77777777" w:rsidR="009F4FD8" w:rsidRPr="00952A5F" w:rsidRDefault="009F4FD8" w:rsidP="009F4FD8">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tcPr>
          <w:p w14:paraId="1A7CDFF1" w14:textId="3D4A39B1" w:rsidR="009F4FD8" w:rsidRPr="00952A5F" w:rsidRDefault="009F4FD8" w:rsidP="009F4FD8">
            <w:pPr>
              <w:spacing w:line="240" w:lineRule="auto"/>
              <w:jc w:val="right"/>
              <w:rPr>
                <w:rFonts w:eastAsia="Times New Roman" w:cs="Times New Roman"/>
                <w:sz w:val="18"/>
                <w:szCs w:val="18"/>
              </w:rPr>
            </w:pPr>
          </w:p>
        </w:tc>
        <w:tc>
          <w:tcPr>
            <w:tcW w:w="540" w:type="dxa"/>
            <w:tcBorders>
              <w:top w:val="nil"/>
              <w:left w:val="single" w:sz="18" w:space="0" w:color="auto"/>
              <w:bottom w:val="nil"/>
              <w:right w:val="nil"/>
            </w:tcBorders>
            <w:noWrap/>
            <w:vAlign w:val="center"/>
          </w:tcPr>
          <w:p w14:paraId="43A7DA9F" w14:textId="77777777" w:rsidR="009F4FD8" w:rsidRPr="00952A5F" w:rsidRDefault="009F4FD8" w:rsidP="009F4FD8">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tcPr>
          <w:p w14:paraId="197AD6D6" w14:textId="77777777"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189097C0" w14:textId="63941D4E"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7E1A6994" w14:textId="443529A7"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565141E2" w14:textId="77777777" w:rsidR="009F4FD8" w:rsidRPr="00952A5F" w:rsidRDefault="009F4FD8" w:rsidP="009F4FD8">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tcPr>
          <w:p w14:paraId="06596355" w14:textId="468BD039" w:rsidR="009F4FD8" w:rsidRPr="00952A5F" w:rsidRDefault="009F4FD8" w:rsidP="009F4FD8">
            <w:pPr>
              <w:spacing w:line="240" w:lineRule="auto"/>
              <w:jc w:val="right"/>
              <w:rPr>
                <w:rFonts w:eastAsia="Times New Roman" w:cs="Times New Roman"/>
                <w:sz w:val="18"/>
                <w:szCs w:val="18"/>
              </w:rPr>
            </w:pPr>
          </w:p>
        </w:tc>
        <w:tc>
          <w:tcPr>
            <w:tcW w:w="594" w:type="dxa"/>
            <w:tcBorders>
              <w:top w:val="nil"/>
              <w:left w:val="single" w:sz="18" w:space="0" w:color="auto"/>
              <w:bottom w:val="nil"/>
              <w:right w:val="nil"/>
            </w:tcBorders>
            <w:noWrap/>
            <w:vAlign w:val="center"/>
          </w:tcPr>
          <w:p w14:paraId="2E445A65" w14:textId="77777777" w:rsidR="009F4FD8" w:rsidRPr="00952A5F" w:rsidRDefault="009F4FD8" w:rsidP="009F4FD8">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0F4C961B" w14:textId="77777777"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0827533E" w14:textId="7CBFEB67" w:rsidR="009F4FD8" w:rsidRPr="00952A5F" w:rsidRDefault="009F4FD8" w:rsidP="009F4FD8">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67B1254C" w14:textId="69B6C04F"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11F0C228" w14:textId="77777777" w:rsidR="009F4FD8" w:rsidRPr="00952A5F" w:rsidRDefault="009F4FD8" w:rsidP="009F4FD8">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tcPr>
          <w:p w14:paraId="5C55416F" w14:textId="22FC7423"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single" w:sz="18" w:space="0" w:color="auto"/>
              <w:bottom w:val="nil"/>
              <w:right w:val="nil"/>
            </w:tcBorders>
            <w:noWrap/>
            <w:vAlign w:val="center"/>
          </w:tcPr>
          <w:p w14:paraId="4DBC3569" w14:textId="77777777" w:rsidR="009F4FD8" w:rsidRPr="00952A5F" w:rsidRDefault="009F4FD8" w:rsidP="009F4FD8">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4859E12C" w14:textId="77777777"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3B2041A2" w14:textId="4A002999" w:rsidR="009F4FD8" w:rsidRPr="00952A5F" w:rsidRDefault="009F4FD8" w:rsidP="009F4FD8">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bottom"/>
          </w:tcPr>
          <w:p w14:paraId="5F82A5DD" w14:textId="0348A5FB" w:rsidR="009F4FD8" w:rsidRPr="00952A5F" w:rsidRDefault="009F4FD8" w:rsidP="009F4FD8">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221EA19" w14:textId="77777777" w:rsidR="009F4FD8" w:rsidRPr="00952A5F" w:rsidRDefault="009F4FD8" w:rsidP="009F4FD8">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A1EA09D" w14:textId="77777777" w:rsidR="009F4FD8" w:rsidRPr="00952A5F" w:rsidRDefault="009F4FD8" w:rsidP="009F4FD8">
            <w:pPr>
              <w:spacing w:line="240" w:lineRule="auto"/>
              <w:jc w:val="right"/>
              <w:rPr>
                <w:rFonts w:eastAsia="Times New Roman" w:cs="Times New Roman"/>
                <w:sz w:val="18"/>
                <w:szCs w:val="18"/>
              </w:rPr>
            </w:pPr>
            <w:r w:rsidRPr="00952A5F">
              <w:rPr>
                <w:rFonts w:eastAsia="Times New Roman" w:cs="Times New Roman"/>
                <w:sz w:val="18"/>
                <w:szCs w:val="18"/>
              </w:rPr>
              <w:t> </w:t>
            </w:r>
          </w:p>
        </w:tc>
      </w:tr>
      <w:tr w:rsidR="00CE6A1D" w:rsidRPr="00952A5F" w14:paraId="60A90D5F"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1F37DBDD" w14:textId="461C1713" w:rsidR="00CE6A1D" w:rsidRPr="00952A5F" w:rsidRDefault="00CE6A1D" w:rsidP="00290D19">
            <w:pPr>
              <w:spacing w:line="240" w:lineRule="auto"/>
              <w:ind w:left="582" w:hanging="288"/>
              <w:jc w:val="left"/>
              <w:rPr>
                <w:rFonts w:eastAsia="Times New Roman" w:cs="Times New Roman"/>
                <w:sz w:val="18"/>
                <w:szCs w:val="18"/>
              </w:rPr>
            </w:pPr>
            <w:r>
              <w:rPr>
                <w:rFonts w:eastAsia="Times New Roman" w:cs="Times New Roman"/>
                <w:sz w:val="18"/>
                <w:szCs w:val="18"/>
              </w:rPr>
              <w:t>Median</w:t>
            </w:r>
          </w:p>
        </w:tc>
        <w:tc>
          <w:tcPr>
            <w:tcW w:w="454" w:type="dxa"/>
            <w:tcBorders>
              <w:top w:val="nil"/>
              <w:left w:val="single" w:sz="18" w:space="0" w:color="auto"/>
              <w:bottom w:val="nil"/>
              <w:right w:val="nil"/>
            </w:tcBorders>
            <w:noWrap/>
            <w:vAlign w:val="center"/>
            <w:hideMark/>
          </w:tcPr>
          <w:p w14:paraId="3CFA719F" w14:textId="77777777" w:rsidR="00CE6A1D" w:rsidRPr="00952A5F" w:rsidRDefault="00CE6A1D" w:rsidP="00CE6A1D">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hideMark/>
          </w:tcPr>
          <w:p w14:paraId="6EE5AD69"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C3A8E60" w14:textId="3EAE1F46"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w:t>
            </w:r>
            <w:r>
              <w:rPr>
                <w:rFonts w:eastAsia="Times New Roman" w:cs="Times New Roman"/>
                <w:sz w:val="18"/>
                <w:szCs w:val="18"/>
              </w:rPr>
              <w:t>0.037</w:t>
            </w:r>
          </w:p>
        </w:tc>
        <w:tc>
          <w:tcPr>
            <w:tcW w:w="523" w:type="dxa"/>
            <w:tcBorders>
              <w:top w:val="nil"/>
              <w:left w:val="nil"/>
              <w:bottom w:val="nil"/>
              <w:right w:val="nil"/>
            </w:tcBorders>
            <w:noWrap/>
            <w:vAlign w:val="center"/>
            <w:hideMark/>
          </w:tcPr>
          <w:p w14:paraId="6D74F52E" w14:textId="227721C0"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-2.252</w:t>
            </w:r>
          </w:p>
        </w:tc>
        <w:tc>
          <w:tcPr>
            <w:tcW w:w="523" w:type="dxa"/>
            <w:tcBorders>
              <w:top w:val="nil"/>
              <w:left w:val="nil"/>
              <w:bottom w:val="nil"/>
              <w:right w:val="nil"/>
            </w:tcBorders>
            <w:noWrap/>
            <w:vAlign w:val="center"/>
            <w:hideMark/>
          </w:tcPr>
          <w:p w14:paraId="3AEECCBD" w14:textId="77777777" w:rsidR="00CE6A1D" w:rsidRPr="00952A5F"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76313F35"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5A52B835" w14:textId="77777777" w:rsidR="00CE6A1D" w:rsidRPr="00952A5F"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3271AF15"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4E568CB3" w14:textId="38F2A56F" w:rsidR="00CE6A1D" w:rsidRPr="00952A5F" w:rsidRDefault="00CE6A1D" w:rsidP="00CE6A1D">
            <w:pPr>
              <w:spacing w:line="240" w:lineRule="auto"/>
              <w:jc w:val="right"/>
              <w:rPr>
                <w:rFonts w:eastAsia="Times New Roman" w:cs="Times New Roman"/>
                <w:sz w:val="18"/>
                <w:szCs w:val="18"/>
              </w:rPr>
            </w:pPr>
            <w:r>
              <w:rPr>
                <w:rFonts w:cs="Times New Roman"/>
                <w:sz w:val="18"/>
                <w:szCs w:val="18"/>
              </w:rPr>
              <w:t>-0.043</w:t>
            </w:r>
          </w:p>
        </w:tc>
        <w:tc>
          <w:tcPr>
            <w:tcW w:w="523" w:type="dxa"/>
            <w:tcBorders>
              <w:top w:val="nil"/>
              <w:left w:val="nil"/>
              <w:bottom w:val="nil"/>
              <w:right w:val="nil"/>
            </w:tcBorders>
            <w:noWrap/>
            <w:vAlign w:val="bottom"/>
            <w:hideMark/>
          </w:tcPr>
          <w:p w14:paraId="69608139" w14:textId="4FC16778"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2.0</w:t>
            </w:r>
            <w:r>
              <w:rPr>
                <w:rFonts w:cs="Times New Roman"/>
                <w:sz w:val="18"/>
                <w:szCs w:val="18"/>
              </w:rPr>
              <w:t>67</w:t>
            </w:r>
          </w:p>
        </w:tc>
        <w:tc>
          <w:tcPr>
            <w:tcW w:w="523" w:type="dxa"/>
            <w:tcBorders>
              <w:top w:val="nil"/>
              <w:left w:val="nil"/>
              <w:bottom w:val="nil"/>
              <w:right w:val="nil"/>
            </w:tcBorders>
            <w:noWrap/>
            <w:vAlign w:val="center"/>
            <w:hideMark/>
          </w:tcPr>
          <w:p w14:paraId="364A4B83" w14:textId="77777777" w:rsidR="00CE6A1D" w:rsidRPr="00952A5F"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5B3FB854"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368F6341"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35DF8E4E"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C630A12" w14:textId="49AB3FC2"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-0.064</w:t>
            </w:r>
          </w:p>
        </w:tc>
        <w:tc>
          <w:tcPr>
            <w:tcW w:w="523" w:type="dxa"/>
            <w:gridSpan w:val="2"/>
            <w:tcBorders>
              <w:top w:val="nil"/>
              <w:left w:val="nil"/>
              <w:bottom w:val="nil"/>
              <w:right w:val="nil"/>
            </w:tcBorders>
            <w:noWrap/>
            <w:vAlign w:val="center"/>
            <w:hideMark/>
          </w:tcPr>
          <w:p w14:paraId="5E86362B" w14:textId="4094FD3E"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-3.446</w:t>
            </w:r>
          </w:p>
        </w:tc>
        <w:tc>
          <w:tcPr>
            <w:tcW w:w="523" w:type="dxa"/>
            <w:tcBorders>
              <w:top w:val="nil"/>
              <w:left w:val="nil"/>
              <w:bottom w:val="nil"/>
              <w:right w:val="nil"/>
            </w:tcBorders>
            <w:noWrap/>
            <w:vAlign w:val="center"/>
            <w:hideMark/>
          </w:tcPr>
          <w:p w14:paraId="5DD90375" w14:textId="77777777" w:rsidR="00CE6A1D" w:rsidRPr="00952A5F"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696698A9"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1FFB8096"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0E80B145"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7A1D4F12" w14:textId="49B9D529"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-0.086</w:t>
            </w:r>
          </w:p>
        </w:tc>
        <w:tc>
          <w:tcPr>
            <w:tcW w:w="523" w:type="dxa"/>
            <w:gridSpan w:val="2"/>
            <w:tcBorders>
              <w:top w:val="nil"/>
              <w:left w:val="nil"/>
              <w:bottom w:val="nil"/>
              <w:right w:val="nil"/>
            </w:tcBorders>
            <w:noWrap/>
            <w:vAlign w:val="bottom"/>
            <w:hideMark/>
          </w:tcPr>
          <w:p w14:paraId="516F6FC8" w14:textId="79335E02" w:rsidR="00CE6A1D" w:rsidRPr="00952A5F" w:rsidRDefault="00CE6A1D" w:rsidP="00290D19">
            <w:pPr>
              <w:spacing w:line="240" w:lineRule="auto"/>
              <w:jc w:val="center"/>
              <w:rPr>
                <w:rFonts w:eastAsia="Times New Roman" w:cs="Times New Roman"/>
                <w:sz w:val="18"/>
                <w:szCs w:val="18"/>
              </w:rPr>
            </w:pPr>
            <w:r>
              <w:rPr>
                <w:rFonts w:cs="Times New Roman"/>
                <w:sz w:val="18"/>
                <w:szCs w:val="18"/>
              </w:rPr>
              <w:t>-2.334</w:t>
            </w:r>
          </w:p>
        </w:tc>
        <w:tc>
          <w:tcPr>
            <w:tcW w:w="523" w:type="dxa"/>
            <w:tcBorders>
              <w:top w:val="nil"/>
              <w:left w:val="nil"/>
              <w:bottom w:val="nil"/>
              <w:right w:val="nil"/>
            </w:tcBorders>
            <w:noWrap/>
            <w:vAlign w:val="center"/>
            <w:hideMark/>
          </w:tcPr>
          <w:p w14:paraId="3B202A71" w14:textId="77777777" w:rsidR="00CE6A1D" w:rsidRPr="00952A5F"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C090246"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r>
      <w:tr w:rsidR="00CE6A1D" w:rsidRPr="00952A5F" w14:paraId="0F32CF46" w14:textId="77777777" w:rsidTr="00014DCE">
        <w:trPr>
          <w:trHeight w:val="20"/>
          <w:jc w:val="center"/>
        </w:trPr>
        <w:tc>
          <w:tcPr>
            <w:tcW w:w="2227" w:type="dxa"/>
            <w:tcBorders>
              <w:top w:val="nil"/>
              <w:left w:val="single" w:sz="18" w:space="0" w:color="auto"/>
              <w:bottom w:val="nil"/>
              <w:right w:val="single" w:sz="18" w:space="0" w:color="auto"/>
            </w:tcBorders>
            <w:noWrap/>
            <w:vAlign w:val="center"/>
          </w:tcPr>
          <w:p w14:paraId="6C77508E" w14:textId="5A27F8C4" w:rsidR="00CE6A1D" w:rsidRPr="00952A5F" w:rsidRDefault="00CE6A1D" w:rsidP="00290D19">
            <w:pPr>
              <w:spacing w:line="240" w:lineRule="auto"/>
              <w:ind w:left="582" w:hanging="288"/>
              <w:jc w:val="left"/>
              <w:rPr>
                <w:rFonts w:eastAsia="Times New Roman" w:cs="Times New Roman"/>
                <w:sz w:val="18"/>
                <w:szCs w:val="18"/>
              </w:rPr>
            </w:pPr>
            <w:r>
              <w:rPr>
                <w:rFonts w:eastAsia="Times New Roman" w:cs="Times New Roman"/>
                <w:sz w:val="18"/>
                <w:szCs w:val="18"/>
              </w:rPr>
              <w:t>Standard Deviation</w:t>
            </w:r>
          </w:p>
        </w:tc>
        <w:tc>
          <w:tcPr>
            <w:tcW w:w="454" w:type="dxa"/>
            <w:tcBorders>
              <w:top w:val="nil"/>
              <w:left w:val="single" w:sz="18" w:space="0" w:color="auto"/>
              <w:bottom w:val="nil"/>
              <w:right w:val="nil"/>
            </w:tcBorders>
            <w:noWrap/>
            <w:vAlign w:val="center"/>
          </w:tcPr>
          <w:p w14:paraId="385A37A5" w14:textId="77777777" w:rsidR="00CE6A1D" w:rsidRPr="00952A5F" w:rsidRDefault="00CE6A1D" w:rsidP="00CE6A1D">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tcPr>
          <w:p w14:paraId="781589AF"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6D4FE91F"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2DAF2F7E"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34BDB789" w14:textId="77777777" w:rsidR="00CE6A1D" w:rsidRPr="00952A5F"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tcPr>
          <w:p w14:paraId="6D36D689" w14:textId="77777777" w:rsidR="00CE6A1D" w:rsidRPr="00952A5F" w:rsidRDefault="00CE6A1D" w:rsidP="00CE6A1D">
            <w:pPr>
              <w:spacing w:line="240" w:lineRule="auto"/>
              <w:jc w:val="right"/>
              <w:rPr>
                <w:rFonts w:eastAsia="Times New Roman" w:cs="Times New Roman"/>
                <w:sz w:val="18"/>
                <w:szCs w:val="18"/>
              </w:rPr>
            </w:pPr>
          </w:p>
        </w:tc>
        <w:tc>
          <w:tcPr>
            <w:tcW w:w="540" w:type="dxa"/>
            <w:tcBorders>
              <w:top w:val="nil"/>
              <w:left w:val="single" w:sz="18" w:space="0" w:color="auto"/>
              <w:bottom w:val="nil"/>
              <w:right w:val="nil"/>
            </w:tcBorders>
            <w:noWrap/>
            <w:vAlign w:val="center"/>
          </w:tcPr>
          <w:p w14:paraId="6BD148D1" w14:textId="77777777" w:rsidR="00CE6A1D" w:rsidRPr="00952A5F"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tcPr>
          <w:p w14:paraId="56E36E4A" w14:textId="0CD7A52B"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6E0AEA2B" w14:textId="301AF1DD" w:rsidR="00CE6A1D" w:rsidRPr="00014DCE" w:rsidRDefault="00CE6A1D" w:rsidP="00CE6A1D">
            <w:pPr>
              <w:spacing w:line="240" w:lineRule="auto"/>
              <w:jc w:val="right"/>
              <w:rPr>
                <w:rFonts w:cs="Times New Roman"/>
                <w:sz w:val="18"/>
                <w:szCs w:val="18"/>
              </w:rPr>
            </w:pPr>
            <w:r>
              <w:rPr>
                <w:rFonts w:cs="Times New Roman"/>
                <w:sz w:val="18"/>
                <w:szCs w:val="18"/>
              </w:rPr>
              <w:t>0.079</w:t>
            </w:r>
          </w:p>
        </w:tc>
        <w:tc>
          <w:tcPr>
            <w:tcW w:w="523" w:type="dxa"/>
            <w:tcBorders>
              <w:top w:val="nil"/>
              <w:left w:val="nil"/>
              <w:bottom w:val="nil"/>
              <w:right w:val="nil"/>
            </w:tcBorders>
            <w:noWrap/>
            <w:vAlign w:val="bottom"/>
          </w:tcPr>
          <w:p w14:paraId="33C652EE" w14:textId="5B441130" w:rsidR="00CE6A1D" w:rsidRPr="00014DCE" w:rsidRDefault="00CE6A1D" w:rsidP="00CE6A1D">
            <w:pPr>
              <w:spacing w:line="240" w:lineRule="auto"/>
              <w:jc w:val="right"/>
              <w:rPr>
                <w:rFonts w:cs="Times New Roman"/>
                <w:sz w:val="18"/>
                <w:szCs w:val="18"/>
              </w:rPr>
            </w:pPr>
            <w:r>
              <w:rPr>
                <w:rFonts w:cs="Times New Roman"/>
                <w:sz w:val="18"/>
                <w:szCs w:val="18"/>
              </w:rPr>
              <w:t>2.022</w:t>
            </w:r>
          </w:p>
        </w:tc>
        <w:tc>
          <w:tcPr>
            <w:tcW w:w="523" w:type="dxa"/>
            <w:tcBorders>
              <w:top w:val="nil"/>
              <w:left w:val="nil"/>
              <w:bottom w:val="nil"/>
              <w:right w:val="nil"/>
            </w:tcBorders>
            <w:noWrap/>
            <w:vAlign w:val="center"/>
          </w:tcPr>
          <w:p w14:paraId="5A685019" w14:textId="77777777" w:rsidR="00CE6A1D" w:rsidRPr="00952A5F"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tcPr>
          <w:p w14:paraId="6ED5AE8A" w14:textId="77777777" w:rsidR="00CE6A1D" w:rsidRPr="00952A5F" w:rsidRDefault="00CE6A1D" w:rsidP="00CE6A1D">
            <w:pPr>
              <w:spacing w:line="240" w:lineRule="auto"/>
              <w:jc w:val="right"/>
              <w:rPr>
                <w:rFonts w:eastAsia="Times New Roman" w:cs="Times New Roman"/>
                <w:sz w:val="18"/>
                <w:szCs w:val="18"/>
              </w:rPr>
            </w:pPr>
          </w:p>
        </w:tc>
        <w:tc>
          <w:tcPr>
            <w:tcW w:w="594" w:type="dxa"/>
            <w:tcBorders>
              <w:top w:val="nil"/>
              <w:left w:val="single" w:sz="18" w:space="0" w:color="auto"/>
              <w:bottom w:val="nil"/>
              <w:right w:val="nil"/>
            </w:tcBorders>
            <w:noWrap/>
            <w:vAlign w:val="center"/>
          </w:tcPr>
          <w:p w14:paraId="1695CDB6"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0C01700D"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2E34474A"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269FADF0"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56E091AC" w14:textId="77777777" w:rsidR="00CE6A1D" w:rsidRPr="00952A5F"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tcPr>
          <w:p w14:paraId="00416A40"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single" w:sz="18" w:space="0" w:color="auto"/>
              <w:bottom w:val="nil"/>
              <w:right w:val="nil"/>
            </w:tcBorders>
            <w:noWrap/>
            <w:vAlign w:val="center"/>
          </w:tcPr>
          <w:p w14:paraId="6895C8E7"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554933D7"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745692DF" w14:textId="30F9C934" w:rsidR="00CE6A1D" w:rsidRPr="00014DCE" w:rsidRDefault="00CE6A1D" w:rsidP="00CE6A1D">
            <w:pPr>
              <w:spacing w:line="240" w:lineRule="auto"/>
              <w:jc w:val="right"/>
              <w:rPr>
                <w:rFonts w:cs="Times New Roman"/>
                <w:sz w:val="18"/>
                <w:szCs w:val="18"/>
              </w:rPr>
            </w:pPr>
            <w:r w:rsidRPr="00014DCE">
              <w:rPr>
                <w:rFonts w:cs="Times New Roman"/>
                <w:sz w:val="18"/>
                <w:szCs w:val="18"/>
              </w:rPr>
              <w:t>0.079</w:t>
            </w:r>
          </w:p>
        </w:tc>
        <w:tc>
          <w:tcPr>
            <w:tcW w:w="523" w:type="dxa"/>
            <w:gridSpan w:val="2"/>
            <w:tcBorders>
              <w:top w:val="nil"/>
              <w:left w:val="nil"/>
              <w:bottom w:val="nil"/>
              <w:right w:val="nil"/>
            </w:tcBorders>
            <w:noWrap/>
            <w:vAlign w:val="bottom"/>
          </w:tcPr>
          <w:p w14:paraId="384D7810" w14:textId="4E43BAB5" w:rsidR="00CE6A1D" w:rsidRPr="00014DCE" w:rsidRDefault="00CE6A1D" w:rsidP="00CE6A1D">
            <w:pPr>
              <w:spacing w:line="240" w:lineRule="auto"/>
              <w:jc w:val="right"/>
              <w:rPr>
                <w:rFonts w:cs="Times New Roman"/>
                <w:sz w:val="18"/>
                <w:szCs w:val="18"/>
              </w:rPr>
            </w:pPr>
            <w:r w:rsidRPr="00014DCE">
              <w:rPr>
                <w:rFonts w:cs="Times New Roman"/>
                <w:sz w:val="18"/>
                <w:szCs w:val="18"/>
              </w:rPr>
              <w:t>1.692</w:t>
            </w:r>
          </w:p>
        </w:tc>
        <w:tc>
          <w:tcPr>
            <w:tcW w:w="523" w:type="dxa"/>
            <w:tcBorders>
              <w:top w:val="nil"/>
              <w:left w:val="nil"/>
              <w:bottom w:val="nil"/>
              <w:right w:val="nil"/>
            </w:tcBorders>
            <w:noWrap/>
            <w:vAlign w:val="center"/>
          </w:tcPr>
          <w:p w14:paraId="0F03CBD1" w14:textId="77777777" w:rsidR="00CE6A1D" w:rsidRPr="00952A5F"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tcPr>
          <w:p w14:paraId="1FAEC7C7" w14:textId="77777777" w:rsidR="00CE6A1D" w:rsidRPr="00952A5F" w:rsidRDefault="00CE6A1D" w:rsidP="00CE6A1D">
            <w:pPr>
              <w:spacing w:line="240" w:lineRule="auto"/>
              <w:jc w:val="right"/>
              <w:rPr>
                <w:rFonts w:eastAsia="Times New Roman" w:cs="Times New Roman"/>
                <w:sz w:val="18"/>
                <w:szCs w:val="18"/>
              </w:rPr>
            </w:pPr>
          </w:p>
        </w:tc>
      </w:tr>
      <w:tr w:rsidR="00CE6A1D" w:rsidRPr="00952A5F" w14:paraId="0CD1B191" w14:textId="77777777" w:rsidTr="00290D19">
        <w:trPr>
          <w:trHeight w:val="20"/>
          <w:jc w:val="center"/>
        </w:trPr>
        <w:tc>
          <w:tcPr>
            <w:tcW w:w="2227" w:type="dxa"/>
            <w:tcBorders>
              <w:top w:val="nil"/>
              <w:left w:val="single" w:sz="18" w:space="0" w:color="auto"/>
              <w:bottom w:val="nil"/>
              <w:right w:val="single" w:sz="18" w:space="0" w:color="auto"/>
            </w:tcBorders>
            <w:noWrap/>
            <w:vAlign w:val="center"/>
            <w:hideMark/>
          </w:tcPr>
          <w:p w14:paraId="426C02A7" w14:textId="42AA63F2" w:rsidR="00CE6A1D" w:rsidRPr="00952A5F" w:rsidRDefault="00CE6A1D" w:rsidP="00CE6A1D">
            <w:pPr>
              <w:spacing w:line="240" w:lineRule="auto"/>
              <w:ind w:left="288" w:hanging="288"/>
              <w:jc w:val="left"/>
              <w:rPr>
                <w:rFonts w:eastAsia="Times New Roman" w:cs="Times New Roman"/>
                <w:sz w:val="18"/>
                <w:szCs w:val="18"/>
              </w:rPr>
            </w:pPr>
            <w:r w:rsidRPr="00952A5F">
              <w:rPr>
                <w:rFonts w:eastAsia="Times New Roman" w:cs="Times New Roman"/>
                <w:sz w:val="18"/>
                <w:szCs w:val="18"/>
              </w:rPr>
              <w:t>Variable Cost</w:t>
            </w:r>
            <w:r>
              <w:rPr>
                <w:rFonts w:eastAsia="Times New Roman" w:cs="Times New Roman"/>
                <w:sz w:val="18"/>
                <w:szCs w:val="18"/>
              </w:rPr>
              <w:t xml:space="preserve"> (in $/mile)</w:t>
            </w:r>
          </w:p>
        </w:tc>
        <w:tc>
          <w:tcPr>
            <w:tcW w:w="454" w:type="dxa"/>
            <w:tcBorders>
              <w:top w:val="nil"/>
              <w:left w:val="single" w:sz="18" w:space="0" w:color="auto"/>
              <w:bottom w:val="nil"/>
              <w:right w:val="nil"/>
            </w:tcBorders>
            <w:noWrap/>
            <w:vAlign w:val="center"/>
            <w:hideMark/>
          </w:tcPr>
          <w:p w14:paraId="44AEA885" w14:textId="77777777" w:rsidR="00CE6A1D" w:rsidRPr="00952A5F" w:rsidRDefault="00CE6A1D" w:rsidP="00CE6A1D">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hideMark/>
          </w:tcPr>
          <w:p w14:paraId="7B83C6B6"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096B3080" w14:textId="4314A57B"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7030660E" w14:textId="0A1D2B9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BC812D6" w14:textId="77777777" w:rsidR="00CE6A1D" w:rsidRPr="00952A5F"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15875703"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0421DB92" w14:textId="77777777" w:rsidR="00CE6A1D" w:rsidRPr="00952A5F"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21F11C79"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39DE1CC8" w14:textId="1C1DF369"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190301CB" w14:textId="440FB56C"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3689A1F" w14:textId="77777777" w:rsidR="00CE6A1D" w:rsidRPr="00952A5F"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7EED54C6"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71DA3500"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5B30319E"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62EC5489" w14:textId="29AFC581"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1F73F951" w14:textId="5738B476"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F306155" w14:textId="77777777" w:rsidR="00CE6A1D" w:rsidRPr="00952A5F"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3E12C99A"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71CCFCF9"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011C91A"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255CD2F9" w14:textId="35700176"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bottom"/>
          </w:tcPr>
          <w:p w14:paraId="75165CD7" w14:textId="24F4E99B"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5F4A1C2" w14:textId="77777777" w:rsidR="00CE6A1D" w:rsidRPr="00952A5F"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44EE80D8"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r>
      <w:tr w:rsidR="00CE6A1D" w:rsidRPr="00952A5F" w14:paraId="409E41A7" w14:textId="77777777" w:rsidTr="00014DCE">
        <w:trPr>
          <w:trHeight w:val="20"/>
          <w:jc w:val="center"/>
        </w:trPr>
        <w:tc>
          <w:tcPr>
            <w:tcW w:w="2227" w:type="dxa"/>
            <w:tcBorders>
              <w:top w:val="nil"/>
              <w:left w:val="single" w:sz="18" w:space="0" w:color="auto"/>
              <w:bottom w:val="nil"/>
              <w:right w:val="single" w:sz="18" w:space="0" w:color="auto"/>
            </w:tcBorders>
            <w:noWrap/>
            <w:vAlign w:val="center"/>
          </w:tcPr>
          <w:p w14:paraId="3C38AF98" w14:textId="4C3A9255" w:rsidR="00CE6A1D" w:rsidRPr="00952A5F" w:rsidRDefault="00CE6A1D" w:rsidP="00290D19">
            <w:pPr>
              <w:spacing w:line="240" w:lineRule="auto"/>
              <w:ind w:left="582" w:hanging="288"/>
              <w:jc w:val="left"/>
              <w:rPr>
                <w:rFonts w:eastAsia="Times New Roman" w:cs="Times New Roman"/>
                <w:sz w:val="18"/>
                <w:szCs w:val="18"/>
              </w:rPr>
            </w:pPr>
            <w:r>
              <w:rPr>
                <w:rFonts w:eastAsia="Times New Roman" w:cs="Times New Roman"/>
                <w:sz w:val="18"/>
                <w:szCs w:val="18"/>
              </w:rPr>
              <w:t>Median</w:t>
            </w:r>
          </w:p>
        </w:tc>
        <w:tc>
          <w:tcPr>
            <w:tcW w:w="454" w:type="dxa"/>
            <w:tcBorders>
              <w:top w:val="nil"/>
              <w:left w:val="single" w:sz="18" w:space="0" w:color="auto"/>
              <w:bottom w:val="nil"/>
              <w:right w:val="nil"/>
            </w:tcBorders>
            <w:noWrap/>
            <w:vAlign w:val="center"/>
          </w:tcPr>
          <w:p w14:paraId="65B51C74" w14:textId="77777777" w:rsidR="00CE6A1D" w:rsidRPr="00952A5F" w:rsidRDefault="00CE6A1D" w:rsidP="00CE6A1D">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tcPr>
          <w:p w14:paraId="70117DDB"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6A163417" w14:textId="271929DE"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-0.055</w:t>
            </w:r>
          </w:p>
        </w:tc>
        <w:tc>
          <w:tcPr>
            <w:tcW w:w="523" w:type="dxa"/>
            <w:tcBorders>
              <w:top w:val="nil"/>
              <w:left w:val="nil"/>
              <w:bottom w:val="nil"/>
              <w:right w:val="nil"/>
            </w:tcBorders>
            <w:noWrap/>
            <w:vAlign w:val="center"/>
          </w:tcPr>
          <w:p w14:paraId="70D9482B" w14:textId="0B4E4243"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-2.156</w:t>
            </w:r>
          </w:p>
        </w:tc>
        <w:tc>
          <w:tcPr>
            <w:tcW w:w="523" w:type="dxa"/>
            <w:tcBorders>
              <w:top w:val="nil"/>
              <w:left w:val="nil"/>
              <w:bottom w:val="nil"/>
              <w:right w:val="nil"/>
            </w:tcBorders>
            <w:noWrap/>
            <w:vAlign w:val="center"/>
          </w:tcPr>
          <w:p w14:paraId="5AB29673" w14:textId="77777777" w:rsidR="00CE6A1D" w:rsidRPr="00952A5F"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tcPr>
          <w:p w14:paraId="1042AB4C" w14:textId="77777777" w:rsidR="00CE6A1D" w:rsidRPr="00952A5F" w:rsidRDefault="00CE6A1D" w:rsidP="00CE6A1D">
            <w:pPr>
              <w:spacing w:line="240" w:lineRule="auto"/>
              <w:jc w:val="right"/>
              <w:rPr>
                <w:rFonts w:eastAsia="Times New Roman" w:cs="Times New Roman"/>
                <w:sz w:val="18"/>
                <w:szCs w:val="18"/>
              </w:rPr>
            </w:pPr>
          </w:p>
        </w:tc>
        <w:tc>
          <w:tcPr>
            <w:tcW w:w="540" w:type="dxa"/>
            <w:tcBorders>
              <w:top w:val="nil"/>
              <w:left w:val="single" w:sz="18" w:space="0" w:color="auto"/>
              <w:bottom w:val="nil"/>
              <w:right w:val="nil"/>
            </w:tcBorders>
            <w:noWrap/>
            <w:vAlign w:val="center"/>
          </w:tcPr>
          <w:p w14:paraId="68B23D33" w14:textId="77777777" w:rsidR="00CE6A1D" w:rsidRPr="00952A5F"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tcPr>
          <w:p w14:paraId="18E2CF61"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503A8DC2" w14:textId="60AB05FD" w:rsidR="00CE6A1D" w:rsidRPr="00014DCE" w:rsidRDefault="00CE6A1D" w:rsidP="00CE6A1D">
            <w:pPr>
              <w:spacing w:line="240" w:lineRule="auto"/>
              <w:jc w:val="right"/>
              <w:rPr>
                <w:rFonts w:cs="Times New Roman"/>
                <w:sz w:val="18"/>
                <w:szCs w:val="18"/>
              </w:rPr>
            </w:pPr>
            <w:r>
              <w:rPr>
                <w:rFonts w:cs="Times New Roman"/>
                <w:sz w:val="18"/>
                <w:szCs w:val="18"/>
              </w:rPr>
              <w:t>-0.063</w:t>
            </w:r>
          </w:p>
        </w:tc>
        <w:tc>
          <w:tcPr>
            <w:tcW w:w="523" w:type="dxa"/>
            <w:tcBorders>
              <w:top w:val="nil"/>
              <w:left w:val="nil"/>
              <w:bottom w:val="nil"/>
              <w:right w:val="nil"/>
            </w:tcBorders>
            <w:noWrap/>
            <w:vAlign w:val="bottom"/>
          </w:tcPr>
          <w:p w14:paraId="715D3D4A" w14:textId="59FC65CB" w:rsidR="00CE6A1D" w:rsidRPr="00014DCE" w:rsidRDefault="00CE6A1D" w:rsidP="00CE6A1D">
            <w:pPr>
              <w:spacing w:line="240" w:lineRule="auto"/>
              <w:jc w:val="right"/>
              <w:rPr>
                <w:rFonts w:cs="Times New Roman"/>
                <w:sz w:val="18"/>
                <w:szCs w:val="18"/>
              </w:rPr>
            </w:pPr>
            <w:r>
              <w:rPr>
                <w:rFonts w:cs="Times New Roman"/>
                <w:sz w:val="18"/>
                <w:szCs w:val="18"/>
              </w:rPr>
              <w:t>-2.125</w:t>
            </w:r>
          </w:p>
        </w:tc>
        <w:tc>
          <w:tcPr>
            <w:tcW w:w="523" w:type="dxa"/>
            <w:tcBorders>
              <w:top w:val="nil"/>
              <w:left w:val="nil"/>
              <w:bottom w:val="nil"/>
              <w:right w:val="nil"/>
            </w:tcBorders>
            <w:noWrap/>
            <w:vAlign w:val="center"/>
          </w:tcPr>
          <w:p w14:paraId="21053CB7" w14:textId="77777777" w:rsidR="00CE6A1D" w:rsidRPr="00952A5F"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tcPr>
          <w:p w14:paraId="60F703A2" w14:textId="77777777" w:rsidR="00CE6A1D" w:rsidRPr="00952A5F" w:rsidRDefault="00CE6A1D" w:rsidP="00CE6A1D">
            <w:pPr>
              <w:spacing w:line="240" w:lineRule="auto"/>
              <w:jc w:val="right"/>
              <w:rPr>
                <w:rFonts w:eastAsia="Times New Roman" w:cs="Times New Roman"/>
                <w:sz w:val="18"/>
                <w:szCs w:val="18"/>
              </w:rPr>
            </w:pPr>
          </w:p>
        </w:tc>
        <w:tc>
          <w:tcPr>
            <w:tcW w:w="594" w:type="dxa"/>
            <w:tcBorders>
              <w:top w:val="nil"/>
              <w:left w:val="single" w:sz="18" w:space="0" w:color="auto"/>
              <w:bottom w:val="nil"/>
              <w:right w:val="nil"/>
            </w:tcBorders>
            <w:noWrap/>
            <w:vAlign w:val="center"/>
          </w:tcPr>
          <w:p w14:paraId="7F533ECE"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379D66B0"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2C793F89" w14:textId="02716254"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-0.085</w:t>
            </w:r>
          </w:p>
        </w:tc>
        <w:tc>
          <w:tcPr>
            <w:tcW w:w="523" w:type="dxa"/>
            <w:gridSpan w:val="2"/>
            <w:tcBorders>
              <w:top w:val="nil"/>
              <w:left w:val="nil"/>
              <w:bottom w:val="nil"/>
              <w:right w:val="nil"/>
            </w:tcBorders>
            <w:noWrap/>
            <w:vAlign w:val="center"/>
          </w:tcPr>
          <w:p w14:paraId="42873D31" w14:textId="5CA1F735" w:rsidR="00CE6A1D" w:rsidRPr="00952A5F" w:rsidRDefault="00CE6A1D" w:rsidP="00CE6A1D">
            <w:pPr>
              <w:spacing w:line="240" w:lineRule="auto"/>
              <w:jc w:val="right"/>
              <w:rPr>
                <w:rFonts w:eastAsia="Times New Roman" w:cs="Times New Roman"/>
                <w:sz w:val="18"/>
                <w:szCs w:val="18"/>
              </w:rPr>
            </w:pPr>
            <w:r>
              <w:rPr>
                <w:rFonts w:eastAsia="Times New Roman" w:cs="Times New Roman"/>
                <w:sz w:val="18"/>
                <w:szCs w:val="18"/>
              </w:rPr>
              <w:t>-1.868</w:t>
            </w:r>
          </w:p>
        </w:tc>
        <w:tc>
          <w:tcPr>
            <w:tcW w:w="523" w:type="dxa"/>
            <w:tcBorders>
              <w:top w:val="nil"/>
              <w:left w:val="nil"/>
              <w:bottom w:val="nil"/>
              <w:right w:val="nil"/>
            </w:tcBorders>
            <w:noWrap/>
            <w:vAlign w:val="center"/>
          </w:tcPr>
          <w:p w14:paraId="59435325" w14:textId="77777777" w:rsidR="00CE6A1D" w:rsidRPr="00952A5F"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tcPr>
          <w:p w14:paraId="06D9A430"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single" w:sz="18" w:space="0" w:color="auto"/>
              <w:bottom w:val="nil"/>
              <w:right w:val="nil"/>
            </w:tcBorders>
            <w:noWrap/>
            <w:vAlign w:val="center"/>
          </w:tcPr>
          <w:p w14:paraId="667C6E92"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tcPr>
          <w:p w14:paraId="4EAACC87"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tcPr>
          <w:p w14:paraId="097529B1" w14:textId="4218F7D9" w:rsidR="00CE6A1D" w:rsidRPr="00014DCE" w:rsidRDefault="00CE6A1D" w:rsidP="00CE6A1D">
            <w:pPr>
              <w:spacing w:line="240" w:lineRule="auto"/>
              <w:jc w:val="right"/>
              <w:rPr>
                <w:rFonts w:cs="Times New Roman"/>
                <w:sz w:val="18"/>
                <w:szCs w:val="18"/>
              </w:rPr>
            </w:pPr>
            <w:r>
              <w:rPr>
                <w:rFonts w:cs="Times New Roman"/>
                <w:sz w:val="18"/>
                <w:szCs w:val="18"/>
              </w:rPr>
              <w:t>-0.127</w:t>
            </w:r>
          </w:p>
        </w:tc>
        <w:tc>
          <w:tcPr>
            <w:tcW w:w="523" w:type="dxa"/>
            <w:gridSpan w:val="2"/>
            <w:tcBorders>
              <w:top w:val="nil"/>
              <w:left w:val="nil"/>
              <w:bottom w:val="nil"/>
              <w:right w:val="nil"/>
            </w:tcBorders>
            <w:noWrap/>
            <w:vAlign w:val="bottom"/>
          </w:tcPr>
          <w:p w14:paraId="6ECD2C30" w14:textId="636AF274" w:rsidR="00CE6A1D" w:rsidRPr="00014DCE" w:rsidRDefault="00CE6A1D" w:rsidP="00CE6A1D">
            <w:pPr>
              <w:spacing w:line="240" w:lineRule="auto"/>
              <w:jc w:val="right"/>
              <w:rPr>
                <w:rFonts w:cs="Times New Roman"/>
                <w:sz w:val="18"/>
                <w:szCs w:val="18"/>
              </w:rPr>
            </w:pPr>
            <w:r>
              <w:rPr>
                <w:rFonts w:cs="Times New Roman"/>
                <w:sz w:val="18"/>
                <w:szCs w:val="18"/>
              </w:rPr>
              <w:t>-2.304</w:t>
            </w:r>
          </w:p>
        </w:tc>
        <w:tc>
          <w:tcPr>
            <w:tcW w:w="523" w:type="dxa"/>
            <w:tcBorders>
              <w:top w:val="nil"/>
              <w:left w:val="nil"/>
              <w:bottom w:val="nil"/>
              <w:right w:val="nil"/>
            </w:tcBorders>
            <w:noWrap/>
            <w:vAlign w:val="center"/>
          </w:tcPr>
          <w:p w14:paraId="502512D1" w14:textId="77777777" w:rsidR="00CE6A1D" w:rsidRPr="00952A5F"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tcPr>
          <w:p w14:paraId="394FACA0" w14:textId="77777777" w:rsidR="00CE6A1D" w:rsidRPr="00952A5F" w:rsidRDefault="00CE6A1D" w:rsidP="00CE6A1D">
            <w:pPr>
              <w:spacing w:line="240" w:lineRule="auto"/>
              <w:jc w:val="right"/>
              <w:rPr>
                <w:rFonts w:eastAsia="Times New Roman" w:cs="Times New Roman"/>
                <w:sz w:val="18"/>
                <w:szCs w:val="18"/>
              </w:rPr>
            </w:pPr>
          </w:p>
        </w:tc>
      </w:tr>
      <w:tr w:rsidR="00CE6A1D" w:rsidRPr="00952A5F" w14:paraId="60BC7ABF" w14:textId="77777777" w:rsidTr="00CE6A1D">
        <w:trPr>
          <w:trHeight w:val="20"/>
          <w:jc w:val="center"/>
        </w:trPr>
        <w:tc>
          <w:tcPr>
            <w:tcW w:w="2227" w:type="dxa"/>
            <w:tcBorders>
              <w:top w:val="nil"/>
              <w:left w:val="single" w:sz="18" w:space="0" w:color="auto"/>
              <w:bottom w:val="nil"/>
              <w:right w:val="single" w:sz="18" w:space="0" w:color="auto"/>
            </w:tcBorders>
            <w:noWrap/>
            <w:vAlign w:val="center"/>
            <w:hideMark/>
          </w:tcPr>
          <w:p w14:paraId="6395CC02" w14:textId="62B29BB3" w:rsidR="00CE6A1D" w:rsidRPr="00952A5F" w:rsidRDefault="00CE6A1D" w:rsidP="00290D19">
            <w:pPr>
              <w:spacing w:line="240" w:lineRule="auto"/>
              <w:ind w:left="582" w:hanging="288"/>
              <w:jc w:val="left"/>
              <w:rPr>
                <w:rFonts w:eastAsia="Times New Roman" w:cs="Times New Roman"/>
                <w:sz w:val="18"/>
                <w:szCs w:val="18"/>
              </w:rPr>
            </w:pPr>
            <w:r>
              <w:rPr>
                <w:rFonts w:eastAsia="Times New Roman" w:cs="Times New Roman"/>
                <w:sz w:val="18"/>
                <w:szCs w:val="18"/>
              </w:rPr>
              <w:t>Standard Deviation</w:t>
            </w:r>
          </w:p>
        </w:tc>
        <w:tc>
          <w:tcPr>
            <w:tcW w:w="454" w:type="dxa"/>
            <w:tcBorders>
              <w:top w:val="nil"/>
              <w:left w:val="single" w:sz="18" w:space="0" w:color="auto"/>
              <w:bottom w:val="nil"/>
              <w:right w:val="nil"/>
            </w:tcBorders>
            <w:noWrap/>
            <w:vAlign w:val="center"/>
            <w:hideMark/>
          </w:tcPr>
          <w:p w14:paraId="04C05BBF" w14:textId="77777777" w:rsidR="00CE6A1D" w:rsidRPr="00952A5F" w:rsidRDefault="00CE6A1D" w:rsidP="00CE6A1D">
            <w:pPr>
              <w:spacing w:line="240" w:lineRule="auto"/>
              <w:jc w:val="right"/>
              <w:rPr>
                <w:rFonts w:eastAsia="Times New Roman" w:cs="Times New Roman"/>
                <w:sz w:val="18"/>
                <w:szCs w:val="18"/>
              </w:rPr>
            </w:pPr>
          </w:p>
        </w:tc>
        <w:tc>
          <w:tcPr>
            <w:tcW w:w="450" w:type="dxa"/>
            <w:tcBorders>
              <w:top w:val="nil"/>
              <w:left w:val="nil"/>
              <w:bottom w:val="nil"/>
              <w:right w:val="nil"/>
            </w:tcBorders>
            <w:noWrap/>
            <w:vAlign w:val="center"/>
          </w:tcPr>
          <w:p w14:paraId="628C5AE4"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3D87D8FC" w14:textId="790C0B4C"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tcPr>
          <w:p w14:paraId="1F9C1490" w14:textId="357343F8"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1CDAA0F" w14:textId="77777777" w:rsidR="00CE6A1D" w:rsidRPr="00952A5F"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A01E1D0"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05408C4F" w14:textId="77777777" w:rsidR="00CE6A1D" w:rsidRPr="00952A5F"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18535877"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507595AF" w14:textId="3BBDC617"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0.172</w:t>
            </w:r>
          </w:p>
        </w:tc>
        <w:tc>
          <w:tcPr>
            <w:tcW w:w="523" w:type="dxa"/>
            <w:tcBorders>
              <w:top w:val="nil"/>
              <w:left w:val="nil"/>
              <w:bottom w:val="nil"/>
              <w:right w:val="nil"/>
            </w:tcBorders>
            <w:noWrap/>
            <w:vAlign w:val="bottom"/>
            <w:hideMark/>
          </w:tcPr>
          <w:p w14:paraId="49FC4D37" w14:textId="7A653E3D"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1.934</w:t>
            </w:r>
          </w:p>
        </w:tc>
        <w:tc>
          <w:tcPr>
            <w:tcW w:w="523" w:type="dxa"/>
            <w:tcBorders>
              <w:top w:val="nil"/>
              <w:left w:val="nil"/>
              <w:bottom w:val="nil"/>
              <w:right w:val="nil"/>
            </w:tcBorders>
            <w:noWrap/>
            <w:vAlign w:val="center"/>
            <w:hideMark/>
          </w:tcPr>
          <w:p w14:paraId="6F2B0D5F" w14:textId="77777777" w:rsidR="00CE6A1D" w:rsidRPr="00952A5F"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61ACDFE8"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4016C4C9"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4883660"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89AD52C"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26F0B9B9"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C11C5A5" w14:textId="77777777" w:rsidR="00CE6A1D" w:rsidRPr="00952A5F"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50D84A2B"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14A23DF3" w14:textId="77777777" w:rsidR="00CE6A1D" w:rsidRPr="00952A5F"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2F2F3D17" w14:textId="77777777" w:rsidR="00CE6A1D" w:rsidRPr="00952A5F"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42475C78" w14:textId="19119ADB"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0.170</w:t>
            </w:r>
          </w:p>
        </w:tc>
        <w:tc>
          <w:tcPr>
            <w:tcW w:w="523" w:type="dxa"/>
            <w:gridSpan w:val="2"/>
            <w:tcBorders>
              <w:top w:val="nil"/>
              <w:left w:val="nil"/>
              <w:bottom w:val="nil"/>
              <w:right w:val="nil"/>
            </w:tcBorders>
            <w:noWrap/>
            <w:vAlign w:val="bottom"/>
            <w:hideMark/>
          </w:tcPr>
          <w:p w14:paraId="46B33B83" w14:textId="536E7E3A" w:rsidR="00CE6A1D" w:rsidRPr="00952A5F" w:rsidRDefault="00CE6A1D" w:rsidP="00CE6A1D">
            <w:pPr>
              <w:spacing w:line="240" w:lineRule="auto"/>
              <w:jc w:val="right"/>
              <w:rPr>
                <w:rFonts w:eastAsia="Times New Roman" w:cs="Times New Roman"/>
                <w:sz w:val="18"/>
                <w:szCs w:val="18"/>
              </w:rPr>
            </w:pPr>
            <w:r w:rsidRPr="00014DCE">
              <w:rPr>
                <w:rFonts w:cs="Times New Roman"/>
                <w:sz w:val="18"/>
                <w:szCs w:val="18"/>
              </w:rPr>
              <w:t>1.841</w:t>
            </w:r>
          </w:p>
        </w:tc>
        <w:tc>
          <w:tcPr>
            <w:tcW w:w="523" w:type="dxa"/>
            <w:tcBorders>
              <w:top w:val="nil"/>
              <w:left w:val="nil"/>
              <w:bottom w:val="nil"/>
              <w:right w:val="nil"/>
            </w:tcBorders>
            <w:noWrap/>
            <w:vAlign w:val="center"/>
            <w:hideMark/>
          </w:tcPr>
          <w:p w14:paraId="64FEFB36" w14:textId="77777777" w:rsidR="00CE6A1D" w:rsidRPr="00952A5F"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24F832AA" w14:textId="77777777" w:rsidR="00CE6A1D" w:rsidRPr="00952A5F" w:rsidRDefault="00CE6A1D" w:rsidP="00CE6A1D">
            <w:pPr>
              <w:spacing w:line="240" w:lineRule="auto"/>
              <w:jc w:val="right"/>
              <w:rPr>
                <w:rFonts w:eastAsia="Times New Roman" w:cs="Times New Roman"/>
                <w:sz w:val="18"/>
                <w:szCs w:val="18"/>
              </w:rPr>
            </w:pPr>
            <w:r w:rsidRPr="00952A5F">
              <w:rPr>
                <w:rFonts w:eastAsia="Times New Roman" w:cs="Times New Roman"/>
                <w:sz w:val="18"/>
                <w:szCs w:val="18"/>
              </w:rPr>
              <w:t> </w:t>
            </w:r>
          </w:p>
        </w:tc>
      </w:tr>
      <w:tr w:rsidR="00CE6A1D" w:rsidRPr="00952A5F" w14:paraId="31F7C985"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6CA49324"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Correlation between Fixed and Variable Costs</w:t>
            </w:r>
          </w:p>
        </w:tc>
        <w:tc>
          <w:tcPr>
            <w:tcW w:w="454" w:type="dxa"/>
            <w:tcBorders>
              <w:top w:val="nil"/>
              <w:left w:val="single" w:sz="18" w:space="0" w:color="auto"/>
              <w:bottom w:val="single" w:sz="8" w:space="0" w:color="auto"/>
              <w:right w:val="nil"/>
            </w:tcBorders>
            <w:noWrap/>
            <w:vAlign w:val="center"/>
            <w:hideMark/>
          </w:tcPr>
          <w:p w14:paraId="00ADC69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single" w:sz="8" w:space="0" w:color="auto"/>
              <w:right w:val="nil"/>
            </w:tcBorders>
            <w:noWrap/>
            <w:vAlign w:val="center"/>
            <w:hideMark/>
          </w:tcPr>
          <w:p w14:paraId="25A841B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42EE899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54211EF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15AEA9D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677" w:type="dxa"/>
            <w:tcBorders>
              <w:top w:val="nil"/>
              <w:left w:val="nil"/>
              <w:bottom w:val="single" w:sz="8" w:space="0" w:color="auto"/>
              <w:right w:val="single" w:sz="18" w:space="0" w:color="auto"/>
            </w:tcBorders>
            <w:noWrap/>
            <w:vAlign w:val="center"/>
            <w:hideMark/>
          </w:tcPr>
          <w:p w14:paraId="68B5DC4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single" w:sz="8" w:space="0" w:color="auto"/>
              <w:right w:val="nil"/>
            </w:tcBorders>
            <w:noWrap/>
            <w:vAlign w:val="center"/>
            <w:hideMark/>
          </w:tcPr>
          <w:p w14:paraId="23D0FE8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23" w:type="dxa"/>
            <w:tcBorders>
              <w:top w:val="nil"/>
              <w:left w:val="nil"/>
              <w:bottom w:val="single" w:sz="8" w:space="0" w:color="auto"/>
              <w:right w:val="nil"/>
            </w:tcBorders>
            <w:noWrap/>
            <w:vAlign w:val="center"/>
            <w:hideMark/>
          </w:tcPr>
          <w:p w14:paraId="23C0DC8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38D9FBD1" w14:textId="50ED598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0.880</w:t>
            </w:r>
          </w:p>
        </w:tc>
        <w:tc>
          <w:tcPr>
            <w:tcW w:w="523" w:type="dxa"/>
            <w:tcBorders>
              <w:top w:val="nil"/>
              <w:left w:val="nil"/>
              <w:bottom w:val="single" w:sz="8" w:space="0" w:color="auto"/>
              <w:right w:val="nil"/>
            </w:tcBorders>
            <w:noWrap/>
            <w:vAlign w:val="bottom"/>
            <w:hideMark/>
          </w:tcPr>
          <w:p w14:paraId="1D9E5EAA" w14:textId="3C905D7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1.754</w:t>
            </w:r>
          </w:p>
        </w:tc>
        <w:tc>
          <w:tcPr>
            <w:tcW w:w="523" w:type="dxa"/>
            <w:tcBorders>
              <w:top w:val="nil"/>
              <w:left w:val="nil"/>
              <w:bottom w:val="single" w:sz="8" w:space="0" w:color="auto"/>
              <w:right w:val="nil"/>
            </w:tcBorders>
            <w:noWrap/>
            <w:vAlign w:val="center"/>
            <w:hideMark/>
          </w:tcPr>
          <w:p w14:paraId="5FA25C2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654" w:type="dxa"/>
            <w:tcBorders>
              <w:top w:val="nil"/>
              <w:left w:val="nil"/>
              <w:bottom w:val="single" w:sz="8" w:space="0" w:color="auto"/>
              <w:right w:val="single" w:sz="18" w:space="0" w:color="auto"/>
            </w:tcBorders>
            <w:noWrap/>
            <w:vAlign w:val="center"/>
            <w:hideMark/>
          </w:tcPr>
          <w:p w14:paraId="72B6071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single" w:sz="8" w:space="0" w:color="auto"/>
              <w:right w:val="nil"/>
            </w:tcBorders>
            <w:noWrap/>
            <w:vAlign w:val="center"/>
            <w:hideMark/>
          </w:tcPr>
          <w:p w14:paraId="4C3A6BF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gridSpan w:val="2"/>
            <w:tcBorders>
              <w:top w:val="nil"/>
              <w:left w:val="nil"/>
              <w:bottom w:val="single" w:sz="8" w:space="0" w:color="auto"/>
              <w:right w:val="nil"/>
            </w:tcBorders>
            <w:noWrap/>
            <w:vAlign w:val="center"/>
            <w:hideMark/>
          </w:tcPr>
          <w:p w14:paraId="784D03E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3D9B839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12142D9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2B24FB3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53" w:type="dxa"/>
            <w:gridSpan w:val="3"/>
            <w:tcBorders>
              <w:top w:val="nil"/>
              <w:left w:val="nil"/>
              <w:bottom w:val="single" w:sz="8" w:space="0" w:color="auto"/>
              <w:right w:val="single" w:sz="18" w:space="0" w:color="auto"/>
            </w:tcBorders>
            <w:noWrap/>
            <w:vAlign w:val="center"/>
            <w:hideMark/>
          </w:tcPr>
          <w:p w14:paraId="44C6BAF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single" w:sz="8" w:space="0" w:color="auto"/>
              <w:right w:val="nil"/>
            </w:tcBorders>
            <w:noWrap/>
            <w:vAlign w:val="center"/>
            <w:hideMark/>
          </w:tcPr>
          <w:p w14:paraId="16FF2F8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gridSpan w:val="2"/>
            <w:tcBorders>
              <w:top w:val="nil"/>
              <w:left w:val="nil"/>
              <w:bottom w:val="single" w:sz="8" w:space="0" w:color="auto"/>
              <w:right w:val="nil"/>
            </w:tcBorders>
            <w:noWrap/>
            <w:vAlign w:val="center"/>
            <w:hideMark/>
          </w:tcPr>
          <w:p w14:paraId="56CE544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448447FD" w14:textId="095DAA3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0.569</w:t>
            </w:r>
          </w:p>
        </w:tc>
        <w:tc>
          <w:tcPr>
            <w:tcW w:w="523" w:type="dxa"/>
            <w:gridSpan w:val="2"/>
            <w:tcBorders>
              <w:top w:val="nil"/>
              <w:left w:val="nil"/>
              <w:bottom w:val="single" w:sz="8" w:space="0" w:color="auto"/>
              <w:right w:val="nil"/>
            </w:tcBorders>
            <w:noWrap/>
            <w:vAlign w:val="bottom"/>
            <w:hideMark/>
          </w:tcPr>
          <w:p w14:paraId="21CA9C17" w14:textId="6958DF7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1.552</w:t>
            </w:r>
          </w:p>
        </w:tc>
        <w:tc>
          <w:tcPr>
            <w:tcW w:w="523" w:type="dxa"/>
            <w:tcBorders>
              <w:top w:val="nil"/>
              <w:left w:val="nil"/>
              <w:bottom w:val="single" w:sz="8" w:space="0" w:color="auto"/>
              <w:right w:val="nil"/>
            </w:tcBorders>
            <w:noWrap/>
            <w:vAlign w:val="center"/>
            <w:hideMark/>
          </w:tcPr>
          <w:p w14:paraId="74D2D66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618" w:type="dxa"/>
            <w:gridSpan w:val="2"/>
            <w:tcBorders>
              <w:top w:val="nil"/>
              <w:left w:val="nil"/>
              <w:bottom w:val="single" w:sz="8" w:space="0" w:color="auto"/>
              <w:right w:val="single" w:sz="18" w:space="0" w:color="auto"/>
            </w:tcBorders>
            <w:noWrap/>
            <w:vAlign w:val="center"/>
            <w:hideMark/>
          </w:tcPr>
          <w:p w14:paraId="5778022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206BA01E"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09FAB901" w14:textId="77777777" w:rsidR="00CE6A1D" w:rsidRPr="002767DD" w:rsidRDefault="00CE6A1D" w:rsidP="00CE6A1D">
            <w:pPr>
              <w:spacing w:line="240" w:lineRule="auto"/>
              <w:ind w:left="288" w:hanging="288"/>
              <w:jc w:val="left"/>
              <w:rPr>
                <w:rFonts w:eastAsia="Times New Roman" w:cs="Times New Roman"/>
                <w:b/>
                <w:bCs/>
                <w:sz w:val="18"/>
                <w:szCs w:val="18"/>
              </w:rPr>
            </w:pPr>
            <w:r w:rsidRPr="002767DD">
              <w:rPr>
                <w:rFonts w:eastAsia="Times New Roman" w:cs="Times New Roman"/>
                <w:b/>
                <w:bCs/>
                <w:sz w:val="18"/>
                <w:szCs w:val="18"/>
              </w:rPr>
              <w:t>Individual Characteristics</w:t>
            </w:r>
          </w:p>
        </w:tc>
        <w:tc>
          <w:tcPr>
            <w:tcW w:w="454" w:type="dxa"/>
            <w:tcBorders>
              <w:top w:val="nil"/>
              <w:left w:val="single" w:sz="18" w:space="0" w:color="auto"/>
              <w:bottom w:val="nil"/>
              <w:right w:val="nil"/>
            </w:tcBorders>
            <w:noWrap/>
            <w:vAlign w:val="center"/>
            <w:hideMark/>
          </w:tcPr>
          <w:p w14:paraId="72980BF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4E10E4B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92236D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09E961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EF0F55A"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D01675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09E67928"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69C2B35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D68140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CD6676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849C03F"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206104F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4507FD3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5E89715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9CDA19E"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0BE1F2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8BD5B67"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7368688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077E7197"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8D8550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E4360C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39E3E38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69D2901"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063AFF9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1EE5B17E"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5BEA6016"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Age (18 - 44)</w:t>
            </w:r>
          </w:p>
        </w:tc>
        <w:tc>
          <w:tcPr>
            <w:tcW w:w="454" w:type="dxa"/>
            <w:tcBorders>
              <w:top w:val="nil"/>
              <w:left w:val="single" w:sz="18" w:space="0" w:color="auto"/>
              <w:bottom w:val="nil"/>
              <w:right w:val="nil"/>
            </w:tcBorders>
            <w:noWrap/>
            <w:vAlign w:val="center"/>
            <w:hideMark/>
          </w:tcPr>
          <w:p w14:paraId="497506E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2995CC3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2C92C9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AC0239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8228BE9"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505E2FA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4855FFFD"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264A783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1F2674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B715A2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69C3C98"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12CD766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6F44F9F4"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435F4F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5043E6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EDA49C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74E6EFA"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2704528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6BDDBEA1"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34E7274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2DB2504"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C27C9D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D773092"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08F275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341F0058"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6CD6E3AC"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45 - 64</w:t>
            </w:r>
          </w:p>
        </w:tc>
        <w:tc>
          <w:tcPr>
            <w:tcW w:w="454" w:type="dxa"/>
            <w:tcBorders>
              <w:top w:val="nil"/>
              <w:left w:val="single" w:sz="18" w:space="0" w:color="auto"/>
              <w:bottom w:val="nil"/>
              <w:right w:val="nil"/>
            </w:tcBorders>
            <w:noWrap/>
            <w:vAlign w:val="center"/>
            <w:hideMark/>
          </w:tcPr>
          <w:p w14:paraId="0AE9207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2C8F4D1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08E7A9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-0.056</w:t>
            </w:r>
          </w:p>
        </w:tc>
        <w:tc>
          <w:tcPr>
            <w:tcW w:w="523" w:type="dxa"/>
            <w:tcBorders>
              <w:top w:val="nil"/>
              <w:left w:val="nil"/>
              <w:bottom w:val="nil"/>
              <w:right w:val="nil"/>
            </w:tcBorders>
            <w:noWrap/>
            <w:vAlign w:val="center"/>
            <w:hideMark/>
          </w:tcPr>
          <w:p w14:paraId="45012AD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-2.186</w:t>
            </w:r>
          </w:p>
        </w:tc>
        <w:tc>
          <w:tcPr>
            <w:tcW w:w="523" w:type="dxa"/>
            <w:tcBorders>
              <w:top w:val="nil"/>
              <w:left w:val="nil"/>
              <w:bottom w:val="nil"/>
              <w:right w:val="nil"/>
            </w:tcBorders>
            <w:noWrap/>
            <w:vAlign w:val="center"/>
            <w:hideMark/>
          </w:tcPr>
          <w:p w14:paraId="58D5B1A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77" w:type="dxa"/>
            <w:tcBorders>
              <w:top w:val="nil"/>
              <w:left w:val="nil"/>
              <w:bottom w:val="nil"/>
              <w:right w:val="single" w:sz="18" w:space="0" w:color="auto"/>
            </w:tcBorders>
            <w:noWrap/>
            <w:vAlign w:val="center"/>
            <w:hideMark/>
          </w:tcPr>
          <w:p w14:paraId="190E3AC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51F2951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624EDCF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0680A7E3" w14:textId="1181DB5C"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-0.065</w:t>
            </w:r>
          </w:p>
        </w:tc>
        <w:tc>
          <w:tcPr>
            <w:tcW w:w="523" w:type="dxa"/>
            <w:tcBorders>
              <w:top w:val="nil"/>
              <w:left w:val="nil"/>
              <w:bottom w:val="nil"/>
              <w:right w:val="nil"/>
            </w:tcBorders>
            <w:noWrap/>
            <w:vAlign w:val="bottom"/>
            <w:hideMark/>
          </w:tcPr>
          <w:p w14:paraId="10B55801" w14:textId="3DC906F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-2.455</w:t>
            </w:r>
          </w:p>
        </w:tc>
        <w:tc>
          <w:tcPr>
            <w:tcW w:w="523" w:type="dxa"/>
            <w:tcBorders>
              <w:top w:val="nil"/>
              <w:left w:val="nil"/>
              <w:bottom w:val="nil"/>
              <w:right w:val="nil"/>
            </w:tcBorders>
            <w:noWrap/>
            <w:vAlign w:val="center"/>
            <w:hideMark/>
          </w:tcPr>
          <w:p w14:paraId="17FDDC1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54" w:type="dxa"/>
            <w:tcBorders>
              <w:top w:val="nil"/>
              <w:left w:val="nil"/>
              <w:bottom w:val="nil"/>
              <w:right w:val="single" w:sz="18" w:space="0" w:color="auto"/>
            </w:tcBorders>
            <w:noWrap/>
            <w:vAlign w:val="center"/>
            <w:hideMark/>
          </w:tcPr>
          <w:p w14:paraId="00F1C51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5621B4B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661E389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06D6D3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-0.119</w:t>
            </w:r>
          </w:p>
        </w:tc>
        <w:tc>
          <w:tcPr>
            <w:tcW w:w="523" w:type="dxa"/>
            <w:gridSpan w:val="2"/>
            <w:tcBorders>
              <w:top w:val="nil"/>
              <w:left w:val="nil"/>
              <w:bottom w:val="nil"/>
              <w:right w:val="nil"/>
            </w:tcBorders>
            <w:noWrap/>
            <w:vAlign w:val="center"/>
            <w:hideMark/>
          </w:tcPr>
          <w:p w14:paraId="7104B77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-3.772</w:t>
            </w:r>
          </w:p>
        </w:tc>
        <w:tc>
          <w:tcPr>
            <w:tcW w:w="523" w:type="dxa"/>
            <w:tcBorders>
              <w:top w:val="nil"/>
              <w:left w:val="nil"/>
              <w:bottom w:val="nil"/>
              <w:right w:val="nil"/>
            </w:tcBorders>
            <w:noWrap/>
            <w:vAlign w:val="center"/>
            <w:hideMark/>
          </w:tcPr>
          <w:p w14:paraId="5CFE54A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53" w:type="dxa"/>
            <w:gridSpan w:val="3"/>
            <w:tcBorders>
              <w:top w:val="nil"/>
              <w:left w:val="nil"/>
              <w:bottom w:val="nil"/>
              <w:right w:val="single" w:sz="18" w:space="0" w:color="auto"/>
            </w:tcBorders>
            <w:noWrap/>
            <w:vAlign w:val="center"/>
            <w:hideMark/>
          </w:tcPr>
          <w:p w14:paraId="2403369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2A52B64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4227465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77C33AB1" w14:textId="641C90C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-0.136</w:t>
            </w:r>
          </w:p>
        </w:tc>
        <w:tc>
          <w:tcPr>
            <w:tcW w:w="523" w:type="dxa"/>
            <w:gridSpan w:val="2"/>
            <w:tcBorders>
              <w:top w:val="nil"/>
              <w:left w:val="nil"/>
              <w:bottom w:val="nil"/>
              <w:right w:val="nil"/>
            </w:tcBorders>
            <w:noWrap/>
            <w:vAlign w:val="bottom"/>
            <w:hideMark/>
          </w:tcPr>
          <w:p w14:paraId="17AFA17F" w14:textId="36EA65A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-2.316</w:t>
            </w:r>
          </w:p>
        </w:tc>
        <w:tc>
          <w:tcPr>
            <w:tcW w:w="523" w:type="dxa"/>
            <w:tcBorders>
              <w:top w:val="nil"/>
              <w:left w:val="nil"/>
              <w:bottom w:val="nil"/>
              <w:right w:val="nil"/>
            </w:tcBorders>
            <w:noWrap/>
            <w:vAlign w:val="center"/>
            <w:hideMark/>
          </w:tcPr>
          <w:p w14:paraId="47D34F1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18" w:type="dxa"/>
            <w:gridSpan w:val="2"/>
            <w:tcBorders>
              <w:top w:val="nil"/>
              <w:left w:val="nil"/>
              <w:bottom w:val="nil"/>
              <w:right w:val="single" w:sz="18" w:space="0" w:color="auto"/>
            </w:tcBorders>
            <w:noWrap/>
            <w:vAlign w:val="center"/>
            <w:hideMark/>
          </w:tcPr>
          <w:p w14:paraId="108E09E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550D45CF"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45CFB80"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65 or older</w:t>
            </w:r>
          </w:p>
        </w:tc>
        <w:tc>
          <w:tcPr>
            <w:tcW w:w="454" w:type="dxa"/>
            <w:tcBorders>
              <w:top w:val="nil"/>
              <w:left w:val="single" w:sz="18" w:space="0" w:color="auto"/>
              <w:bottom w:val="nil"/>
              <w:right w:val="nil"/>
            </w:tcBorders>
            <w:noWrap/>
            <w:vAlign w:val="center"/>
            <w:hideMark/>
          </w:tcPr>
          <w:p w14:paraId="1E29149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2907124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F554DE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-0.085</w:t>
            </w:r>
          </w:p>
        </w:tc>
        <w:tc>
          <w:tcPr>
            <w:tcW w:w="523" w:type="dxa"/>
            <w:tcBorders>
              <w:top w:val="nil"/>
              <w:left w:val="nil"/>
              <w:bottom w:val="nil"/>
              <w:right w:val="nil"/>
            </w:tcBorders>
            <w:noWrap/>
            <w:vAlign w:val="center"/>
            <w:hideMark/>
          </w:tcPr>
          <w:p w14:paraId="569AEA3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-2.215</w:t>
            </w:r>
          </w:p>
        </w:tc>
        <w:tc>
          <w:tcPr>
            <w:tcW w:w="523" w:type="dxa"/>
            <w:tcBorders>
              <w:top w:val="nil"/>
              <w:left w:val="nil"/>
              <w:bottom w:val="nil"/>
              <w:right w:val="nil"/>
            </w:tcBorders>
            <w:noWrap/>
            <w:vAlign w:val="center"/>
            <w:hideMark/>
          </w:tcPr>
          <w:p w14:paraId="1018228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77" w:type="dxa"/>
            <w:tcBorders>
              <w:top w:val="nil"/>
              <w:left w:val="nil"/>
              <w:bottom w:val="nil"/>
              <w:right w:val="single" w:sz="18" w:space="0" w:color="auto"/>
            </w:tcBorders>
            <w:noWrap/>
            <w:vAlign w:val="center"/>
            <w:hideMark/>
          </w:tcPr>
          <w:p w14:paraId="08F0CFF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1966D81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197C243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4A8677F2" w14:textId="594B79B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-0.100</w:t>
            </w:r>
          </w:p>
        </w:tc>
        <w:tc>
          <w:tcPr>
            <w:tcW w:w="523" w:type="dxa"/>
            <w:tcBorders>
              <w:top w:val="nil"/>
              <w:left w:val="nil"/>
              <w:bottom w:val="nil"/>
              <w:right w:val="nil"/>
            </w:tcBorders>
            <w:noWrap/>
            <w:vAlign w:val="bottom"/>
            <w:hideMark/>
          </w:tcPr>
          <w:p w14:paraId="23B46591" w14:textId="3F89091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-2.489</w:t>
            </w:r>
          </w:p>
        </w:tc>
        <w:tc>
          <w:tcPr>
            <w:tcW w:w="523" w:type="dxa"/>
            <w:tcBorders>
              <w:top w:val="nil"/>
              <w:left w:val="nil"/>
              <w:bottom w:val="nil"/>
              <w:right w:val="nil"/>
            </w:tcBorders>
            <w:noWrap/>
            <w:vAlign w:val="center"/>
            <w:hideMark/>
          </w:tcPr>
          <w:p w14:paraId="5AA93FA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54" w:type="dxa"/>
            <w:tcBorders>
              <w:top w:val="nil"/>
              <w:left w:val="nil"/>
              <w:bottom w:val="nil"/>
              <w:right w:val="single" w:sz="18" w:space="0" w:color="auto"/>
            </w:tcBorders>
            <w:noWrap/>
            <w:vAlign w:val="center"/>
            <w:hideMark/>
          </w:tcPr>
          <w:p w14:paraId="29FC74B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5516520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5456475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CFC8CA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-0.180</w:t>
            </w:r>
          </w:p>
        </w:tc>
        <w:tc>
          <w:tcPr>
            <w:tcW w:w="523" w:type="dxa"/>
            <w:gridSpan w:val="2"/>
            <w:tcBorders>
              <w:top w:val="nil"/>
              <w:left w:val="nil"/>
              <w:bottom w:val="nil"/>
              <w:right w:val="nil"/>
            </w:tcBorders>
            <w:noWrap/>
            <w:vAlign w:val="center"/>
            <w:hideMark/>
          </w:tcPr>
          <w:p w14:paraId="4FADDD8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-4.899</w:t>
            </w:r>
          </w:p>
        </w:tc>
        <w:tc>
          <w:tcPr>
            <w:tcW w:w="523" w:type="dxa"/>
            <w:tcBorders>
              <w:top w:val="nil"/>
              <w:left w:val="nil"/>
              <w:bottom w:val="nil"/>
              <w:right w:val="nil"/>
            </w:tcBorders>
            <w:noWrap/>
            <w:vAlign w:val="center"/>
            <w:hideMark/>
          </w:tcPr>
          <w:p w14:paraId="5C17861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53" w:type="dxa"/>
            <w:gridSpan w:val="3"/>
            <w:tcBorders>
              <w:top w:val="nil"/>
              <w:left w:val="nil"/>
              <w:bottom w:val="nil"/>
              <w:right w:val="single" w:sz="18" w:space="0" w:color="auto"/>
            </w:tcBorders>
            <w:noWrap/>
            <w:vAlign w:val="center"/>
            <w:hideMark/>
          </w:tcPr>
          <w:p w14:paraId="0D7FED3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7FBCD83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0ABF590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69C7FB7F" w14:textId="072FA11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-0.210</w:t>
            </w:r>
          </w:p>
        </w:tc>
        <w:tc>
          <w:tcPr>
            <w:tcW w:w="523" w:type="dxa"/>
            <w:gridSpan w:val="2"/>
            <w:tcBorders>
              <w:top w:val="nil"/>
              <w:left w:val="nil"/>
              <w:bottom w:val="nil"/>
              <w:right w:val="nil"/>
            </w:tcBorders>
            <w:noWrap/>
            <w:vAlign w:val="bottom"/>
            <w:hideMark/>
          </w:tcPr>
          <w:p w14:paraId="380824AF" w14:textId="4944878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-2.334</w:t>
            </w:r>
          </w:p>
        </w:tc>
        <w:tc>
          <w:tcPr>
            <w:tcW w:w="523" w:type="dxa"/>
            <w:tcBorders>
              <w:top w:val="nil"/>
              <w:left w:val="nil"/>
              <w:bottom w:val="nil"/>
              <w:right w:val="nil"/>
            </w:tcBorders>
            <w:noWrap/>
            <w:vAlign w:val="center"/>
            <w:hideMark/>
          </w:tcPr>
          <w:p w14:paraId="2B74167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18" w:type="dxa"/>
            <w:gridSpan w:val="2"/>
            <w:tcBorders>
              <w:top w:val="nil"/>
              <w:left w:val="nil"/>
              <w:bottom w:val="nil"/>
              <w:right w:val="single" w:sz="18" w:space="0" w:color="auto"/>
            </w:tcBorders>
            <w:noWrap/>
            <w:vAlign w:val="center"/>
            <w:hideMark/>
          </w:tcPr>
          <w:p w14:paraId="1F8F3C6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36EB483E"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793C02D8"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Gender (Male)</w:t>
            </w:r>
          </w:p>
        </w:tc>
        <w:tc>
          <w:tcPr>
            <w:tcW w:w="454" w:type="dxa"/>
            <w:tcBorders>
              <w:top w:val="nil"/>
              <w:left w:val="single" w:sz="18" w:space="0" w:color="auto"/>
              <w:bottom w:val="nil"/>
              <w:right w:val="nil"/>
            </w:tcBorders>
            <w:noWrap/>
            <w:vAlign w:val="center"/>
            <w:hideMark/>
          </w:tcPr>
          <w:p w14:paraId="0E4600D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2E9B395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3F43E9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C10E05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E7C6FFB"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16E0D75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4AB2C2D5"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46E93A1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C67A1C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EB7674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D01E9FB"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5D7A1E3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30E5401A"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5D8FA6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00B8D99"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643FF4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9A5E2D8"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4BFC694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2D60EAAB"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A177C5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209BD64"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AB3908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5BD485D"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98DFB3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6A6B1201"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7B3F5580"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Female</w:t>
            </w:r>
          </w:p>
        </w:tc>
        <w:tc>
          <w:tcPr>
            <w:tcW w:w="454" w:type="dxa"/>
            <w:tcBorders>
              <w:top w:val="nil"/>
              <w:left w:val="single" w:sz="18" w:space="0" w:color="auto"/>
              <w:bottom w:val="nil"/>
              <w:right w:val="nil"/>
            </w:tcBorders>
            <w:noWrap/>
            <w:vAlign w:val="center"/>
            <w:hideMark/>
          </w:tcPr>
          <w:p w14:paraId="47C00DA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2DD9A18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1179A2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-0.038</w:t>
            </w:r>
          </w:p>
        </w:tc>
        <w:tc>
          <w:tcPr>
            <w:tcW w:w="523" w:type="dxa"/>
            <w:tcBorders>
              <w:top w:val="nil"/>
              <w:left w:val="nil"/>
              <w:bottom w:val="nil"/>
              <w:right w:val="nil"/>
            </w:tcBorders>
            <w:noWrap/>
            <w:vAlign w:val="center"/>
            <w:hideMark/>
          </w:tcPr>
          <w:p w14:paraId="5181B4A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-2.129</w:t>
            </w:r>
          </w:p>
        </w:tc>
        <w:tc>
          <w:tcPr>
            <w:tcW w:w="523" w:type="dxa"/>
            <w:tcBorders>
              <w:top w:val="nil"/>
              <w:left w:val="nil"/>
              <w:bottom w:val="nil"/>
              <w:right w:val="nil"/>
            </w:tcBorders>
            <w:noWrap/>
            <w:vAlign w:val="center"/>
            <w:hideMark/>
          </w:tcPr>
          <w:p w14:paraId="77FBD5A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-0.089</w:t>
            </w:r>
          </w:p>
        </w:tc>
        <w:tc>
          <w:tcPr>
            <w:tcW w:w="677" w:type="dxa"/>
            <w:tcBorders>
              <w:top w:val="nil"/>
              <w:left w:val="nil"/>
              <w:bottom w:val="nil"/>
              <w:right w:val="single" w:sz="18" w:space="0" w:color="auto"/>
            </w:tcBorders>
            <w:noWrap/>
            <w:vAlign w:val="center"/>
            <w:hideMark/>
          </w:tcPr>
          <w:p w14:paraId="1341A02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-1.702</w:t>
            </w:r>
          </w:p>
        </w:tc>
        <w:tc>
          <w:tcPr>
            <w:tcW w:w="540" w:type="dxa"/>
            <w:tcBorders>
              <w:top w:val="nil"/>
              <w:left w:val="single" w:sz="18" w:space="0" w:color="auto"/>
              <w:bottom w:val="nil"/>
              <w:right w:val="nil"/>
            </w:tcBorders>
            <w:noWrap/>
            <w:vAlign w:val="center"/>
            <w:hideMark/>
          </w:tcPr>
          <w:p w14:paraId="57AA8CB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44E5A61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3922B1FA" w14:textId="650F8C5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-0.045</w:t>
            </w:r>
          </w:p>
        </w:tc>
        <w:tc>
          <w:tcPr>
            <w:tcW w:w="523" w:type="dxa"/>
            <w:tcBorders>
              <w:top w:val="nil"/>
              <w:left w:val="nil"/>
              <w:bottom w:val="nil"/>
              <w:right w:val="nil"/>
            </w:tcBorders>
            <w:noWrap/>
            <w:vAlign w:val="bottom"/>
            <w:hideMark/>
          </w:tcPr>
          <w:p w14:paraId="03129EF0" w14:textId="2088116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-2.373</w:t>
            </w:r>
          </w:p>
        </w:tc>
        <w:tc>
          <w:tcPr>
            <w:tcW w:w="523" w:type="dxa"/>
            <w:tcBorders>
              <w:top w:val="nil"/>
              <w:left w:val="nil"/>
              <w:bottom w:val="nil"/>
              <w:right w:val="nil"/>
            </w:tcBorders>
            <w:noWrap/>
            <w:vAlign w:val="bottom"/>
            <w:hideMark/>
          </w:tcPr>
          <w:p w14:paraId="7C680BDD" w14:textId="1F10FC9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-0.090</w:t>
            </w:r>
          </w:p>
        </w:tc>
        <w:tc>
          <w:tcPr>
            <w:tcW w:w="654" w:type="dxa"/>
            <w:tcBorders>
              <w:top w:val="nil"/>
              <w:left w:val="nil"/>
              <w:bottom w:val="nil"/>
              <w:right w:val="single" w:sz="18" w:space="0" w:color="auto"/>
            </w:tcBorders>
            <w:noWrap/>
            <w:vAlign w:val="bottom"/>
            <w:hideMark/>
          </w:tcPr>
          <w:p w14:paraId="3E9C23B6" w14:textId="69B78BC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-1.690</w:t>
            </w:r>
          </w:p>
        </w:tc>
        <w:tc>
          <w:tcPr>
            <w:tcW w:w="594" w:type="dxa"/>
            <w:tcBorders>
              <w:top w:val="nil"/>
              <w:left w:val="single" w:sz="18" w:space="0" w:color="auto"/>
              <w:bottom w:val="nil"/>
              <w:right w:val="nil"/>
            </w:tcBorders>
            <w:noWrap/>
            <w:vAlign w:val="center"/>
            <w:hideMark/>
          </w:tcPr>
          <w:p w14:paraId="0712C26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75B9AA1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EBFDE3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-0.078</w:t>
            </w:r>
          </w:p>
        </w:tc>
        <w:tc>
          <w:tcPr>
            <w:tcW w:w="523" w:type="dxa"/>
            <w:gridSpan w:val="2"/>
            <w:tcBorders>
              <w:top w:val="nil"/>
              <w:left w:val="nil"/>
              <w:bottom w:val="nil"/>
              <w:right w:val="nil"/>
            </w:tcBorders>
            <w:noWrap/>
            <w:vAlign w:val="center"/>
            <w:hideMark/>
          </w:tcPr>
          <w:p w14:paraId="51BBFEE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-2.766</w:t>
            </w:r>
          </w:p>
        </w:tc>
        <w:tc>
          <w:tcPr>
            <w:tcW w:w="523" w:type="dxa"/>
            <w:tcBorders>
              <w:top w:val="nil"/>
              <w:left w:val="nil"/>
              <w:bottom w:val="nil"/>
              <w:right w:val="nil"/>
            </w:tcBorders>
            <w:noWrap/>
            <w:vAlign w:val="center"/>
            <w:hideMark/>
          </w:tcPr>
          <w:p w14:paraId="342EBC8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-0.035</w:t>
            </w:r>
          </w:p>
        </w:tc>
        <w:tc>
          <w:tcPr>
            <w:tcW w:w="553" w:type="dxa"/>
            <w:gridSpan w:val="3"/>
            <w:tcBorders>
              <w:top w:val="nil"/>
              <w:left w:val="nil"/>
              <w:bottom w:val="nil"/>
              <w:right w:val="single" w:sz="18" w:space="0" w:color="auto"/>
            </w:tcBorders>
            <w:noWrap/>
            <w:vAlign w:val="center"/>
            <w:hideMark/>
          </w:tcPr>
          <w:p w14:paraId="00048F3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-0.256</w:t>
            </w:r>
          </w:p>
        </w:tc>
        <w:tc>
          <w:tcPr>
            <w:tcW w:w="523" w:type="dxa"/>
            <w:tcBorders>
              <w:top w:val="nil"/>
              <w:left w:val="single" w:sz="18" w:space="0" w:color="auto"/>
              <w:bottom w:val="nil"/>
              <w:right w:val="nil"/>
            </w:tcBorders>
            <w:noWrap/>
            <w:vAlign w:val="center"/>
            <w:hideMark/>
          </w:tcPr>
          <w:p w14:paraId="49F725F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29777D2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6808E009" w14:textId="4179C6A7"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-0.092</w:t>
            </w:r>
          </w:p>
        </w:tc>
        <w:tc>
          <w:tcPr>
            <w:tcW w:w="523" w:type="dxa"/>
            <w:gridSpan w:val="2"/>
            <w:tcBorders>
              <w:top w:val="nil"/>
              <w:left w:val="nil"/>
              <w:bottom w:val="nil"/>
              <w:right w:val="nil"/>
            </w:tcBorders>
            <w:noWrap/>
            <w:vAlign w:val="bottom"/>
            <w:hideMark/>
          </w:tcPr>
          <w:p w14:paraId="3787B32E" w14:textId="77C6D67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-2.310</w:t>
            </w:r>
          </w:p>
        </w:tc>
        <w:tc>
          <w:tcPr>
            <w:tcW w:w="523" w:type="dxa"/>
            <w:tcBorders>
              <w:top w:val="nil"/>
              <w:left w:val="nil"/>
              <w:bottom w:val="nil"/>
              <w:right w:val="nil"/>
            </w:tcBorders>
            <w:noWrap/>
            <w:vAlign w:val="bottom"/>
            <w:hideMark/>
          </w:tcPr>
          <w:p w14:paraId="6BF1B37D" w14:textId="221DD531"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-0.104</w:t>
            </w:r>
          </w:p>
        </w:tc>
        <w:tc>
          <w:tcPr>
            <w:tcW w:w="618" w:type="dxa"/>
            <w:gridSpan w:val="2"/>
            <w:tcBorders>
              <w:top w:val="nil"/>
              <w:left w:val="nil"/>
              <w:bottom w:val="nil"/>
              <w:right w:val="single" w:sz="18" w:space="0" w:color="auto"/>
            </w:tcBorders>
            <w:noWrap/>
            <w:vAlign w:val="bottom"/>
            <w:hideMark/>
          </w:tcPr>
          <w:p w14:paraId="327FC310" w14:textId="6D88835A"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-0.928</w:t>
            </w:r>
          </w:p>
        </w:tc>
      </w:tr>
      <w:tr w:rsidR="00CE6A1D" w:rsidRPr="00952A5F" w14:paraId="642ACD3A"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89E9E5C" w14:textId="3A8A911D"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Education (Less than Bachelor</w:t>
            </w:r>
            <w:r w:rsidR="00A725F8">
              <w:rPr>
                <w:rFonts w:eastAsia="Times New Roman" w:cs="Times New Roman"/>
                <w:sz w:val="18"/>
                <w:szCs w:val="18"/>
              </w:rPr>
              <w:t>'</w:t>
            </w:r>
            <w:r w:rsidRPr="002767DD">
              <w:rPr>
                <w:rFonts w:eastAsia="Times New Roman" w:cs="Times New Roman"/>
                <w:sz w:val="18"/>
                <w:szCs w:val="18"/>
              </w:rPr>
              <w:t>s)</w:t>
            </w:r>
          </w:p>
        </w:tc>
        <w:tc>
          <w:tcPr>
            <w:tcW w:w="454" w:type="dxa"/>
            <w:tcBorders>
              <w:top w:val="nil"/>
              <w:left w:val="single" w:sz="18" w:space="0" w:color="auto"/>
              <w:bottom w:val="nil"/>
              <w:right w:val="nil"/>
            </w:tcBorders>
            <w:noWrap/>
            <w:vAlign w:val="center"/>
            <w:hideMark/>
          </w:tcPr>
          <w:p w14:paraId="682DFBC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4720B84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D4AD52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AE05D6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C6C64FB"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56AB0E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691043FC"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300D06B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EC88BF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EADDCD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EFD1B5D"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6F0F85B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418AA46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ED1463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D7F035F"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CB11C4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19644DB"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3CDC4B7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6A480020"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739BB0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CC972A8"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74072D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E81A953"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1F499020" w14:textId="292409A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r>
      <w:tr w:rsidR="00CE6A1D" w:rsidRPr="00952A5F" w14:paraId="4C48F162"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59100D59" w14:textId="6FA6E28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Bachelor</w:t>
            </w:r>
            <w:r w:rsidR="00A725F8">
              <w:rPr>
                <w:rFonts w:eastAsia="Times New Roman" w:cs="Times New Roman"/>
                <w:sz w:val="18"/>
                <w:szCs w:val="18"/>
              </w:rPr>
              <w:t>'</w:t>
            </w:r>
            <w:r w:rsidRPr="002767DD">
              <w:rPr>
                <w:rFonts w:eastAsia="Times New Roman" w:cs="Times New Roman"/>
                <w:sz w:val="18"/>
                <w:szCs w:val="18"/>
              </w:rPr>
              <w:t>s degree or higher</w:t>
            </w:r>
          </w:p>
        </w:tc>
        <w:tc>
          <w:tcPr>
            <w:tcW w:w="454" w:type="dxa"/>
            <w:tcBorders>
              <w:top w:val="nil"/>
              <w:left w:val="single" w:sz="18" w:space="0" w:color="auto"/>
              <w:bottom w:val="nil"/>
              <w:right w:val="nil"/>
            </w:tcBorders>
            <w:noWrap/>
            <w:vAlign w:val="center"/>
            <w:hideMark/>
          </w:tcPr>
          <w:p w14:paraId="57DD030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54C9C20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B25D0B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0.019</w:t>
            </w:r>
          </w:p>
        </w:tc>
        <w:tc>
          <w:tcPr>
            <w:tcW w:w="523" w:type="dxa"/>
            <w:tcBorders>
              <w:top w:val="nil"/>
              <w:left w:val="nil"/>
              <w:bottom w:val="nil"/>
              <w:right w:val="nil"/>
            </w:tcBorders>
            <w:noWrap/>
            <w:vAlign w:val="center"/>
            <w:hideMark/>
          </w:tcPr>
          <w:p w14:paraId="54C43F6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1.761</w:t>
            </w:r>
          </w:p>
        </w:tc>
        <w:tc>
          <w:tcPr>
            <w:tcW w:w="523" w:type="dxa"/>
            <w:tcBorders>
              <w:top w:val="nil"/>
              <w:left w:val="nil"/>
              <w:bottom w:val="nil"/>
              <w:right w:val="nil"/>
            </w:tcBorders>
            <w:noWrap/>
            <w:vAlign w:val="center"/>
            <w:hideMark/>
          </w:tcPr>
          <w:p w14:paraId="07C19DE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0.086</w:t>
            </w:r>
          </w:p>
        </w:tc>
        <w:tc>
          <w:tcPr>
            <w:tcW w:w="677" w:type="dxa"/>
            <w:tcBorders>
              <w:top w:val="nil"/>
              <w:left w:val="nil"/>
              <w:bottom w:val="nil"/>
              <w:right w:val="single" w:sz="18" w:space="0" w:color="auto"/>
            </w:tcBorders>
            <w:noWrap/>
            <w:vAlign w:val="center"/>
            <w:hideMark/>
          </w:tcPr>
          <w:p w14:paraId="29D44D76" w14:textId="396D29CA"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1.665</w:t>
            </w:r>
          </w:p>
        </w:tc>
        <w:tc>
          <w:tcPr>
            <w:tcW w:w="540" w:type="dxa"/>
            <w:tcBorders>
              <w:top w:val="nil"/>
              <w:left w:val="single" w:sz="18" w:space="0" w:color="auto"/>
              <w:bottom w:val="nil"/>
              <w:right w:val="nil"/>
            </w:tcBorders>
            <w:noWrap/>
            <w:vAlign w:val="center"/>
            <w:hideMark/>
          </w:tcPr>
          <w:p w14:paraId="50AC82D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0523EC7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4E343959" w14:textId="6692621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0.022</w:t>
            </w:r>
          </w:p>
        </w:tc>
        <w:tc>
          <w:tcPr>
            <w:tcW w:w="523" w:type="dxa"/>
            <w:tcBorders>
              <w:top w:val="nil"/>
              <w:left w:val="nil"/>
              <w:bottom w:val="nil"/>
              <w:right w:val="nil"/>
            </w:tcBorders>
            <w:noWrap/>
            <w:vAlign w:val="bottom"/>
            <w:hideMark/>
          </w:tcPr>
          <w:p w14:paraId="4488DF2D" w14:textId="18CA0F2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1.889</w:t>
            </w:r>
          </w:p>
        </w:tc>
        <w:tc>
          <w:tcPr>
            <w:tcW w:w="523" w:type="dxa"/>
            <w:tcBorders>
              <w:top w:val="nil"/>
              <w:left w:val="nil"/>
              <w:bottom w:val="nil"/>
              <w:right w:val="nil"/>
            </w:tcBorders>
            <w:noWrap/>
            <w:vAlign w:val="bottom"/>
            <w:hideMark/>
          </w:tcPr>
          <w:p w14:paraId="51E6A500" w14:textId="1AB5371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0.086</w:t>
            </w:r>
          </w:p>
        </w:tc>
        <w:tc>
          <w:tcPr>
            <w:tcW w:w="654" w:type="dxa"/>
            <w:tcBorders>
              <w:top w:val="nil"/>
              <w:left w:val="nil"/>
              <w:bottom w:val="nil"/>
              <w:right w:val="single" w:sz="18" w:space="0" w:color="auto"/>
            </w:tcBorders>
            <w:noWrap/>
            <w:vAlign w:val="bottom"/>
            <w:hideMark/>
          </w:tcPr>
          <w:p w14:paraId="1854E12C" w14:textId="350F765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1.501</w:t>
            </w:r>
          </w:p>
        </w:tc>
        <w:tc>
          <w:tcPr>
            <w:tcW w:w="594" w:type="dxa"/>
            <w:tcBorders>
              <w:top w:val="nil"/>
              <w:left w:val="single" w:sz="18" w:space="0" w:color="auto"/>
              <w:bottom w:val="nil"/>
              <w:right w:val="nil"/>
            </w:tcBorders>
            <w:noWrap/>
            <w:vAlign w:val="center"/>
            <w:hideMark/>
          </w:tcPr>
          <w:p w14:paraId="0B4F053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7188CE1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857863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0.040</w:t>
            </w:r>
          </w:p>
        </w:tc>
        <w:tc>
          <w:tcPr>
            <w:tcW w:w="523" w:type="dxa"/>
            <w:gridSpan w:val="2"/>
            <w:tcBorders>
              <w:top w:val="nil"/>
              <w:left w:val="nil"/>
              <w:bottom w:val="nil"/>
              <w:right w:val="nil"/>
            </w:tcBorders>
            <w:noWrap/>
            <w:vAlign w:val="center"/>
            <w:hideMark/>
          </w:tcPr>
          <w:p w14:paraId="40C51D5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1.788</w:t>
            </w:r>
          </w:p>
        </w:tc>
        <w:tc>
          <w:tcPr>
            <w:tcW w:w="523" w:type="dxa"/>
            <w:tcBorders>
              <w:top w:val="nil"/>
              <w:left w:val="nil"/>
              <w:bottom w:val="nil"/>
              <w:right w:val="nil"/>
            </w:tcBorders>
            <w:noWrap/>
            <w:vAlign w:val="center"/>
            <w:hideMark/>
          </w:tcPr>
          <w:p w14:paraId="650343E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0.036</w:t>
            </w:r>
          </w:p>
        </w:tc>
        <w:tc>
          <w:tcPr>
            <w:tcW w:w="553" w:type="dxa"/>
            <w:gridSpan w:val="3"/>
            <w:tcBorders>
              <w:top w:val="nil"/>
              <w:left w:val="nil"/>
              <w:bottom w:val="nil"/>
              <w:right w:val="single" w:sz="18" w:space="0" w:color="auto"/>
            </w:tcBorders>
            <w:noWrap/>
            <w:vAlign w:val="center"/>
            <w:hideMark/>
          </w:tcPr>
          <w:p w14:paraId="4951090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0.347</w:t>
            </w:r>
          </w:p>
        </w:tc>
        <w:tc>
          <w:tcPr>
            <w:tcW w:w="523" w:type="dxa"/>
            <w:tcBorders>
              <w:top w:val="nil"/>
              <w:left w:val="single" w:sz="18" w:space="0" w:color="auto"/>
              <w:bottom w:val="nil"/>
              <w:right w:val="nil"/>
            </w:tcBorders>
            <w:noWrap/>
            <w:vAlign w:val="center"/>
            <w:hideMark/>
          </w:tcPr>
          <w:p w14:paraId="44D5158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3DA7EC2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6E1A9324" w14:textId="2D3B297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0.046</w:t>
            </w:r>
          </w:p>
        </w:tc>
        <w:tc>
          <w:tcPr>
            <w:tcW w:w="523" w:type="dxa"/>
            <w:gridSpan w:val="2"/>
            <w:tcBorders>
              <w:top w:val="nil"/>
              <w:left w:val="nil"/>
              <w:bottom w:val="nil"/>
              <w:right w:val="nil"/>
            </w:tcBorders>
            <w:noWrap/>
            <w:vAlign w:val="bottom"/>
            <w:hideMark/>
          </w:tcPr>
          <w:p w14:paraId="0C8BAE2A" w14:textId="51B38A5C"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1.838</w:t>
            </w:r>
          </w:p>
        </w:tc>
        <w:tc>
          <w:tcPr>
            <w:tcW w:w="523" w:type="dxa"/>
            <w:tcBorders>
              <w:top w:val="nil"/>
              <w:left w:val="nil"/>
              <w:bottom w:val="nil"/>
              <w:right w:val="nil"/>
            </w:tcBorders>
            <w:noWrap/>
            <w:vAlign w:val="bottom"/>
            <w:hideMark/>
          </w:tcPr>
          <w:p w14:paraId="65A52BE4" w14:textId="6FCFBF1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0.144</w:t>
            </w:r>
          </w:p>
        </w:tc>
        <w:tc>
          <w:tcPr>
            <w:tcW w:w="618" w:type="dxa"/>
            <w:gridSpan w:val="2"/>
            <w:tcBorders>
              <w:top w:val="nil"/>
              <w:left w:val="nil"/>
              <w:bottom w:val="nil"/>
              <w:right w:val="single" w:sz="18" w:space="0" w:color="auto"/>
            </w:tcBorders>
            <w:noWrap/>
            <w:vAlign w:val="bottom"/>
            <w:hideMark/>
          </w:tcPr>
          <w:p w14:paraId="0C91B13C" w14:textId="0FE3B79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1.207</w:t>
            </w:r>
          </w:p>
        </w:tc>
      </w:tr>
      <w:tr w:rsidR="00CE6A1D" w:rsidRPr="00952A5F" w14:paraId="106E2AB7"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5612B59"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Race (White)</w:t>
            </w:r>
          </w:p>
        </w:tc>
        <w:tc>
          <w:tcPr>
            <w:tcW w:w="454" w:type="dxa"/>
            <w:tcBorders>
              <w:top w:val="nil"/>
              <w:left w:val="single" w:sz="18" w:space="0" w:color="auto"/>
              <w:bottom w:val="nil"/>
              <w:right w:val="nil"/>
            </w:tcBorders>
            <w:noWrap/>
            <w:vAlign w:val="center"/>
            <w:hideMark/>
          </w:tcPr>
          <w:p w14:paraId="1BC8BAA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7EAD001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DE95C6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C89CFF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DFC8263"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7B22DE4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03B5A96E"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6B31827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5667D6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7E5833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AE730DE"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024A795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7E1E878C"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44310D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BEA69DD"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AEC280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0C9D36A"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69C06F0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16708AD5"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68AC9B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56893F8"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580176E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B3C0FCE"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A37240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46686DC4"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6D695FDB"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Nonwhite</w:t>
            </w:r>
          </w:p>
        </w:tc>
        <w:tc>
          <w:tcPr>
            <w:tcW w:w="454" w:type="dxa"/>
            <w:tcBorders>
              <w:top w:val="nil"/>
              <w:left w:val="single" w:sz="18" w:space="0" w:color="auto"/>
              <w:bottom w:val="single" w:sz="8" w:space="0" w:color="auto"/>
              <w:right w:val="nil"/>
            </w:tcBorders>
            <w:noWrap/>
            <w:vAlign w:val="center"/>
            <w:hideMark/>
          </w:tcPr>
          <w:p w14:paraId="7E8F494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8" w:space="0" w:color="auto"/>
              <w:right w:val="nil"/>
            </w:tcBorders>
            <w:noWrap/>
            <w:vAlign w:val="center"/>
            <w:hideMark/>
          </w:tcPr>
          <w:p w14:paraId="59FBC27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2A5F878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2DDF000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5F1149B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0.146</w:t>
            </w:r>
          </w:p>
        </w:tc>
        <w:tc>
          <w:tcPr>
            <w:tcW w:w="677" w:type="dxa"/>
            <w:tcBorders>
              <w:top w:val="nil"/>
              <w:left w:val="nil"/>
              <w:bottom w:val="single" w:sz="8" w:space="0" w:color="auto"/>
              <w:right w:val="single" w:sz="18" w:space="0" w:color="auto"/>
            </w:tcBorders>
            <w:noWrap/>
            <w:vAlign w:val="center"/>
            <w:hideMark/>
          </w:tcPr>
          <w:p w14:paraId="3546A3C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2.268</w:t>
            </w:r>
          </w:p>
        </w:tc>
        <w:tc>
          <w:tcPr>
            <w:tcW w:w="540" w:type="dxa"/>
            <w:tcBorders>
              <w:top w:val="nil"/>
              <w:left w:val="single" w:sz="18" w:space="0" w:color="auto"/>
              <w:bottom w:val="single" w:sz="8" w:space="0" w:color="auto"/>
              <w:right w:val="nil"/>
            </w:tcBorders>
            <w:noWrap/>
            <w:vAlign w:val="center"/>
            <w:hideMark/>
          </w:tcPr>
          <w:p w14:paraId="720644D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8" w:space="0" w:color="auto"/>
              <w:right w:val="nil"/>
            </w:tcBorders>
            <w:noWrap/>
            <w:vAlign w:val="center"/>
            <w:hideMark/>
          </w:tcPr>
          <w:p w14:paraId="758BB86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0C2D5E2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4381837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5A9E2847" w14:textId="2E07FA7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0.146</w:t>
            </w:r>
          </w:p>
        </w:tc>
        <w:tc>
          <w:tcPr>
            <w:tcW w:w="654" w:type="dxa"/>
            <w:tcBorders>
              <w:top w:val="nil"/>
              <w:left w:val="nil"/>
              <w:bottom w:val="single" w:sz="8" w:space="0" w:color="auto"/>
              <w:right w:val="single" w:sz="18" w:space="0" w:color="auto"/>
            </w:tcBorders>
            <w:noWrap/>
            <w:vAlign w:val="bottom"/>
            <w:hideMark/>
          </w:tcPr>
          <w:p w14:paraId="007C0BC8" w14:textId="031FBD4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2.282</w:t>
            </w:r>
          </w:p>
        </w:tc>
        <w:tc>
          <w:tcPr>
            <w:tcW w:w="594" w:type="dxa"/>
            <w:tcBorders>
              <w:top w:val="nil"/>
              <w:left w:val="single" w:sz="18" w:space="0" w:color="auto"/>
              <w:bottom w:val="single" w:sz="8" w:space="0" w:color="auto"/>
              <w:right w:val="nil"/>
            </w:tcBorders>
            <w:noWrap/>
            <w:vAlign w:val="center"/>
            <w:hideMark/>
          </w:tcPr>
          <w:p w14:paraId="31DC9EE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77C97E1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07F7A3E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42574E6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2A678077" w14:textId="66B46539"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0.189</w:t>
            </w:r>
          </w:p>
        </w:tc>
        <w:tc>
          <w:tcPr>
            <w:tcW w:w="553" w:type="dxa"/>
            <w:gridSpan w:val="3"/>
            <w:tcBorders>
              <w:top w:val="nil"/>
              <w:left w:val="nil"/>
              <w:bottom w:val="single" w:sz="8" w:space="0" w:color="auto"/>
              <w:right w:val="single" w:sz="18" w:space="0" w:color="auto"/>
            </w:tcBorders>
            <w:noWrap/>
            <w:vAlign w:val="center"/>
            <w:hideMark/>
          </w:tcPr>
          <w:p w14:paraId="5FB80DC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1.711</w:t>
            </w:r>
          </w:p>
        </w:tc>
        <w:tc>
          <w:tcPr>
            <w:tcW w:w="523" w:type="dxa"/>
            <w:tcBorders>
              <w:top w:val="nil"/>
              <w:left w:val="single" w:sz="18" w:space="0" w:color="auto"/>
              <w:bottom w:val="single" w:sz="8" w:space="0" w:color="auto"/>
              <w:right w:val="nil"/>
            </w:tcBorders>
            <w:noWrap/>
            <w:vAlign w:val="center"/>
            <w:hideMark/>
          </w:tcPr>
          <w:p w14:paraId="32F650A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2E80248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05071CE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7CED728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3C50B636" w14:textId="73AD532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0.229</w:t>
            </w:r>
          </w:p>
        </w:tc>
        <w:tc>
          <w:tcPr>
            <w:tcW w:w="618" w:type="dxa"/>
            <w:gridSpan w:val="2"/>
            <w:tcBorders>
              <w:top w:val="nil"/>
              <w:left w:val="nil"/>
              <w:bottom w:val="single" w:sz="8" w:space="0" w:color="auto"/>
              <w:right w:val="single" w:sz="18" w:space="0" w:color="auto"/>
            </w:tcBorders>
            <w:noWrap/>
            <w:vAlign w:val="bottom"/>
            <w:hideMark/>
          </w:tcPr>
          <w:p w14:paraId="7F6AFC92" w14:textId="5B5B59B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1.838</w:t>
            </w:r>
          </w:p>
        </w:tc>
      </w:tr>
      <w:tr w:rsidR="00CE6A1D" w:rsidRPr="00952A5F" w14:paraId="195268C1"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F47D471" w14:textId="77777777" w:rsidR="00CE6A1D" w:rsidRPr="002767DD" w:rsidRDefault="00CE6A1D" w:rsidP="00CE6A1D">
            <w:pPr>
              <w:spacing w:line="240" w:lineRule="auto"/>
              <w:ind w:left="288" w:hanging="288"/>
              <w:jc w:val="left"/>
              <w:rPr>
                <w:rFonts w:eastAsia="Times New Roman" w:cs="Times New Roman"/>
                <w:b/>
                <w:bCs/>
                <w:sz w:val="18"/>
                <w:szCs w:val="18"/>
              </w:rPr>
            </w:pPr>
            <w:r w:rsidRPr="002767DD">
              <w:rPr>
                <w:rFonts w:eastAsia="Times New Roman" w:cs="Times New Roman"/>
                <w:b/>
                <w:bCs/>
                <w:sz w:val="18"/>
                <w:szCs w:val="18"/>
              </w:rPr>
              <w:t>Household Characteristics</w:t>
            </w:r>
          </w:p>
        </w:tc>
        <w:tc>
          <w:tcPr>
            <w:tcW w:w="454" w:type="dxa"/>
            <w:tcBorders>
              <w:top w:val="nil"/>
              <w:left w:val="single" w:sz="18" w:space="0" w:color="auto"/>
              <w:bottom w:val="nil"/>
              <w:right w:val="nil"/>
            </w:tcBorders>
            <w:noWrap/>
            <w:vAlign w:val="center"/>
            <w:hideMark/>
          </w:tcPr>
          <w:p w14:paraId="71ADBD8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314CD30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B47F46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277025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AA24415"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6E1AD07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15BC4238"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724521DA"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1309B4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0C2195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153B018"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1297621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549B9A65"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07F06C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434FF2D"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02E4262"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9B565B1"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1F0B2B1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0A7FF702"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A33B44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C991776"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825DEC2"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FDFB0F6"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2394AA3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3034CDDC"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0989821E"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Income (Less than $25,000)</w:t>
            </w:r>
          </w:p>
        </w:tc>
        <w:tc>
          <w:tcPr>
            <w:tcW w:w="454" w:type="dxa"/>
            <w:tcBorders>
              <w:top w:val="nil"/>
              <w:left w:val="single" w:sz="18" w:space="0" w:color="auto"/>
              <w:bottom w:val="nil"/>
              <w:right w:val="nil"/>
            </w:tcBorders>
            <w:noWrap/>
            <w:vAlign w:val="center"/>
            <w:hideMark/>
          </w:tcPr>
          <w:p w14:paraId="7B516FB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7E38CAB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3C6216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2FC528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4F78E70"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82046C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59478C24"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28D8311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8E054C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1209E0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B5B1635"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706FDAC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0E28D0F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EE4A6D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4E222AF"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259687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B0995B8"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59C16A5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6C188149"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0324C1E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42ED86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04302D4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745C912"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B3F8DE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46F48792"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74CA4810"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$25,000 - $49,999</w:t>
            </w:r>
          </w:p>
        </w:tc>
        <w:tc>
          <w:tcPr>
            <w:tcW w:w="454" w:type="dxa"/>
            <w:tcBorders>
              <w:top w:val="nil"/>
              <w:left w:val="single" w:sz="18" w:space="0" w:color="auto"/>
              <w:bottom w:val="nil"/>
              <w:right w:val="nil"/>
            </w:tcBorders>
            <w:noWrap/>
            <w:vAlign w:val="center"/>
            <w:hideMark/>
          </w:tcPr>
          <w:p w14:paraId="0F3B712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7671531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48C81D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4D5E578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751571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-0.295</w:t>
            </w:r>
          </w:p>
        </w:tc>
        <w:tc>
          <w:tcPr>
            <w:tcW w:w="677" w:type="dxa"/>
            <w:tcBorders>
              <w:top w:val="nil"/>
              <w:left w:val="nil"/>
              <w:bottom w:val="nil"/>
              <w:right w:val="single" w:sz="18" w:space="0" w:color="auto"/>
            </w:tcBorders>
            <w:noWrap/>
            <w:vAlign w:val="center"/>
            <w:hideMark/>
          </w:tcPr>
          <w:p w14:paraId="4688221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-2.968</w:t>
            </w:r>
          </w:p>
        </w:tc>
        <w:tc>
          <w:tcPr>
            <w:tcW w:w="540" w:type="dxa"/>
            <w:tcBorders>
              <w:top w:val="nil"/>
              <w:left w:val="single" w:sz="18" w:space="0" w:color="auto"/>
              <w:bottom w:val="nil"/>
              <w:right w:val="nil"/>
            </w:tcBorders>
            <w:noWrap/>
            <w:vAlign w:val="center"/>
            <w:hideMark/>
          </w:tcPr>
          <w:p w14:paraId="6F91BB4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44CA7F9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78D93C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7D6C186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36F12E11" w14:textId="5A8D463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-0.291</w:t>
            </w:r>
          </w:p>
        </w:tc>
        <w:tc>
          <w:tcPr>
            <w:tcW w:w="654" w:type="dxa"/>
            <w:tcBorders>
              <w:top w:val="nil"/>
              <w:left w:val="nil"/>
              <w:bottom w:val="nil"/>
              <w:right w:val="single" w:sz="18" w:space="0" w:color="auto"/>
            </w:tcBorders>
            <w:noWrap/>
            <w:vAlign w:val="bottom"/>
            <w:hideMark/>
          </w:tcPr>
          <w:p w14:paraId="5D810563" w14:textId="78CAFD5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-2.951</w:t>
            </w:r>
          </w:p>
        </w:tc>
        <w:tc>
          <w:tcPr>
            <w:tcW w:w="594" w:type="dxa"/>
            <w:tcBorders>
              <w:top w:val="nil"/>
              <w:left w:val="single" w:sz="18" w:space="0" w:color="auto"/>
              <w:bottom w:val="nil"/>
              <w:right w:val="nil"/>
            </w:tcBorders>
            <w:noWrap/>
            <w:vAlign w:val="center"/>
            <w:hideMark/>
          </w:tcPr>
          <w:p w14:paraId="39B87E2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75CD950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ADB4A7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79C3B8A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490A6C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-0.773</w:t>
            </w:r>
          </w:p>
        </w:tc>
        <w:tc>
          <w:tcPr>
            <w:tcW w:w="553" w:type="dxa"/>
            <w:gridSpan w:val="3"/>
            <w:tcBorders>
              <w:top w:val="nil"/>
              <w:left w:val="nil"/>
              <w:bottom w:val="nil"/>
              <w:right w:val="single" w:sz="18" w:space="0" w:color="auto"/>
            </w:tcBorders>
            <w:noWrap/>
            <w:vAlign w:val="center"/>
            <w:hideMark/>
          </w:tcPr>
          <w:p w14:paraId="1C5B09B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-2.429</w:t>
            </w:r>
          </w:p>
        </w:tc>
        <w:tc>
          <w:tcPr>
            <w:tcW w:w="523" w:type="dxa"/>
            <w:tcBorders>
              <w:top w:val="nil"/>
              <w:left w:val="single" w:sz="18" w:space="0" w:color="auto"/>
              <w:bottom w:val="nil"/>
              <w:right w:val="nil"/>
            </w:tcBorders>
            <w:noWrap/>
            <w:vAlign w:val="center"/>
            <w:hideMark/>
          </w:tcPr>
          <w:p w14:paraId="6B90A11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268214D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765D88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49300F1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53BF44E9" w14:textId="1E672677"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-0.453</w:t>
            </w:r>
          </w:p>
        </w:tc>
        <w:tc>
          <w:tcPr>
            <w:tcW w:w="618" w:type="dxa"/>
            <w:gridSpan w:val="2"/>
            <w:tcBorders>
              <w:top w:val="nil"/>
              <w:left w:val="nil"/>
              <w:bottom w:val="nil"/>
              <w:right w:val="single" w:sz="18" w:space="0" w:color="auto"/>
            </w:tcBorders>
            <w:noWrap/>
            <w:vAlign w:val="bottom"/>
            <w:hideMark/>
          </w:tcPr>
          <w:p w14:paraId="6BC385E5" w14:textId="763B6DE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-2.373</w:t>
            </w:r>
          </w:p>
        </w:tc>
      </w:tr>
      <w:tr w:rsidR="00CE6A1D" w:rsidRPr="00952A5F" w14:paraId="756EED58"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E01BCBD"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$50,000 - $99,999</w:t>
            </w:r>
          </w:p>
        </w:tc>
        <w:tc>
          <w:tcPr>
            <w:tcW w:w="454" w:type="dxa"/>
            <w:tcBorders>
              <w:top w:val="nil"/>
              <w:left w:val="single" w:sz="18" w:space="0" w:color="auto"/>
              <w:bottom w:val="nil"/>
              <w:right w:val="nil"/>
            </w:tcBorders>
            <w:noWrap/>
            <w:vAlign w:val="center"/>
            <w:hideMark/>
          </w:tcPr>
          <w:p w14:paraId="13B26A3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3EA090E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0E2A84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025DBF6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1837FB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-0.454</w:t>
            </w:r>
          </w:p>
        </w:tc>
        <w:tc>
          <w:tcPr>
            <w:tcW w:w="677" w:type="dxa"/>
            <w:tcBorders>
              <w:top w:val="nil"/>
              <w:left w:val="nil"/>
              <w:bottom w:val="nil"/>
              <w:right w:val="single" w:sz="18" w:space="0" w:color="auto"/>
            </w:tcBorders>
            <w:noWrap/>
            <w:vAlign w:val="center"/>
            <w:hideMark/>
          </w:tcPr>
          <w:p w14:paraId="0CC7986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-4.893</w:t>
            </w:r>
          </w:p>
        </w:tc>
        <w:tc>
          <w:tcPr>
            <w:tcW w:w="540" w:type="dxa"/>
            <w:tcBorders>
              <w:top w:val="nil"/>
              <w:left w:val="single" w:sz="18" w:space="0" w:color="auto"/>
              <w:bottom w:val="nil"/>
              <w:right w:val="nil"/>
            </w:tcBorders>
            <w:noWrap/>
            <w:vAlign w:val="center"/>
            <w:hideMark/>
          </w:tcPr>
          <w:p w14:paraId="602D863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4D8403E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C9615F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04D5CAA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18CB1573" w14:textId="60F5475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-0.452</w:t>
            </w:r>
          </w:p>
        </w:tc>
        <w:tc>
          <w:tcPr>
            <w:tcW w:w="654" w:type="dxa"/>
            <w:tcBorders>
              <w:top w:val="nil"/>
              <w:left w:val="nil"/>
              <w:bottom w:val="nil"/>
              <w:right w:val="single" w:sz="18" w:space="0" w:color="auto"/>
            </w:tcBorders>
            <w:noWrap/>
            <w:vAlign w:val="bottom"/>
            <w:hideMark/>
          </w:tcPr>
          <w:p w14:paraId="42028E88" w14:textId="3CBE7C1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-4.899</w:t>
            </w:r>
          </w:p>
        </w:tc>
        <w:tc>
          <w:tcPr>
            <w:tcW w:w="594" w:type="dxa"/>
            <w:tcBorders>
              <w:top w:val="nil"/>
              <w:left w:val="single" w:sz="18" w:space="0" w:color="auto"/>
              <w:bottom w:val="nil"/>
              <w:right w:val="nil"/>
            </w:tcBorders>
            <w:noWrap/>
            <w:vAlign w:val="center"/>
            <w:hideMark/>
          </w:tcPr>
          <w:p w14:paraId="7722C24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0B83496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6A4A05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34A8A10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4360E1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-0.854</w:t>
            </w:r>
          </w:p>
        </w:tc>
        <w:tc>
          <w:tcPr>
            <w:tcW w:w="553" w:type="dxa"/>
            <w:gridSpan w:val="3"/>
            <w:tcBorders>
              <w:top w:val="nil"/>
              <w:left w:val="nil"/>
              <w:bottom w:val="nil"/>
              <w:right w:val="single" w:sz="18" w:space="0" w:color="auto"/>
            </w:tcBorders>
            <w:noWrap/>
            <w:vAlign w:val="center"/>
            <w:hideMark/>
          </w:tcPr>
          <w:p w14:paraId="68C84B7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-3.487</w:t>
            </w:r>
          </w:p>
        </w:tc>
        <w:tc>
          <w:tcPr>
            <w:tcW w:w="523" w:type="dxa"/>
            <w:tcBorders>
              <w:top w:val="nil"/>
              <w:left w:val="single" w:sz="18" w:space="0" w:color="auto"/>
              <w:bottom w:val="nil"/>
              <w:right w:val="nil"/>
            </w:tcBorders>
            <w:noWrap/>
            <w:vAlign w:val="center"/>
            <w:hideMark/>
          </w:tcPr>
          <w:p w14:paraId="6703373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016B35C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8FA7DC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0CB8833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1D8E388C" w14:textId="72AB73F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-0.701</w:t>
            </w:r>
          </w:p>
        </w:tc>
        <w:tc>
          <w:tcPr>
            <w:tcW w:w="618" w:type="dxa"/>
            <w:gridSpan w:val="2"/>
            <w:tcBorders>
              <w:top w:val="nil"/>
              <w:left w:val="nil"/>
              <w:bottom w:val="nil"/>
              <w:right w:val="single" w:sz="18" w:space="0" w:color="auto"/>
            </w:tcBorders>
            <w:noWrap/>
            <w:vAlign w:val="bottom"/>
            <w:hideMark/>
          </w:tcPr>
          <w:p w14:paraId="741C1C19" w14:textId="368DB7D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-2.388</w:t>
            </w:r>
          </w:p>
        </w:tc>
      </w:tr>
      <w:tr w:rsidR="00CE6A1D" w:rsidRPr="00952A5F" w14:paraId="5552A3D5"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3B942DBF"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$100,000 or more</w:t>
            </w:r>
          </w:p>
        </w:tc>
        <w:tc>
          <w:tcPr>
            <w:tcW w:w="454" w:type="dxa"/>
            <w:tcBorders>
              <w:top w:val="nil"/>
              <w:left w:val="single" w:sz="18" w:space="0" w:color="auto"/>
              <w:bottom w:val="nil"/>
              <w:right w:val="nil"/>
            </w:tcBorders>
            <w:noWrap/>
            <w:vAlign w:val="center"/>
            <w:hideMark/>
          </w:tcPr>
          <w:p w14:paraId="3EABDE1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6272F84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FACC92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0.022</w:t>
            </w:r>
          </w:p>
        </w:tc>
        <w:tc>
          <w:tcPr>
            <w:tcW w:w="523" w:type="dxa"/>
            <w:tcBorders>
              <w:top w:val="nil"/>
              <w:left w:val="nil"/>
              <w:bottom w:val="nil"/>
              <w:right w:val="nil"/>
            </w:tcBorders>
            <w:noWrap/>
            <w:vAlign w:val="center"/>
            <w:hideMark/>
          </w:tcPr>
          <w:p w14:paraId="52AD26C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1.657</w:t>
            </w:r>
          </w:p>
        </w:tc>
        <w:tc>
          <w:tcPr>
            <w:tcW w:w="523" w:type="dxa"/>
            <w:tcBorders>
              <w:top w:val="nil"/>
              <w:left w:val="nil"/>
              <w:bottom w:val="nil"/>
              <w:right w:val="nil"/>
            </w:tcBorders>
            <w:noWrap/>
            <w:vAlign w:val="center"/>
            <w:hideMark/>
          </w:tcPr>
          <w:p w14:paraId="57B5328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-0.428</w:t>
            </w:r>
          </w:p>
        </w:tc>
        <w:tc>
          <w:tcPr>
            <w:tcW w:w="677" w:type="dxa"/>
            <w:tcBorders>
              <w:top w:val="nil"/>
              <w:left w:val="nil"/>
              <w:bottom w:val="nil"/>
              <w:right w:val="single" w:sz="18" w:space="0" w:color="auto"/>
            </w:tcBorders>
            <w:noWrap/>
            <w:vAlign w:val="center"/>
            <w:hideMark/>
          </w:tcPr>
          <w:p w14:paraId="5D5F37A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-5.370</w:t>
            </w:r>
          </w:p>
        </w:tc>
        <w:tc>
          <w:tcPr>
            <w:tcW w:w="540" w:type="dxa"/>
            <w:tcBorders>
              <w:top w:val="nil"/>
              <w:left w:val="single" w:sz="18" w:space="0" w:color="auto"/>
              <w:bottom w:val="nil"/>
              <w:right w:val="nil"/>
            </w:tcBorders>
            <w:noWrap/>
            <w:vAlign w:val="center"/>
            <w:hideMark/>
          </w:tcPr>
          <w:p w14:paraId="28E71C1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452DAC6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043C6DB3" w14:textId="75D32BA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0.026</w:t>
            </w:r>
          </w:p>
        </w:tc>
        <w:tc>
          <w:tcPr>
            <w:tcW w:w="523" w:type="dxa"/>
            <w:tcBorders>
              <w:top w:val="nil"/>
              <w:left w:val="nil"/>
              <w:bottom w:val="nil"/>
              <w:right w:val="nil"/>
            </w:tcBorders>
            <w:noWrap/>
            <w:vAlign w:val="bottom"/>
            <w:hideMark/>
          </w:tcPr>
          <w:p w14:paraId="1D4923ED" w14:textId="413E1FA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1.781</w:t>
            </w:r>
          </w:p>
        </w:tc>
        <w:tc>
          <w:tcPr>
            <w:tcW w:w="523" w:type="dxa"/>
            <w:tcBorders>
              <w:top w:val="nil"/>
              <w:left w:val="nil"/>
              <w:bottom w:val="nil"/>
              <w:right w:val="nil"/>
            </w:tcBorders>
            <w:noWrap/>
            <w:vAlign w:val="bottom"/>
            <w:hideMark/>
          </w:tcPr>
          <w:p w14:paraId="19F401E8" w14:textId="0751F54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-0.521</w:t>
            </w:r>
          </w:p>
        </w:tc>
        <w:tc>
          <w:tcPr>
            <w:tcW w:w="654" w:type="dxa"/>
            <w:tcBorders>
              <w:top w:val="nil"/>
              <w:left w:val="nil"/>
              <w:bottom w:val="nil"/>
              <w:right w:val="single" w:sz="18" w:space="0" w:color="auto"/>
            </w:tcBorders>
            <w:noWrap/>
            <w:vAlign w:val="bottom"/>
            <w:hideMark/>
          </w:tcPr>
          <w:p w14:paraId="40F9EDB5" w14:textId="6E3C99C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-5.315</w:t>
            </w:r>
          </w:p>
        </w:tc>
        <w:tc>
          <w:tcPr>
            <w:tcW w:w="594" w:type="dxa"/>
            <w:tcBorders>
              <w:top w:val="nil"/>
              <w:left w:val="single" w:sz="18" w:space="0" w:color="auto"/>
              <w:bottom w:val="nil"/>
              <w:right w:val="nil"/>
            </w:tcBorders>
            <w:noWrap/>
            <w:vAlign w:val="center"/>
            <w:hideMark/>
          </w:tcPr>
          <w:p w14:paraId="4F211D1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446590C9"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77046E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0.053</w:t>
            </w:r>
          </w:p>
        </w:tc>
        <w:tc>
          <w:tcPr>
            <w:tcW w:w="523" w:type="dxa"/>
            <w:gridSpan w:val="2"/>
            <w:tcBorders>
              <w:top w:val="nil"/>
              <w:left w:val="nil"/>
              <w:bottom w:val="nil"/>
              <w:right w:val="nil"/>
            </w:tcBorders>
            <w:noWrap/>
            <w:vAlign w:val="center"/>
            <w:hideMark/>
          </w:tcPr>
          <w:p w14:paraId="795D34F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1.838</w:t>
            </w:r>
          </w:p>
        </w:tc>
        <w:tc>
          <w:tcPr>
            <w:tcW w:w="523" w:type="dxa"/>
            <w:tcBorders>
              <w:top w:val="nil"/>
              <w:left w:val="nil"/>
              <w:bottom w:val="nil"/>
              <w:right w:val="nil"/>
            </w:tcBorders>
            <w:noWrap/>
            <w:vAlign w:val="center"/>
            <w:hideMark/>
          </w:tcPr>
          <w:p w14:paraId="07C56C7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-0.808</w:t>
            </w:r>
          </w:p>
        </w:tc>
        <w:tc>
          <w:tcPr>
            <w:tcW w:w="553" w:type="dxa"/>
            <w:gridSpan w:val="3"/>
            <w:tcBorders>
              <w:top w:val="nil"/>
              <w:left w:val="nil"/>
              <w:bottom w:val="nil"/>
              <w:right w:val="single" w:sz="18" w:space="0" w:color="auto"/>
            </w:tcBorders>
            <w:noWrap/>
            <w:vAlign w:val="center"/>
            <w:hideMark/>
          </w:tcPr>
          <w:p w14:paraId="3BDE62B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-3.395</w:t>
            </w:r>
          </w:p>
        </w:tc>
        <w:tc>
          <w:tcPr>
            <w:tcW w:w="523" w:type="dxa"/>
            <w:tcBorders>
              <w:top w:val="nil"/>
              <w:left w:val="single" w:sz="18" w:space="0" w:color="auto"/>
              <w:bottom w:val="nil"/>
              <w:right w:val="nil"/>
            </w:tcBorders>
            <w:noWrap/>
            <w:vAlign w:val="center"/>
            <w:hideMark/>
          </w:tcPr>
          <w:p w14:paraId="5D7D4E9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nil"/>
              <w:right w:val="nil"/>
            </w:tcBorders>
            <w:noWrap/>
            <w:vAlign w:val="center"/>
            <w:hideMark/>
          </w:tcPr>
          <w:p w14:paraId="2B3C970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bottom"/>
            <w:hideMark/>
          </w:tcPr>
          <w:p w14:paraId="4E79B1EB" w14:textId="25E495C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0.055</w:t>
            </w:r>
          </w:p>
        </w:tc>
        <w:tc>
          <w:tcPr>
            <w:tcW w:w="523" w:type="dxa"/>
            <w:gridSpan w:val="2"/>
            <w:tcBorders>
              <w:top w:val="nil"/>
              <w:left w:val="nil"/>
              <w:bottom w:val="nil"/>
              <w:right w:val="nil"/>
            </w:tcBorders>
            <w:noWrap/>
            <w:vAlign w:val="bottom"/>
            <w:hideMark/>
          </w:tcPr>
          <w:p w14:paraId="2DAB52D3" w14:textId="4D53B4F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1.847</w:t>
            </w:r>
          </w:p>
        </w:tc>
        <w:tc>
          <w:tcPr>
            <w:tcW w:w="523" w:type="dxa"/>
            <w:tcBorders>
              <w:top w:val="nil"/>
              <w:left w:val="nil"/>
              <w:bottom w:val="nil"/>
              <w:right w:val="nil"/>
            </w:tcBorders>
            <w:noWrap/>
            <w:vAlign w:val="bottom"/>
            <w:hideMark/>
          </w:tcPr>
          <w:p w14:paraId="209522F3" w14:textId="1F5212E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-0.847</w:t>
            </w:r>
          </w:p>
        </w:tc>
        <w:tc>
          <w:tcPr>
            <w:tcW w:w="618" w:type="dxa"/>
            <w:gridSpan w:val="2"/>
            <w:tcBorders>
              <w:top w:val="nil"/>
              <w:left w:val="nil"/>
              <w:bottom w:val="nil"/>
              <w:right w:val="single" w:sz="18" w:space="0" w:color="auto"/>
            </w:tcBorders>
            <w:noWrap/>
            <w:vAlign w:val="bottom"/>
            <w:hideMark/>
          </w:tcPr>
          <w:p w14:paraId="146A83E5" w14:textId="2AAB804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-3.391</w:t>
            </w:r>
          </w:p>
        </w:tc>
      </w:tr>
      <w:tr w:rsidR="00CE6A1D" w:rsidRPr="00952A5F" w14:paraId="53B07CD0"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5E6412B2"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Presence of Children (No)</w:t>
            </w:r>
          </w:p>
        </w:tc>
        <w:tc>
          <w:tcPr>
            <w:tcW w:w="454" w:type="dxa"/>
            <w:tcBorders>
              <w:top w:val="nil"/>
              <w:left w:val="single" w:sz="18" w:space="0" w:color="auto"/>
              <w:bottom w:val="nil"/>
              <w:right w:val="nil"/>
            </w:tcBorders>
            <w:noWrap/>
            <w:vAlign w:val="center"/>
            <w:hideMark/>
          </w:tcPr>
          <w:p w14:paraId="402E1B3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43D7040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AC2E58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1EC231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B0BFCC8"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5ED580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7D57CAED"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2C10EEFE"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0AD5AB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57E138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0BFA484"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13173592" w14:textId="106520A0"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c>
          <w:tcPr>
            <w:tcW w:w="594" w:type="dxa"/>
            <w:tcBorders>
              <w:top w:val="nil"/>
              <w:left w:val="single" w:sz="18" w:space="0" w:color="auto"/>
              <w:bottom w:val="nil"/>
              <w:right w:val="nil"/>
            </w:tcBorders>
            <w:noWrap/>
            <w:vAlign w:val="center"/>
            <w:hideMark/>
          </w:tcPr>
          <w:p w14:paraId="7C6EDECD"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44666A97"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813F01C"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FEF2011"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3ADE100"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309D990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2903E407"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54FB58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DF33BAE"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67455AED"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ABE1255"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18D237B9" w14:textId="12A1652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r>
      <w:tr w:rsidR="00CE6A1D" w:rsidRPr="00952A5F" w14:paraId="4871FCC3"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34B111C7"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 xml:space="preserve">    Yes</w:t>
            </w:r>
          </w:p>
        </w:tc>
        <w:tc>
          <w:tcPr>
            <w:tcW w:w="454" w:type="dxa"/>
            <w:tcBorders>
              <w:top w:val="nil"/>
              <w:left w:val="single" w:sz="18" w:space="0" w:color="auto"/>
              <w:bottom w:val="single" w:sz="8" w:space="0" w:color="auto"/>
              <w:right w:val="nil"/>
            </w:tcBorders>
            <w:noWrap/>
            <w:vAlign w:val="center"/>
            <w:hideMark/>
          </w:tcPr>
          <w:p w14:paraId="0803CD7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8" w:space="0" w:color="auto"/>
              <w:right w:val="nil"/>
            </w:tcBorders>
            <w:noWrap/>
            <w:vAlign w:val="center"/>
            <w:hideMark/>
          </w:tcPr>
          <w:p w14:paraId="14ED533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6F9D9BA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0C6829A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131203E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-0.051</w:t>
            </w:r>
          </w:p>
        </w:tc>
        <w:tc>
          <w:tcPr>
            <w:tcW w:w="677" w:type="dxa"/>
            <w:tcBorders>
              <w:top w:val="nil"/>
              <w:left w:val="nil"/>
              <w:bottom w:val="single" w:sz="8" w:space="0" w:color="auto"/>
              <w:right w:val="single" w:sz="18" w:space="0" w:color="auto"/>
            </w:tcBorders>
            <w:noWrap/>
            <w:vAlign w:val="center"/>
            <w:hideMark/>
          </w:tcPr>
          <w:p w14:paraId="352C2C1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-0.785</w:t>
            </w:r>
          </w:p>
        </w:tc>
        <w:tc>
          <w:tcPr>
            <w:tcW w:w="540" w:type="dxa"/>
            <w:tcBorders>
              <w:top w:val="nil"/>
              <w:left w:val="single" w:sz="18" w:space="0" w:color="auto"/>
              <w:bottom w:val="single" w:sz="8" w:space="0" w:color="auto"/>
              <w:right w:val="nil"/>
            </w:tcBorders>
            <w:noWrap/>
            <w:vAlign w:val="center"/>
            <w:hideMark/>
          </w:tcPr>
          <w:p w14:paraId="7AA3C47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8" w:space="0" w:color="auto"/>
              <w:right w:val="nil"/>
            </w:tcBorders>
            <w:noWrap/>
            <w:vAlign w:val="center"/>
            <w:hideMark/>
          </w:tcPr>
          <w:p w14:paraId="77B51B3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79E0FA5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46F0F03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243B42C5" w14:textId="54B1760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-0.050</w:t>
            </w:r>
          </w:p>
        </w:tc>
        <w:tc>
          <w:tcPr>
            <w:tcW w:w="654" w:type="dxa"/>
            <w:tcBorders>
              <w:top w:val="nil"/>
              <w:left w:val="nil"/>
              <w:bottom w:val="single" w:sz="8" w:space="0" w:color="auto"/>
              <w:right w:val="single" w:sz="18" w:space="0" w:color="auto"/>
            </w:tcBorders>
            <w:noWrap/>
            <w:vAlign w:val="bottom"/>
            <w:hideMark/>
          </w:tcPr>
          <w:p w14:paraId="107D5789" w14:textId="37090E7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-0.765</w:t>
            </w:r>
          </w:p>
        </w:tc>
        <w:tc>
          <w:tcPr>
            <w:tcW w:w="594" w:type="dxa"/>
            <w:tcBorders>
              <w:top w:val="nil"/>
              <w:left w:val="single" w:sz="18" w:space="0" w:color="auto"/>
              <w:bottom w:val="single" w:sz="8" w:space="0" w:color="auto"/>
              <w:right w:val="nil"/>
            </w:tcBorders>
            <w:noWrap/>
            <w:vAlign w:val="center"/>
            <w:hideMark/>
          </w:tcPr>
          <w:p w14:paraId="3393DFB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4AF9304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54BD659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00EE1C6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49C391A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-0.192</w:t>
            </w:r>
          </w:p>
        </w:tc>
        <w:tc>
          <w:tcPr>
            <w:tcW w:w="553" w:type="dxa"/>
            <w:gridSpan w:val="3"/>
            <w:tcBorders>
              <w:top w:val="nil"/>
              <w:left w:val="nil"/>
              <w:bottom w:val="single" w:sz="8" w:space="0" w:color="auto"/>
              <w:right w:val="single" w:sz="18" w:space="0" w:color="auto"/>
            </w:tcBorders>
            <w:noWrap/>
            <w:vAlign w:val="center"/>
            <w:hideMark/>
          </w:tcPr>
          <w:p w14:paraId="6EB67F8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-1.868</w:t>
            </w:r>
          </w:p>
        </w:tc>
        <w:tc>
          <w:tcPr>
            <w:tcW w:w="523" w:type="dxa"/>
            <w:tcBorders>
              <w:top w:val="nil"/>
              <w:left w:val="single" w:sz="18" w:space="0" w:color="auto"/>
              <w:bottom w:val="single" w:sz="8" w:space="0" w:color="auto"/>
              <w:right w:val="nil"/>
            </w:tcBorders>
            <w:noWrap/>
            <w:vAlign w:val="center"/>
            <w:hideMark/>
          </w:tcPr>
          <w:p w14:paraId="6A47C35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5E1D1A1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1D7F0DD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2E42EC5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58727DE8" w14:textId="717C6F4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-0.191</w:t>
            </w:r>
          </w:p>
        </w:tc>
        <w:tc>
          <w:tcPr>
            <w:tcW w:w="618" w:type="dxa"/>
            <w:gridSpan w:val="2"/>
            <w:tcBorders>
              <w:top w:val="nil"/>
              <w:left w:val="nil"/>
              <w:bottom w:val="single" w:sz="8" w:space="0" w:color="auto"/>
              <w:right w:val="single" w:sz="18" w:space="0" w:color="auto"/>
            </w:tcBorders>
            <w:noWrap/>
            <w:vAlign w:val="bottom"/>
            <w:hideMark/>
          </w:tcPr>
          <w:p w14:paraId="3B550A1E" w14:textId="4DC5C94A"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-1.717</w:t>
            </w:r>
          </w:p>
        </w:tc>
      </w:tr>
      <w:tr w:rsidR="00CE6A1D" w:rsidRPr="00952A5F" w14:paraId="27B04EAB"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3F139DD0" w14:textId="2794057A" w:rsidR="00CE6A1D" w:rsidRPr="002767DD" w:rsidRDefault="0028293F" w:rsidP="00CE6A1D">
            <w:pPr>
              <w:spacing w:line="240" w:lineRule="auto"/>
              <w:ind w:left="288" w:hanging="288"/>
              <w:jc w:val="left"/>
              <w:rPr>
                <w:rFonts w:eastAsia="Times New Roman" w:cs="Times New Roman"/>
                <w:b/>
                <w:bCs/>
                <w:sz w:val="18"/>
                <w:szCs w:val="18"/>
              </w:rPr>
            </w:pPr>
            <w:r>
              <w:rPr>
                <w:rFonts w:eastAsia="Times New Roman" w:cs="Times New Roman"/>
                <w:b/>
                <w:bCs/>
                <w:sz w:val="18"/>
                <w:szCs w:val="18"/>
              </w:rPr>
              <w:t xml:space="preserve">Alternative </w:t>
            </w:r>
            <w:r w:rsidR="00CE6A1D" w:rsidRPr="002767DD">
              <w:rPr>
                <w:rFonts w:eastAsia="Times New Roman" w:cs="Times New Roman"/>
                <w:b/>
                <w:bCs/>
                <w:sz w:val="18"/>
                <w:szCs w:val="18"/>
              </w:rPr>
              <w:t>Constants</w:t>
            </w:r>
          </w:p>
        </w:tc>
        <w:tc>
          <w:tcPr>
            <w:tcW w:w="454" w:type="dxa"/>
            <w:tcBorders>
              <w:top w:val="nil"/>
              <w:left w:val="single" w:sz="18" w:space="0" w:color="auto"/>
              <w:bottom w:val="single" w:sz="8" w:space="0" w:color="auto"/>
              <w:right w:val="nil"/>
            </w:tcBorders>
            <w:noWrap/>
            <w:vAlign w:val="center"/>
            <w:hideMark/>
          </w:tcPr>
          <w:p w14:paraId="6E9A146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8" w:space="0" w:color="auto"/>
              <w:right w:val="nil"/>
            </w:tcBorders>
            <w:noWrap/>
            <w:vAlign w:val="center"/>
            <w:hideMark/>
          </w:tcPr>
          <w:p w14:paraId="280D4CB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2145FE2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0.008</w:t>
            </w:r>
          </w:p>
        </w:tc>
        <w:tc>
          <w:tcPr>
            <w:tcW w:w="523" w:type="dxa"/>
            <w:tcBorders>
              <w:top w:val="nil"/>
              <w:left w:val="nil"/>
              <w:bottom w:val="single" w:sz="8" w:space="0" w:color="auto"/>
              <w:right w:val="nil"/>
            </w:tcBorders>
            <w:noWrap/>
            <w:vAlign w:val="center"/>
            <w:hideMark/>
          </w:tcPr>
          <w:p w14:paraId="1533CB9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0.628</w:t>
            </w:r>
          </w:p>
        </w:tc>
        <w:tc>
          <w:tcPr>
            <w:tcW w:w="523" w:type="dxa"/>
            <w:tcBorders>
              <w:top w:val="nil"/>
              <w:left w:val="nil"/>
              <w:bottom w:val="single" w:sz="8" w:space="0" w:color="auto"/>
              <w:right w:val="nil"/>
            </w:tcBorders>
            <w:noWrap/>
            <w:vAlign w:val="center"/>
            <w:hideMark/>
          </w:tcPr>
          <w:p w14:paraId="7F15A31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-0.764</w:t>
            </w:r>
          </w:p>
        </w:tc>
        <w:tc>
          <w:tcPr>
            <w:tcW w:w="677" w:type="dxa"/>
            <w:tcBorders>
              <w:top w:val="nil"/>
              <w:left w:val="nil"/>
              <w:bottom w:val="single" w:sz="8" w:space="0" w:color="auto"/>
              <w:right w:val="single" w:sz="18" w:space="0" w:color="auto"/>
            </w:tcBorders>
            <w:noWrap/>
            <w:vAlign w:val="center"/>
            <w:hideMark/>
          </w:tcPr>
          <w:p w14:paraId="7C1E774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-8.095</w:t>
            </w:r>
          </w:p>
        </w:tc>
        <w:tc>
          <w:tcPr>
            <w:tcW w:w="540" w:type="dxa"/>
            <w:tcBorders>
              <w:top w:val="nil"/>
              <w:left w:val="single" w:sz="18" w:space="0" w:color="auto"/>
              <w:bottom w:val="single" w:sz="8" w:space="0" w:color="auto"/>
              <w:right w:val="nil"/>
            </w:tcBorders>
            <w:noWrap/>
            <w:vAlign w:val="center"/>
            <w:hideMark/>
          </w:tcPr>
          <w:p w14:paraId="37D2DB6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8" w:space="0" w:color="auto"/>
              <w:right w:val="nil"/>
            </w:tcBorders>
            <w:noWrap/>
            <w:vAlign w:val="center"/>
            <w:hideMark/>
          </w:tcPr>
          <w:p w14:paraId="2F37B49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0717EB36" w14:textId="37C7F54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0.009</w:t>
            </w:r>
          </w:p>
        </w:tc>
        <w:tc>
          <w:tcPr>
            <w:tcW w:w="523" w:type="dxa"/>
            <w:tcBorders>
              <w:top w:val="nil"/>
              <w:left w:val="nil"/>
              <w:bottom w:val="single" w:sz="8" w:space="0" w:color="auto"/>
              <w:right w:val="nil"/>
            </w:tcBorders>
            <w:noWrap/>
            <w:vAlign w:val="bottom"/>
            <w:hideMark/>
          </w:tcPr>
          <w:p w14:paraId="3BA72EBD" w14:textId="0D194CA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0.595</w:t>
            </w:r>
          </w:p>
        </w:tc>
        <w:tc>
          <w:tcPr>
            <w:tcW w:w="523" w:type="dxa"/>
            <w:tcBorders>
              <w:top w:val="nil"/>
              <w:left w:val="nil"/>
              <w:bottom w:val="single" w:sz="8" w:space="0" w:color="auto"/>
              <w:right w:val="nil"/>
            </w:tcBorders>
            <w:noWrap/>
            <w:vAlign w:val="bottom"/>
            <w:hideMark/>
          </w:tcPr>
          <w:p w14:paraId="17B8E460" w14:textId="1E9E94C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-0.755</w:t>
            </w:r>
          </w:p>
        </w:tc>
        <w:tc>
          <w:tcPr>
            <w:tcW w:w="654" w:type="dxa"/>
            <w:tcBorders>
              <w:top w:val="nil"/>
              <w:left w:val="nil"/>
              <w:bottom w:val="single" w:sz="8" w:space="0" w:color="auto"/>
              <w:right w:val="single" w:sz="18" w:space="0" w:color="auto"/>
            </w:tcBorders>
            <w:noWrap/>
            <w:vAlign w:val="bottom"/>
            <w:hideMark/>
          </w:tcPr>
          <w:p w14:paraId="2B1DF6F1" w14:textId="44BEAEF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-7.891</w:t>
            </w:r>
          </w:p>
        </w:tc>
        <w:tc>
          <w:tcPr>
            <w:tcW w:w="594" w:type="dxa"/>
            <w:tcBorders>
              <w:top w:val="nil"/>
              <w:left w:val="single" w:sz="18" w:space="0" w:color="auto"/>
              <w:bottom w:val="single" w:sz="8" w:space="0" w:color="auto"/>
              <w:right w:val="nil"/>
            </w:tcBorders>
            <w:noWrap/>
            <w:vAlign w:val="center"/>
            <w:hideMark/>
          </w:tcPr>
          <w:p w14:paraId="37973AA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3FB17D2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171BC16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-0.001</w:t>
            </w:r>
          </w:p>
        </w:tc>
        <w:tc>
          <w:tcPr>
            <w:tcW w:w="523" w:type="dxa"/>
            <w:gridSpan w:val="2"/>
            <w:tcBorders>
              <w:top w:val="nil"/>
              <w:left w:val="nil"/>
              <w:bottom w:val="single" w:sz="8" w:space="0" w:color="auto"/>
              <w:right w:val="nil"/>
            </w:tcBorders>
            <w:noWrap/>
            <w:vAlign w:val="center"/>
            <w:hideMark/>
          </w:tcPr>
          <w:p w14:paraId="1ED82E2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-0.034</w:t>
            </w:r>
          </w:p>
        </w:tc>
        <w:tc>
          <w:tcPr>
            <w:tcW w:w="523" w:type="dxa"/>
            <w:tcBorders>
              <w:top w:val="nil"/>
              <w:left w:val="nil"/>
              <w:bottom w:val="single" w:sz="8" w:space="0" w:color="auto"/>
              <w:right w:val="nil"/>
            </w:tcBorders>
            <w:noWrap/>
            <w:vAlign w:val="center"/>
            <w:hideMark/>
          </w:tcPr>
          <w:p w14:paraId="666FEA9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-0.540</w:t>
            </w:r>
          </w:p>
        </w:tc>
        <w:tc>
          <w:tcPr>
            <w:tcW w:w="553" w:type="dxa"/>
            <w:gridSpan w:val="3"/>
            <w:tcBorders>
              <w:top w:val="nil"/>
              <w:left w:val="nil"/>
              <w:bottom w:val="single" w:sz="8" w:space="0" w:color="auto"/>
              <w:right w:val="single" w:sz="18" w:space="0" w:color="auto"/>
            </w:tcBorders>
            <w:noWrap/>
            <w:vAlign w:val="center"/>
            <w:hideMark/>
          </w:tcPr>
          <w:p w14:paraId="6E8824F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-2.094</w:t>
            </w:r>
          </w:p>
        </w:tc>
        <w:tc>
          <w:tcPr>
            <w:tcW w:w="523" w:type="dxa"/>
            <w:tcBorders>
              <w:top w:val="nil"/>
              <w:left w:val="single" w:sz="18" w:space="0" w:color="auto"/>
              <w:bottom w:val="single" w:sz="8" w:space="0" w:color="auto"/>
              <w:right w:val="nil"/>
            </w:tcBorders>
            <w:noWrap/>
            <w:vAlign w:val="center"/>
            <w:hideMark/>
          </w:tcPr>
          <w:p w14:paraId="77FFA7D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gridSpan w:val="2"/>
            <w:tcBorders>
              <w:top w:val="nil"/>
              <w:left w:val="nil"/>
              <w:bottom w:val="single" w:sz="8" w:space="0" w:color="auto"/>
              <w:right w:val="nil"/>
            </w:tcBorders>
            <w:noWrap/>
            <w:vAlign w:val="center"/>
            <w:hideMark/>
          </w:tcPr>
          <w:p w14:paraId="25D7E51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667B6290" w14:textId="624C4D84"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0.016</w:t>
            </w:r>
          </w:p>
        </w:tc>
        <w:tc>
          <w:tcPr>
            <w:tcW w:w="523" w:type="dxa"/>
            <w:gridSpan w:val="2"/>
            <w:tcBorders>
              <w:top w:val="nil"/>
              <w:left w:val="nil"/>
              <w:bottom w:val="single" w:sz="8" w:space="0" w:color="auto"/>
              <w:right w:val="nil"/>
            </w:tcBorders>
            <w:noWrap/>
            <w:vAlign w:val="bottom"/>
            <w:hideMark/>
          </w:tcPr>
          <w:p w14:paraId="268120A8" w14:textId="2446BBD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0.384</w:t>
            </w:r>
          </w:p>
        </w:tc>
        <w:tc>
          <w:tcPr>
            <w:tcW w:w="523" w:type="dxa"/>
            <w:tcBorders>
              <w:top w:val="nil"/>
              <w:left w:val="nil"/>
              <w:bottom w:val="single" w:sz="8" w:space="0" w:color="auto"/>
              <w:right w:val="nil"/>
            </w:tcBorders>
            <w:noWrap/>
            <w:vAlign w:val="bottom"/>
            <w:hideMark/>
          </w:tcPr>
          <w:p w14:paraId="42CE878D" w14:textId="48A0D66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-0.671</w:t>
            </w:r>
          </w:p>
        </w:tc>
        <w:tc>
          <w:tcPr>
            <w:tcW w:w="618" w:type="dxa"/>
            <w:gridSpan w:val="2"/>
            <w:tcBorders>
              <w:top w:val="nil"/>
              <w:left w:val="nil"/>
              <w:bottom w:val="single" w:sz="8" w:space="0" w:color="auto"/>
              <w:right w:val="single" w:sz="18" w:space="0" w:color="auto"/>
            </w:tcBorders>
            <w:noWrap/>
            <w:vAlign w:val="bottom"/>
            <w:hideMark/>
          </w:tcPr>
          <w:p w14:paraId="083300BF" w14:textId="5D4D5F0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-2.728</w:t>
            </w:r>
          </w:p>
        </w:tc>
      </w:tr>
      <w:tr w:rsidR="00CE6A1D" w:rsidRPr="00952A5F" w14:paraId="085E8709"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57FA92D7" w14:textId="0484E923" w:rsidR="00CE6A1D" w:rsidRPr="002767DD" w:rsidRDefault="00CE6A1D" w:rsidP="00CE6A1D">
            <w:pPr>
              <w:spacing w:line="240" w:lineRule="auto"/>
              <w:ind w:left="288" w:hanging="288"/>
              <w:jc w:val="left"/>
              <w:rPr>
                <w:rFonts w:eastAsia="Times New Roman" w:cs="Times New Roman"/>
                <w:b/>
                <w:bCs/>
                <w:sz w:val="18"/>
                <w:szCs w:val="18"/>
              </w:rPr>
            </w:pPr>
            <w:r w:rsidRPr="002767DD">
              <w:rPr>
                <w:rFonts w:eastAsia="Times New Roman" w:cs="Times New Roman"/>
                <w:b/>
                <w:bCs/>
                <w:sz w:val="18"/>
                <w:szCs w:val="18"/>
              </w:rPr>
              <w:t>Estimated Correlation Matrices</w:t>
            </w:r>
          </w:p>
        </w:tc>
        <w:tc>
          <w:tcPr>
            <w:tcW w:w="454" w:type="dxa"/>
            <w:tcBorders>
              <w:top w:val="nil"/>
              <w:left w:val="single" w:sz="18" w:space="0" w:color="auto"/>
              <w:bottom w:val="nil"/>
              <w:right w:val="nil"/>
            </w:tcBorders>
            <w:noWrap/>
            <w:vAlign w:val="center"/>
            <w:hideMark/>
          </w:tcPr>
          <w:p w14:paraId="42E01F5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450" w:type="dxa"/>
            <w:tcBorders>
              <w:top w:val="nil"/>
              <w:left w:val="nil"/>
              <w:bottom w:val="nil"/>
              <w:right w:val="nil"/>
            </w:tcBorders>
            <w:noWrap/>
            <w:vAlign w:val="center"/>
            <w:hideMark/>
          </w:tcPr>
          <w:p w14:paraId="2B1E3EC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25AC4F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F42F07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60F58E0"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05D14ED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49CA29D4" w14:textId="77777777" w:rsidR="00CE6A1D" w:rsidRPr="002767DD" w:rsidRDefault="00CE6A1D" w:rsidP="00CE6A1D">
            <w:pPr>
              <w:spacing w:line="240" w:lineRule="auto"/>
              <w:jc w:val="right"/>
              <w:rPr>
                <w:rFonts w:eastAsia="Times New Roman" w:cs="Times New Roman"/>
                <w:sz w:val="18"/>
                <w:szCs w:val="18"/>
              </w:rPr>
            </w:pPr>
          </w:p>
        </w:tc>
        <w:tc>
          <w:tcPr>
            <w:tcW w:w="423" w:type="dxa"/>
            <w:tcBorders>
              <w:top w:val="nil"/>
              <w:left w:val="nil"/>
              <w:bottom w:val="nil"/>
              <w:right w:val="nil"/>
            </w:tcBorders>
            <w:noWrap/>
            <w:vAlign w:val="center"/>
            <w:hideMark/>
          </w:tcPr>
          <w:p w14:paraId="6BB38BCB"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206EC8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EAC9B3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7ECC1C5E"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77693E9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1B938EE9"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06DE48F4"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8A176FC"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055E59D2"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FA89094"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50BF359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5277A1B2"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5282FA3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05C5CD93"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06C3FB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23D53BFB"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466AC04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r>
      <w:tr w:rsidR="00CE6A1D" w:rsidRPr="00952A5F" w14:paraId="537B206F"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2D6F1CB1"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Regular Vehicle</w:t>
            </w:r>
          </w:p>
        </w:tc>
        <w:tc>
          <w:tcPr>
            <w:tcW w:w="454" w:type="dxa"/>
            <w:tcBorders>
              <w:top w:val="nil"/>
              <w:left w:val="single" w:sz="18" w:space="0" w:color="auto"/>
              <w:bottom w:val="nil"/>
              <w:right w:val="nil"/>
            </w:tcBorders>
            <w:noWrap/>
            <w:vAlign w:val="center"/>
            <w:hideMark/>
          </w:tcPr>
          <w:p w14:paraId="1AAC838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673E819F"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3FF97B6"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F6C10F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4FD474A7"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248C141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2CEBA60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674C1A33"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D960C50"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30634795"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BBDF5F8"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719218F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nil"/>
              <w:right w:val="nil"/>
            </w:tcBorders>
            <w:noWrap/>
            <w:vAlign w:val="center"/>
            <w:hideMark/>
          </w:tcPr>
          <w:p w14:paraId="0CD3941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1.000</w:t>
            </w:r>
          </w:p>
        </w:tc>
        <w:tc>
          <w:tcPr>
            <w:tcW w:w="523" w:type="dxa"/>
            <w:gridSpan w:val="2"/>
            <w:tcBorders>
              <w:top w:val="nil"/>
              <w:left w:val="nil"/>
              <w:bottom w:val="nil"/>
              <w:right w:val="nil"/>
            </w:tcBorders>
            <w:noWrap/>
            <w:vAlign w:val="center"/>
            <w:hideMark/>
          </w:tcPr>
          <w:p w14:paraId="2BE6102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3406660F"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748628A2"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59D1D13A"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61547A0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center"/>
            <w:hideMark/>
          </w:tcPr>
          <w:p w14:paraId="00D973B3" w14:textId="7C4402F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1.000</w:t>
            </w:r>
          </w:p>
        </w:tc>
        <w:tc>
          <w:tcPr>
            <w:tcW w:w="523" w:type="dxa"/>
            <w:gridSpan w:val="2"/>
            <w:tcBorders>
              <w:top w:val="nil"/>
              <w:left w:val="nil"/>
              <w:bottom w:val="nil"/>
              <w:right w:val="nil"/>
            </w:tcBorders>
            <w:noWrap/>
            <w:vAlign w:val="center"/>
            <w:hideMark/>
          </w:tcPr>
          <w:p w14:paraId="31384CC1" w14:textId="58335D27"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c>
          <w:tcPr>
            <w:tcW w:w="523" w:type="dxa"/>
            <w:tcBorders>
              <w:top w:val="nil"/>
              <w:left w:val="nil"/>
              <w:bottom w:val="nil"/>
              <w:right w:val="nil"/>
            </w:tcBorders>
            <w:noWrap/>
            <w:vAlign w:val="center"/>
            <w:hideMark/>
          </w:tcPr>
          <w:p w14:paraId="57E560D4" w14:textId="77777777" w:rsidR="00CE6A1D" w:rsidRPr="002767DD" w:rsidRDefault="00CE6A1D" w:rsidP="00CE6A1D">
            <w:pPr>
              <w:spacing w:line="240" w:lineRule="auto"/>
              <w:jc w:val="right"/>
              <w:rPr>
                <w:rFonts w:eastAsia="Times New Roman" w:cs="Times New Roman"/>
                <w:sz w:val="18"/>
                <w:szCs w:val="18"/>
              </w:rPr>
            </w:pPr>
          </w:p>
        </w:tc>
        <w:tc>
          <w:tcPr>
            <w:tcW w:w="523" w:type="dxa"/>
            <w:gridSpan w:val="2"/>
            <w:tcBorders>
              <w:top w:val="nil"/>
              <w:left w:val="nil"/>
              <w:bottom w:val="nil"/>
              <w:right w:val="nil"/>
            </w:tcBorders>
            <w:noWrap/>
            <w:vAlign w:val="center"/>
            <w:hideMark/>
          </w:tcPr>
          <w:p w14:paraId="15C08CC2"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6E4A148"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5C0C007A" w14:textId="458998A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r>
      <w:tr w:rsidR="00CE6A1D" w:rsidRPr="00952A5F" w14:paraId="2319E040" w14:textId="77777777" w:rsidTr="00014DCE">
        <w:trPr>
          <w:trHeight w:val="20"/>
          <w:jc w:val="center"/>
        </w:trPr>
        <w:tc>
          <w:tcPr>
            <w:tcW w:w="2227" w:type="dxa"/>
            <w:tcBorders>
              <w:top w:val="nil"/>
              <w:left w:val="single" w:sz="18" w:space="0" w:color="auto"/>
              <w:bottom w:val="nil"/>
              <w:right w:val="single" w:sz="18" w:space="0" w:color="auto"/>
            </w:tcBorders>
            <w:noWrap/>
            <w:vAlign w:val="center"/>
            <w:hideMark/>
          </w:tcPr>
          <w:p w14:paraId="3598338B" w14:textId="7777777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Autonomous Vehicle</w:t>
            </w:r>
          </w:p>
        </w:tc>
        <w:tc>
          <w:tcPr>
            <w:tcW w:w="454" w:type="dxa"/>
            <w:tcBorders>
              <w:top w:val="nil"/>
              <w:left w:val="single" w:sz="18" w:space="0" w:color="auto"/>
              <w:bottom w:val="nil"/>
              <w:right w:val="nil"/>
            </w:tcBorders>
            <w:noWrap/>
            <w:vAlign w:val="center"/>
            <w:hideMark/>
          </w:tcPr>
          <w:p w14:paraId="2AFE209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nil"/>
              <w:right w:val="nil"/>
            </w:tcBorders>
            <w:noWrap/>
            <w:vAlign w:val="center"/>
            <w:hideMark/>
          </w:tcPr>
          <w:p w14:paraId="7234B9BC"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6BC657A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1.000</w:t>
            </w:r>
          </w:p>
        </w:tc>
        <w:tc>
          <w:tcPr>
            <w:tcW w:w="523" w:type="dxa"/>
            <w:tcBorders>
              <w:top w:val="nil"/>
              <w:left w:val="nil"/>
              <w:bottom w:val="nil"/>
              <w:right w:val="nil"/>
            </w:tcBorders>
            <w:noWrap/>
            <w:vAlign w:val="center"/>
            <w:hideMark/>
          </w:tcPr>
          <w:p w14:paraId="331EAE1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3B0A6AC6" w14:textId="77777777" w:rsidR="00CE6A1D" w:rsidRPr="002767DD" w:rsidRDefault="00CE6A1D" w:rsidP="00CE6A1D">
            <w:pPr>
              <w:spacing w:line="240" w:lineRule="auto"/>
              <w:jc w:val="right"/>
              <w:rPr>
                <w:rFonts w:eastAsia="Times New Roman" w:cs="Times New Roman"/>
                <w:sz w:val="18"/>
                <w:szCs w:val="18"/>
              </w:rPr>
            </w:pPr>
          </w:p>
        </w:tc>
        <w:tc>
          <w:tcPr>
            <w:tcW w:w="677" w:type="dxa"/>
            <w:tcBorders>
              <w:top w:val="nil"/>
              <w:left w:val="nil"/>
              <w:bottom w:val="nil"/>
              <w:right w:val="single" w:sz="18" w:space="0" w:color="auto"/>
            </w:tcBorders>
            <w:noWrap/>
            <w:vAlign w:val="center"/>
            <w:hideMark/>
          </w:tcPr>
          <w:p w14:paraId="19AEF86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nil"/>
              <w:right w:val="nil"/>
            </w:tcBorders>
            <w:noWrap/>
            <w:vAlign w:val="center"/>
            <w:hideMark/>
          </w:tcPr>
          <w:p w14:paraId="687C9CB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nil"/>
              <w:right w:val="nil"/>
            </w:tcBorders>
            <w:noWrap/>
            <w:vAlign w:val="center"/>
            <w:hideMark/>
          </w:tcPr>
          <w:p w14:paraId="0F964BF8" w14:textId="77777777" w:rsidR="00CE6A1D" w:rsidRPr="002767DD" w:rsidRDefault="00CE6A1D" w:rsidP="00CE6A1D">
            <w:pPr>
              <w:spacing w:line="240" w:lineRule="auto"/>
              <w:jc w:val="right"/>
              <w:rPr>
                <w:rFonts w:eastAsia="Times New Roman" w:cs="Times New Roman"/>
                <w:sz w:val="18"/>
                <w:szCs w:val="18"/>
              </w:rPr>
            </w:pPr>
          </w:p>
        </w:tc>
        <w:tc>
          <w:tcPr>
            <w:tcW w:w="523" w:type="dxa"/>
            <w:tcBorders>
              <w:top w:val="nil"/>
              <w:left w:val="nil"/>
              <w:bottom w:val="nil"/>
              <w:right w:val="nil"/>
            </w:tcBorders>
            <w:noWrap/>
            <w:vAlign w:val="center"/>
            <w:hideMark/>
          </w:tcPr>
          <w:p w14:paraId="13ED10E2" w14:textId="4AB31A2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1.000</w:t>
            </w:r>
          </w:p>
        </w:tc>
        <w:tc>
          <w:tcPr>
            <w:tcW w:w="523" w:type="dxa"/>
            <w:tcBorders>
              <w:top w:val="nil"/>
              <w:left w:val="nil"/>
              <w:bottom w:val="nil"/>
              <w:right w:val="nil"/>
            </w:tcBorders>
            <w:noWrap/>
            <w:vAlign w:val="center"/>
            <w:hideMark/>
          </w:tcPr>
          <w:p w14:paraId="08AD72E4" w14:textId="54006825"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011D3E91" w14:textId="77777777" w:rsidR="00CE6A1D" w:rsidRPr="002767DD" w:rsidRDefault="00CE6A1D" w:rsidP="00CE6A1D">
            <w:pPr>
              <w:spacing w:line="240" w:lineRule="auto"/>
              <w:jc w:val="right"/>
              <w:rPr>
                <w:rFonts w:eastAsia="Times New Roman" w:cs="Times New Roman"/>
                <w:sz w:val="18"/>
                <w:szCs w:val="18"/>
              </w:rPr>
            </w:pPr>
          </w:p>
        </w:tc>
        <w:tc>
          <w:tcPr>
            <w:tcW w:w="654" w:type="dxa"/>
            <w:tcBorders>
              <w:top w:val="nil"/>
              <w:left w:val="nil"/>
              <w:bottom w:val="nil"/>
              <w:right w:val="single" w:sz="18" w:space="0" w:color="auto"/>
            </w:tcBorders>
            <w:noWrap/>
            <w:vAlign w:val="center"/>
            <w:hideMark/>
          </w:tcPr>
          <w:p w14:paraId="59F5FAD2" w14:textId="2EA842F0"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c>
          <w:tcPr>
            <w:tcW w:w="594" w:type="dxa"/>
            <w:tcBorders>
              <w:top w:val="nil"/>
              <w:left w:val="single" w:sz="18" w:space="0" w:color="auto"/>
              <w:bottom w:val="nil"/>
              <w:right w:val="nil"/>
            </w:tcBorders>
            <w:noWrap/>
            <w:vAlign w:val="center"/>
            <w:hideMark/>
          </w:tcPr>
          <w:p w14:paraId="4CA4225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0.437</w:t>
            </w:r>
          </w:p>
        </w:tc>
        <w:tc>
          <w:tcPr>
            <w:tcW w:w="523" w:type="dxa"/>
            <w:gridSpan w:val="2"/>
            <w:tcBorders>
              <w:top w:val="nil"/>
              <w:left w:val="nil"/>
              <w:bottom w:val="nil"/>
              <w:right w:val="nil"/>
            </w:tcBorders>
            <w:noWrap/>
            <w:vAlign w:val="center"/>
            <w:hideMark/>
          </w:tcPr>
          <w:p w14:paraId="4FC5E63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1.955</w:t>
            </w:r>
          </w:p>
        </w:tc>
        <w:tc>
          <w:tcPr>
            <w:tcW w:w="523" w:type="dxa"/>
            <w:tcBorders>
              <w:top w:val="nil"/>
              <w:left w:val="nil"/>
              <w:bottom w:val="nil"/>
              <w:right w:val="nil"/>
            </w:tcBorders>
            <w:noWrap/>
            <w:vAlign w:val="center"/>
            <w:hideMark/>
          </w:tcPr>
          <w:p w14:paraId="761E269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1.000</w:t>
            </w:r>
          </w:p>
        </w:tc>
        <w:tc>
          <w:tcPr>
            <w:tcW w:w="523" w:type="dxa"/>
            <w:gridSpan w:val="2"/>
            <w:tcBorders>
              <w:top w:val="nil"/>
              <w:left w:val="nil"/>
              <w:bottom w:val="nil"/>
              <w:right w:val="nil"/>
            </w:tcBorders>
            <w:noWrap/>
            <w:vAlign w:val="center"/>
            <w:hideMark/>
          </w:tcPr>
          <w:p w14:paraId="7DBC7CA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nil"/>
              <w:right w:val="nil"/>
            </w:tcBorders>
            <w:noWrap/>
            <w:vAlign w:val="center"/>
            <w:hideMark/>
          </w:tcPr>
          <w:p w14:paraId="4306D2E2" w14:textId="77777777" w:rsidR="00CE6A1D" w:rsidRPr="002767DD" w:rsidRDefault="00CE6A1D" w:rsidP="00CE6A1D">
            <w:pPr>
              <w:spacing w:line="240" w:lineRule="auto"/>
              <w:jc w:val="right"/>
              <w:rPr>
                <w:rFonts w:eastAsia="Times New Roman" w:cs="Times New Roman"/>
                <w:sz w:val="18"/>
                <w:szCs w:val="18"/>
              </w:rPr>
            </w:pPr>
          </w:p>
        </w:tc>
        <w:tc>
          <w:tcPr>
            <w:tcW w:w="553" w:type="dxa"/>
            <w:gridSpan w:val="3"/>
            <w:tcBorders>
              <w:top w:val="nil"/>
              <w:left w:val="nil"/>
              <w:bottom w:val="nil"/>
              <w:right w:val="single" w:sz="18" w:space="0" w:color="auto"/>
            </w:tcBorders>
            <w:noWrap/>
            <w:vAlign w:val="center"/>
            <w:hideMark/>
          </w:tcPr>
          <w:p w14:paraId="77D4F53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single" w:sz="18" w:space="0" w:color="auto"/>
              <w:bottom w:val="nil"/>
              <w:right w:val="nil"/>
            </w:tcBorders>
            <w:noWrap/>
            <w:vAlign w:val="bottom"/>
            <w:hideMark/>
          </w:tcPr>
          <w:p w14:paraId="3FCFA235" w14:textId="081CAF7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0.473</w:t>
            </w:r>
          </w:p>
        </w:tc>
        <w:tc>
          <w:tcPr>
            <w:tcW w:w="523" w:type="dxa"/>
            <w:gridSpan w:val="2"/>
            <w:tcBorders>
              <w:top w:val="nil"/>
              <w:left w:val="nil"/>
              <w:bottom w:val="nil"/>
              <w:right w:val="nil"/>
            </w:tcBorders>
            <w:noWrap/>
            <w:vAlign w:val="bottom"/>
            <w:hideMark/>
          </w:tcPr>
          <w:p w14:paraId="1B8EAEB0" w14:textId="4F83CCC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1.743</w:t>
            </w:r>
          </w:p>
        </w:tc>
        <w:tc>
          <w:tcPr>
            <w:tcW w:w="523" w:type="dxa"/>
            <w:tcBorders>
              <w:top w:val="nil"/>
              <w:left w:val="nil"/>
              <w:bottom w:val="nil"/>
              <w:right w:val="nil"/>
            </w:tcBorders>
            <w:noWrap/>
            <w:vAlign w:val="center"/>
            <w:hideMark/>
          </w:tcPr>
          <w:p w14:paraId="4BD04AD6" w14:textId="0E54E89C"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1.000</w:t>
            </w:r>
          </w:p>
        </w:tc>
        <w:tc>
          <w:tcPr>
            <w:tcW w:w="523" w:type="dxa"/>
            <w:gridSpan w:val="2"/>
            <w:tcBorders>
              <w:top w:val="nil"/>
              <w:left w:val="nil"/>
              <w:bottom w:val="nil"/>
              <w:right w:val="nil"/>
            </w:tcBorders>
            <w:noWrap/>
            <w:vAlign w:val="center"/>
            <w:hideMark/>
          </w:tcPr>
          <w:p w14:paraId="10D3D6BA" w14:textId="6A6C601E"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c>
          <w:tcPr>
            <w:tcW w:w="523" w:type="dxa"/>
            <w:tcBorders>
              <w:top w:val="nil"/>
              <w:left w:val="nil"/>
              <w:bottom w:val="nil"/>
              <w:right w:val="nil"/>
            </w:tcBorders>
            <w:noWrap/>
            <w:vAlign w:val="center"/>
            <w:hideMark/>
          </w:tcPr>
          <w:p w14:paraId="29E14F06" w14:textId="77777777" w:rsidR="00CE6A1D" w:rsidRPr="002767DD" w:rsidRDefault="00CE6A1D" w:rsidP="00CE6A1D">
            <w:pPr>
              <w:spacing w:line="240" w:lineRule="auto"/>
              <w:jc w:val="right"/>
              <w:rPr>
                <w:rFonts w:eastAsia="Times New Roman" w:cs="Times New Roman"/>
                <w:sz w:val="18"/>
                <w:szCs w:val="18"/>
              </w:rPr>
            </w:pPr>
          </w:p>
        </w:tc>
        <w:tc>
          <w:tcPr>
            <w:tcW w:w="618" w:type="dxa"/>
            <w:gridSpan w:val="2"/>
            <w:tcBorders>
              <w:top w:val="nil"/>
              <w:left w:val="nil"/>
              <w:bottom w:val="nil"/>
              <w:right w:val="single" w:sz="18" w:space="0" w:color="auto"/>
            </w:tcBorders>
            <w:noWrap/>
            <w:vAlign w:val="center"/>
            <w:hideMark/>
          </w:tcPr>
          <w:p w14:paraId="43A16E86" w14:textId="5AB0489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 </w:t>
            </w:r>
          </w:p>
        </w:tc>
      </w:tr>
      <w:tr w:rsidR="00CE6A1D" w:rsidRPr="00952A5F" w14:paraId="134C382F"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32BCBB5C" w14:textId="62534667" w:rsidR="00CE6A1D" w:rsidRPr="002767DD" w:rsidRDefault="00CE6A1D" w:rsidP="00CE6A1D">
            <w:pPr>
              <w:spacing w:line="240" w:lineRule="auto"/>
              <w:ind w:left="288" w:hanging="288"/>
              <w:jc w:val="left"/>
              <w:rPr>
                <w:rFonts w:eastAsia="Times New Roman" w:cs="Times New Roman"/>
                <w:sz w:val="18"/>
                <w:szCs w:val="18"/>
              </w:rPr>
            </w:pPr>
            <w:r w:rsidRPr="002767DD">
              <w:rPr>
                <w:rFonts w:eastAsia="Times New Roman" w:cs="Times New Roman"/>
                <w:sz w:val="18"/>
                <w:szCs w:val="18"/>
              </w:rPr>
              <w:t>No Vehicle /</w:t>
            </w:r>
            <w:r w:rsidR="0028293F">
              <w:rPr>
                <w:rFonts w:eastAsia="Times New Roman" w:cs="Times New Roman"/>
                <w:sz w:val="18"/>
                <w:szCs w:val="18"/>
              </w:rPr>
              <w:t xml:space="preserve"> AV</w:t>
            </w:r>
            <w:r w:rsidRPr="002767DD">
              <w:rPr>
                <w:rFonts w:eastAsia="Times New Roman" w:cs="Times New Roman"/>
                <w:sz w:val="18"/>
                <w:szCs w:val="18"/>
              </w:rPr>
              <w:t xml:space="preserve"> Ridehailing</w:t>
            </w:r>
          </w:p>
        </w:tc>
        <w:tc>
          <w:tcPr>
            <w:tcW w:w="454" w:type="dxa"/>
            <w:tcBorders>
              <w:top w:val="nil"/>
              <w:left w:val="single" w:sz="18" w:space="0" w:color="auto"/>
              <w:bottom w:val="single" w:sz="8" w:space="0" w:color="auto"/>
              <w:right w:val="nil"/>
            </w:tcBorders>
            <w:noWrap/>
            <w:vAlign w:val="center"/>
            <w:hideMark/>
          </w:tcPr>
          <w:p w14:paraId="0D6C968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8" w:space="0" w:color="auto"/>
              <w:right w:val="nil"/>
            </w:tcBorders>
            <w:noWrap/>
            <w:vAlign w:val="center"/>
            <w:hideMark/>
          </w:tcPr>
          <w:p w14:paraId="19D7BEA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04B96E4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0.539</w:t>
            </w:r>
          </w:p>
        </w:tc>
        <w:tc>
          <w:tcPr>
            <w:tcW w:w="523" w:type="dxa"/>
            <w:tcBorders>
              <w:top w:val="nil"/>
              <w:left w:val="nil"/>
              <w:bottom w:val="single" w:sz="8" w:space="0" w:color="auto"/>
              <w:right w:val="nil"/>
            </w:tcBorders>
            <w:noWrap/>
            <w:vAlign w:val="center"/>
            <w:hideMark/>
          </w:tcPr>
          <w:p w14:paraId="58C74A7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1.745</w:t>
            </w:r>
          </w:p>
        </w:tc>
        <w:tc>
          <w:tcPr>
            <w:tcW w:w="523" w:type="dxa"/>
            <w:tcBorders>
              <w:top w:val="nil"/>
              <w:left w:val="nil"/>
              <w:bottom w:val="single" w:sz="8" w:space="0" w:color="auto"/>
              <w:right w:val="nil"/>
            </w:tcBorders>
            <w:noWrap/>
            <w:vAlign w:val="center"/>
            <w:hideMark/>
          </w:tcPr>
          <w:p w14:paraId="7080A06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1.000</w:t>
            </w:r>
          </w:p>
        </w:tc>
        <w:tc>
          <w:tcPr>
            <w:tcW w:w="677" w:type="dxa"/>
            <w:tcBorders>
              <w:top w:val="nil"/>
              <w:left w:val="nil"/>
              <w:bottom w:val="single" w:sz="8" w:space="0" w:color="auto"/>
              <w:right w:val="single" w:sz="18" w:space="0" w:color="auto"/>
            </w:tcBorders>
            <w:noWrap/>
            <w:vAlign w:val="center"/>
            <w:hideMark/>
          </w:tcPr>
          <w:p w14:paraId="119776B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40" w:type="dxa"/>
            <w:tcBorders>
              <w:top w:val="nil"/>
              <w:left w:val="single" w:sz="18" w:space="0" w:color="auto"/>
              <w:bottom w:val="single" w:sz="8" w:space="0" w:color="auto"/>
              <w:right w:val="nil"/>
            </w:tcBorders>
            <w:noWrap/>
            <w:vAlign w:val="center"/>
            <w:hideMark/>
          </w:tcPr>
          <w:p w14:paraId="7AB189A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8" w:space="0" w:color="auto"/>
              <w:right w:val="nil"/>
            </w:tcBorders>
            <w:noWrap/>
            <w:vAlign w:val="center"/>
            <w:hideMark/>
          </w:tcPr>
          <w:p w14:paraId="07FB3A6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bottom"/>
            <w:hideMark/>
          </w:tcPr>
          <w:p w14:paraId="4BFBDD14" w14:textId="37DEE0EA"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0.535</w:t>
            </w:r>
          </w:p>
        </w:tc>
        <w:tc>
          <w:tcPr>
            <w:tcW w:w="523" w:type="dxa"/>
            <w:tcBorders>
              <w:top w:val="nil"/>
              <w:left w:val="nil"/>
              <w:bottom w:val="single" w:sz="8" w:space="0" w:color="auto"/>
              <w:right w:val="nil"/>
            </w:tcBorders>
            <w:noWrap/>
            <w:vAlign w:val="bottom"/>
            <w:hideMark/>
          </w:tcPr>
          <w:p w14:paraId="185D1E70" w14:textId="7C67531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1.793</w:t>
            </w:r>
          </w:p>
        </w:tc>
        <w:tc>
          <w:tcPr>
            <w:tcW w:w="523" w:type="dxa"/>
            <w:tcBorders>
              <w:top w:val="nil"/>
              <w:left w:val="nil"/>
              <w:bottom w:val="single" w:sz="8" w:space="0" w:color="auto"/>
              <w:right w:val="nil"/>
            </w:tcBorders>
            <w:noWrap/>
            <w:vAlign w:val="center"/>
            <w:hideMark/>
          </w:tcPr>
          <w:p w14:paraId="47655DD1" w14:textId="22EB6A4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1.000</w:t>
            </w:r>
          </w:p>
        </w:tc>
        <w:tc>
          <w:tcPr>
            <w:tcW w:w="654" w:type="dxa"/>
            <w:tcBorders>
              <w:top w:val="nil"/>
              <w:left w:val="nil"/>
              <w:bottom w:val="single" w:sz="8" w:space="0" w:color="auto"/>
              <w:right w:val="single" w:sz="18" w:space="0" w:color="auto"/>
            </w:tcBorders>
            <w:noWrap/>
            <w:vAlign w:val="center"/>
            <w:hideMark/>
          </w:tcPr>
          <w:p w14:paraId="16CCFE6F" w14:textId="3C59063A"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c>
          <w:tcPr>
            <w:tcW w:w="594" w:type="dxa"/>
            <w:tcBorders>
              <w:top w:val="nil"/>
              <w:left w:val="single" w:sz="18" w:space="0" w:color="auto"/>
              <w:bottom w:val="single" w:sz="8" w:space="0" w:color="auto"/>
              <w:right w:val="nil"/>
            </w:tcBorders>
            <w:noWrap/>
            <w:vAlign w:val="center"/>
            <w:hideMark/>
          </w:tcPr>
          <w:p w14:paraId="5149A43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-0.596</w:t>
            </w:r>
          </w:p>
        </w:tc>
        <w:tc>
          <w:tcPr>
            <w:tcW w:w="523" w:type="dxa"/>
            <w:gridSpan w:val="2"/>
            <w:tcBorders>
              <w:top w:val="nil"/>
              <w:left w:val="nil"/>
              <w:bottom w:val="single" w:sz="8" w:space="0" w:color="auto"/>
              <w:right w:val="nil"/>
            </w:tcBorders>
            <w:noWrap/>
            <w:vAlign w:val="center"/>
            <w:hideMark/>
          </w:tcPr>
          <w:p w14:paraId="112CCAA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-2.330</w:t>
            </w:r>
          </w:p>
        </w:tc>
        <w:tc>
          <w:tcPr>
            <w:tcW w:w="523" w:type="dxa"/>
            <w:tcBorders>
              <w:top w:val="nil"/>
              <w:left w:val="nil"/>
              <w:bottom w:val="single" w:sz="8" w:space="0" w:color="auto"/>
              <w:right w:val="nil"/>
            </w:tcBorders>
            <w:noWrap/>
            <w:vAlign w:val="center"/>
            <w:hideMark/>
          </w:tcPr>
          <w:p w14:paraId="7E678D9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-0.659</w:t>
            </w:r>
          </w:p>
        </w:tc>
        <w:tc>
          <w:tcPr>
            <w:tcW w:w="523" w:type="dxa"/>
            <w:gridSpan w:val="2"/>
            <w:tcBorders>
              <w:top w:val="nil"/>
              <w:left w:val="nil"/>
              <w:bottom w:val="single" w:sz="8" w:space="0" w:color="auto"/>
              <w:right w:val="nil"/>
            </w:tcBorders>
            <w:noWrap/>
            <w:vAlign w:val="center"/>
            <w:hideMark/>
          </w:tcPr>
          <w:p w14:paraId="65AF855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-2.639</w:t>
            </w:r>
          </w:p>
        </w:tc>
        <w:tc>
          <w:tcPr>
            <w:tcW w:w="523" w:type="dxa"/>
            <w:tcBorders>
              <w:top w:val="nil"/>
              <w:left w:val="nil"/>
              <w:bottom w:val="single" w:sz="8" w:space="0" w:color="auto"/>
              <w:right w:val="nil"/>
            </w:tcBorders>
            <w:noWrap/>
            <w:vAlign w:val="center"/>
            <w:hideMark/>
          </w:tcPr>
          <w:p w14:paraId="199A356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1.000</w:t>
            </w:r>
          </w:p>
        </w:tc>
        <w:tc>
          <w:tcPr>
            <w:tcW w:w="553" w:type="dxa"/>
            <w:gridSpan w:val="3"/>
            <w:tcBorders>
              <w:top w:val="nil"/>
              <w:left w:val="nil"/>
              <w:bottom w:val="single" w:sz="8" w:space="0" w:color="auto"/>
              <w:right w:val="single" w:sz="18" w:space="0" w:color="auto"/>
            </w:tcBorders>
            <w:noWrap/>
            <w:vAlign w:val="center"/>
            <w:hideMark/>
          </w:tcPr>
          <w:p w14:paraId="4BFF0350"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single" w:sz="18" w:space="0" w:color="auto"/>
              <w:bottom w:val="single" w:sz="8" w:space="0" w:color="auto"/>
              <w:right w:val="nil"/>
            </w:tcBorders>
            <w:noWrap/>
            <w:vAlign w:val="bottom"/>
            <w:hideMark/>
          </w:tcPr>
          <w:p w14:paraId="112EE091" w14:textId="3E50B02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-0.698</w:t>
            </w:r>
          </w:p>
        </w:tc>
        <w:tc>
          <w:tcPr>
            <w:tcW w:w="523" w:type="dxa"/>
            <w:gridSpan w:val="2"/>
            <w:tcBorders>
              <w:top w:val="nil"/>
              <w:left w:val="nil"/>
              <w:bottom w:val="single" w:sz="8" w:space="0" w:color="auto"/>
              <w:right w:val="nil"/>
            </w:tcBorders>
            <w:noWrap/>
            <w:vAlign w:val="bottom"/>
            <w:hideMark/>
          </w:tcPr>
          <w:p w14:paraId="4E69DF9C" w14:textId="3882437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-2.390</w:t>
            </w:r>
          </w:p>
        </w:tc>
        <w:tc>
          <w:tcPr>
            <w:tcW w:w="523" w:type="dxa"/>
            <w:tcBorders>
              <w:top w:val="nil"/>
              <w:left w:val="nil"/>
              <w:bottom w:val="single" w:sz="8" w:space="0" w:color="auto"/>
              <w:right w:val="nil"/>
            </w:tcBorders>
            <w:noWrap/>
            <w:vAlign w:val="bottom"/>
            <w:hideMark/>
          </w:tcPr>
          <w:p w14:paraId="4EB441B5" w14:textId="78625B9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-0.669</w:t>
            </w:r>
          </w:p>
        </w:tc>
        <w:tc>
          <w:tcPr>
            <w:tcW w:w="523" w:type="dxa"/>
            <w:gridSpan w:val="2"/>
            <w:tcBorders>
              <w:top w:val="nil"/>
              <w:left w:val="nil"/>
              <w:bottom w:val="single" w:sz="8" w:space="0" w:color="auto"/>
              <w:right w:val="nil"/>
            </w:tcBorders>
            <w:noWrap/>
            <w:vAlign w:val="bottom"/>
            <w:hideMark/>
          </w:tcPr>
          <w:p w14:paraId="74499504" w14:textId="7061386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-2.030</w:t>
            </w:r>
          </w:p>
        </w:tc>
        <w:tc>
          <w:tcPr>
            <w:tcW w:w="523" w:type="dxa"/>
            <w:tcBorders>
              <w:top w:val="nil"/>
              <w:left w:val="nil"/>
              <w:bottom w:val="single" w:sz="8" w:space="0" w:color="auto"/>
              <w:right w:val="nil"/>
            </w:tcBorders>
            <w:noWrap/>
            <w:vAlign w:val="center"/>
            <w:hideMark/>
          </w:tcPr>
          <w:p w14:paraId="45E6B99B" w14:textId="5CBE95D2"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1.000</w:t>
            </w:r>
          </w:p>
        </w:tc>
        <w:tc>
          <w:tcPr>
            <w:tcW w:w="618" w:type="dxa"/>
            <w:gridSpan w:val="2"/>
            <w:tcBorders>
              <w:top w:val="nil"/>
              <w:left w:val="nil"/>
              <w:bottom w:val="single" w:sz="8" w:space="0" w:color="auto"/>
              <w:right w:val="single" w:sz="18" w:space="0" w:color="auto"/>
            </w:tcBorders>
            <w:noWrap/>
            <w:vAlign w:val="center"/>
            <w:hideMark/>
          </w:tcPr>
          <w:p w14:paraId="3F6B5297" w14:textId="16868C9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r>
      <w:tr w:rsidR="00CE6A1D" w:rsidRPr="00952A5F" w14:paraId="37447F7F" w14:textId="77777777" w:rsidTr="00014DCE">
        <w:trPr>
          <w:trHeight w:val="20"/>
          <w:jc w:val="center"/>
        </w:trPr>
        <w:tc>
          <w:tcPr>
            <w:tcW w:w="2227" w:type="dxa"/>
            <w:tcBorders>
              <w:top w:val="nil"/>
              <w:left w:val="single" w:sz="18" w:space="0" w:color="auto"/>
              <w:bottom w:val="single" w:sz="8" w:space="0" w:color="auto"/>
              <w:right w:val="single" w:sz="18" w:space="0" w:color="auto"/>
            </w:tcBorders>
            <w:noWrap/>
            <w:vAlign w:val="center"/>
            <w:hideMark/>
          </w:tcPr>
          <w:p w14:paraId="6E1427EE" w14:textId="77777777" w:rsidR="00CE6A1D" w:rsidRPr="002767DD" w:rsidRDefault="00CE6A1D" w:rsidP="00CE6A1D">
            <w:pPr>
              <w:spacing w:line="240" w:lineRule="auto"/>
              <w:ind w:left="288" w:hanging="288"/>
              <w:jc w:val="left"/>
              <w:rPr>
                <w:rFonts w:eastAsia="Times New Roman" w:cs="Times New Roman"/>
                <w:b/>
                <w:bCs/>
                <w:sz w:val="18"/>
                <w:szCs w:val="18"/>
              </w:rPr>
            </w:pPr>
            <w:r w:rsidRPr="002767DD">
              <w:rPr>
                <w:rFonts w:eastAsia="Times New Roman" w:cs="Times New Roman"/>
                <w:b/>
                <w:bCs/>
                <w:sz w:val="18"/>
                <w:szCs w:val="18"/>
              </w:rPr>
              <w:t>Scales</w:t>
            </w:r>
          </w:p>
        </w:tc>
        <w:tc>
          <w:tcPr>
            <w:tcW w:w="454" w:type="dxa"/>
            <w:tcBorders>
              <w:top w:val="nil"/>
              <w:left w:val="single" w:sz="18" w:space="0" w:color="auto"/>
              <w:bottom w:val="single" w:sz="8" w:space="0" w:color="auto"/>
              <w:right w:val="nil"/>
            </w:tcBorders>
            <w:noWrap/>
            <w:vAlign w:val="center"/>
            <w:hideMark/>
          </w:tcPr>
          <w:p w14:paraId="164CD2E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8" w:space="0" w:color="auto"/>
              <w:right w:val="nil"/>
            </w:tcBorders>
            <w:noWrap/>
            <w:vAlign w:val="center"/>
            <w:hideMark/>
          </w:tcPr>
          <w:p w14:paraId="1C43515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5D95432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0.129</w:t>
            </w:r>
          </w:p>
        </w:tc>
        <w:tc>
          <w:tcPr>
            <w:tcW w:w="523" w:type="dxa"/>
            <w:tcBorders>
              <w:top w:val="nil"/>
              <w:left w:val="nil"/>
              <w:bottom w:val="single" w:sz="8" w:space="0" w:color="auto"/>
              <w:right w:val="nil"/>
            </w:tcBorders>
            <w:noWrap/>
            <w:vAlign w:val="center"/>
            <w:hideMark/>
          </w:tcPr>
          <w:p w14:paraId="423D743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4A9FA43D"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0.992</w:t>
            </w:r>
          </w:p>
        </w:tc>
        <w:tc>
          <w:tcPr>
            <w:tcW w:w="677" w:type="dxa"/>
            <w:tcBorders>
              <w:top w:val="nil"/>
              <w:left w:val="nil"/>
              <w:bottom w:val="single" w:sz="8" w:space="0" w:color="auto"/>
              <w:right w:val="single" w:sz="18" w:space="0" w:color="auto"/>
            </w:tcBorders>
            <w:noWrap/>
            <w:vAlign w:val="center"/>
            <w:hideMark/>
          </w:tcPr>
          <w:p w14:paraId="696C9E9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135.009</w:t>
            </w:r>
          </w:p>
        </w:tc>
        <w:tc>
          <w:tcPr>
            <w:tcW w:w="540" w:type="dxa"/>
            <w:tcBorders>
              <w:top w:val="nil"/>
              <w:left w:val="single" w:sz="18" w:space="0" w:color="auto"/>
              <w:bottom w:val="single" w:sz="8" w:space="0" w:color="auto"/>
              <w:right w:val="nil"/>
            </w:tcBorders>
            <w:noWrap/>
            <w:vAlign w:val="center"/>
            <w:hideMark/>
          </w:tcPr>
          <w:p w14:paraId="070CC5F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8" w:space="0" w:color="auto"/>
              <w:right w:val="nil"/>
            </w:tcBorders>
            <w:noWrap/>
            <w:vAlign w:val="center"/>
            <w:hideMark/>
          </w:tcPr>
          <w:p w14:paraId="1012AC8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8" w:space="0" w:color="auto"/>
              <w:right w:val="nil"/>
            </w:tcBorders>
            <w:noWrap/>
            <w:vAlign w:val="center"/>
            <w:hideMark/>
          </w:tcPr>
          <w:p w14:paraId="3770B7AA" w14:textId="42CCDEB1"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0.151</w:t>
            </w:r>
          </w:p>
        </w:tc>
        <w:tc>
          <w:tcPr>
            <w:tcW w:w="523" w:type="dxa"/>
            <w:tcBorders>
              <w:top w:val="nil"/>
              <w:left w:val="nil"/>
              <w:bottom w:val="single" w:sz="8" w:space="0" w:color="auto"/>
              <w:right w:val="nil"/>
            </w:tcBorders>
            <w:noWrap/>
            <w:vAlign w:val="center"/>
            <w:hideMark/>
          </w:tcPr>
          <w:p w14:paraId="7A42D6B0" w14:textId="4887F19C"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c>
          <w:tcPr>
            <w:tcW w:w="523" w:type="dxa"/>
            <w:tcBorders>
              <w:top w:val="nil"/>
              <w:left w:val="nil"/>
              <w:bottom w:val="single" w:sz="8" w:space="0" w:color="auto"/>
              <w:right w:val="nil"/>
            </w:tcBorders>
            <w:noWrap/>
            <w:vAlign w:val="bottom"/>
            <w:hideMark/>
          </w:tcPr>
          <w:p w14:paraId="71330749" w14:textId="224CC830"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0.989</w:t>
            </w:r>
          </w:p>
        </w:tc>
        <w:tc>
          <w:tcPr>
            <w:tcW w:w="654" w:type="dxa"/>
            <w:tcBorders>
              <w:top w:val="nil"/>
              <w:left w:val="nil"/>
              <w:bottom w:val="single" w:sz="8" w:space="0" w:color="auto"/>
              <w:right w:val="single" w:sz="18" w:space="0" w:color="auto"/>
            </w:tcBorders>
            <w:noWrap/>
            <w:vAlign w:val="bottom"/>
            <w:hideMark/>
          </w:tcPr>
          <w:p w14:paraId="4DAB6458" w14:textId="76A89D18"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111.636</w:t>
            </w:r>
          </w:p>
        </w:tc>
        <w:tc>
          <w:tcPr>
            <w:tcW w:w="594" w:type="dxa"/>
            <w:tcBorders>
              <w:top w:val="nil"/>
              <w:left w:val="single" w:sz="18" w:space="0" w:color="auto"/>
              <w:bottom w:val="single" w:sz="8" w:space="0" w:color="auto"/>
              <w:right w:val="nil"/>
            </w:tcBorders>
            <w:noWrap/>
            <w:vAlign w:val="center"/>
            <w:hideMark/>
          </w:tcPr>
          <w:p w14:paraId="4335624E"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0.301</w:t>
            </w:r>
          </w:p>
        </w:tc>
        <w:tc>
          <w:tcPr>
            <w:tcW w:w="523" w:type="dxa"/>
            <w:gridSpan w:val="2"/>
            <w:tcBorders>
              <w:top w:val="nil"/>
              <w:left w:val="nil"/>
              <w:bottom w:val="single" w:sz="8" w:space="0" w:color="auto"/>
              <w:right w:val="nil"/>
            </w:tcBorders>
            <w:noWrap/>
            <w:vAlign w:val="center"/>
            <w:hideMark/>
          </w:tcPr>
          <w:p w14:paraId="7209181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8" w:space="0" w:color="auto"/>
              <w:right w:val="nil"/>
            </w:tcBorders>
            <w:noWrap/>
            <w:vAlign w:val="center"/>
            <w:hideMark/>
          </w:tcPr>
          <w:p w14:paraId="61EED8D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0.199</w:t>
            </w:r>
          </w:p>
        </w:tc>
        <w:tc>
          <w:tcPr>
            <w:tcW w:w="523" w:type="dxa"/>
            <w:gridSpan w:val="2"/>
            <w:tcBorders>
              <w:top w:val="nil"/>
              <w:left w:val="nil"/>
              <w:bottom w:val="single" w:sz="8" w:space="0" w:color="auto"/>
              <w:right w:val="nil"/>
            </w:tcBorders>
            <w:noWrap/>
            <w:vAlign w:val="center"/>
            <w:hideMark/>
          </w:tcPr>
          <w:p w14:paraId="230194E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4.965</w:t>
            </w:r>
          </w:p>
        </w:tc>
        <w:tc>
          <w:tcPr>
            <w:tcW w:w="523" w:type="dxa"/>
            <w:tcBorders>
              <w:top w:val="nil"/>
              <w:left w:val="nil"/>
              <w:bottom w:val="single" w:sz="8" w:space="0" w:color="auto"/>
              <w:right w:val="nil"/>
            </w:tcBorders>
            <w:noWrap/>
            <w:vAlign w:val="center"/>
            <w:hideMark/>
          </w:tcPr>
          <w:p w14:paraId="0EB987B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0.933</w:t>
            </w:r>
          </w:p>
        </w:tc>
        <w:tc>
          <w:tcPr>
            <w:tcW w:w="553" w:type="dxa"/>
            <w:gridSpan w:val="3"/>
            <w:tcBorders>
              <w:top w:val="nil"/>
              <w:left w:val="nil"/>
              <w:bottom w:val="single" w:sz="8" w:space="0" w:color="auto"/>
              <w:right w:val="single" w:sz="18" w:space="0" w:color="auto"/>
            </w:tcBorders>
            <w:noWrap/>
            <w:vAlign w:val="center"/>
            <w:hideMark/>
          </w:tcPr>
          <w:p w14:paraId="7E97E9E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12.609</w:t>
            </w:r>
          </w:p>
        </w:tc>
        <w:tc>
          <w:tcPr>
            <w:tcW w:w="523" w:type="dxa"/>
            <w:tcBorders>
              <w:top w:val="nil"/>
              <w:left w:val="single" w:sz="18" w:space="0" w:color="auto"/>
              <w:bottom w:val="single" w:sz="8" w:space="0" w:color="auto"/>
              <w:right w:val="nil"/>
            </w:tcBorders>
            <w:noWrap/>
            <w:vAlign w:val="center"/>
            <w:hideMark/>
          </w:tcPr>
          <w:p w14:paraId="24F5BAEF" w14:textId="3D9FA2BF"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0.350</w:t>
            </w:r>
          </w:p>
        </w:tc>
        <w:tc>
          <w:tcPr>
            <w:tcW w:w="523" w:type="dxa"/>
            <w:gridSpan w:val="2"/>
            <w:tcBorders>
              <w:top w:val="nil"/>
              <w:left w:val="nil"/>
              <w:bottom w:val="single" w:sz="8" w:space="0" w:color="auto"/>
              <w:right w:val="nil"/>
            </w:tcBorders>
            <w:noWrap/>
            <w:vAlign w:val="center"/>
            <w:hideMark/>
          </w:tcPr>
          <w:p w14:paraId="02111F4C" w14:textId="30334B2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w:t>
            </w:r>
          </w:p>
        </w:tc>
        <w:tc>
          <w:tcPr>
            <w:tcW w:w="523" w:type="dxa"/>
            <w:tcBorders>
              <w:top w:val="nil"/>
              <w:left w:val="nil"/>
              <w:bottom w:val="single" w:sz="8" w:space="0" w:color="auto"/>
              <w:right w:val="nil"/>
            </w:tcBorders>
            <w:noWrap/>
            <w:vAlign w:val="bottom"/>
            <w:hideMark/>
          </w:tcPr>
          <w:p w14:paraId="65EA4A20" w14:textId="3AD637B6"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0.219</w:t>
            </w:r>
          </w:p>
        </w:tc>
        <w:tc>
          <w:tcPr>
            <w:tcW w:w="523" w:type="dxa"/>
            <w:gridSpan w:val="2"/>
            <w:tcBorders>
              <w:top w:val="nil"/>
              <w:left w:val="nil"/>
              <w:bottom w:val="single" w:sz="8" w:space="0" w:color="auto"/>
              <w:right w:val="nil"/>
            </w:tcBorders>
            <w:noWrap/>
            <w:vAlign w:val="bottom"/>
            <w:hideMark/>
          </w:tcPr>
          <w:p w14:paraId="682A8B36" w14:textId="47240B39"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3.324</w:t>
            </w:r>
          </w:p>
        </w:tc>
        <w:tc>
          <w:tcPr>
            <w:tcW w:w="523" w:type="dxa"/>
            <w:tcBorders>
              <w:top w:val="nil"/>
              <w:left w:val="nil"/>
              <w:bottom w:val="single" w:sz="8" w:space="0" w:color="auto"/>
              <w:right w:val="nil"/>
            </w:tcBorders>
            <w:noWrap/>
            <w:vAlign w:val="bottom"/>
            <w:hideMark/>
          </w:tcPr>
          <w:p w14:paraId="432B8270" w14:textId="4CCF55D5"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0.911</w:t>
            </w:r>
          </w:p>
        </w:tc>
        <w:tc>
          <w:tcPr>
            <w:tcW w:w="618" w:type="dxa"/>
            <w:gridSpan w:val="2"/>
            <w:tcBorders>
              <w:top w:val="nil"/>
              <w:left w:val="nil"/>
              <w:bottom w:val="single" w:sz="8" w:space="0" w:color="auto"/>
              <w:right w:val="single" w:sz="18" w:space="0" w:color="auto"/>
            </w:tcBorders>
            <w:noWrap/>
            <w:vAlign w:val="bottom"/>
            <w:hideMark/>
          </w:tcPr>
          <w:p w14:paraId="7737EB22" w14:textId="491CBB33"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12.334</w:t>
            </w:r>
          </w:p>
        </w:tc>
      </w:tr>
      <w:tr w:rsidR="00CE6A1D" w:rsidRPr="00952A5F" w14:paraId="1E006127" w14:textId="77777777" w:rsidTr="00014DCE">
        <w:trPr>
          <w:trHeight w:val="20"/>
          <w:jc w:val="center"/>
        </w:trPr>
        <w:tc>
          <w:tcPr>
            <w:tcW w:w="2227" w:type="dxa"/>
            <w:tcBorders>
              <w:top w:val="nil"/>
              <w:left w:val="single" w:sz="18" w:space="0" w:color="auto"/>
              <w:bottom w:val="single" w:sz="18" w:space="0" w:color="auto"/>
              <w:right w:val="single" w:sz="18" w:space="0" w:color="auto"/>
            </w:tcBorders>
            <w:noWrap/>
            <w:vAlign w:val="center"/>
            <w:hideMark/>
          </w:tcPr>
          <w:p w14:paraId="59DC069F" w14:textId="77777777" w:rsidR="00CE6A1D" w:rsidRPr="002767DD" w:rsidRDefault="00CE6A1D" w:rsidP="00CE6A1D">
            <w:pPr>
              <w:spacing w:line="240" w:lineRule="auto"/>
              <w:ind w:left="288" w:hanging="288"/>
              <w:jc w:val="left"/>
              <w:rPr>
                <w:rFonts w:eastAsia="Times New Roman" w:cs="Times New Roman"/>
                <w:b/>
                <w:bCs/>
                <w:sz w:val="18"/>
                <w:szCs w:val="18"/>
              </w:rPr>
            </w:pPr>
            <w:r w:rsidRPr="002767DD">
              <w:rPr>
                <w:rFonts w:eastAsia="Times New Roman" w:cs="Times New Roman"/>
                <w:b/>
                <w:bCs/>
                <w:sz w:val="18"/>
                <w:szCs w:val="18"/>
              </w:rPr>
              <w:t>YJ Parameters</w:t>
            </w:r>
          </w:p>
        </w:tc>
        <w:tc>
          <w:tcPr>
            <w:tcW w:w="454" w:type="dxa"/>
            <w:tcBorders>
              <w:top w:val="nil"/>
              <w:left w:val="single" w:sz="18" w:space="0" w:color="auto"/>
              <w:bottom w:val="single" w:sz="18" w:space="0" w:color="auto"/>
              <w:right w:val="nil"/>
            </w:tcBorders>
            <w:noWrap/>
            <w:vAlign w:val="center"/>
            <w:hideMark/>
          </w:tcPr>
          <w:p w14:paraId="68F6F9A5"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50" w:type="dxa"/>
            <w:tcBorders>
              <w:top w:val="nil"/>
              <w:left w:val="nil"/>
              <w:bottom w:val="single" w:sz="18" w:space="0" w:color="auto"/>
              <w:right w:val="nil"/>
            </w:tcBorders>
            <w:noWrap/>
            <w:vAlign w:val="center"/>
            <w:hideMark/>
          </w:tcPr>
          <w:p w14:paraId="65D420C1"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18" w:space="0" w:color="auto"/>
              <w:right w:val="nil"/>
            </w:tcBorders>
            <w:noWrap/>
            <w:vAlign w:val="center"/>
            <w:hideMark/>
          </w:tcPr>
          <w:p w14:paraId="15F988F2"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18" w:space="0" w:color="auto"/>
              <w:right w:val="nil"/>
            </w:tcBorders>
            <w:noWrap/>
            <w:vAlign w:val="center"/>
            <w:hideMark/>
          </w:tcPr>
          <w:p w14:paraId="210776EB"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18" w:space="0" w:color="auto"/>
              <w:right w:val="nil"/>
            </w:tcBorders>
            <w:noWrap/>
            <w:vAlign w:val="center"/>
            <w:hideMark/>
          </w:tcPr>
          <w:p w14:paraId="3669E86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77" w:type="dxa"/>
            <w:tcBorders>
              <w:top w:val="nil"/>
              <w:left w:val="nil"/>
              <w:bottom w:val="single" w:sz="18" w:space="0" w:color="auto"/>
              <w:right w:val="single" w:sz="18" w:space="0" w:color="auto"/>
            </w:tcBorders>
            <w:noWrap/>
            <w:vAlign w:val="center"/>
            <w:hideMark/>
          </w:tcPr>
          <w:p w14:paraId="1805280F"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40" w:type="dxa"/>
            <w:tcBorders>
              <w:top w:val="nil"/>
              <w:left w:val="single" w:sz="18" w:space="0" w:color="auto"/>
              <w:bottom w:val="single" w:sz="18" w:space="0" w:color="auto"/>
              <w:right w:val="nil"/>
            </w:tcBorders>
            <w:noWrap/>
            <w:vAlign w:val="center"/>
            <w:hideMark/>
          </w:tcPr>
          <w:p w14:paraId="18DE983A"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423" w:type="dxa"/>
            <w:tcBorders>
              <w:top w:val="nil"/>
              <w:left w:val="nil"/>
              <w:bottom w:val="single" w:sz="18" w:space="0" w:color="auto"/>
              <w:right w:val="nil"/>
            </w:tcBorders>
            <w:noWrap/>
            <w:vAlign w:val="center"/>
            <w:hideMark/>
          </w:tcPr>
          <w:p w14:paraId="2E82953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18" w:space="0" w:color="auto"/>
              <w:right w:val="nil"/>
            </w:tcBorders>
            <w:noWrap/>
            <w:vAlign w:val="center"/>
            <w:hideMark/>
          </w:tcPr>
          <w:p w14:paraId="62A2C534"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523" w:type="dxa"/>
            <w:tcBorders>
              <w:top w:val="nil"/>
              <w:left w:val="nil"/>
              <w:bottom w:val="single" w:sz="18" w:space="0" w:color="auto"/>
              <w:right w:val="nil"/>
            </w:tcBorders>
            <w:noWrap/>
            <w:vAlign w:val="center"/>
            <w:hideMark/>
          </w:tcPr>
          <w:p w14:paraId="19744983"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23" w:type="dxa"/>
            <w:tcBorders>
              <w:top w:val="nil"/>
              <w:left w:val="nil"/>
              <w:bottom w:val="single" w:sz="18" w:space="0" w:color="auto"/>
              <w:right w:val="nil"/>
            </w:tcBorders>
            <w:noWrap/>
            <w:vAlign w:val="center"/>
            <w:hideMark/>
          </w:tcPr>
          <w:p w14:paraId="1D34F677"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w:t>
            </w:r>
          </w:p>
        </w:tc>
        <w:tc>
          <w:tcPr>
            <w:tcW w:w="654" w:type="dxa"/>
            <w:tcBorders>
              <w:top w:val="nil"/>
              <w:left w:val="nil"/>
              <w:bottom w:val="single" w:sz="18" w:space="0" w:color="auto"/>
              <w:right w:val="single" w:sz="18" w:space="0" w:color="auto"/>
            </w:tcBorders>
            <w:noWrap/>
            <w:vAlign w:val="center"/>
            <w:hideMark/>
          </w:tcPr>
          <w:p w14:paraId="13DFFED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 </w:t>
            </w:r>
          </w:p>
        </w:tc>
        <w:tc>
          <w:tcPr>
            <w:tcW w:w="594" w:type="dxa"/>
            <w:tcBorders>
              <w:top w:val="nil"/>
              <w:left w:val="single" w:sz="18" w:space="0" w:color="auto"/>
              <w:bottom w:val="single" w:sz="18" w:space="0" w:color="auto"/>
              <w:right w:val="nil"/>
            </w:tcBorders>
            <w:noWrap/>
            <w:vAlign w:val="center"/>
            <w:hideMark/>
          </w:tcPr>
          <w:p w14:paraId="134015C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1.128</w:t>
            </w:r>
          </w:p>
        </w:tc>
        <w:tc>
          <w:tcPr>
            <w:tcW w:w="523" w:type="dxa"/>
            <w:gridSpan w:val="2"/>
            <w:tcBorders>
              <w:top w:val="nil"/>
              <w:left w:val="nil"/>
              <w:bottom w:val="single" w:sz="18" w:space="0" w:color="auto"/>
              <w:right w:val="nil"/>
            </w:tcBorders>
            <w:noWrap/>
            <w:vAlign w:val="center"/>
            <w:hideMark/>
          </w:tcPr>
          <w:p w14:paraId="1C9082C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1.700</w:t>
            </w:r>
          </w:p>
        </w:tc>
        <w:tc>
          <w:tcPr>
            <w:tcW w:w="523" w:type="dxa"/>
            <w:tcBorders>
              <w:top w:val="nil"/>
              <w:left w:val="nil"/>
              <w:bottom w:val="single" w:sz="18" w:space="0" w:color="auto"/>
              <w:right w:val="nil"/>
            </w:tcBorders>
            <w:noWrap/>
            <w:vAlign w:val="center"/>
            <w:hideMark/>
          </w:tcPr>
          <w:p w14:paraId="6EF6066C"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1.433</w:t>
            </w:r>
          </w:p>
        </w:tc>
        <w:tc>
          <w:tcPr>
            <w:tcW w:w="523" w:type="dxa"/>
            <w:gridSpan w:val="2"/>
            <w:tcBorders>
              <w:top w:val="nil"/>
              <w:left w:val="nil"/>
              <w:bottom w:val="single" w:sz="18" w:space="0" w:color="auto"/>
              <w:right w:val="nil"/>
            </w:tcBorders>
            <w:noWrap/>
            <w:vAlign w:val="center"/>
            <w:hideMark/>
          </w:tcPr>
          <w:p w14:paraId="6F616048"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2.301</w:t>
            </w:r>
          </w:p>
        </w:tc>
        <w:tc>
          <w:tcPr>
            <w:tcW w:w="523" w:type="dxa"/>
            <w:tcBorders>
              <w:top w:val="nil"/>
              <w:left w:val="nil"/>
              <w:bottom w:val="single" w:sz="18" w:space="0" w:color="auto"/>
              <w:right w:val="nil"/>
            </w:tcBorders>
            <w:noWrap/>
            <w:vAlign w:val="center"/>
            <w:hideMark/>
          </w:tcPr>
          <w:p w14:paraId="05B79E86"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0.254</w:t>
            </w:r>
          </w:p>
        </w:tc>
        <w:tc>
          <w:tcPr>
            <w:tcW w:w="553" w:type="dxa"/>
            <w:gridSpan w:val="3"/>
            <w:tcBorders>
              <w:top w:val="nil"/>
              <w:left w:val="nil"/>
              <w:bottom w:val="single" w:sz="18" w:space="0" w:color="auto"/>
              <w:right w:val="single" w:sz="18" w:space="0" w:color="auto"/>
            </w:tcBorders>
            <w:noWrap/>
            <w:vAlign w:val="center"/>
            <w:hideMark/>
          </w:tcPr>
          <w:p w14:paraId="70493199" w14:textId="77777777" w:rsidR="00CE6A1D" w:rsidRPr="002767DD" w:rsidRDefault="00CE6A1D" w:rsidP="00CE6A1D">
            <w:pPr>
              <w:spacing w:line="240" w:lineRule="auto"/>
              <w:jc w:val="right"/>
              <w:rPr>
                <w:rFonts w:eastAsia="Times New Roman" w:cs="Times New Roman"/>
                <w:sz w:val="18"/>
                <w:szCs w:val="18"/>
              </w:rPr>
            </w:pPr>
            <w:r w:rsidRPr="002767DD">
              <w:rPr>
                <w:rFonts w:eastAsia="Times New Roman" w:cs="Times New Roman"/>
                <w:sz w:val="18"/>
                <w:szCs w:val="18"/>
              </w:rPr>
              <w:t>-7.485</w:t>
            </w:r>
          </w:p>
        </w:tc>
        <w:tc>
          <w:tcPr>
            <w:tcW w:w="523" w:type="dxa"/>
            <w:tcBorders>
              <w:top w:val="nil"/>
              <w:left w:val="single" w:sz="18" w:space="0" w:color="auto"/>
              <w:bottom w:val="single" w:sz="18" w:space="0" w:color="auto"/>
              <w:right w:val="nil"/>
            </w:tcBorders>
            <w:noWrap/>
            <w:vAlign w:val="bottom"/>
            <w:hideMark/>
          </w:tcPr>
          <w:p w14:paraId="4300C041" w14:textId="6E465FCD"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1.154</w:t>
            </w:r>
          </w:p>
        </w:tc>
        <w:tc>
          <w:tcPr>
            <w:tcW w:w="523" w:type="dxa"/>
            <w:gridSpan w:val="2"/>
            <w:tcBorders>
              <w:top w:val="nil"/>
              <w:left w:val="nil"/>
              <w:bottom w:val="single" w:sz="18" w:space="0" w:color="auto"/>
              <w:right w:val="nil"/>
            </w:tcBorders>
            <w:noWrap/>
            <w:vAlign w:val="bottom"/>
            <w:hideMark/>
          </w:tcPr>
          <w:p w14:paraId="0EDC5941" w14:textId="1CD6383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1.562</w:t>
            </w:r>
          </w:p>
        </w:tc>
        <w:tc>
          <w:tcPr>
            <w:tcW w:w="523" w:type="dxa"/>
            <w:tcBorders>
              <w:top w:val="nil"/>
              <w:left w:val="nil"/>
              <w:bottom w:val="single" w:sz="18" w:space="0" w:color="auto"/>
              <w:right w:val="nil"/>
            </w:tcBorders>
            <w:noWrap/>
            <w:vAlign w:val="bottom"/>
            <w:hideMark/>
          </w:tcPr>
          <w:p w14:paraId="3658CBB6" w14:textId="6137F38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1.452</w:t>
            </w:r>
          </w:p>
        </w:tc>
        <w:tc>
          <w:tcPr>
            <w:tcW w:w="523" w:type="dxa"/>
            <w:gridSpan w:val="2"/>
            <w:tcBorders>
              <w:top w:val="nil"/>
              <w:left w:val="nil"/>
              <w:bottom w:val="single" w:sz="18" w:space="0" w:color="auto"/>
              <w:right w:val="nil"/>
            </w:tcBorders>
            <w:noWrap/>
            <w:vAlign w:val="bottom"/>
            <w:hideMark/>
          </w:tcPr>
          <w:p w14:paraId="078BC855" w14:textId="3A86F99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1.955</w:t>
            </w:r>
          </w:p>
        </w:tc>
        <w:tc>
          <w:tcPr>
            <w:tcW w:w="523" w:type="dxa"/>
            <w:tcBorders>
              <w:top w:val="nil"/>
              <w:left w:val="nil"/>
              <w:bottom w:val="single" w:sz="18" w:space="0" w:color="auto"/>
              <w:right w:val="nil"/>
            </w:tcBorders>
            <w:noWrap/>
            <w:vAlign w:val="bottom"/>
            <w:hideMark/>
          </w:tcPr>
          <w:p w14:paraId="189115BC" w14:textId="67228E8A"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0.286</w:t>
            </w:r>
          </w:p>
        </w:tc>
        <w:tc>
          <w:tcPr>
            <w:tcW w:w="618" w:type="dxa"/>
            <w:gridSpan w:val="2"/>
            <w:tcBorders>
              <w:top w:val="nil"/>
              <w:left w:val="nil"/>
              <w:bottom w:val="single" w:sz="18" w:space="0" w:color="auto"/>
              <w:right w:val="single" w:sz="18" w:space="0" w:color="auto"/>
            </w:tcBorders>
            <w:noWrap/>
            <w:vAlign w:val="bottom"/>
            <w:hideMark/>
          </w:tcPr>
          <w:p w14:paraId="10FB9143" w14:textId="33C33F2B" w:rsidR="00CE6A1D" w:rsidRPr="002767DD" w:rsidRDefault="00CE6A1D" w:rsidP="00CE6A1D">
            <w:pPr>
              <w:spacing w:line="240" w:lineRule="auto"/>
              <w:jc w:val="right"/>
              <w:rPr>
                <w:rFonts w:eastAsia="Times New Roman" w:cs="Times New Roman"/>
                <w:sz w:val="18"/>
                <w:szCs w:val="18"/>
              </w:rPr>
            </w:pPr>
            <w:r w:rsidRPr="00014DCE">
              <w:rPr>
                <w:rFonts w:cs="Times New Roman"/>
                <w:sz w:val="18"/>
                <w:szCs w:val="18"/>
              </w:rPr>
              <w:t>2.262</w:t>
            </w:r>
          </w:p>
        </w:tc>
      </w:tr>
    </w:tbl>
    <w:p w14:paraId="26459ACA" w14:textId="77777777" w:rsidR="002B47CD" w:rsidRDefault="002B47CD" w:rsidP="001C4C7F">
      <w:pPr>
        <w:spacing w:line="276" w:lineRule="auto"/>
        <w:ind w:left="144" w:hanging="144"/>
        <w:rPr>
          <w:rFonts w:cs="Times New Roman"/>
          <w:b/>
          <w:bCs/>
          <w:szCs w:val="24"/>
        </w:rPr>
        <w:sectPr w:rsidR="002B47CD" w:rsidSect="00F54073">
          <w:pgSz w:w="15840" w:h="12240" w:orient="landscape"/>
          <w:pgMar w:top="1440" w:right="1440" w:bottom="1440" w:left="1440" w:header="720" w:footer="720" w:gutter="0"/>
          <w:cols w:space="720"/>
          <w:docGrid w:linePitch="360"/>
        </w:sectPr>
      </w:pPr>
    </w:p>
    <w:p w14:paraId="659E2C94" w14:textId="628CB59E" w:rsidR="00474963" w:rsidRPr="002B47CD" w:rsidRDefault="001C4C7F" w:rsidP="001C4C7F">
      <w:pPr>
        <w:spacing w:line="276" w:lineRule="auto"/>
        <w:ind w:left="144" w:hanging="144"/>
        <w:rPr>
          <w:rFonts w:cs="Times New Roman"/>
          <w:b/>
          <w:bCs/>
          <w:szCs w:val="24"/>
        </w:rPr>
      </w:pPr>
      <w:r w:rsidRPr="002B47CD">
        <w:rPr>
          <w:rFonts w:cs="Times New Roman"/>
          <w:b/>
          <w:bCs/>
          <w:szCs w:val="24"/>
        </w:rPr>
        <w:lastRenderedPageBreak/>
        <w:t>Table 3: Model Fit Comparison</w:t>
      </w:r>
    </w:p>
    <w:p w14:paraId="322F4A6F" w14:textId="77777777" w:rsidR="001C4C7F" w:rsidRPr="002B47CD" w:rsidRDefault="001C4C7F" w:rsidP="001C4C7F">
      <w:pPr>
        <w:spacing w:line="276" w:lineRule="auto"/>
        <w:ind w:left="144" w:hanging="144"/>
        <w:rPr>
          <w:rFonts w:cs="Times New Roman"/>
          <w:b/>
          <w:bCs/>
          <w:szCs w:val="24"/>
        </w:rPr>
      </w:pPr>
    </w:p>
    <w:tbl>
      <w:tblP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38"/>
        <w:gridCol w:w="1009"/>
        <w:gridCol w:w="1381"/>
        <w:gridCol w:w="1080"/>
        <w:gridCol w:w="1176"/>
      </w:tblGrid>
      <w:tr w:rsidR="00584F77" w:rsidRPr="002809DE" w14:paraId="7FFCCFB6" w14:textId="77777777" w:rsidTr="00017CE6">
        <w:trPr>
          <w:trHeight w:val="360"/>
          <w:jc w:val="center"/>
        </w:trPr>
        <w:tc>
          <w:tcPr>
            <w:tcW w:w="0" w:type="auto"/>
            <w:tcBorders>
              <w:top w:val="single" w:sz="18" w:space="0" w:color="auto"/>
              <w:bottom w:val="single" w:sz="18" w:space="0" w:color="auto"/>
              <w:right w:val="single" w:sz="18" w:space="0" w:color="auto"/>
            </w:tcBorders>
            <w:noWrap/>
            <w:vAlign w:val="center"/>
            <w:hideMark/>
          </w:tcPr>
          <w:p w14:paraId="5CA678DC" w14:textId="63B2F7D1" w:rsidR="00584F77" w:rsidRPr="002809DE" w:rsidRDefault="00584F77" w:rsidP="00843C7F">
            <w:pPr>
              <w:spacing w:line="240" w:lineRule="auto"/>
              <w:jc w:val="left"/>
              <w:rPr>
                <w:rFonts w:eastAsia="Times New Roman" w:cs="Times New Roman"/>
                <w:sz w:val="20"/>
                <w:szCs w:val="20"/>
              </w:rPr>
            </w:pPr>
            <w:r w:rsidRPr="002809DE">
              <w:rPr>
                <w:rFonts w:eastAsia="Times New Roman" w:cs="Times New Roman"/>
                <w:sz w:val="20"/>
                <w:szCs w:val="20"/>
              </w:rPr>
              <w:t>Metric</w:t>
            </w:r>
          </w:p>
        </w:tc>
        <w:tc>
          <w:tcPr>
            <w:tcW w:w="1009" w:type="dxa"/>
            <w:tcBorders>
              <w:top w:val="single" w:sz="18" w:space="0" w:color="auto"/>
              <w:left w:val="single" w:sz="18" w:space="0" w:color="auto"/>
              <w:bottom w:val="single" w:sz="18" w:space="0" w:color="auto"/>
            </w:tcBorders>
            <w:noWrap/>
            <w:vAlign w:val="center"/>
            <w:hideMark/>
          </w:tcPr>
          <w:p w14:paraId="797774B2" w14:textId="77777777" w:rsidR="00584F77" w:rsidRPr="002809DE" w:rsidRDefault="00584F77" w:rsidP="00843C7F">
            <w:pPr>
              <w:spacing w:line="240" w:lineRule="auto"/>
              <w:jc w:val="center"/>
              <w:rPr>
                <w:rFonts w:eastAsia="Times New Roman" w:cs="Times New Roman"/>
                <w:b/>
                <w:bCs/>
                <w:color w:val="000000"/>
                <w:sz w:val="20"/>
                <w:szCs w:val="20"/>
              </w:rPr>
            </w:pPr>
            <w:r w:rsidRPr="002809DE">
              <w:rPr>
                <w:rFonts w:eastAsia="Times New Roman" w:cs="Times New Roman"/>
                <w:b/>
                <w:bCs/>
                <w:color w:val="000000"/>
                <w:sz w:val="20"/>
                <w:szCs w:val="20"/>
              </w:rPr>
              <w:t>MNP</w:t>
            </w:r>
          </w:p>
        </w:tc>
        <w:tc>
          <w:tcPr>
            <w:tcW w:w="1381" w:type="dxa"/>
            <w:tcBorders>
              <w:top w:val="single" w:sz="18" w:space="0" w:color="auto"/>
              <w:bottom w:val="single" w:sz="18" w:space="0" w:color="auto"/>
            </w:tcBorders>
            <w:noWrap/>
            <w:vAlign w:val="center"/>
            <w:hideMark/>
          </w:tcPr>
          <w:p w14:paraId="76C4DCA1" w14:textId="77777777" w:rsidR="00584F77" w:rsidRPr="002809DE" w:rsidRDefault="00584F77" w:rsidP="00843C7F">
            <w:pPr>
              <w:spacing w:line="240" w:lineRule="auto"/>
              <w:jc w:val="center"/>
              <w:rPr>
                <w:rFonts w:eastAsia="Times New Roman" w:cs="Times New Roman"/>
                <w:b/>
                <w:bCs/>
                <w:color w:val="000000"/>
                <w:sz w:val="20"/>
                <w:szCs w:val="20"/>
              </w:rPr>
            </w:pPr>
            <w:r w:rsidRPr="002809DE">
              <w:rPr>
                <w:rFonts w:eastAsia="Times New Roman" w:cs="Times New Roman"/>
                <w:b/>
                <w:bCs/>
                <w:color w:val="000000"/>
                <w:sz w:val="20"/>
                <w:szCs w:val="20"/>
              </w:rPr>
              <w:t>MNPRC</w:t>
            </w:r>
          </w:p>
        </w:tc>
        <w:tc>
          <w:tcPr>
            <w:tcW w:w="1080" w:type="dxa"/>
            <w:tcBorders>
              <w:top w:val="single" w:sz="18" w:space="0" w:color="auto"/>
              <w:bottom w:val="single" w:sz="18" w:space="0" w:color="auto"/>
            </w:tcBorders>
            <w:noWrap/>
            <w:vAlign w:val="center"/>
            <w:hideMark/>
          </w:tcPr>
          <w:p w14:paraId="7950F203" w14:textId="77777777" w:rsidR="00584F77" w:rsidRPr="002809DE" w:rsidRDefault="00584F77" w:rsidP="00843C7F">
            <w:pPr>
              <w:spacing w:line="240" w:lineRule="auto"/>
              <w:jc w:val="center"/>
              <w:rPr>
                <w:rFonts w:eastAsia="Times New Roman" w:cs="Times New Roman"/>
                <w:b/>
                <w:bCs/>
                <w:color w:val="000000"/>
                <w:sz w:val="20"/>
                <w:szCs w:val="20"/>
              </w:rPr>
            </w:pPr>
            <w:r w:rsidRPr="002809DE">
              <w:rPr>
                <w:rFonts w:eastAsia="Times New Roman" w:cs="Times New Roman"/>
                <w:b/>
                <w:bCs/>
                <w:color w:val="000000"/>
                <w:sz w:val="20"/>
                <w:szCs w:val="20"/>
              </w:rPr>
              <w:t>MNYJ</w:t>
            </w:r>
          </w:p>
        </w:tc>
        <w:tc>
          <w:tcPr>
            <w:tcW w:w="1176" w:type="dxa"/>
            <w:tcBorders>
              <w:top w:val="single" w:sz="18" w:space="0" w:color="auto"/>
              <w:bottom w:val="single" w:sz="18" w:space="0" w:color="auto"/>
            </w:tcBorders>
            <w:noWrap/>
            <w:vAlign w:val="center"/>
            <w:hideMark/>
          </w:tcPr>
          <w:p w14:paraId="31616217" w14:textId="77777777" w:rsidR="00584F77" w:rsidRPr="002809DE" w:rsidRDefault="00584F77" w:rsidP="00843C7F">
            <w:pPr>
              <w:spacing w:line="240" w:lineRule="auto"/>
              <w:jc w:val="center"/>
              <w:rPr>
                <w:rFonts w:eastAsia="Times New Roman" w:cs="Times New Roman"/>
                <w:b/>
                <w:bCs/>
                <w:color w:val="000000"/>
                <w:sz w:val="20"/>
                <w:szCs w:val="20"/>
              </w:rPr>
            </w:pPr>
            <w:r w:rsidRPr="002809DE">
              <w:rPr>
                <w:rFonts w:eastAsia="Times New Roman" w:cs="Times New Roman"/>
                <w:b/>
                <w:bCs/>
                <w:color w:val="000000"/>
                <w:sz w:val="20"/>
                <w:szCs w:val="20"/>
              </w:rPr>
              <w:t>MNYJRC</w:t>
            </w:r>
          </w:p>
        </w:tc>
      </w:tr>
      <w:tr w:rsidR="00584F77" w:rsidRPr="002809DE" w14:paraId="6778A387" w14:textId="77777777" w:rsidTr="00017CE6">
        <w:trPr>
          <w:trHeight w:val="360"/>
          <w:jc w:val="center"/>
        </w:trPr>
        <w:tc>
          <w:tcPr>
            <w:tcW w:w="0" w:type="auto"/>
            <w:tcBorders>
              <w:top w:val="single" w:sz="18" w:space="0" w:color="auto"/>
              <w:right w:val="single" w:sz="18" w:space="0" w:color="auto"/>
            </w:tcBorders>
            <w:noWrap/>
            <w:vAlign w:val="center"/>
            <w:hideMark/>
          </w:tcPr>
          <w:p w14:paraId="20B984A3" w14:textId="77777777" w:rsidR="00584F77" w:rsidRPr="002809DE" w:rsidRDefault="00584F77"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Log-likelihood at convergence</w:t>
            </w:r>
          </w:p>
        </w:tc>
        <w:tc>
          <w:tcPr>
            <w:tcW w:w="1009" w:type="dxa"/>
            <w:tcBorders>
              <w:top w:val="single" w:sz="18" w:space="0" w:color="auto"/>
              <w:left w:val="single" w:sz="18" w:space="0" w:color="auto"/>
            </w:tcBorders>
            <w:noWrap/>
            <w:vAlign w:val="center"/>
            <w:hideMark/>
          </w:tcPr>
          <w:p w14:paraId="08221D16"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-2863.14</w:t>
            </w:r>
          </w:p>
        </w:tc>
        <w:tc>
          <w:tcPr>
            <w:tcW w:w="1381" w:type="dxa"/>
            <w:tcBorders>
              <w:top w:val="single" w:sz="18" w:space="0" w:color="auto"/>
            </w:tcBorders>
            <w:noWrap/>
            <w:vAlign w:val="center"/>
            <w:hideMark/>
          </w:tcPr>
          <w:p w14:paraId="1FC28D7E" w14:textId="645B11D6" w:rsidR="00584F77" w:rsidRPr="002809DE" w:rsidRDefault="00722BDE" w:rsidP="00843C7F">
            <w:pPr>
              <w:spacing w:line="240" w:lineRule="auto"/>
              <w:jc w:val="center"/>
              <w:rPr>
                <w:rFonts w:eastAsia="Times New Roman" w:cs="Times New Roman"/>
                <w:color w:val="000000"/>
                <w:sz w:val="20"/>
                <w:szCs w:val="20"/>
              </w:rPr>
            </w:pPr>
            <w:r w:rsidRPr="00722BDE">
              <w:rPr>
                <w:rFonts w:eastAsia="Times New Roman" w:cs="Times New Roman"/>
                <w:color w:val="000000"/>
                <w:sz w:val="20"/>
                <w:szCs w:val="20"/>
              </w:rPr>
              <w:t>-2855.86</w:t>
            </w:r>
          </w:p>
        </w:tc>
        <w:tc>
          <w:tcPr>
            <w:tcW w:w="1080" w:type="dxa"/>
            <w:tcBorders>
              <w:top w:val="single" w:sz="18" w:space="0" w:color="auto"/>
            </w:tcBorders>
            <w:noWrap/>
            <w:vAlign w:val="center"/>
            <w:hideMark/>
          </w:tcPr>
          <w:p w14:paraId="05BACC9B"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-2838.39</w:t>
            </w:r>
          </w:p>
        </w:tc>
        <w:tc>
          <w:tcPr>
            <w:tcW w:w="1176" w:type="dxa"/>
            <w:tcBorders>
              <w:top w:val="single" w:sz="18" w:space="0" w:color="auto"/>
            </w:tcBorders>
            <w:noWrap/>
            <w:vAlign w:val="center"/>
            <w:hideMark/>
          </w:tcPr>
          <w:p w14:paraId="6A4801C4" w14:textId="14C827F2" w:rsidR="00584F77" w:rsidRPr="002809DE" w:rsidRDefault="00722BDE" w:rsidP="00843C7F">
            <w:pPr>
              <w:spacing w:line="240" w:lineRule="auto"/>
              <w:jc w:val="center"/>
              <w:rPr>
                <w:rFonts w:eastAsia="Times New Roman" w:cs="Times New Roman"/>
                <w:color w:val="000000"/>
                <w:sz w:val="20"/>
                <w:szCs w:val="20"/>
              </w:rPr>
            </w:pPr>
            <w:r w:rsidRPr="00722BDE">
              <w:rPr>
                <w:rFonts w:eastAsia="Times New Roman" w:cs="Times New Roman"/>
                <w:color w:val="000000"/>
                <w:sz w:val="20"/>
                <w:szCs w:val="20"/>
              </w:rPr>
              <w:t>-2833.4</w:t>
            </w:r>
            <w:r>
              <w:rPr>
                <w:rFonts w:eastAsia="Times New Roman" w:cs="Times New Roman"/>
                <w:color w:val="000000"/>
                <w:sz w:val="20"/>
                <w:szCs w:val="20"/>
              </w:rPr>
              <w:t>7</w:t>
            </w:r>
          </w:p>
        </w:tc>
      </w:tr>
      <w:tr w:rsidR="00584F77" w:rsidRPr="002809DE" w14:paraId="02D0BB20" w14:textId="77777777" w:rsidTr="00017CE6">
        <w:trPr>
          <w:trHeight w:val="360"/>
          <w:jc w:val="center"/>
        </w:trPr>
        <w:tc>
          <w:tcPr>
            <w:tcW w:w="0" w:type="auto"/>
            <w:tcBorders>
              <w:right w:val="single" w:sz="18" w:space="0" w:color="auto"/>
            </w:tcBorders>
            <w:noWrap/>
            <w:vAlign w:val="center"/>
            <w:hideMark/>
          </w:tcPr>
          <w:p w14:paraId="1A265E64" w14:textId="77777777" w:rsidR="00584F77" w:rsidRPr="002809DE" w:rsidRDefault="00584F77"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Number of non-constant parameters</w:t>
            </w:r>
          </w:p>
        </w:tc>
        <w:tc>
          <w:tcPr>
            <w:tcW w:w="1009" w:type="dxa"/>
            <w:tcBorders>
              <w:left w:val="single" w:sz="18" w:space="0" w:color="auto"/>
            </w:tcBorders>
            <w:noWrap/>
            <w:vAlign w:val="center"/>
            <w:hideMark/>
          </w:tcPr>
          <w:p w14:paraId="4CFFEED4"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16</w:t>
            </w:r>
          </w:p>
        </w:tc>
        <w:tc>
          <w:tcPr>
            <w:tcW w:w="1381" w:type="dxa"/>
            <w:noWrap/>
            <w:vAlign w:val="center"/>
            <w:hideMark/>
          </w:tcPr>
          <w:p w14:paraId="117A2651"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19</w:t>
            </w:r>
          </w:p>
        </w:tc>
        <w:tc>
          <w:tcPr>
            <w:tcW w:w="1080" w:type="dxa"/>
            <w:noWrap/>
            <w:vAlign w:val="center"/>
            <w:hideMark/>
          </w:tcPr>
          <w:p w14:paraId="161CA91A"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22</w:t>
            </w:r>
          </w:p>
        </w:tc>
        <w:tc>
          <w:tcPr>
            <w:tcW w:w="1176" w:type="dxa"/>
            <w:noWrap/>
            <w:vAlign w:val="center"/>
            <w:hideMark/>
          </w:tcPr>
          <w:p w14:paraId="648FFC58" w14:textId="5DB1234A"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2</w:t>
            </w:r>
            <w:r w:rsidR="008C4A4C" w:rsidRPr="002809DE">
              <w:rPr>
                <w:rFonts w:eastAsia="Times New Roman" w:cs="Times New Roman"/>
                <w:color w:val="000000"/>
                <w:sz w:val="20"/>
                <w:szCs w:val="20"/>
              </w:rPr>
              <w:t>5</w:t>
            </w:r>
          </w:p>
        </w:tc>
      </w:tr>
      <w:tr w:rsidR="00584F77" w:rsidRPr="002809DE" w14:paraId="715AFC9F" w14:textId="77777777" w:rsidTr="00017CE6">
        <w:trPr>
          <w:trHeight w:val="360"/>
          <w:jc w:val="center"/>
        </w:trPr>
        <w:tc>
          <w:tcPr>
            <w:tcW w:w="0" w:type="auto"/>
            <w:tcBorders>
              <w:right w:val="single" w:sz="18" w:space="0" w:color="auto"/>
            </w:tcBorders>
            <w:noWrap/>
            <w:vAlign w:val="center"/>
            <w:hideMark/>
          </w:tcPr>
          <w:p w14:paraId="1CA77778" w14:textId="77777777" w:rsidR="00584F77" w:rsidRPr="002809DE" w:rsidRDefault="00584F77"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Log-likelihood at zero</w:t>
            </w:r>
          </w:p>
        </w:tc>
        <w:tc>
          <w:tcPr>
            <w:tcW w:w="4646" w:type="dxa"/>
            <w:gridSpan w:val="4"/>
            <w:tcBorders>
              <w:left w:val="single" w:sz="18" w:space="0" w:color="auto"/>
            </w:tcBorders>
            <w:noWrap/>
            <w:vAlign w:val="center"/>
            <w:hideMark/>
          </w:tcPr>
          <w:p w14:paraId="5F9EFCF4"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-3517.76</w:t>
            </w:r>
          </w:p>
        </w:tc>
      </w:tr>
      <w:tr w:rsidR="00584F77" w:rsidRPr="002809DE" w14:paraId="1756D4A2" w14:textId="77777777" w:rsidTr="00017CE6">
        <w:trPr>
          <w:trHeight w:val="360"/>
          <w:jc w:val="center"/>
        </w:trPr>
        <w:tc>
          <w:tcPr>
            <w:tcW w:w="0" w:type="auto"/>
            <w:tcBorders>
              <w:right w:val="single" w:sz="18" w:space="0" w:color="auto"/>
            </w:tcBorders>
            <w:noWrap/>
            <w:vAlign w:val="center"/>
            <w:hideMark/>
          </w:tcPr>
          <w:p w14:paraId="4A9A53C0" w14:textId="77777777" w:rsidR="00584F77" w:rsidRPr="002809DE" w:rsidRDefault="00584F77"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Log-likelihood at constants</w:t>
            </w:r>
          </w:p>
        </w:tc>
        <w:tc>
          <w:tcPr>
            <w:tcW w:w="4646" w:type="dxa"/>
            <w:gridSpan w:val="4"/>
            <w:tcBorders>
              <w:left w:val="single" w:sz="18" w:space="0" w:color="auto"/>
            </w:tcBorders>
            <w:noWrap/>
            <w:vAlign w:val="center"/>
            <w:hideMark/>
          </w:tcPr>
          <w:p w14:paraId="1D8BCD7C" w14:textId="77777777" w:rsidR="00584F77" w:rsidRPr="002809DE" w:rsidRDefault="00584F77"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-3016.60</w:t>
            </w:r>
          </w:p>
        </w:tc>
      </w:tr>
      <w:tr w:rsidR="00017CE6" w:rsidRPr="002809DE" w14:paraId="5CD235B7" w14:textId="77777777" w:rsidTr="00014DCE">
        <w:trPr>
          <w:trHeight w:val="360"/>
          <w:jc w:val="center"/>
        </w:trPr>
        <w:tc>
          <w:tcPr>
            <w:tcW w:w="0" w:type="auto"/>
            <w:tcBorders>
              <w:right w:val="single" w:sz="18" w:space="0" w:color="auto"/>
            </w:tcBorders>
            <w:noWrap/>
            <w:vAlign w:val="center"/>
            <w:hideMark/>
          </w:tcPr>
          <w:p w14:paraId="7928025F" w14:textId="77777777" w:rsidR="00017CE6" w:rsidRPr="002809DE" w:rsidRDefault="00017CE6" w:rsidP="00017CE6">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Adjusted likelihood ratio index (zero)</w:t>
            </w:r>
          </w:p>
        </w:tc>
        <w:tc>
          <w:tcPr>
            <w:tcW w:w="1009" w:type="dxa"/>
            <w:tcBorders>
              <w:left w:val="single" w:sz="18" w:space="0" w:color="auto"/>
            </w:tcBorders>
            <w:noWrap/>
            <w:vAlign w:val="center"/>
            <w:hideMark/>
          </w:tcPr>
          <w:p w14:paraId="0EEFE735" w14:textId="77777777" w:rsidR="00017CE6" w:rsidRPr="002809DE" w:rsidRDefault="00017CE6" w:rsidP="00722BDE">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0.1810</w:t>
            </w:r>
          </w:p>
        </w:tc>
        <w:tc>
          <w:tcPr>
            <w:tcW w:w="1381" w:type="dxa"/>
            <w:noWrap/>
            <w:vAlign w:val="center"/>
            <w:hideMark/>
          </w:tcPr>
          <w:p w14:paraId="248596ED" w14:textId="6FA3A672" w:rsidR="00017CE6" w:rsidRPr="002809DE" w:rsidRDefault="00017CE6" w:rsidP="00722BDE">
            <w:pPr>
              <w:spacing w:line="240" w:lineRule="auto"/>
              <w:jc w:val="center"/>
              <w:rPr>
                <w:rFonts w:eastAsia="Times New Roman" w:cs="Times New Roman"/>
                <w:color w:val="000000"/>
                <w:sz w:val="20"/>
                <w:szCs w:val="20"/>
              </w:rPr>
            </w:pPr>
            <w:r w:rsidRPr="00014DCE">
              <w:rPr>
                <w:rFonts w:cs="Times New Roman"/>
                <w:color w:val="000000"/>
                <w:sz w:val="20"/>
                <w:szCs w:val="20"/>
              </w:rPr>
              <w:t>0.1822</w:t>
            </w:r>
          </w:p>
        </w:tc>
        <w:tc>
          <w:tcPr>
            <w:tcW w:w="1080" w:type="dxa"/>
            <w:noWrap/>
            <w:vAlign w:val="center"/>
            <w:hideMark/>
          </w:tcPr>
          <w:p w14:paraId="33FBBE31" w14:textId="77777777" w:rsidR="00017CE6" w:rsidRPr="002809DE" w:rsidRDefault="00017CE6" w:rsidP="00722BDE">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0.1863</w:t>
            </w:r>
          </w:p>
        </w:tc>
        <w:tc>
          <w:tcPr>
            <w:tcW w:w="1176" w:type="dxa"/>
            <w:noWrap/>
            <w:vAlign w:val="center"/>
            <w:hideMark/>
          </w:tcPr>
          <w:p w14:paraId="5BBC2B33" w14:textId="74355813" w:rsidR="00017CE6" w:rsidRPr="002809DE" w:rsidRDefault="00017CE6" w:rsidP="00722BDE">
            <w:pPr>
              <w:spacing w:line="240" w:lineRule="auto"/>
              <w:jc w:val="center"/>
              <w:rPr>
                <w:rFonts w:eastAsia="Times New Roman" w:cs="Times New Roman"/>
                <w:color w:val="000000"/>
                <w:sz w:val="20"/>
                <w:szCs w:val="20"/>
              </w:rPr>
            </w:pPr>
            <w:r w:rsidRPr="00014DCE">
              <w:rPr>
                <w:rFonts w:cs="Times New Roman"/>
                <w:color w:val="000000"/>
                <w:sz w:val="20"/>
                <w:szCs w:val="20"/>
              </w:rPr>
              <w:t>0.1868</w:t>
            </w:r>
          </w:p>
        </w:tc>
      </w:tr>
      <w:tr w:rsidR="00017CE6" w:rsidRPr="002809DE" w14:paraId="5F62389F" w14:textId="77777777" w:rsidTr="00014DCE">
        <w:trPr>
          <w:trHeight w:val="360"/>
          <w:jc w:val="center"/>
        </w:trPr>
        <w:tc>
          <w:tcPr>
            <w:tcW w:w="0" w:type="auto"/>
            <w:tcBorders>
              <w:right w:val="single" w:sz="18" w:space="0" w:color="auto"/>
            </w:tcBorders>
            <w:noWrap/>
            <w:vAlign w:val="center"/>
            <w:hideMark/>
          </w:tcPr>
          <w:p w14:paraId="0763A6CB" w14:textId="77777777" w:rsidR="00017CE6" w:rsidRPr="002809DE" w:rsidRDefault="00017CE6" w:rsidP="00017CE6">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Adjusted likelihood ratio index (constants)</w:t>
            </w:r>
          </w:p>
        </w:tc>
        <w:tc>
          <w:tcPr>
            <w:tcW w:w="1009" w:type="dxa"/>
            <w:tcBorders>
              <w:left w:val="single" w:sz="18" w:space="0" w:color="auto"/>
            </w:tcBorders>
            <w:noWrap/>
            <w:vAlign w:val="center"/>
            <w:hideMark/>
          </w:tcPr>
          <w:p w14:paraId="15027026" w14:textId="77777777" w:rsidR="00017CE6" w:rsidRPr="002809DE" w:rsidRDefault="00017CE6" w:rsidP="00722BDE">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0.0456</w:t>
            </w:r>
          </w:p>
        </w:tc>
        <w:tc>
          <w:tcPr>
            <w:tcW w:w="1381" w:type="dxa"/>
            <w:noWrap/>
            <w:vAlign w:val="center"/>
            <w:hideMark/>
          </w:tcPr>
          <w:p w14:paraId="19951056" w14:textId="3D80CA10" w:rsidR="00017CE6" w:rsidRPr="002809DE" w:rsidRDefault="00017CE6" w:rsidP="00722BDE">
            <w:pPr>
              <w:spacing w:line="240" w:lineRule="auto"/>
              <w:jc w:val="center"/>
              <w:rPr>
                <w:rFonts w:eastAsia="Times New Roman" w:cs="Times New Roman"/>
                <w:color w:val="000000"/>
                <w:sz w:val="20"/>
                <w:szCs w:val="20"/>
              </w:rPr>
            </w:pPr>
            <w:r w:rsidRPr="00014DCE">
              <w:rPr>
                <w:rFonts w:cs="Times New Roman"/>
                <w:color w:val="000000"/>
                <w:sz w:val="20"/>
                <w:szCs w:val="20"/>
              </w:rPr>
              <w:t>0.0470</w:t>
            </w:r>
          </w:p>
        </w:tc>
        <w:tc>
          <w:tcPr>
            <w:tcW w:w="1080" w:type="dxa"/>
            <w:noWrap/>
            <w:vAlign w:val="center"/>
            <w:hideMark/>
          </w:tcPr>
          <w:p w14:paraId="06A0855E" w14:textId="77777777" w:rsidR="00017CE6" w:rsidRPr="002809DE" w:rsidRDefault="00017CE6" w:rsidP="00722BDE">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0.0518</w:t>
            </w:r>
          </w:p>
        </w:tc>
        <w:tc>
          <w:tcPr>
            <w:tcW w:w="1176" w:type="dxa"/>
            <w:noWrap/>
            <w:vAlign w:val="center"/>
            <w:hideMark/>
          </w:tcPr>
          <w:p w14:paraId="57291D9F" w14:textId="10D496B7" w:rsidR="00017CE6" w:rsidRPr="002809DE" w:rsidRDefault="00017CE6" w:rsidP="00722BDE">
            <w:pPr>
              <w:spacing w:line="240" w:lineRule="auto"/>
              <w:jc w:val="center"/>
              <w:rPr>
                <w:rFonts w:eastAsia="Times New Roman" w:cs="Times New Roman"/>
                <w:color w:val="000000"/>
                <w:sz w:val="20"/>
                <w:szCs w:val="20"/>
              </w:rPr>
            </w:pPr>
            <w:r w:rsidRPr="00014DCE">
              <w:rPr>
                <w:rFonts w:cs="Times New Roman"/>
                <w:color w:val="000000"/>
                <w:sz w:val="20"/>
                <w:szCs w:val="20"/>
              </w:rPr>
              <w:t>0.0524</w:t>
            </w:r>
          </w:p>
        </w:tc>
      </w:tr>
      <w:tr w:rsidR="007F3A75" w:rsidRPr="002809DE" w14:paraId="59FF8132" w14:textId="77777777" w:rsidTr="00017CE6">
        <w:trPr>
          <w:trHeight w:val="360"/>
          <w:jc w:val="center"/>
        </w:trPr>
        <w:tc>
          <w:tcPr>
            <w:tcW w:w="0" w:type="auto"/>
            <w:tcBorders>
              <w:right w:val="single" w:sz="18" w:space="0" w:color="auto"/>
            </w:tcBorders>
            <w:noWrap/>
            <w:vAlign w:val="center"/>
            <w:hideMark/>
          </w:tcPr>
          <w:p w14:paraId="56232020" w14:textId="32989EF4" w:rsidR="007F3A75" w:rsidRPr="002809DE" w:rsidRDefault="007F3A75"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Likelihood Ratio Test between MNP and MNYJRC</w:t>
            </w:r>
          </w:p>
        </w:tc>
        <w:tc>
          <w:tcPr>
            <w:tcW w:w="4646" w:type="dxa"/>
            <w:gridSpan w:val="4"/>
            <w:tcBorders>
              <w:left w:val="single" w:sz="18" w:space="0" w:color="auto"/>
            </w:tcBorders>
            <w:noWrap/>
            <w:vAlign w:val="center"/>
            <w:hideMark/>
          </w:tcPr>
          <w:p w14:paraId="24D6A833" w14:textId="2361E96D" w:rsidR="007F3A75" w:rsidRPr="002809DE" w:rsidRDefault="00275E1B" w:rsidP="00843C7F">
            <w:pPr>
              <w:spacing w:line="240" w:lineRule="auto"/>
              <w:jc w:val="center"/>
              <w:rPr>
                <w:rFonts w:eastAsia="Times New Roman" w:cs="Times New Roman"/>
                <w:color w:val="000000"/>
                <w:sz w:val="20"/>
                <w:szCs w:val="20"/>
              </w:rPr>
            </w:pPr>
            <w:r w:rsidRPr="002809DE">
              <w:rPr>
                <w:rFonts w:eastAsia="Times New Roman" w:cs="Times New Roman"/>
                <w:color w:val="000000"/>
                <w:position w:val="-12"/>
                <w:sz w:val="20"/>
                <w:szCs w:val="20"/>
              </w:rPr>
              <w:object w:dxaOrig="2439" w:dyaOrig="340" w14:anchorId="48983044">
                <v:shape id="_x0000_i1259" type="#_x0000_t75" style="width:122.55pt;height:16.7pt" o:ole="">
                  <v:imagedata r:id="rId438" o:title=""/>
                </v:shape>
                <o:OLEObject Type="Embed" ProgID="Equation.DSMT4" ShapeID="_x0000_i1259" DrawAspect="Content" ObjectID="_1841834634" r:id="rId439"/>
              </w:object>
            </w:r>
          </w:p>
        </w:tc>
      </w:tr>
      <w:tr w:rsidR="007F3A75" w:rsidRPr="002809DE" w14:paraId="5EA8DB19" w14:textId="77777777" w:rsidTr="00017CE6">
        <w:trPr>
          <w:trHeight w:val="360"/>
          <w:jc w:val="center"/>
        </w:trPr>
        <w:tc>
          <w:tcPr>
            <w:tcW w:w="0" w:type="auto"/>
            <w:tcBorders>
              <w:right w:val="single" w:sz="18" w:space="0" w:color="auto"/>
            </w:tcBorders>
            <w:noWrap/>
            <w:vAlign w:val="center"/>
          </w:tcPr>
          <w:p w14:paraId="159E8252" w14:textId="053ED4D0" w:rsidR="007F3A75" w:rsidRPr="002809DE" w:rsidRDefault="007F3A75"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Likelihood Ratio Test between MNPRC and MNYJRC</w:t>
            </w:r>
          </w:p>
        </w:tc>
        <w:tc>
          <w:tcPr>
            <w:tcW w:w="4646" w:type="dxa"/>
            <w:gridSpan w:val="4"/>
            <w:tcBorders>
              <w:left w:val="single" w:sz="18" w:space="0" w:color="auto"/>
            </w:tcBorders>
            <w:noWrap/>
            <w:vAlign w:val="center"/>
          </w:tcPr>
          <w:p w14:paraId="121F87C9" w14:textId="1BB8036D" w:rsidR="007F3A75" w:rsidRPr="002809DE" w:rsidRDefault="00831E05" w:rsidP="00843C7F">
            <w:pPr>
              <w:spacing w:line="240" w:lineRule="auto"/>
              <w:jc w:val="center"/>
              <w:rPr>
                <w:rFonts w:eastAsia="Times New Roman" w:cs="Times New Roman"/>
                <w:color w:val="000000"/>
                <w:sz w:val="20"/>
                <w:szCs w:val="20"/>
              </w:rPr>
            </w:pPr>
            <w:r w:rsidRPr="002809DE">
              <w:rPr>
                <w:rFonts w:eastAsia="Times New Roman" w:cs="Times New Roman"/>
                <w:color w:val="000000"/>
                <w:position w:val="-12"/>
                <w:sz w:val="20"/>
                <w:szCs w:val="20"/>
              </w:rPr>
              <w:object w:dxaOrig="2439" w:dyaOrig="340" w14:anchorId="3B705BCB">
                <v:shape id="_x0000_i1260" type="#_x0000_t75" style="width:121.7pt;height:16.7pt" o:ole="">
                  <v:imagedata r:id="rId440" o:title=""/>
                </v:shape>
                <o:OLEObject Type="Embed" ProgID="Equation.DSMT4" ShapeID="_x0000_i1260" DrawAspect="Content" ObjectID="_1841834635" r:id="rId441"/>
              </w:object>
            </w:r>
          </w:p>
        </w:tc>
      </w:tr>
      <w:tr w:rsidR="007F3A75" w:rsidRPr="002809DE" w14:paraId="6E3F0D7F" w14:textId="77777777" w:rsidTr="00017CE6">
        <w:trPr>
          <w:trHeight w:val="360"/>
          <w:jc w:val="center"/>
        </w:trPr>
        <w:tc>
          <w:tcPr>
            <w:tcW w:w="0" w:type="auto"/>
            <w:tcBorders>
              <w:right w:val="single" w:sz="18" w:space="0" w:color="auto"/>
            </w:tcBorders>
            <w:noWrap/>
            <w:vAlign w:val="center"/>
          </w:tcPr>
          <w:p w14:paraId="430DD6DA" w14:textId="2C1B8F59" w:rsidR="007F3A75" w:rsidRPr="002809DE" w:rsidRDefault="007F3A75"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Likelihood Ratio Test between MNPYJ and MNYJRC</w:t>
            </w:r>
          </w:p>
        </w:tc>
        <w:tc>
          <w:tcPr>
            <w:tcW w:w="4646" w:type="dxa"/>
            <w:gridSpan w:val="4"/>
            <w:tcBorders>
              <w:left w:val="single" w:sz="18" w:space="0" w:color="auto"/>
            </w:tcBorders>
            <w:noWrap/>
            <w:vAlign w:val="center"/>
          </w:tcPr>
          <w:p w14:paraId="1FADEBE2" w14:textId="594E7B55" w:rsidR="007F3A75" w:rsidRPr="002809DE" w:rsidRDefault="00C30C6B" w:rsidP="00843C7F">
            <w:pPr>
              <w:spacing w:line="240" w:lineRule="auto"/>
              <w:jc w:val="center"/>
              <w:rPr>
                <w:rFonts w:eastAsia="Times New Roman" w:cs="Times New Roman"/>
                <w:color w:val="000000"/>
                <w:sz w:val="20"/>
                <w:szCs w:val="20"/>
              </w:rPr>
            </w:pPr>
            <w:r w:rsidRPr="002809DE">
              <w:rPr>
                <w:rFonts w:eastAsia="Times New Roman" w:cs="Times New Roman"/>
                <w:color w:val="000000"/>
                <w:position w:val="-12"/>
                <w:sz w:val="20"/>
                <w:szCs w:val="20"/>
              </w:rPr>
              <w:object w:dxaOrig="2240" w:dyaOrig="340" w14:anchorId="3CACAD55">
                <v:shape id="_x0000_i1261" type="#_x0000_t75" style="width:111.45pt;height:16.7pt" o:ole="">
                  <v:imagedata r:id="rId442" o:title=""/>
                </v:shape>
                <o:OLEObject Type="Embed" ProgID="Equation.DSMT4" ShapeID="_x0000_i1261" DrawAspect="Content" ObjectID="_1841834636" r:id="rId443"/>
              </w:object>
            </w:r>
          </w:p>
        </w:tc>
      </w:tr>
      <w:tr w:rsidR="007F3A75" w:rsidRPr="002809DE" w14:paraId="20A714F0" w14:textId="77777777" w:rsidTr="00017CE6">
        <w:trPr>
          <w:trHeight w:val="360"/>
          <w:jc w:val="center"/>
        </w:trPr>
        <w:tc>
          <w:tcPr>
            <w:tcW w:w="0" w:type="auto"/>
            <w:tcBorders>
              <w:bottom w:val="single" w:sz="18" w:space="0" w:color="auto"/>
              <w:right w:val="single" w:sz="18" w:space="0" w:color="auto"/>
            </w:tcBorders>
            <w:noWrap/>
            <w:vAlign w:val="center"/>
            <w:hideMark/>
          </w:tcPr>
          <w:p w14:paraId="3A0C3EBF" w14:textId="512E5C60" w:rsidR="007F3A75" w:rsidRPr="002809DE" w:rsidRDefault="007F3A75" w:rsidP="00843C7F">
            <w:pPr>
              <w:spacing w:line="240" w:lineRule="auto"/>
              <w:jc w:val="left"/>
              <w:rPr>
                <w:rFonts w:eastAsia="Times New Roman" w:cs="Times New Roman"/>
                <w:color w:val="000000"/>
                <w:sz w:val="20"/>
                <w:szCs w:val="20"/>
              </w:rPr>
            </w:pPr>
            <w:r w:rsidRPr="002809DE">
              <w:rPr>
                <w:rFonts w:eastAsia="Times New Roman" w:cs="Times New Roman"/>
                <w:color w:val="000000"/>
                <w:sz w:val="20"/>
                <w:szCs w:val="20"/>
              </w:rPr>
              <w:t xml:space="preserve">Average Probability of a Correct Prediction </w:t>
            </w:r>
          </w:p>
        </w:tc>
        <w:tc>
          <w:tcPr>
            <w:tcW w:w="1009" w:type="dxa"/>
            <w:tcBorders>
              <w:left w:val="single" w:sz="18" w:space="0" w:color="auto"/>
            </w:tcBorders>
            <w:noWrap/>
            <w:vAlign w:val="center"/>
            <w:hideMark/>
          </w:tcPr>
          <w:p w14:paraId="02CFE83A" w14:textId="77777777" w:rsidR="007F3A75" w:rsidRPr="002809DE" w:rsidRDefault="007F3A75"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0.4645</w:t>
            </w:r>
          </w:p>
        </w:tc>
        <w:tc>
          <w:tcPr>
            <w:tcW w:w="1381" w:type="dxa"/>
            <w:noWrap/>
            <w:vAlign w:val="center"/>
            <w:hideMark/>
          </w:tcPr>
          <w:p w14:paraId="7D0CAD71" w14:textId="46A6A839" w:rsidR="007F3A75" w:rsidRPr="002809DE" w:rsidRDefault="007904F3" w:rsidP="00843C7F">
            <w:pPr>
              <w:spacing w:line="240" w:lineRule="auto"/>
              <w:jc w:val="center"/>
              <w:rPr>
                <w:rFonts w:eastAsia="Times New Roman" w:cs="Times New Roman"/>
                <w:color w:val="000000"/>
                <w:sz w:val="20"/>
                <w:szCs w:val="20"/>
              </w:rPr>
            </w:pPr>
            <w:r w:rsidRPr="007904F3">
              <w:rPr>
                <w:rFonts w:eastAsia="Times New Roman" w:cs="Times New Roman"/>
                <w:color w:val="000000"/>
                <w:sz w:val="20"/>
                <w:szCs w:val="20"/>
              </w:rPr>
              <w:t>0.4650</w:t>
            </w:r>
          </w:p>
        </w:tc>
        <w:tc>
          <w:tcPr>
            <w:tcW w:w="1080" w:type="dxa"/>
            <w:noWrap/>
            <w:vAlign w:val="center"/>
            <w:hideMark/>
          </w:tcPr>
          <w:p w14:paraId="6A66C6FB" w14:textId="77777777" w:rsidR="007F3A75" w:rsidRPr="002809DE" w:rsidRDefault="007F3A75" w:rsidP="00843C7F">
            <w:pPr>
              <w:spacing w:line="240" w:lineRule="auto"/>
              <w:jc w:val="center"/>
              <w:rPr>
                <w:rFonts w:eastAsia="Times New Roman" w:cs="Times New Roman"/>
                <w:color w:val="000000"/>
                <w:sz w:val="20"/>
                <w:szCs w:val="20"/>
              </w:rPr>
            </w:pPr>
            <w:r w:rsidRPr="002809DE">
              <w:rPr>
                <w:rFonts w:eastAsia="Times New Roman" w:cs="Times New Roman"/>
                <w:color w:val="000000"/>
                <w:sz w:val="20"/>
                <w:szCs w:val="20"/>
              </w:rPr>
              <w:t>0.4656</w:t>
            </w:r>
          </w:p>
        </w:tc>
        <w:tc>
          <w:tcPr>
            <w:tcW w:w="1176" w:type="dxa"/>
            <w:noWrap/>
            <w:vAlign w:val="center"/>
            <w:hideMark/>
          </w:tcPr>
          <w:p w14:paraId="03EC7091" w14:textId="02905FF6" w:rsidR="007F3A75" w:rsidRPr="002809DE" w:rsidRDefault="007904F3" w:rsidP="00843C7F">
            <w:pPr>
              <w:spacing w:line="240" w:lineRule="auto"/>
              <w:jc w:val="center"/>
              <w:rPr>
                <w:rFonts w:eastAsia="Times New Roman" w:cs="Times New Roman"/>
                <w:color w:val="000000"/>
                <w:sz w:val="20"/>
                <w:szCs w:val="20"/>
              </w:rPr>
            </w:pPr>
            <w:r w:rsidRPr="007904F3">
              <w:rPr>
                <w:rFonts w:eastAsia="Times New Roman" w:cs="Times New Roman"/>
                <w:color w:val="000000"/>
                <w:sz w:val="20"/>
                <w:szCs w:val="20"/>
              </w:rPr>
              <w:t>0.4661</w:t>
            </w:r>
          </w:p>
        </w:tc>
      </w:tr>
    </w:tbl>
    <w:p w14:paraId="1D22D4A6" w14:textId="77777777" w:rsidR="00C56252" w:rsidRDefault="00C56252" w:rsidP="001C4C7F">
      <w:pPr>
        <w:spacing w:line="276" w:lineRule="auto"/>
        <w:ind w:left="144" w:hanging="144"/>
        <w:rPr>
          <w:rFonts w:cs="Times New Roman"/>
          <w:b/>
          <w:bCs/>
          <w:sz w:val="20"/>
          <w:szCs w:val="20"/>
        </w:rPr>
        <w:sectPr w:rsidR="00C56252" w:rsidSect="00C56252">
          <w:pgSz w:w="12240" w:h="15840"/>
          <w:pgMar w:top="1440" w:right="1440" w:bottom="1440" w:left="1440" w:header="720" w:footer="720" w:gutter="0"/>
          <w:cols w:space="720"/>
          <w:docGrid w:linePitch="360"/>
        </w:sectPr>
      </w:pPr>
    </w:p>
    <w:p w14:paraId="6B4A645A" w14:textId="77BE1E41" w:rsidR="001E1F0E" w:rsidRPr="002B47CD" w:rsidRDefault="001E1F0E" w:rsidP="001E1F0E">
      <w:pPr>
        <w:spacing w:line="276" w:lineRule="auto"/>
        <w:ind w:left="144" w:hanging="144"/>
        <w:rPr>
          <w:rFonts w:cs="Times New Roman"/>
          <w:b/>
          <w:bCs/>
          <w:szCs w:val="24"/>
        </w:rPr>
      </w:pPr>
      <w:r w:rsidRPr="002B47CD">
        <w:rPr>
          <w:rFonts w:cs="Times New Roman"/>
          <w:b/>
          <w:bCs/>
          <w:szCs w:val="24"/>
        </w:rPr>
        <w:lastRenderedPageBreak/>
        <w:t xml:space="preserve">Table </w:t>
      </w:r>
      <w:r w:rsidR="00F355CF">
        <w:rPr>
          <w:rFonts w:cs="Times New Roman"/>
          <w:b/>
          <w:bCs/>
          <w:szCs w:val="24"/>
        </w:rPr>
        <w:t>4</w:t>
      </w:r>
      <w:r w:rsidRPr="002B47CD">
        <w:rPr>
          <w:rFonts w:cs="Times New Roman"/>
          <w:b/>
          <w:bCs/>
          <w:szCs w:val="24"/>
        </w:rPr>
        <w:t xml:space="preserve">: </w:t>
      </w:r>
      <w:r>
        <w:rPr>
          <w:rFonts w:cs="Times New Roman"/>
          <w:b/>
          <w:bCs/>
          <w:szCs w:val="24"/>
        </w:rPr>
        <w:t>Elasticity Effects</w:t>
      </w:r>
    </w:p>
    <w:p w14:paraId="5B3C4B35" w14:textId="77777777" w:rsidR="001C4C7F" w:rsidRDefault="001C4C7F" w:rsidP="001C4C7F">
      <w:pPr>
        <w:spacing w:line="276" w:lineRule="auto"/>
        <w:ind w:left="144" w:hanging="144"/>
        <w:rPr>
          <w:rFonts w:cs="Times New Roman"/>
          <w:b/>
          <w:bCs/>
          <w:sz w:val="20"/>
          <w:szCs w:val="20"/>
        </w:rPr>
      </w:pPr>
    </w:p>
    <w:tbl>
      <w:tblPr>
        <w:tblW w:w="15087" w:type="dxa"/>
        <w:jc w:val="center"/>
        <w:tblBorders>
          <w:top w:val="single" w:sz="18" w:space="0" w:color="auto"/>
          <w:left w:val="single" w:sz="18" w:space="0" w:color="auto"/>
          <w:bottom w:val="single" w:sz="18" w:space="0" w:color="auto"/>
          <w:right w:val="single" w:sz="18" w:space="0" w:color="auto"/>
        </w:tblBorders>
        <w:tblLayout w:type="fixed"/>
        <w:tblCellMar>
          <w:left w:w="29" w:type="dxa"/>
          <w:right w:w="29" w:type="dxa"/>
        </w:tblCellMar>
        <w:tblLook w:val="04A0" w:firstRow="1" w:lastRow="0" w:firstColumn="1" w:lastColumn="0" w:noHBand="0" w:noVBand="1"/>
      </w:tblPr>
      <w:tblGrid>
        <w:gridCol w:w="1057"/>
        <w:gridCol w:w="900"/>
        <w:gridCol w:w="990"/>
        <w:gridCol w:w="732"/>
        <w:gridCol w:w="1175"/>
        <w:gridCol w:w="1170"/>
        <w:gridCol w:w="732"/>
        <w:gridCol w:w="1158"/>
        <w:gridCol w:w="1080"/>
        <w:gridCol w:w="732"/>
        <w:gridCol w:w="1158"/>
        <w:gridCol w:w="1153"/>
        <w:gridCol w:w="732"/>
        <w:gridCol w:w="1158"/>
        <w:gridCol w:w="1153"/>
        <w:gridCol w:w="7"/>
      </w:tblGrid>
      <w:tr w:rsidR="00435165" w:rsidRPr="00DB2CC2" w14:paraId="4374FA7E" w14:textId="77777777" w:rsidTr="00BC159E">
        <w:trPr>
          <w:gridAfter w:val="1"/>
          <w:wAfter w:w="7" w:type="dxa"/>
          <w:trHeight w:val="295"/>
          <w:jc w:val="center"/>
        </w:trPr>
        <w:tc>
          <w:tcPr>
            <w:tcW w:w="1057" w:type="dxa"/>
            <w:tcBorders>
              <w:top w:val="single" w:sz="18" w:space="0" w:color="auto"/>
              <w:bottom w:val="nil"/>
            </w:tcBorders>
            <w:noWrap/>
            <w:vAlign w:val="center"/>
            <w:hideMark/>
          </w:tcPr>
          <w:p w14:paraId="3E0BA41C" w14:textId="77777777" w:rsidR="00435165" w:rsidRPr="00DB2CC2" w:rsidRDefault="00435165" w:rsidP="0080277B">
            <w:pPr>
              <w:spacing w:line="240" w:lineRule="auto"/>
              <w:rPr>
                <w:rFonts w:eastAsia="Times New Roman" w:cs="Times New Roman"/>
                <w:sz w:val="20"/>
                <w:szCs w:val="20"/>
              </w:rPr>
            </w:pPr>
          </w:p>
        </w:tc>
        <w:tc>
          <w:tcPr>
            <w:tcW w:w="900" w:type="dxa"/>
            <w:tcBorders>
              <w:top w:val="single" w:sz="18" w:space="0" w:color="auto"/>
              <w:bottom w:val="nil"/>
            </w:tcBorders>
            <w:noWrap/>
            <w:vAlign w:val="center"/>
            <w:hideMark/>
          </w:tcPr>
          <w:p w14:paraId="5FA38EA0" w14:textId="77777777" w:rsidR="00435165" w:rsidRPr="00DB2CC2" w:rsidRDefault="00435165" w:rsidP="001B1635">
            <w:pPr>
              <w:spacing w:line="240" w:lineRule="auto"/>
              <w:jc w:val="center"/>
              <w:rPr>
                <w:rFonts w:eastAsia="Times New Roman" w:cs="Times New Roman"/>
                <w:sz w:val="20"/>
                <w:szCs w:val="20"/>
              </w:rPr>
            </w:pPr>
          </w:p>
        </w:tc>
        <w:tc>
          <w:tcPr>
            <w:tcW w:w="990" w:type="dxa"/>
            <w:tcBorders>
              <w:top w:val="single" w:sz="18" w:space="0" w:color="auto"/>
              <w:bottom w:val="nil"/>
              <w:right w:val="single" w:sz="18" w:space="0" w:color="auto"/>
            </w:tcBorders>
            <w:noWrap/>
            <w:vAlign w:val="center"/>
            <w:hideMark/>
          </w:tcPr>
          <w:p w14:paraId="20A382C4" w14:textId="77777777" w:rsidR="00435165" w:rsidRPr="00DB2CC2" w:rsidRDefault="00435165" w:rsidP="001B1635">
            <w:pPr>
              <w:spacing w:line="240" w:lineRule="auto"/>
              <w:jc w:val="center"/>
              <w:rPr>
                <w:rFonts w:eastAsia="Times New Roman" w:cs="Times New Roman"/>
                <w:sz w:val="20"/>
                <w:szCs w:val="20"/>
              </w:rPr>
            </w:pPr>
          </w:p>
        </w:tc>
        <w:tc>
          <w:tcPr>
            <w:tcW w:w="3077" w:type="dxa"/>
            <w:gridSpan w:val="3"/>
            <w:tcBorders>
              <w:top w:val="single" w:sz="18" w:space="0" w:color="auto"/>
              <w:left w:val="single" w:sz="18" w:space="0" w:color="auto"/>
              <w:bottom w:val="single" w:sz="18" w:space="0" w:color="auto"/>
              <w:right w:val="single" w:sz="18" w:space="0" w:color="auto"/>
            </w:tcBorders>
            <w:noWrap/>
            <w:vAlign w:val="center"/>
            <w:hideMark/>
          </w:tcPr>
          <w:p w14:paraId="5267F88A" w14:textId="0B8F51F0" w:rsidR="00435165" w:rsidRPr="00DB2CC2" w:rsidRDefault="00435165" w:rsidP="001B1635">
            <w:pPr>
              <w:spacing w:line="240" w:lineRule="auto"/>
              <w:jc w:val="center"/>
              <w:rPr>
                <w:rFonts w:eastAsia="Times New Roman" w:cs="Times New Roman"/>
                <w:b/>
                <w:bCs/>
                <w:sz w:val="20"/>
                <w:szCs w:val="20"/>
              </w:rPr>
            </w:pPr>
            <w:r w:rsidRPr="00DB2CC2">
              <w:rPr>
                <w:rFonts w:eastAsia="Times New Roman" w:cs="Times New Roman"/>
                <w:b/>
                <w:bCs/>
                <w:color w:val="000000"/>
                <w:sz w:val="20"/>
                <w:szCs w:val="20"/>
              </w:rPr>
              <w:t>MNP</w:t>
            </w:r>
          </w:p>
        </w:tc>
        <w:tc>
          <w:tcPr>
            <w:tcW w:w="2970" w:type="dxa"/>
            <w:gridSpan w:val="3"/>
            <w:tcBorders>
              <w:top w:val="single" w:sz="18" w:space="0" w:color="auto"/>
              <w:left w:val="single" w:sz="18" w:space="0" w:color="auto"/>
              <w:bottom w:val="single" w:sz="18" w:space="0" w:color="auto"/>
              <w:right w:val="single" w:sz="18" w:space="0" w:color="auto"/>
            </w:tcBorders>
            <w:noWrap/>
            <w:vAlign w:val="center"/>
            <w:hideMark/>
          </w:tcPr>
          <w:p w14:paraId="27088492" w14:textId="54C50515" w:rsidR="00435165" w:rsidRPr="00DB2CC2" w:rsidRDefault="00435165" w:rsidP="001B1635">
            <w:pPr>
              <w:spacing w:line="240" w:lineRule="auto"/>
              <w:jc w:val="center"/>
              <w:rPr>
                <w:rFonts w:eastAsia="Times New Roman" w:cs="Times New Roman"/>
                <w:b/>
                <w:bCs/>
                <w:sz w:val="20"/>
                <w:szCs w:val="20"/>
              </w:rPr>
            </w:pPr>
            <w:r w:rsidRPr="00DB2CC2">
              <w:rPr>
                <w:rFonts w:eastAsia="Times New Roman" w:cs="Times New Roman"/>
                <w:b/>
                <w:bCs/>
                <w:color w:val="000000"/>
                <w:sz w:val="20"/>
                <w:szCs w:val="20"/>
              </w:rPr>
              <w:t>MNPRC</w:t>
            </w:r>
          </w:p>
        </w:tc>
        <w:tc>
          <w:tcPr>
            <w:tcW w:w="3043" w:type="dxa"/>
            <w:gridSpan w:val="3"/>
            <w:tcBorders>
              <w:top w:val="single" w:sz="18" w:space="0" w:color="auto"/>
              <w:left w:val="single" w:sz="18" w:space="0" w:color="auto"/>
              <w:bottom w:val="single" w:sz="18" w:space="0" w:color="auto"/>
              <w:right w:val="single" w:sz="18" w:space="0" w:color="auto"/>
            </w:tcBorders>
            <w:noWrap/>
            <w:vAlign w:val="center"/>
            <w:hideMark/>
          </w:tcPr>
          <w:p w14:paraId="7974D5BB" w14:textId="2E00925B" w:rsidR="00435165" w:rsidRPr="00DB2CC2" w:rsidRDefault="00435165" w:rsidP="001B1635">
            <w:pPr>
              <w:spacing w:line="240" w:lineRule="auto"/>
              <w:jc w:val="center"/>
              <w:rPr>
                <w:rFonts w:eastAsia="Times New Roman" w:cs="Times New Roman"/>
                <w:b/>
                <w:bCs/>
                <w:sz w:val="20"/>
                <w:szCs w:val="20"/>
              </w:rPr>
            </w:pPr>
            <w:r w:rsidRPr="00DB2CC2">
              <w:rPr>
                <w:rFonts w:eastAsia="Times New Roman" w:cs="Times New Roman"/>
                <w:b/>
                <w:bCs/>
                <w:color w:val="000000"/>
                <w:sz w:val="20"/>
                <w:szCs w:val="20"/>
              </w:rPr>
              <w:t>MNYJ</w:t>
            </w:r>
          </w:p>
        </w:tc>
        <w:tc>
          <w:tcPr>
            <w:tcW w:w="3043" w:type="dxa"/>
            <w:gridSpan w:val="3"/>
            <w:tcBorders>
              <w:top w:val="single" w:sz="18" w:space="0" w:color="auto"/>
              <w:left w:val="single" w:sz="18" w:space="0" w:color="auto"/>
              <w:bottom w:val="single" w:sz="18" w:space="0" w:color="auto"/>
            </w:tcBorders>
            <w:noWrap/>
            <w:vAlign w:val="center"/>
            <w:hideMark/>
          </w:tcPr>
          <w:p w14:paraId="2F073B26" w14:textId="69DF2A02" w:rsidR="00435165" w:rsidRPr="00DB2CC2" w:rsidRDefault="00435165" w:rsidP="001B1635">
            <w:pPr>
              <w:spacing w:line="240" w:lineRule="auto"/>
              <w:jc w:val="center"/>
              <w:rPr>
                <w:rFonts w:eastAsia="Times New Roman" w:cs="Times New Roman"/>
                <w:sz w:val="20"/>
                <w:szCs w:val="20"/>
              </w:rPr>
            </w:pPr>
            <w:r w:rsidRPr="00DB2CC2">
              <w:rPr>
                <w:rFonts w:eastAsia="Times New Roman" w:cs="Times New Roman"/>
                <w:b/>
                <w:bCs/>
                <w:color w:val="000000"/>
                <w:sz w:val="20"/>
                <w:szCs w:val="20"/>
              </w:rPr>
              <w:t>MNYJRC</w:t>
            </w:r>
          </w:p>
        </w:tc>
      </w:tr>
      <w:tr w:rsidR="001B1635" w:rsidRPr="00DB2CC2" w14:paraId="61778AD5" w14:textId="77777777" w:rsidTr="00BC159E">
        <w:trPr>
          <w:gridAfter w:val="1"/>
          <w:wAfter w:w="7" w:type="dxa"/>
          <w:trHeight w:val="295"/>
          <w:jc w:val="center"/>
        </w:trPr>
        <w:tc>
          <w:tcPr>
            <w:tcW w:w="2947" w:type="dxa"/>
            <w:gridSpan w:val="3"/>
            <w:tcBorders>
              <w:top w:val="nil"/>
              <w:bottom w:val="single" w:sz="18" w:space="0" w:color="auto"/>
              <w:right w:val="single" w:sz="18" w:space="0" w:color="auto"/>
            </w:tcBorders>
            <w:noWrap/>
            <w:vAlign w:val="center"/>
            <w:hideMark/>
          </w:tcPr>
          <w:p w14:paraId="56AD687E" w14:textId="62A9C2B2" w:rsidR="001B1635" w:rsidRPr="00DB2CC2" w:rsidRDefault="001B1635" w:rsidP="001B1635">
            <w:pPr>
              <w:spacing w:line="240" w:lineRule="auto"/>
              <w:jc w:val="center"/>
              <w:rPr>
                <w:rFonts w:eastAsia="Times New Roman" w:cs="Times New Roman"/>
                <w:sz w:val="20"/>
                <w:szCs w:val="20"/>
              </w:rPr>
            </w:pPr>
            <w:r w:rsidRPr="00DB2CC2">
              <w:rPr>
                <w:rFonts w:eastAsia="Times New Roman" w:cs="Times New Roman"/>
                <w:sz w:val="20"/>
                <w:szCs w:val="20"/>
              </w:rPr>
              <w:t>Exogenous Variable</w:t>
            </w:r>
          </w:p>
        </w:tc>
        <w:tc>
          <w:tcPr>
            <w:tcW w:w="732" w:type="dxa"/>
            <w:tcBorders>
              <w:top w:val="single" w:sz="18" w:space="0" w:color="auto"/>
              <w:left w:val="single" w:sz="18" w:space="0" w:color="auto"/>
              <w:bottom w:val="single" w:sz="18" w:space="0" w:color="auto"/>
            </w:tcBorders>
            <w:noWrap/>
            <w:vAlign w:val="center"/>
            <w:hideMark/>
          </w:tcPr>
          <w:p w14:paraId="558E8389"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Regular Vehicle</w:t>
            </w:r>
          </w:p>
        </w:tc>
        <w:tc>
          <w:tcPr>
            <w:tcW w:w="1175" w:type="dxa"/>
            <w:tcBorders>
              <w:top w:val="single" w:sz="18" w:space="0" w:color="auto"/>
              <w:bottom w:val="single" w:sz="18" w:space="0" w:color="auto"/>
            </w:tcBorders>
            <w:noWrap/>
            <w:vAlign w:val="center"/>
            <w:hideMark/>
          </w:tcPr>
          <w:p w14:paraId="57590FD6"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Autonomous Vehicle</w:t>
            </w:r>
          </w:p>
        </w:tc>
        <w:tc>
          <w:tcPr>
            <w:tcW w:w="1170" w:type="dxa"/>
            <w:tcBorders>
              <w:top w:val="single" w:sz="18" w:space="0" w:color="auto"/>
              <w:bottom w:val="single" w:sz="18" w:space="0" w:color="auto"/>
              <w:right w:val="single" w:sz="18" w:space="0" w:color="auto"/>
            </w:tcBorders>
            <w:noWrap/>
            <w:vAlign w:val="center"/>
            <w:hideMark/>
          </w:tcPr>
          <w:p w14:paraId="0EC16242"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No Vehicle / Ridehailing</w:t>
            </w:r>
          </w:p>
        </w:tc>
        <w:tc>
          <w:tcPr>
            <w:tcW w:w="732" w:type="dxa"/>
            <w:tcBorders>
              <w:top w:val="single" w:sz="18" w:space="0" w:color="auto"/>
              <w:left w:val="single" w:sz="18" w:space="0" w:color="auto"/>
              <w:bottom w:val="single" w:sz="18" w:space="0" w:color="auto"/>
            </w:tcBorders>
            <w:noWrap/>
            <w:vAlign w:val="center"/>
            <w:hideMark/>
          </w:tcPr>
          <w:p w14:paraId="2BE32577"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Regular Vehicle</w:t>
            </w:r>
          </w:p>
        </w:tc>
        <w:tc>
          <w:tcPr>
            <w:tcW w:w="1158" w:type="dxa"/>
            <w:tcBorders>
              <w:top w:val="single" w:sz="18" w:space="0" w:color="auto"/>
              <w:bottom w:val="single" w:sz="18" w:space="0" w:color="auto"/>
            </w:tcBorders>
            <w:noWrap/>
            <w:vAlign w:val="center"/>
            <w:hideMark/>
          </w:tcPr>
          <w:p w14:paraId="44211581"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Autonomous Vehicle</w:t>
            </w:r>
          </w:p>
        </w:tc>
        <w:tc>
          <w:tcPr>
            <w:tcW w:w="1080" w:type="dxa"/>
            <w:tcBorders>
              <w:top w:val="single" w:sz="18" w:space="0" w:color="auto"/>
              <w:bottom w:val="single" w:sz="18" w:space="0" w:color="auto"/>
              <w:right w:val="single" w:sz="18" w:space="0" w:color="auto"/>
            </w:tcBorders>
            <w:noWrap/>
            <w:vAlign w:val="center"/>
            <w:hideMark/>
          </w:tcPr>
          <w:p w14:paraId="4442D672"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No Vehicle / Ridehailing</w:t>
            </w:r>
          </w:p>
        </w:tc>
        <w:tc>
          <w:tcPr>
            <w:tcW w:w="732" w:type="dxa"/>
            <w:tcBorders>
              <w:top w:val="single" w:sz="18" w:space="0" w:color="auto"/>
              <w:left w:val="single" w:sz="18" w:space="0" w:color="auto"/>
              <w:bottom w:val="single" w:sz="18" w:space="0" w:color="auto"/>
            </w:tcBorders>
            <w:noWrap/>
            <w:vAlign w:val="center"/>
            <w:hideMark/>
          </w:tcPr>
          <w:p w14:paraId="5329B26C"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Regular Vehicle</w:t>
            </w:r>
          </w:p>
        </w:tc>
        <w:tc>
          <w:tcPr>
            <w:tcW w:w="1158" w:type="dxa"/>
            <w:tcBorders>
              <w:top w:val="single" w:sz="18" w:space="0" w:color="auto"/>
              <w:bottom w:val="single" w:sz="18" w:space="0" w:color="auto"/>
            </w:tcBorders>
            <w:noWrap/>
            <w:vAlign w:val="center"/>
            <w:hideMark/>
          </w:tcPr>
          <w:p w14:paraId="01AEBF5E"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Autonomous Vehicle</w:t>
            </w:r>
          </w:p>
        </w:tc>
        <w:tc>
          <w:tcPr>
            <w:tcW w:w="1153" w:type="dxa"/>
            <w:tcBorders>
              <w:top w:val="single" w:sz="18" w:space="0" w:color="auto"/>
              <w:bottom w:val="single" w:sz="18" w:space="0" w:color="auto"/>
              <w:right w:val="single" w:sz="18" w:space="0" w:color="auto"/>
            </w:tcBorders>
            <w:noWrap/>
            <w:vAlign w:val="center"/>
            <w:hideMark/>
          </w:tcPr>
          <w:p w14:paraId="27F01C5E"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No Vehicle / Ridehailing</w:t>
            </w:r>
          </w:p>
        </w:tc>
        <w:tc>
          <w:tcPr>
            <w:tcW w:w="732" w:type="dxa"/>
            <w:tcBorders>
              <w:top w:val="single" w:sz="18" w:space="0" w:color="auto"/>
              <w:left w:val="single" w:sz="18" w:space="0" w:color="auto"/>
              <w:bottom w:val="single" w:sz="18" w:space="0" w:color="auto"/>
            </w:tcBorders>
            <w:noWrap/>
            <w:vAlign w:val="center"/>
            <w:hideMark/>
          </w:tcPr>
          <w:p w14:paraId="417D03DD"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Regular Vehicle</w:t>
            </w:r>
          </w:p>
        </w:tc>
        <w:tc>
          <w:tcPr>
            <w:tcW w:w="1158" w:type="dxa"/>
            <w:tcBorders>
              <w:top w:val="single" w:sz="18" w:space="0" w:color="auto"/>
              <w:bottom w:val="single" w:sz="18" w:space="0" w:color="auto"/>
            </w:tcBorders>
            <w:noWrap/>
            <w:vAlign w:val="center"/>
            <w:hideMark/>
          </w:tcPr>
          <w:p w14:paraId="740A0B3A"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Autonomous Vehicle</w:t>
            </w:r>
          </w:p>
        </w:tc>
        <w:tc>
          <w:tcPr>
            <w:tcW w:w="1153" w:type="dxa"/>
            <w:tcBorders>
              <w:top w:val="single" w:sz="18" w:space="0" w:color="auto"/>
              <w:bottom w:val="single" w:sz="18" w:space="0" w:color="auto"/>
            </w:tcBorders>
            <w:noWrap/>
            <w:vAlign w:val="center"/>
            <w:hideMark/>
          </w:tcPr>
          <w:p w14:paraId="405D9706" w14:textId="77777777" w:rsidR="001B1635" w:rsidRPr="00DB2CC2" w:rsidRDefault="001B1635" w:rsidP="001B1635">
            <w:pPr>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No Vehicle / Ridehailing</w:t>
            </w:r>
          </w:p>
        </w:tc>
      </w:tr>
      <w:tr w:rsidR="00FC48CC" w:rsidRPr="00DB2CC2" w14:paraId="3684309B" w14:textId="77777777" w:rsidTr="00BC159E">
        <w:trPr>
          <w:trHeight w:val="295"/>
          <w:jc w:val="center"/>
        </w:trPr>
        <w:tc>
          <w:tcPr>
            <w:tcW w:w="15087" w:type="dxa"/>
            <w:gridSpan w:val="16"/>
            <w:tcBorders>
              <w:top w:val="single" w:sz="18" w:space="0" w:color="auto"/>
              <w:bottom w:val="single" w:sz="18" w:space="0" w:color="auto"/>
            </w:tcBorders>
            <w:noWrap/>
            <w:vAlign w:val="center"/>
          </w:tcPr>
          <w:p w14:paraId="4D1B9732" w14:textId="2BAD4CA4" w:rsidR="00FC48CC" w:rsidRPr="00DB2CC2" w:rsidRDefault="00FC48CC" w:rsidP="001B1635">
            <w:pPr>
              <w:spacing w:line="240" w:lineRule="auto"/>
              <w:jc w:val="center"/>
              <w:rPr>
                <w:rFonts w:eastAsia="Times New Roman" w:cs="Times New Roman"/>
                <w:b/>
                <w:bCs/>
                <w:i/>
                <w:iCs/>
                <w:color w:val="000000"/>
                <w:sz w:val="20"/>
                <w:szCs w:val="20"/>
              </w:rPr>
            </w:pPr>
            <w:r w:rsidRPr="00DB2CC2">
              <w:rPr>
                <w:rFonts w:eastAsia="Times New Roman" w:cs="Times New Roman"/>
                <w:b/>
                <w:bCs/>
                <w:i/>
                <w:iCs/>
                <w:color w:val="000000"/>
                <w:sz w:val="20"/>
                <w:szCs w:val="20"/>
              </w:rPr>
              <w:t>Service Attributes</w:t>
            </w:r>
          </w:p>
        </w:tc>
      </w:tr>
      <w:tr w:rsidR="00435165" w:rsidRPr="00DB2CC2" w14:paraId="6D11D6AD" w14:textId="77777777" w:rsidTr="00014DCE">
        <w:trPr>
          <w:gridAfter w:val="1"/>
          <w:wAfter w:w="7" w:type="dxa"/>
          <w:trHeight w:val="295"/>
          <w:jc w:val="center"/>
        </w:trPr>
        <w:tc>
          <w:tcPr>
            <w:tcW w:w="2947" w:type="dxa"/>
            <w:gridSpan w:val="3"/>
            <w:tcBorders>
              <w:top w:val="single" w:sz="18" w:space="0" w:color="auto"/>
              <w:bottom w:val="nil"/>
              <w:right w:val="single" w:sz="18" w:space="0" w:color="auto"/>
            </w:tcBorders>
            <w:noWrap/>
            <w:vAlign w:val="center"/>
          </w:tcPr>
          <w:p w14:paraId="4E2CB4E1" w14:textId="5C836D20" w:rsidR="00435165" w:rsidRPr="00DB2CC2" w:rsidRDefault="00435165" w:rsidP="001B1635">
            <w:pPr>
              <w:spacing w:line="240" w:lineRule="auto"/>
              <w:jc w:val="left"/>
              <w:rPr>
                <w:rFonts w:eastAsia="Times New Roman" w:cs="Times New Roman"/>
                <w:b/>
                <w:bCs/>
                <w:sz w:val="20"/>
                <w:szCs w:val="20"/>
              </w:rPr>
            </w:pPr>
            <w:r w:rsidRPr="00DB2CC2">
              <w:rPr>
                <w:rFonts w:eastAsia="Times New Roman" w:cs="Times New Roman"/>
                <w:b/>
                <w:bCs/>
                <w:color w:val="000000"/>
                <w:sz w:val="20"/>
                <w:szCs w:val="20"/>
              </w:rPr>
              <w:t>Effect of 20% increase to:</w:t>
            </w:r>
          </w:p>
        </w:tc>
        <w:tc>
          <w:tcPr>
            <w:tcW w:w="732" w:type="dxa"/>
            <w:tcBorders>
              <w:top w:val="single" w:sz="18" w:space="0" w:color="auto"/>
              <w:left w:val="single" w:sz="18" w:space="0" w:color="auto"/>
            </w:tcBorders>
            <w:noWrap/>
            <w:vAlign w:val="center"/>
          </w:tcPr>
          <w:p w14:paraId="2423F02F" w14:textId="77777777" w:rsidR="00435165" w:rsidRPr="00DB2CC2" w:rsidRDefault="00435165" w:rsidP="00014DCE">
            <w:pPr>
              <w:spacing w:line="240" w:lineRule="auto"/>
              <w:jc w:val="center"/>
              <w:rPr>
                <w:rFonts w:eastAsia="Times New Roman" w:cs="Times New Roman"/>
                <w:color w:val="000000"/>
                <w:sz w:val="20"/>
                <w:szCs w:val="20"/>
              </w:rPr>
            </w:pPr>
          </w:p>
        </w:tc>
        <w:tc>
          <w:tcPr>
            <w:tcW w:w="1175" w:type="dxa"/>
            <w:tcBorders>
              <w:top w:val="single" w:sz="18" w:space="0" w:color="auto"/>
            </w:tcBorders>
            <w:noWrap/>
            <w:vAlign w:val="center"/>
          </w:tcPr>
          <w:p w14:paraId="11C209C1" w14:textId="77777777" w:rsidR="00435165" w:rsidRPr="00DB2CC2" w:rsidRDefault="00435165" w:rsidP="00014DCE">
            <w:pPr>
              <w:spacing w:line="240" w:lineRule="auto"/>
              <w:jc w:val="center"/>
              <w:rPr>
                <w:rFonts w:eastAsia="Times New Roman" w:cs="Times New Roman"/>
                <w:color w:val="000000"/>
                <w:sz w:val="20"/>
                <w:szCs w:val="20"/>
              </w:rPr>
            </w:pPr>
          </w:p>
        </w:tc>
        <w:tc>
          <w:tcPr>
            <w:tcW w:w="1170" w:type="dxa"/>
            <w:tcBorders>
              <w:top w:val="single" w:sz="18" w:space="0" w:color="auto"/>
              <w:right w:val="single" w:sz="18" w:space="0" w:color="auto"/>
            </w:tcBorders>
            <w:noWrap/>
            <w:vAlign w:val="center"/>
          </w:tcPr>
          <w:p w14:paraId="5BFCD9F3" w14:textId="77777777" w:rsidR="00435165" w:rsidRPr="00DB2CC2" w:rsidRDefault="00435165"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bottom w:val="nil"/>
            </w:tcBorders>
            <w:noWrap/>
            <w:vAlign w:val="center"/>
          </w:tcPr>
          <w:p w14:paraId="0E4218E5" w14:textId="77777777" w:rsidR="00435165" w:rsidRPr="00DB2CC2" w:rsidRDefault="00435165" w:rsidP="00014DCE">
            <w:pPr>
              <w:spacing w:line="240" w:lineRule="auto"/>
              <w:jc w:val="center"/>
              <w:rPr>
                <w:rFonts w:eastAsia="Times New Roman" w:cs="Times New Roman"/>
                <w:color w:val="000000"/>
                <w:sz w:val="20"/>
                <w:szCs w:val="20"/>
              </w:rPr>
            </w:pPr>
          </w:p>
        </w:tc>
        <w:tc>
          <w:tcPr>
            <w:tcW w:w="1158" w:type="dxa"/>
            <w:tcBorders>
              <w:top w:val="single" w:sz="18" w:space="0" w:color="auto"/>
              <w:bottom w:val="nil"/>
            </w:tcBorders>
            <w:noWrap/>
            <w:vAlign w:val="center"/>
          </w:tcPr>
          <w:p w14:paraId="18C1C5F6" w14:textId="77777777" w:rsidR="00435165" w:rsidRPr="00DB2CC2" w:rsidRDefault="00435165" w:rsidP="00014DCE">
            <w:pPr>
              <w:spacing w:line="240" w:lineRule="auto"/>
              <w:jc w:val="center"/>
              <w:rPr>
                <w:rFonts w:eastAsia="Times New Roman" w:cs="Times New Roman"/>
                <w:color w:val="000000"/>
                <w:sz w:val="20"/>
                <w:szCs w:val="20"/>
              </w:rPr>
            </w:pPr>
          </w:p>
        </w:tc>
        <w:tc>
          <w:tcPr>
            <w:tcW w:w="1080" w:type="dxa"/>
            <w:tcBorders>
              <w:top w:val="single" w:sz="18" w:space="0" w:color="auto"/>
              <w:bottom w:val="nil"/>
              <w:right w:val="single" w:sz="18" w:space="0" w:color="auto"/>
            </w:tcBorders>
            <w:noWrap/>
            <w:vAlign w:val="center"/>
          </w:tcPr>
          <w:p w14:paraId="5CD42DC1" w14:textId="77777777" w:rsidR="00435165" w:rsidRPr="00DB2CC2" w:rsidRDefault="00435165"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tcBorders>
            <w:noWrap/>
            <w:vAlign w:val="center"/>
          </w:tcPr>
          <w:p w14:paraId="52EC3894" w14:textId="77777777" w:rsidR="00435165" w:rsidRPr="00DB2CC2" w:rsidRDefault="00435165" w:rsidP="00014DCE">
            <w:pPr>
              <w:spacing w:line="240" w:lineRule="auto"/>
              <w:jc w:val="center"/>
              <w:rPr>
                <w:rFonts w:eastAsia="Times New Roman" w:cs="Times New Roman"/>
                <w:color w:val="000000"/>
                <w:sz w:val="20"/>
                <w:szCs w:val="20"/>
              </w:rPr>
            </w:pPr>
          </w:p>
        </w:tc>
        <w:tc>
          <w:tcPr>
            <w:tcW w:w="1158" w:type="dxa"/>
            <w:tcBorders>
              <w:top w:val="single" w:sz="18" w:space="0" w:color="auto"/>
            </w:tcBorders>
            <w:noWrap/>
            <w:vAlign w:val="center"/>
          </w:tcPr>
          <w:p w14:paraId="4B435C15" w14:textId="77777777" w:rsidR="00435165" w:rsidRPr="00DB2CC2" w:rsidRDefault="00435165" w:rsidP="00014DCE">
            <w:pPr>
              <w:spacing w:line="240" w:lineRule="auto"/>
              <w:jc w:val="center"/>
              <w:rPr>
                <w:rFonts w:eastAsia="Times New Roman" w:cs="Times New Roman"/>
                <w:color w:val="000000"/>
                <w:sz w:val="20"/>
                <w:szCs w:val="20"/>
              </w:rPr>
            </w:pPr>
          </w:p>
        </w:tc>
        <w:tc>
          <w:tcPr>
            <w:tcW w:w="1153" w:type="dxa"/>
            <w:tcBorders>
              <w:top w:val="single" w:sz="18" w:space="0" w:color="auto"/>
              <w:right w:val="single" w:sz="18" w:space="0" w:color="auto"/>
            </w:tcBorders>
            <w:noWrap/>
            <w:vAlign w:val="center"/>
          </w:tcPr>
          <w:p w14:paraId="7230750E" w14:textId="77777777" w:rsidR="00435165" w:rsidRPr="00DB2CC2" w:rsidRDefault="00435165"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bottom w:val="nil"/>
            </w:tcBorders>
            <w:noWrap/>
            <w:vAlign w:val="center"/>
          </w:tcPr>
          <w:p w14:paraId="48079BB6" w14:textId="77777777" w:rsidR="00435165" w:rsidRPr="00DB2CC2" w:rsidRDefault="00435165" w:rsidP="00014DCE">
            <w:pPr>
              <w:spacing w:line="240" w:lineRule="auto"/>
              <w:jc w:val="center"/>
              <w:rPr>
                <w:rFonts w:eastAsia="Times New Roman" w:cs="Times New Roman"/>
                <w:color w:val="000000"/>
                <w:sz w:val="20"/>
                <w:szCs w:val="20"/>
              </w:rPr>
            </w:pPr>
          </w:p>
        </w:tc>
        <w:tc>
          <w:tcPr>
            <w:tcW w:w="1158" w:type="dxa"/>
            <w:tcBorders>
              <w:top w:val="single" w:sz="18" w:space="0" w:color="auto"/>
              <w:bottom w:val="nil"/>
            </w:tcBorders>
            <w:noWrap/>
            <w:vAlign w:val="center"/>
          </w:tcPr>
          <w:p w14:paraId="66ED783F" w14:textId="77777777" w:rsidR="00435165" w:rsidRPr="00DB2CC2" w:rsidRDefault="00435165" w:rsidP="00014DCE">
            <w:pPr>
              <w:spacing w:line="240" w:lineRule="auto"/>
              <w:jc w:val="center"/>
              <w:rPr>
                <w:rFonts w:eastAsia="Times New Roman" w:cs="Times New Roman"/>
                <w:color w:val="000000"/>
                <w:sz w:val="20"/>
                <w:szCs w:val="20"/>
              </w:rPr>
            </w:pPr>
          </w:p>
        </w:tc>
        <w:tc>
          <w:tcPr>
            <w:tcW w:w="1153" w:type="dxa"/>
            <w:tcBorders>
              <w:top w:val="single" w:sz="18" w:space="0" w:color="auto"/>
              <w:bottom w:val="nil"/>
            </w:tcBorders>
            <w:noWrap/>
            <w:vAlign w:val="center"/>
          </w:tcPr>
          <w:p w14:paraId="3F2AEEA4" w14:textId="77777777" w:rsidR="00435165" w:rsidRPr="00DB2CC2" w:rsidRDefault="00435165" w:rsidP="00014DCE">
            <w:pPr>
              <w:spacing w:line="240" w:lineRule="auto"/>
              <w:jc w:val="center"/>
              <w:rPr>
                <w:rFonts w:eastAsia="Times New Roman" w:cs="Times New Roman"/>
                <w:color w:val="000000"/>
                <w:sz w:val="20"/>
                <w:szCs w:val="20"/>
              </w:rPr>
            </w:pPr>
          </w:p>
        </w:tc>
      </w:tr>
      <w:tr w:rsidR="00DB2CC2" w:rsidRPr="00DB2CC2" w14:paraId="5DCFC1FD" w14:textId="77777777" w:rsidTr="00014DCE">
        <w:trPr>
          <w:gridAfter w:val="1"/>
          <w:wAfter w:w="7" w:type="dxa"/>
          <w:trHeight w:val="295"/>
          <w:jc w:val="center"/>
        </w:trPr>
        <w:tc>
          <w:tcPr>
            <w:tcW w:w="2947" w:type="dxa"/>
            <w:gridSpan w:val="3"/>
            <w:tcBorders>
              <w:top w:val="nil"/>
              <w:bottom w:val="nil"/>
              <w:right w:val="single" w:sz="18" w:space="0" w:color="auto"/>
            </w:tcBorders>
            <w:noWrap/>
            <w:vAlign w:val="center"/>
            <w:hideMark/>
          </w:tcPr>
          <w:p w14:paraId="08294348" w14:textId="5787B559" w:rsidR="00DB2CC2" w:rsidRPr="00DB2CC2" w:rsidRDefault="00DB2CC2" w:rsidP="00DB2CC2">
            <w:pPr>
              <w:spacing w:line="240" w:lineRule="auto"/>
              <w:jc w:val="left"/>
              <w:rPr>
                <w:rFonts w:eastAsia="Times New Roman" w:cs="Times New Roman"/>
                <w:sz w:val="20"/>
                <w:szCs w:val="20"/>
              </w:rPr>
            </w:pPr>
            <w:r w:rsidRPr="00DB2CC2">
              <w:rPr>
                <w:rFonts w:eastAsia="Times New Roman" w:cs="Times New Roman"/>
                <w:color w:val="000000"/>
                <w:sz w:val="20"/>
                <w:szCs w:val="20"/>
              </w:rPr>
              <w:t>Regular Vehicle Fixed Cost</w:t>
            </w:r>
          </w:p>
        </w:tc>
        <w:tc>
          <w:tcPr>
            <w:tcW w:w="732" w:type="dxa"/>
            <w:tcBorders>
              <w:left w:val="single" w:sz="18" w:space="0" w:color="auto"/>
            </w:tcBorders>
            <w:noWrap/>
            <w:vAlign w:val="center"/>
            <w:hideMark/>
          </w:tcPr>
          <w:p w14:paraId="3206C7A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-11.20</w:t>
            </w:r>
          </w:p>
        </w:tc>
        <w:tc>
          <w:tcPr>
            <w:tcW w:w="1175" w:type="dxa"/>
            <w:noWrap/>
            <w:vAlign w:val="center"/>
            <w:hideMark/>
          </w:tcPr>
          <w:p w14:paraId="4926D2E6"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18.68</w:t>
            </w:r>
          </w:p>
        </w:tc>
        <w:tc>
          <w:tcPr>
            <w:tcW w:w="1170" w:type="dxa"/>
            <w:tcBorders>
              <w:right w:val="single" w:sz="18" w:space="0" w:color="auto"/>
            </w:tcBorders>
            <w:noWrap/>
            <w:vAlign w:val="center"/>
            <w:hideMark/>
          </w:tcPr>
          <w:p w14:paraId="71758AF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1.45</w:t>
            </w:r>
          </w:p>
        </w:tc>
        <w:tc>
          <w:tcPr>
            <w:tcW w:w="732" w:type="dxa"/>
            <w:tcBorders>
              <w:top w:val="nil"/>
              <w:left w:val="single" w:sz="18" w:space="0" w:color="auto"/>
              <w:bottom w:val="nil"/>
            </w:tcBorders>
            <w:noWrap/>
            <w:vAlign w:val="center"/>
            <w:hideMark/>
          </w:tcPr>
          <w:p w14:paraId="4561BFB0" w14:textId="539BA52A"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-11.13</w:t>
            </w:r>
          </w:p>
        </w:tc>
        <w:tc>
          <w:tcPr>
            <w:tcW w:w="1158" w:type="dxa"/>
            <w:tcBorders>
              <w:top w:val="nil"/>
              <w:bottom w:val="nil"/>
            </w:tcBorders>
            <w:noWrap/>
            <w:vAlign w:val="center"/>
            <w:hideMark/>
          </w:tcPr>
          <w:p w14:paraId="52038A32" w14:textId="151C2F4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18.44</w:t>
            </w:r>
          </w:p>
        </w:tc>
        <w:tc>
          <w:tcPr>
            <w:tcW w:w="1080" w:type="dxa"/>
            <w:tcBorders>
              <w:top w:val="nil"/>
              <w:bottom w:val="nil"/>
              <w:right w:val="single" w:sz="18" w:space="0" w:color="auto"/>
            </w:tcBorders>
            <w:noWrap/>
            <w:vAlign w:val="center"/>
            <w:hideMark/>
          </w:tcPr>
          <w:p w14:paraId="6CD97009" w14:textId="754E634C"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1.76</w:t>
            </w:r>
          </w:p>
        </w:tc>
        <w:tc>
          <w:tcPr>
            <w:tcW w:w="732" w:type="dxa"/>
            <w:tcBorders>
              <w:left w:val="single" w:sz="18" w:space="0" w:color="auto"/>
            </w:tcBorders>
            <w:noWrap/>
            <w:vAlign w:val="center"/>
            <w:hideMark/>
          </w:tcPr>
          <w:p w14:paraId="6CABFB3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-9.36</w:t>
            </w:r>
          </w:p>
        </w:tc>
        <w:tc>
          <w:tcPr>
            <w:tcW w:w="1158" w:type="dxa"/>
            <w:noWrap/>
            <w:vAlign w:val="center"/>
            <w:hideMark/>
          </w:tcPr>
          <w:p w14:paraId="1CD21147"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14.95</w:t>
            </w:r>
          </w:p>
        </w:tc>
        <w:tc>
          <w:tcPr>
            <w:tcW w:w="1153" w:type="dxa"/>
            <w:tcBorders>
              <w:right w:val="single" w:sz="18" w:space="0" w:color="auto"/>
            </w:tcBorders>
            <w:noWrap/>
            <w:vAlign w:val="center"/>
            <w:hideMark/>
          </w:tcPr>
          <w:p w14:paraId="41ED9A9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1.91</w:t>
            </w:r>
          </w:p>
        </w:tc>
        <w:tc>
          <w:tcPr>
            <w:tcW w:w="732" w:type="dxa"/>
            <w:tcBorders>
              <w:top w:val="nil"/>
              <w:left w:val="single" w:sz="18" w:space="0" w:color="auto"/>
              <w:bottom w:val="nil"/>
            </w:tcBorders>
            <w:noWrap/>
            <w:vAlign w:val="center"/>
            <w:hideMark/>
          </w:tcPr>
          <w:p w14:paraId="5350B633" w14:textId="5B4456C4"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-11.04</w:t>
            </w:r>
          </w:p>
        </w:tc>
        <w:tc>
          <w:tcPr>
            <w:tcW w:w="1158" w:type="dxa"/>
            <w:tcBorders>
              <w:top w:val="nil"/>
              <w:bottom w:val="nil"/>
            </w:tcBorders>
            <w:noWrap/>
            <w:vAlign w:val="center"/>
            <w:hideMark/>
          </w:tcPr>
          <w:p w14:paraId="5A6A9B77" w14:textId="67C1764A"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17.96</w:t>
            </w:r>
          </w:p>
        </w:tc>
        <w:tc>
          <w:tcPr>
            <w:tcW w:w="1153" w:type="dxa"/>
            <w:tcBorders>
              <w:top w:val="nil"/>
              <w:bottom w:val="nil"/>
            </w:tcBorders>
            <w:noWrap/>
            <w:vAlign w:val="center"/>
            <w:hideMark/>
          </w:tcPr>
          <w:p w14:paraId="46DB155F" w14:textId="03E3F3F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2.59</w:t>
            </w:r>
          </w:p>
        </w:tc>
      </w:tr>
      <w:tr w:rsidR="00DB2CC2" w:rsidRPr="00DB2CC2" w14:paraId="32CEEB93" w14:textId="77777777" w:rsidTr="00014DCE">
        <w:trPr>
          <w:gridAfter w:val="1"/>
          <w:wAfter w:w="7" w:type="dxa"/>
          <w:trHeight w:val="295"/>
          <w:jc w:val="center"/>
        </w:trPr>
        <w:tc>
          <w:tcPr>
            <w:tcW w:w="2947" w:type="dxa"/>
            <w:gridSpan w:val="3"/>
            <w:tcBorders>
              <w:top w:val="nil"/>
              <w:bottom w:val="nil"/>
              <w:right w:val="single" w:sz="18" w:space="0" w:color="auto"/>
            </w:tcBorders>
            <w:noWrap/>
            <w:vAlign w:val="center"/>
            <w:hideMark/>
          </w:tcPr>
          <w:p w14:paraId="1DFC9D27" w14:textId="159AD58A" w:rsidR="00DB2CC2" w:rsidRPr="00DB2CC2" w:rsidRDefault="00DB2CC2" w:rsidP="00DB2CC2">
            <w:pPr>
              <w:spacing w:line="240" w:lineRule="auto"/>
              <w:jc w:val="left"/>
              <w:rPr>
                <w:rFonts w:eastAsia="Times New Roman" w:cs="Times New Roman"/>
                <w:sz w:val="20"/>
                <w:szCs w:val="20"/>
              </w:rPr>
            </w:pPr>
            <w:r w:rsidRPr="00DB2CC2">
              <w:rPr>
                <w:rFonts w:eastAsia="Times New Roman" w:cs="Times New Roman"/>
                <w:color w:val="000000"/>
                <w:sz w:val="20"/>
                <w:szCs w:val="20"/>
              </w:rPr>
              <w:t>Regular Vehicle Variable Cost</w:t>
            </w:r>
          </w:p>
        </w:tc>
        <w:tc>
          <w:tcPr>
            <w:tcW w:w="732" w:type="dxa"/>
            <w:tcBorders>
              <w:left w:val="single" w:sz="18" w:space="0" w:color="auto"/>
            </w:tcBorders>
            <w:noWrap/>
            <w:vAlign w:val="center"/>
            <w:hideMark/>
          </w:tcPr>
          <w:p w14:paraId="7F25AB91"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-2.51</w:t>
            </w:r>
          </w:p>
        </w:tc>
        <w:tc>
          <w:tcPr>
            <w:tcW w:w="1175" w:type="dxa"/>
            <w:noWrap/>
            <w:vAlign w:val="center"/>
            <w:hideMark/>
          </w:tcPr>
          <w:p w14:paraId="6333E80A"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4.19</w:t>
            </w:r>
          </w:p>
        </w:tc>
        <w:tc>
          <w:tcPr>
            <w:tcW w:w="1170" w:type="dxa"/>
            <w:tcBorders>
              <w:right w:val="single" w:sz="18" w:space="0" w:color="auto"/>
            </w:tcBorders>
            <w:noWrap/>
            <w:vAlign w:val="center"/>
            <w:hideMark/>
          </w:tcPr>
          <w:p w14:paraId="5959A5F7"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0.33</w:t>
            </w:r>
          </w:p>
        </w:tc>
        <w:tc>
          <w:tcPr>
            <w:tcW w:w="732" w:type="dxa"/>
            <w:tcBorders>
              <w:top w:val="nil"/>
              <w:left w:val="single" w:sz="18" w:space="0" w:color="auto"/>
              <w:bottom w:val="nil"/>
            </w:tcBorders>
            <w:noWrap/>
            <w:vAlign w:val="center"/>
            <w:hideMark/>
          </w:tcPr>
          <w:p w14:paraId="5F40E8DE" w14:textId="5B13009A"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-2.52</w:t>
            </w:r>
          </w:p>
        </w:tc>
        <w:tc>
          <w:tcPr>
            <w:tcW w:w="1158" w:type="dxa"/>
            <w:tcBorders>
              <w:top w:val="nil"/>
              <w:bottom w:val="nil"/>
            </w:tcBorders>
            <w:noWrap/>
            <w:vAlign w:val="center"/>
            <w:hideMark/>
          </w:tcPr>
          <w:p w14:paraId="58327B51" w14:textId="030B04C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4.18</w:t>
            </w:r>
          </w:p>
        </w:tc>
        <w:tc>
          <w:tcPr>
            <w:tcW w:w="1080" w:type="dxa"/>
            <w:tcBorders>
              <w:top w:val="nil"/>
              <w:bottom w:val="nil"/>
              <w:right w:val="single" w:sz="18" w:space="0" w:color="auto"/>
            </w:tcBorders>
            <w:noWrap/>
            <w:vAlign w:val="center"/>
            <w:hideMark/>
          </w:tcPr>
          <w:p w14:paraId="23B1B722" w14:textId="58C381FD"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0.40</w:t>
            </w:r>
          </w:p>
        </w:tc>
        <w:tc>
          <w:tcPr>
            <w:tcW w:w="732" w:type="dxa"/>
            <w:tcBorders>
              <w:left w:val="single" w:sz="18" w:space="0" w:color="auto"/>
            </w:tcBorders>
            <w:noWrap/>
            <w:vAlign w:val="center"/>
            <w:hideMark/>
          </w:tcPr>
          <w:p w14:paraId="73CB4B9F"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-1.88</w:t>
            </w:r>
          </w:p>
        </w:tc>
        <w:tc>
          <w:tcPr>
            <w:tcW w:w="1158" w:type="dxa"/>
            <w:noWrap/>
            <w:vAlign w:val="center"/>
            <w:hideMark/>
          </w:tcPr>
          <w:p w14:paraId="5920FC6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2.98</w:t>
            </w:r>
          </w:p>
        </w:tc>
        <w:tc>
          <w:tcPr>
            <w:tcW w:w="1153" w:type="dxa"/>
            <w:tcBorders>
              <w:right w:val="single" w:sz="18" w:space="0" w:color="auto"/>
            </w:tcBorders>
            <w:noWrap/>
            <w:vAlign w:val="center"/>
            <w:hideMark/>
          </w:tcPr>
          <w:p w14:paraId="6180267A"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0.44</w:t>
            </w:r>
          </w:p>
        </w:tc>
        <w:tc>
          <w:tcPr>
            <w:tcW w:w="732" w:type="dxa"/>
            <w:tcBorders>
              <w:top w:val="nil"/>
              <w:left w:val="single" w:sz="18" w:space="0" w:color="auto"/>
              <w:bottom w:val="nil"/>
            </w:tcBorders>
            <w:noWrap/>
            <w:vAlign w:val="center"/>
            <w:hideMark/>
          </w:tcPr>
          <w:p w14:paraId="0C510A76" w14:textId="5F5EA120"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-2.46</w:t>
            </w:r>
          </w:p>
        </w:tc>
        <w:tc>
          <w:tcPr>
            <w:tcW w:w="1158" w:type="dxa"/>
            <w:tcBorders>
              <w:top w:val="nil"/>
              <w:bottom w:val="nil"/>
            </w:tcBorders>
            <w:noWrap/>
            <w:vAlign w:val="center"/>
            <w:hideMark/>
          </w:tcPr>
          <w:p w14:paraId="1C0B192D" w14:textId="4C582DC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4.01</w:t>
            </w:r>
          </w:p>
        </w:tc>
        <w:tc>
          <w:tcPr>
            <w:tcW w:w="1153" w:type="dxa"/>
            <w:tcBorders>
              <w:top w:val="nil"/>
              <w:bottom w:val="nil"/>
            </w:tcBorders>
            <w:noWrap/>
            <w:vAlign w:val="center"/>
            <w:hideMark/>
          </w:tcPr>
          <w:p w14:paraId="70D191AF" w14:textId="6DE10D5F"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0.56</w:t>
            </w:r>
          </w:p>
        </w:tc>
      </w:tr>
      <w:tr w:rsidR="00DB2CC2" w:rsidRPr="00DB2CC2" w14:paraId="4A98F1D6" w14:textId="77777777" w:rsidTr="00014DCE">
        <w:trPr>
          <w:gridAfter w:val="1"/>
          <w:wAfter w:w="7" w:type="dxa"/>
          <w:trHeight w:val="295"/>
          <w:jc w:val="center"/>
        </w:trPr>
        <w:tc>
          <w:tcPr>
            <w:tcW w:w="2947" w:type="dxa"/>
            <w:gridSpan w:val="3"/>
            <w:tcBorders>
              <w:top w:val="nil"/>
              <w:bottom w:val="nil"/>
              <w:right w:val="single" w:sz="18" w:space="0" w:color="auto"/>
            </w:tcBorders>
            <w:noWrap/>
            <w:vAlign w:val="center"/>
            <w:hideMark/>
          </w:tcPr>
          <w:p w14:paraId="1DBF02FF" w14:textId="3885E4C4"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Autonomous Vehicle Fixed Cost</w:t>
            </w:r>
          </w:p>
        </w:tc>
        <w:tc>
          <w:tcPr>
            <w:tcW w:w="732" w:type="dxa"/>
            <w:tcBorders>
              <w:left w:val="single" w:sz="18" w:space="0" w:color="auto"/>
            </w:tcBorders>
            <w:noWrap/>
            <w:vAlign w:val="center"/>
            <w:hideMark/>
          </w:tcPr>
          <w:p w14:paraId="43E2AC5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9.90</w:t>
            </w:r>
          </w:p>
        </w:tc>
        <w:tc>
          <w:tcPr>
            <w:tcW w:w="1175" w:type="dxa"/>
            <w:noWrap/>
            <w:vAlign w:val="center"/>
            <w:hideMark/>
          </w:tcPr>
          <w:p w14:paraId="69FAEFF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-17.85</w:t>
            </w:r>
          </w:p>
        </w:tc>
        <w:tc>
          <w:tcPr>
            <w:tcW w:w="1170" w:type="dxa"/>
            <w:tcBorders>
              <w:right w:val="single" w:sz="18" w:space="0" w:color="auto"/>
            </w:tcBorders>
            <w:noWrap/>
            <w:vAlign w:val="center"/>
            <w:hideMark/>
          </w:tcPr>
          <w:p w14:paraId="5AD5509D"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2.44</w:t>
            </w:r>
          </w:p>
        </w:tc>
        <w:tc>
          <w:tcPr>
            <w:tcW w:w="732" w:type="dxa"/>
            <w:tcBorders>
              <w:top w:val="nil"/>
              <w:left w:val="single" w:sz="18" w:space="0" w:color="auto"/>
              <w:bottom w:val="nil"/>
            </w:tcBorders>
            <w:noWrap/>
            <w:vAlign w:val="center"/>
            <w:hideMark/>
          </w:tcPr>
          <w:p w14:paraId="44828E79" w14:textId="6DCAECCC"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9.78</w:t>
            </w:r>
          </w:p>
        </w:tc>
        <w:tc>
          <w:tcPr>
            <w:tcW w:w="1158" w:type="dxa"/>
            <w:tcBorders>
              <w:top w:val="nil"/>
              <w:bottom w:val="nil"/>
            </w:tcBorders>
            <w:noWrap/>
            <w:vAlign w:val="center"/>
            <w:hideMark/>
          </w:tcPr>
          <w:p w14:paraId="5FA07FF6" w14:textId="1CEB2E8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-17.77</w:t>
            </w:r>
          </w:p>
        </w:tc>
        <w:tc>
          <w:tcPr>
            <w:tcW w:w="1080" w:type="dxa"/>
            <w:tcBorders>
              <w:top w:val="nil"/>
              <w:bottom w:val="nil"/>
              <w:right w:val="single" w:sz="18" w:space="0" w:color="auto"/>
            </w:tcBorders>
            <w:noWrap/>
            <w:vAlign w:val="center"/>
            <w:hideMark/>
          </w:tcPr>
          <w:p w14:paraId="2B59EF90" w14:textId="05655BA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2.82</w:t>
            </w:r>
          </w:p>
        </w:tc>
        <w:tc>
          <w:tcPr>
            <w:tcW w:w="732" w:type="dxa"/>
            <w:tcBorders>
              <w:left w:val="single" w:sz="18" w:space="0" w:color="auto"/>
            </w:tcBorders>
            <w:noWrap/>
            <w:vAlign w:val="center"/>
            <w:hideMark/>
          </w:tcPr>
          <w:p w14:paraId="34483012"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8.35</w:t>
            </w:r>
          </w:p>
        </w:tc>
        <w:tc>
          <w:tcPr>
            <w:tcW w:w="1158" w:type="dxa"/>
            <w:noWrap/>
            <w:vAlign w:val="center"/>
            <w:hideMark/>
          </w:tcPr>
          <w:p w14:paraId="5068E453"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-14.44</w:t>
            </w:r>
          </w:p>
        </w:tc>
        <w:tc>
          <w:tcPr>
            <w:tcW w:w="1153" w:type="dxa"/>
            <w:tcBorders>
              <w:right w:val="single" w:sz="18" w:space="0" w:color="auto"/>
            </w:tcBorders>
            <w:noWrap/>
            <w:vAlign w:val="center"/>
            <w:hideMark/>
          </w:tcPr>
          <w:p w14:paraId="630C306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1.29</w:t>
            </w:r>
          </w:p>
        </w:tc>
        <w:tc>
          <w:tcPr>
            <w:tcW w:w="732" w:type="dxa"/>
            <w:tcBorders>
              <w:top w:val="nil"/>
              <w:left w:val="single" w:sz="18" w:space="0" w:color="auto"/>
              <w:bottom w:val="nil"/>
            </w:tcBorders>
            <w:noWrap/>
            <w:vAlign w:val="center"/>
            <w:hideMark/>
          </w:tcPr>
          <w:p w14:paraId="65AA8B21" w14:textId="1C7997EB" w:rsidR="00DB2CC2" w:rsidRPr="00DB2CC2" w:rsidRDefault="00E57482" w:rsidP="00DB2CC2">
            <w:pPr>
              <w:tabs>
                <w:tab w:val="decimal" w:pos="328"/>
              </w:tabs>
              <w:spacing w:line="240" w:lineRule="auto"/>
              <w:jc w:val="center"/>
              <w:rPr>
                <w:rFonts w:eastAsia="Times New Roman" w:cs="Times New Roman"/>
                <w:color w:val="000000"/>
                <w:sz w:val="20"/>
                <w:szCs w:val="20"/>
              </w:rPr>
            </w:pPr>
            <w:r>
              <w:rPr>
                <w:rFonts w:cs="Times New Roman"/>
                <w:sz w:val="20"/>
                <w:szCs w:val="20"/>
              </w:rPr>
              <w:t>8</w:t>
            </w:r>
            <w:r w:rsidR="00DB2CC2" w:rsidRPr="00014DCE">
              <w:rPr>
                <w:rFonts w:cs="Times New Roman"/>
                <w:sz w:val="20"/>
                <w:szCs w:val="20"/>
              </w:rPr>
              <w:t>.44</w:t>
            </w:r>
          </w:p>
        </w:tc>
        <w:tc>
          <w:tcPr>
            <w:tcW w:w="1158" w:type="dxa"/>
            <w:tcBorders>
              <w:top w:val="nil"/>
              <w:bottom w:val="nil"/>
            </w:tcBorders>
            <w:noWrap/>
            <w:vAlign w:val="center"/>
            <w:hideMark/>
          </w:tcPr>
          <w:p w14:paraId="5AA86068" w14:textId="7FC5D714"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w:t>
            </w:r>
            <w:r w:rsidR="00D66F14">
              <w:rPr>
                <w:rFonts w:cs="Times New Roman"/>
                <w:sz w:val="20"/>
                <w:szCs w:val="20"/>
              </w:rPr>
              <w:t>5</w:t>
            </w:r>
            <w:r w:rsidRPr="00014DCE">
              <w:rPr>
                <w:rFonts w:cs="Times New Roman"/>
                <w:sz w:val="20"/>
                <w:szCs w:val="20"/>
              </w:rPr>
              <w:t>.27</w:t>
            </w:r>
          </w:p>
        </w:tc>
        <w:tc>
          <w:tcPr>
            <w:tcW w:w="1153" w:type="dxa"/>
            <w:tcBorders>
              <w:top w:val="nil"/>
              <w:bottom w:val="nil"/>
            </w:tcBorders>
            <w:noWrap/>
            <w:vAlign w:val="center"/>
            <w:hideMark/>
          </w:tcPr>
          <w:p w14:paraId="08875372" w14:textId="63D909C2" w:rsidR="00DB2CC2" w:rsidRPr="00DB2CC2" w:rsidRDefault="001A61FB" w:rsidP="00DB2CC2">
            <w:pPr>
              <w:tabs>
                <w:tab w:val="decimal" w:pos="328"/>
              </w:tabs>
              <w:spacing w:line="240" w:lineRule="auto"/>
              <w:jc w:val="center"/>
              <w:rPr>
                <w:rFonts w:eastAsia="Times New Roman" w:cs="Times New Roman"/>
                <w:color w:val="000000"/>
                <w:sz w:val="20"/>
                <w:szCs w:val="20"/>
              </w:rPr>
            </w:pPr>
            <w:r>
              <w:rPr>
                <w:rFonts w:cs="Times New Roman"/>
                <w:sz w:val="20"/>
                <w:szCs w:val="20"/>
              </w:rPr>
              <w:t>2</w:t>
            </w:r>
            <w:r w:rsidR="00DB2CC2" w:rsidRPr="00014DCE">
              <w:rPr>
                <w:rFonts w:cs="Times New Roman"/>
                <w:sz w:val="20"/>
                <w:szCs w:val="20"/>
              </w:rPr>
              <w:t>.12</w:t>
            </w:r>
          </w:p>
        </w:tc>
      </w:tr>
      <w:tr w:rsidR="00DB2CC2" w:rsidRPr="00DB2CC2" w14:paraId="327F7DE4" w14:textId="77777777" w:rsidTr="00014DCE">
        <w:trPr>
          <w:gridAfter w:val="1"/>
          <w:wAfter w:w="7" w:type="dxa"/>
          <w:trHeight w:val="295"/>
          <w:jc w:val="center"/>
        </w:trPr>
        <w:tc>
          <w:tcPr>
            <w:tcW w:w="2947" w:type="dxa"/>
            <w:gridSpan w:val="3"/>
            <w:tcBorders>
              <w:top w:val="nil"/>
              <w:bottom w:val="nil"/>
              <w:right w:val="single" w:sz="18" w:space="0" w:color="auto"/>
            </w:tcBorders>
            <w:noWrap/>
            <w:vAlign w:val="center"/>
            <w:hideMark/>
          </w:tcPr>
          <w:p w14:paraId="7346FC0B" w14:textId="4B93DD8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Autonomous Vehicle Variable Cost</w:t>
            </w:r>
          </w:p>
        </w:tc>
        <w:tc>
          <w:tcPr>
            <w:tcW w:w="732" w:type="dxa"/>
            <w:tcBorders>
              <w:left w:val="single" w:sz="18" w:space="0" w:color="auto"/>
            </w:tcBorders>
            <w:noWrap/>
            <w:vAlign w:val="center"/>
            <w:hideMark/>
          </w:tcPr>
          <w:p w14:paraId="05403054"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2.35</w:t>
            </w:r>
          </w:p>
        </w:tc>
        <w:tc>
          <w:tcPr>
            <w:tcW w:w="1175" w:type="dxa"/>
            <w:noWrap/>
            <w:vAlign w:val="center"/>
            <w:hideMark/>
          </w:tcPr>
          <w:p w14:paraId="0A8AC396"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-4.24</w:t>
            </w:r>
          </w:p>
        </w:tc>
        <w:tc>
          <w:tcPr>
            <w:tcW w:w="1170" w:type="dxa"/>
            <w:tcBorders>
              <w:right w:val="single" w:sz="18" w:space="0" w:color="auto"/>
            </w:tcBorders>
            <w:noWrap/>
            <w:vAlign w:val="center"/>
            <w:hideMark/>
          </w:tcPr>
          <w:p w14:paraId="087E0665"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0.57</w:t>
            </w:r>
          </w:p>
        </w:tc>
        <w:tc>
          <w:tcPr>
            <w:tcW w:w="732" w:type="dxa"/>
            <w:tcBorders>
              <w:top w:val="nil"/>
              <w:left w:val="single" w:sz="18" w:space="0" w:color="auto"/>
              <w:bottom w:val="nil"/>
            </w:tcBorders>
            <w:noWrap/>
            <w:vAlign w:val="center"/>
            <w:hideMark/>
          </w:tcPr>
          <w:p w14:paraId="65C80D4E" w14:textId="18583C1C"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2.35</w:t>
            </w:r>
          </w:p>
        </w:tc>
        <w:tc>
          <w:tcPr>
            <w:tcW w:w="1158" w:type="dxa"/>
            <w:tcBorders>
              <w:top w:val="nil"/>
              <w:bottom w:val="nil"/>
            </w:tcBorders>
            <w:noWrap/>
            <w:vAlign w:val="center"/>
            <w:hideMark/>
          </w:tcPr>
          <w:p w14:paraId="46B36784" w14:textId="0C06AF7A"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-4.26</w:t>
            </w:r>
          </w:p>
        </w:tc>
        <w:tc>
          <w:tcPr>
            <w:tcW w:w="1080" w:type="dxa"/>
            <w:tcBorders>
              <w:top w:val="nil"/>
              <w:bottom w:val="nil"/>
              <w:right w:val="single" w:sz="18" w:space="0" w:color="auto"/>
            </w:tcBorders>
            <w:noWrap/>
            <w:vAlign w:val="center"/>
            <w:hideMark/>
          </w:tcPr>
          <w:p w14:paraId="6B97084B" w14:textId="7786A2B9"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0.67</w:t>
            </w:r>
          </w:p>
        </w:tc>
        <w:tc>
          <w:tcPr>
            <w:tcW w:w="732" w:type="dxa"/>
            <w:tcBorders>
              <w:left w:val="single" w:sz="18" w:space="0" w:color="auto"/>
            </w:tcBorders>
            <w:noWrap/>
            <w:vAlign w:val="center"/>
            <w:hideMark/>
          </w:tcPr>
          <w:p w14:paraId="1C26212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1.74</w:t>
            </w:r>
          </w:p>
        </w:tc>
        <w:tc>
          <w:tcPr>
            <w:tcW w:w="1158" w:type="dxa"/>
            <w:noWrap/>
            <w:vAlign w:val="center"/>
            <w:hideMark/>
          </w:tcPr>
          <w:p w14:paraId="7DD3A5F8"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-3.03</w:t>
            </w:r>
          </w:p>
        </w:tc>
        <w:tc>
          <w:tcPr>
            <w:tcW w:w="1153" w:type="dxa"/>
            <w:tcBorders>
              <w:right w:val="single" w:sz="18" w:space="0" w:color="auto"/>
            </w:tcBorders>
            <w:noWrap/>
            <w:vAlign w:val="center"/>
            <w:hideMark/>
          </w:tcPr>
          <w:p w14:paraId="3B930724"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0.33</w:t>
            </w:r>
          </w:p>
        </w:tc>
        <w:tc>
          <w:tcPr>
            <w:tcW w:w="732" w:type="dxa"/>
            <w:tcBorders>
              <w:top w:val="nil"/>
              <w:left w:val="single" w:sz="18" w:space="0" w:color="auto"/>
              <w:bottom w:val="nil"/>
            </w:tcBorders>
            <w:noWrap/>
            <w:vAlign w:val="center"/>
            <w:hideMark/>
          </w:tcPr>
          <w:p w14:paraId="1285C739" w14:textId="031D9762"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2.25</w:t>
            </w:r>
          </w:p>
        </w:tc>
        <w:tc>
          <w:tcPr>
            <w:tcW w:w="1158" w:type="dxa"/>
            <w:tcBorders>
              <w:top w:val="nil"/>
              <w:bottom w:val="nil"/>
            </w:tcBorders>
            <w:noWrap/>
            <w:vAlign w:val="center"/>
            <w:hideMark/>
          </w:tcPr>
          <w:p w14:paraId="313892B3" w14:textId="21454DF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-4.09</w:t>
            </w:r>
          </w:p>
        </w:tc>
        <w:tc>
          <w:tcPr>
            <w:tcW w:w="1153" w:type="dxa"/>
            <w:tcBorders>
              <w:top w:val="nil"/>
              <w:bottom w:val="nil"/>
            </w:tcBorders>
            <w:noWrap/>
            <w:vAlign w:val="center"/>
            <w:hideMark/>
          </w:tcPr>
          <w:p w14:paraId="6260B152" w14:textId="7ACCBB85"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0.70</w:t>
            </w:r>
          </w:p>
        </w:tc>
      </w:tr>
      <w:tr w:rsidR="00DB2CC2" w:rsidRPr="00DB2CC2" w14:paraId="4A316719" w14:textId="77777777" w:rsidTr="00014DCE">
        <w:trPr>
          <w:gridAfter w:val="1"/>
          <w:wAfter w:w="7" w:type="dxa"/>
          <w:trHeight w:val="295"/>
          <w:jc w:val="center"/>
        </w:trPr>
        <w:tc>
          <w:tcPr>
            <w:tcW w:w="2947" w:type="dxa"/>
            <w:gridSpan w:val="3"/>
            <w:tcBorders>
              <w:top w:val="nil"/>
              <w:bottom w:val="single" w:sz="18" w:space="0" w:color="auto"/>
              <w:right w:val="single" w:sz="18" w:space="0" w:color="auto"/>
            </w:tcBorders>
            <w:noWrap/>
            <w:vAlign w:val="center"/>
            <w:hideMark/>
          </w:tcPr>
          <w:p w14:paraId="0B1EAAA3" w14:textId="207A3436" w:rsidR="00DB2CC2" w:rsidRPr="00DB2CC2" w:rsidRDefault="00DB2CC2" w:rsidP="00DB2CC2">
            <w:pPr>
              <w:spacing w:line="240" w:lineRule="auto"/>
              <w:jc w:val="left"/>
              <w:rPr>
                <w:rFonts w:eastAsia="Times New Roman" w:cs="Times New Roman"/>
                <w:sz w:val="20"/>
                <w:szCs w:val="20"/>
              </w:rPr>
            </w:pPr>
            <w:r w:rsidRPr="00DB2CC2">
              <w:rPr>
                <w:rFonts w:eastAsia="Times New Roman" w:cs="Times New Roman"/>
                <w:color w:val="000000"/>
                <w:sz w:val="20"/>
                <w:szCs w:val="20"/>
              </w:rPr>
              <w:t>Ridehailing Variable Cost</w:t>
            </w:r>
          </w:p>
        </w:tc>
        <w:tc>
          <w:tcPr>
            <w:tcW w:w="732" w:type="dxa"/>
            <w:tcBorders>
              <w:left w:val="single" w:sz="18" w:space="0" w:color="auto"/>
              <w:bottom w:val="single" w:sz="18" w:space="0" w:color="auto"/>
            </w:tcBorders>
            <w:noWrap/>
            <w:vAlign w:val="center"/>
            <w:hideMark/>
          </w:tcPr>
          <w:p w14:paraId="3284F187"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0.32</w:t>
            </w:r>
          </w:p>
        </w:tc>
        <w:tc>
          <w:tcPr>
            <w:tcW w:w="1175" w:type="dxa"/>
            <w:tcBorders>
              <w:bottom w:val="single" w:sz="18" w:space="0" w:color="auto"/>
            </w:tcBorders>
            <w:noWrap/>
            <w:vAlign w:val="center"/>
            <w:hideMark/>
          </w:tcPr>
          <w:p w14:paraId="3132985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0.95</w:t>
            </w:r>
          </w:p>
        </w:tc>
        <w:tc>
          <w:tcPr>
            <w:tcW w:w="1170" w:type="dxa"/>
            <w:tcBorders>
              <w:bottom w:val="single" w:sz="18" w:space="0" w:color="auto"/>
              <w:right w:val="single" w:sz="18" w:space="0" w:color="auto"/>
            </w:tcBorders>
            <w:noWrap/>
            <w:vAlign w:val="center"/>
            <w:hideMark/>
          </w:tcPr>
          <w:p w14:paraId="7D0C1D32"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-4.16</w:t>
            </w:r>
          </w:p>
        </w:tc>
        <w:tc>
          <w:tcPr>
            <w:tcW w:w="732" w:type="dxa"/>
            <w:tcBorders>
              <w:top w:val="nil"/>
              <w:left w:val="single" w:sz="18" w:space="0" w:color="auto"/>
              <w:bottom w:val="single" w:sz="18" w:space="0" w:color="auto"/>
            </w:tcBorders>
            <w:noWrap/>
            <w:vAlign w:val="center"/>
            <w:hideMark/>
          </w:tcPr>
          <w:p w14:paraId="54C8F934" w14:textId="1B42D66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0.38</w:t>
            </w:r>
          </w:p>
        </w:tc>
        <w:tc>
          <w:tcPr>
            <w:tcW w:w="1158" w:type="dxa"/>
            <w:tcBorders>
              <w:top w:val="nil"/>
              <w:bottom w:val="single" w:sz="18" w:space="0" w:color="auto"/>
            </w:tcBorders>
            <w:noWrap/>
            <w:vAlign w:val="center"/>
            <w:hideMark/>
          </w:tcPr>
          <w:p w14:paraId="3D0D2B6A" w14:textId="6E27F54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1.10</w:t>
            </w:r>
          </w:p>
        </w:tc>
        <w:tc>
          <w:tcPr>
            <w:tcW w:w="1080" w:type="dxa"/>
            <w:tcBorders>
              <w:top w:val="nil"/>
              <w:bottom w:val="single" w:sz="18" w:space="0" w:color="auto"/>
              <w:right w:val="single" w:sz="18" w:space="0" w:color="auto"/>
            </w:tcBorders>
            <w:noWrap/>
            <w:vAlign w:val="center"/>
            <w:hideMark/>
          </w:tcPr>
          <w:p w14:paraId="3D474E16" w14:textId="0DF95FB1"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-4.89</w:t>
            </w:r>
          </w:p>
        </w:tc>
        <w:tc>
          <w:tcPr>
            <w:tcW w:w="732" w:type="dxa"/>
            <w:tcBorders>
              <w:left w:val="single" w:sz="18" w:space="0" w:color="auto"/>
              <w:bottom w:val="single" w:sz="18" w:space="0" w:color="auto"/>
            </w:tcBorders>
            <w:noWrap/>
            <w:vAlign w:val="center"/>
            <w:hideMark/>
          </w:tcPr>
          <w:p w14:paraId="738B6DE4"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0.53</w:t>
            </w:r>
          </w:p>
        </w:tc>
        <w:tc>
          <w:tcPr>
            <w:tcW w:w="1158" w:type="dxa"/>
            <w:tcBorders>
              <w:bottom w:val="single" w:sz="18" w:space="0" w:color="auto"/>
            </w:tcBorders>
            <w:noWrap/>
            <w:vAlign w:val="center"/>
            <w:hideMark/>
          </w:tcPr>
          <w:p w14:paraId="4703C41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0.63</w:t>
            </w:r>
          </w:p>
        </w:tc>
        <w:tc>
          <w:tcPr>
            <w:tcW w:w="1153" w:type="dxa"/>
            <w:tcBorders>
              <w:bottom w:val="single" w:sz="18" w:space="0" w:color="auto"/>
              <w:right w:val="single" w:sz="18" w:space="0" w:color="auto"/>
            </w:tcBorders>
            <w:noWrap/>
            <w:vAlign w:val="center"/>
            <w:hideMark/>
          </w:tcPr>
          <w:p w14:paraId="76871872"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-4.09</w:t>
            </w:r>
          </w:p>
        </w:tc>
        <w:tc>
          <w:tcPr>
            <w:tcW w:w="732" w:type="dxa"/>
            <w:tcBorders>
              <w:top w:val="nil"/>
              <w:left w:val="single" w:sz="18" w:space="0" w:color="auto"/>
              <w:bottom w:val="single" w:sz="18" w:space="0" w:color="auto"/>
            </w:tcBorders>
            <w:noWrap/>
            <w:vAlign w:val="center"/>
            <w:hideMark/>
          </w:tcPr>
          <w:p w14:paraId="37C1C90C" w14:textId="32D8B41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0.52</w:t>
            </w:r>
          </w:p>
        </w:tc>
        <w:tc>
          <w:tcPr>
            <w:tcW w:w="1158" w:type="dxa"/>
            <w:tcBorders>
              <w:top w:val="nil"/>
              <w:bottom w:val="single" w:sz="18" w:space="0" w:color="auto"/>
            </w:tcBorders>
            <w:noWrap/>
            <w:vAlign w:val="center"/>
            <w:hideMark/>
          </w:tcPr>
          <w:p w14:paraId="204AA01C" w14:textId="3E817EF8"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1.12</w:t>
            </w:r>
          </w:p>
        </w:tc>
        <w:tc>
          <w:tcPr>
            <w:tcW w:w="1153" w:type="dxa"/>
            <w:tcBorders>
              <w:top w:val="nil"/>
              <w:bottom w:val="single" w:sz="18" w:space="0" w:color="auto"/>
            </w:tcBorders>
            <w:noWrap/>
            <w:vAlign w:val="center"/>
            <w:hideMark/>
          </w:tcPr>
          <w:p w14:paraId="69ED2856" w14:textId="08F0B4CF"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-5.62</w:t>
            </w:r>
          </w:p>
        </w:tc>
      </w:tr>
      <w:tr w:rsidR="000638B1" w:rsidRPr="00DB2CC2" w14:paraId="50F23C2F" w14:textId="77777777" w:rsidTr="00014DCE">
        <w:trPr>
          <w:trHeight w:val="295"/>
          <w:jc w:val="center"/>
        </w:trPr>
        <w:tc>
          <w:tcPr>
            <w:tcW w:w="15087" w:type="dxa"/>
            <w:gridSpan w:val="16"/>
            <w:tcBorders>
              <w:top w:val="single" w:sz="18" w:space="0" w:color="auto"/>
              <w:bottom w:val="single" w:sz="18" w:space="0" w:color="auto"/>
            </w:tcBorders>
            <w:noWrap/>
            <w:vAlign w:val="center"/>
          </w:tcPr>
          <w:p w14:paraId="3BE4BB4D" w14:textId="4BB35D40" w:rsidR="000638B1" w:rsidRPr="00DB2CC2" w:rsidRDefault="000638B1" w:rsidP="00DB2CC2">
            <w:pPr>
              <w:spacing w:line="240" w:lineRule="auto"/>
              <w:jc w:val="center"/>
              <w:rPr>
                <w:rFonts w:eastAsia="Times New Roman" w:cs="Times New Roman"/>
                <w:b/>
                <w:bCs/>
                <w:i/>
                <w:iCs/>
                <w:color w:val="000000"/>
                <w:sz w:val="20"/>
                <w:szCs w:val="20"/>
              </w:rPr>
            </w:pPr>
            <w:r w:rsidRPr="00DB2CC2">
              <w:rPr>
                <w:rFonts w:eastAsia="Times New Roman" w:cs="Times New Roman"/>
                <w:b/>
                <w:bCs/>
                <w:i/>
                <w:iCs/>
                <w:color w:val="000000"/>
                <w:sz w:val="20"/>
                <w:szCs w:val="20"/>
              </w:rPr>
              <w:t>Individual and Household Characteristics</w:t>
            </w:r>
          </w:p>
        </w:tc>
      </w:tr>
      <w:tr w:rsidR="001E7A9D" w:rsidRPr="00DB2CC2" w14:paraId="0199C54A" w14:textId="77777777" w:rsidTr="00014DCE">
        <w:trPr>
          <w:gridAfter w:val="1"/>
          <w:wAfter w:w="7" w:type="dxa"/>
          <w:trHeight w:val="295"/>
          <w:jc w:val="center"/>
        </w:trPr>
        <w:tc>
          <w:tcPr>
            <w:tcW w:w="1057" w:type="dxa"/>
            <w:tcBorders>
              <w:top w:val="single" w:sz="18" w:space="0" w:color="auto"/>
              <w:bottom w:val="nil"/>
            </w:tcBorders>
            <w:noWrap/>
            <w:vAlign w:val="center"/>
          </w:tcPr>
          <w:p w14:paraId="555CA80E" w14:textId="2406A556" w:rsidR="001E7A9D" w:rsidRPr="00DB2CC2" w:rsidRDefault="001E7A9D" w:rsidP="001B1635">
            <w:pPr>
              <w:spacing w:line="240" w:lineRule="auto"/>
              <w:jc w:val="left"/>
              <w:rPr>
                <w:rFonts w:eastAsia="Times New Roman" w:cs="Times New Roman"/>
                <w:b/>
                <w:bCs/>
                <w:color w:val="000000"/>
                <w:sz w:val="20"/>
                <w:szCs w:val="20"/>
              </w:rPr>
            </w:pPr>
            <w:r w:rsidRPr="00DB2CC2">
              <w:rPr>
                <w:rFonts w:eastAsia="Times New Roman" w:cs="Times New Roman"/>
                <w:b/>
                <w:bCs/>
                <w:color w:val="000000"/>
                <w:sz w:val="20"/>
                <w:szCs w:val="20"/>
              </w:rPr>
              <w:t>Variable</w:t>
            </w:r>
          </w:p>
        </w:tc>
        <w:tc>
          <w:tcPr>
            <w:tcW w:w="900" w:type="dxa"/>
            <w:tcBorders>
              <w:top w:val="single" w:sz="18" w:space="0" w:color="auto"/>
              <w:bottom w:val="nil"/>
            </w:tcBorders>
            <w:noWrap/>
            <w:vAlign w:val="center"/>
          </w:tcPr>
          <w:p w14:paraId="5EA81633" w14:textId="13189C8A" w:rsidR="001E7A9D" w:rsidRPr="00DB2CC2" w:rsidRDefault="001E7A9D" w:rsidP="001B1635">
            <w:pPr>
              <w:spacing w:line="240" w:lineRule="auto"/>
              <w:jc w:val="left"/>
              <w:rPr>
                <w:rFonts w:eastAsia="Times New Roman" w:cs="Times New Roman"/>
                <w:b/>
                <w:bCs/>
                <w:color w:val="000000"/>
                <w:sz w:val="20"/>
                <w:szCs w:val="20"/>
              </w:rPr>
            </w:pPr>
            <w:r w:rsidRPr="00DB2CC2">
              <w:rPr>
                <w:rFonts w:eastAsia="Times New Roman" w:cs="Times New Roman"/>
                <w:b/>
                <w:bCs/>
                <w:color w:val="000000"/>
                <w:sz w:val="20"/>
                <w:szCs w:val="20"/>
              </w:rPr>
              <w:t>Base</w:t>
            </w:r>
          </w:p>
        </w:tc>
        <w:tc>
          <w:tcPr>
            <w:tcW w:w="990" w:type="dxa"/>
            <w:tcBorders>
              <w:top w:val="single" w:sz="18" w:space="0" w:color="auto"/>
              <w:bottom w:val="nil"/>
              <w:right w:val="single" w:sz="18" w:space="0" w:color="auto"/>
            </w:tcBorders>
            <w:noWrap/>
            <w:vAlign w:val="center"/>
          </w:tcPr>
          <w:p w14:paraId="716878B1" w14:textId="5C9B1A09" w:rsidR="001E7A9D" w:rsidRPr="00DB2CC2" w:rsidRDefault="001E7A9D" w:rsidP="001B1635">
            <w:pPr>
              <w:spacing w:line="240" w:lineRule="auto"/>
              <w:jc w:val="left"/>
              <w:rPr>
                <w:rFonts w:eastAsia="Times New Roman" w:cs="Times New Roman"/>
                <w:b/>
                <w:bCs/>
                <w:sz w:val="20"/>
                <w:szCs w:val="20"/>
              </w:rPr>
            </w:pPr>
            <w:r w:rsidRPr="00DB2CC2">
              <w:rPr>
                <w:rFonts w:eastAsia="Times New Roman" w:cs="Times New Roman"/>
                <w:b/>
                <w:bCs/>
                <w:sz w:val="20"/>
                <w:szCs w:val="20"/>
              </w:rPr>
              <w:t>Treatment</w:t>
            </w:r>
          </w:p>
        </w:tc>
        <w:tc>
          <w:tcPr>
            <w:tcW w:w="732" w:type="dxa"/>
            <w:tcBorders>
              <w:top w:val="single" w:sz="18" w:space="0" w:color="auto"/>
              <w:left w:val="single" w:sz="18" w:space="0" w:color="auto"/>
            </w:tcBorders>
            <w:noWrap/>
            <w:vAlign w:val="center"/>
          </w:tcPr>
          <w:p w14:paraId="4FEB1A28" w14:textId="77777777" w:rsidR="001E7A9D" w:rsidRPr="00DB2CC2" w:rsidRDefault="001E7A9D" w:rsidP="00014DCE">
            <w:pPr>
              <w:spacing w:line="240" w:lineRule="auto"/>
              <w:jc w:val="center"/>
              <w:rPr>
                <w:rFonts w:eastAsia="Times New Roman" w:cs="Times New Roman"/>
                <w:color w:val="000000"/>
                <w:sz w:val="20"/>
                <w:szCs w:val="20"/>
              </w:rPr>
            </w:pPr>
          </w:p>
        </w:tc>
        <w:tc>
          <w:tcPr>
            <w:tcW w:w="1175" w:type="dxa"/>
            <w:tcBorders>
              <w:top w:val="single" w:sz="18" w:space="0" w:color="auto"/>
            </w:tcBorders>
            <w:noWrap/>
            <w:vAlign w:val="center"/>
          </w:tcPr>
          <w:p w14:paraId="0957541D" w14:textId="77777777" w:rsidR="001E7A9D" w:rsidRPr="00DB2CC2" w:rsidRDefault="001E7A9D" w:rsidP="00014DCE">
            <w:pPr>
              <w:spacing w:line="240" w:lineRule="auto"/>
              <w:jc w:val="center"/>
              <w:rPr>
                <w:rFonts w:eastAsia="Times New Roman" w:cs="Times New Roman"/>
                <w:color w:val="000000"/>
                <w:sz w:val="20"/>
                <w:szCs w:val="20"/>
              </w:rPr>
            </w:pPr>
          </w:p>
        </w:tc>
        <w:tc>
          <w:tcPr>
            <w:tcW w:w="1170" w:type="dxa"/>
            <w:tcBorders>
              <w:top w:val="single" w:sz="18" w:space="0" w:color="auto"/>
              <w:right w:val="single" w:sz="18" w:space="0" w:color="auto"/>
            </w:tcBorders>
            <w:noWrap/>
            <w:vAlign w:val="center"/>
          </w:tcPr>
          <w:p w14:paraId="76429F5E" w14:textId="77777777" w:rsidR="001E7A9D" w:rsidRPr="00DB2CC2" w:rsidRDefault="001E7A9D"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bottom w:val="nil"/>
            </w:tcBorders>
            <w:noWrap/>
            <w:vAlign w:val="center"/>
          </w:tcPr>
          <w:p w14:paraId="74E8DA3F" w14:textId="77777777" w:rsidR="001E7A9D" w:rsidRPr="00DB2CC2" w:rsidRDefault="001E7A9D" w:rsidP="00014DCE">
            <w:pPr>
              <w:spacing w:line="240" w:lineRule="auto"/>
              <w:jc w:val="center"/>
              <w:rPr>
                <w:rFonts w:eastAsia="Times New Roman" w:cs="Times New Roman"/>
                <w:color w:val="000000"/>
                <w:sz w:val="20"/>
                <w:szCs w:val="20"/>
              </w:rPr>
            </w:pPr>
          </w:p>
        </w:tc>
        <w:tc>
          <w:tcPr>
            <w:tcW w:w="1158" w:type="dxa"/>
            <w:tcBorders>
              <w:top w:val="single" w:sz="18" w:space="0" w:color="auto"/>
              <w:bottom w:val="nil"/>
            </w:tcBorders>
            <w:noWrap/>
            <w:vAlign w:val="center"/>
          </w:tcPr>
          <w:p w14:paraId="2409A1E4" w14:textId="77777777" w:rsidR="001E7A9D" w:rsidRPr="00DB2CC2" w:rsidRDefault="001E7A9D" w:rsidP="00014DCE">
            <w:pPr>
              <w:spacing w:line="240" w:lineRule="auto"/>
              <w:jc w:val="center"/>
              <w:rPr>
                <w:rFonts w:eastAsia="Times New Roman" w:cs="Times New Roman"/>
                <w:color w:val="000000"/>
                <w:sz w:val="20"/>
                <w:szCs w:val="20"/>
              </w:rPr>
            </w:pPr>
          </w:p>
        </w:tc>
        <w:tc>
          <w:tcPr>
            <w:tcW w:w="1080" w:type="dxa"/>
            <w:tcBorders>
              <w:top w:val="single" w:sz="18" w:space="0" w:color="auto"/>
              <w:bottom w:val="nil"/>
              <w:right w:val="single" w:sz="18" w:space="0" w:color="auto"/>
            </w:tcBorders>
            <w:noWrap/>
            <w:vAlign w:val="center"/>
          </w:tcPr>
          <w:p w14:paraId="20947D2C" w14:textId="77777777" w:rsidR="001E7A9D" w:rsidRPr="00DB2CC2" w:rsidRDefault="001E7A9D"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tcBorders>
            <w:noWrap/>
            <w:vAlign w:val="center"/>
          </w:tcPr>
          <w:p w14:paraId="7B92D68D" w14:textId="77777777" w:rsidR="001E7A9D" w:rsidRPr="00DB2CC2" w:rsidRDefault="001E7A9D" w:rsidP="00014DCE">
            <w:pPr>
              <w:spacing w:line="240" w:lineRule="auto"/>
              <w:jc w:val="center"/>
              <w:rPr>
                <w:rFonts w:eastAsia="Times New Roman" w:cs="Times New Roman"/>
                <w:color w:val="000000"/>
                <w:sz w:val="20"/>
                <w:szCs w:val="20"/>
              </w:rPr>
            </w:pPr>
          </w:p>
        </w:tc>
        <w:tc>
          <w:tcPr>
            <w:tcW w:w="1158" w:type="dxa"/>
            <w:tcBorders>
              <w:top w:val="single" w:sz="18" w:space="0" w:color="auto"/>
            </w:tcBorders>
            <w:noWrap/>
            <w:vAlign w:val="center"/>
          </w:tcPr>
          <w:p w14:paraId="4B3DC9B2" w14:textId="77777777" w:rsidR="001E7A9D" w:rsidRPr="00DB2CC2" w:rsidRDefault="001E7A9D" w:rsidP="00014DCE">
            <w:pPr>
              <w:spacing w:line="240" w:lineRule="auto"/>
              <w:jc w:val="center"/>
              <w:rPr>
                <w:rFonts w:eastAsia="Times New Roman" w:cs="Times New Roman"/>
                <w:color w:val="000000"/>
                <w:sz w:val="20"/>
                <w:szCs w:val="20"/>
              </w:rPr>
            </w:pPr>
          </w:p>
        </w:tc>
        <w:tc>
          <w:tcPr>
            <w:tcW w:w="1153" w:type="dxa"/>
            <w:tcBorders>
              <w:top w:val="single" w:sz="18" w:space="0" w:color="auto"/>
              <w:right w:val="single" w:sz="18" w:space="0" w:color="auto"/>
            </w:tcBorders>
            <w:noWrap/>
            <w:vAlign w:val="center"/>
          </w:tcPr>
          <w:p w14:paraId="1C6F8FDA" w14:textId="77777777" w:rsidR="001E7A9D" w:rsidRPr="00DB2CC2" w:rsidRDefault="001E7A9D" w:rsidP="00014DCE">
            <w:pPr>
              <w:spacing w:line="240" w:lineRule="auto"/>
              <w:jc w:val="center"/>
              <w:rPr>
                <w:rFonts w:eastAsia="Times New Roman" w:cs="Times New Roman"/>
                <w:color w:val="000000"/>
                <w:sz w:val="20"/>
                <w:szCs w:val="20"/>
              </w:rPr>
            </w:pPr>
          </w:p>
        </w:tc>
        <w:tc>
          <w:tcPr>
            <w:tcW w:w="732" w:type="dxa"/>
            <w:tcBorders>
              <w:top w:val="single" w:sz="18" w:space="0" w:color="auto"/>
              <w:left w:val="single" w:sz="18" w:space="0" w:color="auto"/>
              <w:bottom w:val="nil"/>
            </w:tcBorders>
            <w:noWrap/>
            <w:vAlign w:val="center"/>
          </w:tcPr>
          <w:p w14:paraId="7EEE5E08" w14:textId="77777777" w:rsidR="001E7A9D" w:rsidRPr="00DB2CC2" w:rsidRDefault="001E7A9D" w:rsidP="00014DCE">
            <w:pPr>
              <w:spacing w:line="240" w:lineRule="auto"/>
              <w:jc w:val="center"/>
              <w:rPr>
                <w:rFonts w:eastAsia="Times New Roman" w:cs="Times New Roman"/>
                <w:color w:val="000000"/>
                <w:sz w:val="20"/>
                <w:szCs w:val="20"/>
              </w:rPr>
            </w:pPr>
          </w:p>
        </w:tc>
        <w:tc>
          <w:tcPr>
            <w:tcW w:w="1158" w:type="dxa"/>
            <w:tcBorders>
              <w:top w:val="single" w:sz="18" w:space="0" w:color="auto"/>
              <w:bottom w:val="nil"/>
            </w:tcBorders>
            <w:noWrap/>
            <w:vAlign w:val="center"/>
          </w:tcPr>
          <w:p w14:paraId="199A4FD2" w14:textId="77777777" w:rsidR="001E7A9D" w:rsidRPr="00DB2CC2" w:rsidRDefault="001E7A9D" w:rsidP="00014DCE">
            <w:pPr>
              <w:spacing w:line="240" w:lineRule="auto"/>
              <w:jc w:val="center"/>
              <w:rPr>
                <w:rFonts w:eastAsia="Times New Roman" w:cs="Times New Roman"/>
                <w:color w:val="000000"/>
                <w:sz w:val="20"/>
                <w:szCs w:val="20"/>
              </w:rPr>
            </w:pPr>
          </w:p>
        </w:tc>
        <w:tc>
          <w:tcPr>
            <w:tcW w:w="1153" w:type="dxa"/>
            <w:tcBorders>
              <w:top w:val="single" w:sz="18" w:space="0" w:color="auto"/>
              <w:bottom w:val="nil"/>
            </w:tcBorders>
            <w:noWrap/>
            <w:vAlign w:val="center"/>
          </w:tcPr>
          <w:p w14:paraId="4FF4E8F4" w14:textId="77777777" w:rsidR="001E7A9D" w:rsidRPr="00DB2CC2" w:rsidRDefault="001E7A9D" w:rsidP="00014DCE">
            <w:pPr>
              <w:spacing w:line="240" w:lineRule="auto"/>
              <w:jc w:val="center"/>
              <w:rPr>
                <w:rFonts w:eastAsia="Times New Roman" w:cs="Times New Roman"/>
                <w:color w:val="000000"/>
                <w:sz w:val="20"/>
                <w:szCs w:val="20"/>
              </w:rPr>
            </w:pPr>
          </w:p>
        </w:tc>
      </w:tr>
      <w:tr w:rsidR="00DB2CC2" w:rsidRPr="00DB2CC2" w14:paraId="329310B0" w14:textId="77777777" w:rsidTr="00014DCE">
        <w:trPr>
          <w:gridAfter w:val="1"/>
          <w:wAfter w:w="7" w:type="dxa"/>
          <w:trHeight w:val="295"/>
          <w:jc w:val="center"/>
        </w:trPr>
        <w:tc>
          <w:tcPr>
            <w:tcW w:w="1057" w:type="dxa"/>
            <w:tcBorders>
              <w:top w:val="nil"/>
              <w:bottom w:val="nil"/>
            </w:tcBorders>
            <w:noWrap/>
            <w:vAlign w:val="center"/>
            <w:hideMark/>
          </w:tcPr>
          <w:p w14:paraId="7514A012"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Age</w:t>
            </w:r>
          </w:p>
        </w:tc>
        <w:tc>
          <w:tcPr>
            <w:tcW w:w="900" w:type="dxa"/>
            <w:tcBorders>
              <w:top w:val="nil"/>
              <w:bottom w:val="nil"/>
            </w:tcBorders>
            <w:noWrap/>
            <w:vAlign w:val="center"/>
            <w:hideMark/>
          </w:tcPr>
          <w:p w14:paraId="334DD9B6"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&lt; 45</w:t>
            </w:r>
          </w:p>
        </w:tc>
        <w:tc>
          <w:tcPr>
            <w:tcW w:w="990" w:type="dxa"/>
            <w:tcBorders>
              <w:top w:val="nil"/>
              <w:bottom w:val="nil"/>
              <w:right w:val="single" w:sz="18" w:space="0" w:color="auto"/>
            </w:tcBorders>
            <w:noWrap/>
            <w:vAlign w:val="center"/>
            <w:hideMark/>
          </w:tcPr>
          <w:p w14:paraId="4CA5E8AB"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65+</w:t>
            </w:r>
          </w:p>
        </w:tc>
        <w:tc>
          <w:tcPr>
            <w:tcW w:w="732" w:type="dxa"/>
            <w:tcBorders>
              <w:left w:val="single" w:sz="18" w:space="0" w:color="auto"/>
            </w:tcBorders>
            <w:noWrap/>
            <w:vAlign w:val="center"/>
            <w:hideMark/>
          </w:tcPr>
          <w:p w14:paraId="13DBC1E3"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45.73</w:t>
            </w:r>
          </w:p>
        </w:tc>
        <w:tc>
          <w:tcPr>
            <w:tcW w:w="1175" w:type="dxa"/>
            <w:noWrap/>
            <w:vAlign w:val="center"/>
            <w:hideMark/>
          </w:tcPr>
          <w:p w14:paraId="70A9EC2A"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-51.02</w:t>
            </w:r>
          </w:p>
        </w:tc>
        <w:tc>
          <w:tcPr>
            <w:tcW w:w="1170" w:type="dxa"/>
            <w:tcBorders>
              <w:right w:val="single" w:sz="18" w:space="0" w:color="auto"/>
            </w:tcBorders>
            <w:noWrap/>
            <w:vAlign w:val="center"/>
            <w:hideMark/>
          </w:tcPr>
          <w:p w14:paraId="41D60B22"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9.50</w:t>
            </w:r>
          </w:p>
        </w:tc>
        <w:tc>
          <w:tcPr>
            <w:tcW w:w="732" w:type="dxa"/>
            <w:tcBorders>
              <w:top w:val="nil"/>
              <w:left w:val="single" w:sz="18" w:space="0" w:color="auto"/>
              <w:bottom w:val="nil"/>
            </w:tcBorders>
            <w:noWrap/>
            <w:vAlign w:val="center"/>
            <w:hideMark/>
          </w:tcPr>
          <w:p w14:paraId="4B75E534" w14:textId="15550BF8"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45.38</w:t>
            </w:r>
          </w:p>
        </w:tc>
        <w:tc>
          <w:tcPr>
            <w:tcW w:w="1158" w:type="dxa"/>
            <w:tcBorders>
              <w:top w:val="nil"/>
              <w:bottom w:val="nil"/>
            </w:tcBorders>
            <w:noWrap/>
            <w:vAlign w:val="center"/>
            <w:hideMark/>
          </w:tcPr>
          <w:p w14:paraId="04E6CB2B" w14:textId="7AB8E75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-51.06</w:t>
            </w:r>
          </w:p>
        </w:tc>
        <w:tc>
          <w:tcPr>
            <w:tcW w:w="1080" w:type="dxa"/>
            <w:tcBorders>
              <w:top w:val="nil"/>
              <w:bottom w:val="nil"/>
              <w:right w:val="single" w:sz="18" w:space="0" w:color="auto"/>
            </w:tcBorders>
            <w:noWrap/>
            <w:vAlign w:val="center"/>
            <w:hideMark/>
          </w:tcPr>
          <w:p w14:paraId="250CEAD8" w14:textId="22908C1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11.12</w:t>
            </w:r>
          </w:p>
        </w:tc>
        <w:tc>
          <w:tcPr>
            <w:tcW w:w="732" w:type="dxa"/>
            <w:tcBorders>
              <w:left w:val="single" w:sz="18" w:space="0" w:color="auto"/>
            </w:tcBorders>
            <w:noWrap/>
            <w:vAlign w:val="center"/>
            <w:hideMark/>
          </w:tcPr>
          <w:p w14:paraId="7B9A191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45.42</w:t>
            </w:r>
          </w:p>
        </w:tc>
        <w:tc>
          <w:tcPr>
            <w:tcW w:w="1158" w:type="dxa"/>
            <w:noWrap/>
            <w:vAlign w:val="center"/>
            <w:hideMark/>
          </w:tcPr>
          <w:p w14:paraId="61C253A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-49.43</w:t>
            </w:r>
          </w:p>
        </w:tc>
        <w:tc>
          <w:tcPr>
            <w:tcW w:w="1153" w:type="dxa"/>
            <w:tcBorders>
              <w:right w:val="single" w:sz="18" w:space="0" w:color="auto"/>
            </w:tcBorders>
            <w:noWrap/>
            <w:vAlign w:val="center"/>
            <w:hideMark/>
          </w:tcPr>
          <w:p w14:paraId="77106A6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7.20</w:t>
            </w:r>
          </w:p>
        </w:tc>
        <w:tc>
          <w:tcPr>
            <w:tcW w:w="732" w:type="dxa"/>
            <w:tcBorders>
              <w:top w:val="nil"/>
              <w:left w:val="single" w:sz="18" w:space="0" w:color="auto"/>
              <w:bottom w:val="nil"/>
            </w:tcBorders>
            <w:noWrap/>
            <w:vAlign w:val="center"/>
            <w:hideMark/>
          </w:tcPr>
          <w:p w14:paraId="4BCF2D30" w14:textId="1E5B15EA"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45.46</w:t>
            </w:r>
          </w:p>
        </w:tc>
        <w:tc>
          <w:tcPr>
            <w:tcW w:w="1158" w:type="dxa"/>
            <w:tcBorders>
              <w:top w:val="nil"/>
              <w:bottom w:val="nil"/>
            </w:tcBorders>
            <w:noWrap/>
            <w:vAlign w:val="center"/>
            <w:hideMark/>
          </w:tcPr>
          <w:p w14:paraId="66056BC4" w14:textId="27647765"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-51.24</w:t>
            </w:r>
          </w:p>
        </w:tc>
        <w:tc>
          <w:tcPr>
            <w:tcW w:w="1153" w:type="dxa"/>
            <w:tcBorders>
              <w:top w:val="nil"/>
              <w:bottom w:val="nil"/>
            </w:tcBorders>
            <w:noWrap/>
            <w:vAlign w:val="center"/>
            <w:hideMark/>
          </w:tcPr>
          <w:p w14:paraId="79043C87" w14:textId="544518CF"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12.20</w:t>
            </w:r>
          </w:p>
        </w:tc>
      </w:tr>
      <w:tr w:rsidR="00DB2CC2" w:rsidRPr="00DB2CC2" w14:paraId="0332942D" w14:textId="77777777" w:rsidTr="00014DCE">
        <w:trPr>
          <w:gridAfter w:val="1"/>
          <w:wAfter w:w="7" w:type="dxa"/>
          <w:trHeight w:val="295"/>
          <w:jc w:val="center"/>
        </w:trPr>
        <w:tc>
          <w:tcPr>
            <w:tcW w:w="1057" w:type="dxa"/>
            <w:tcBorders>
              <w:top w:val="nil"/>
              <w:bottom w:val="nil"/>
            </w:tcBorders>
            <w:noWrap/>
            <w:vAlign w:val="center"/>
            <w:hideMark/>
          </w:tcPr>
          <w:p w14:paraId="4EF3FD56"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Gender</w:t>
            </w:r>
          </w:p>
        </w:tc>
        <w:tc>
          <w:tcPr>
            <w:tcW w:w="900" w:type="dxa"/>
            <w:tcBorders>
              <w:top w:val="nil"/>
              <w:bottom w:val="nil"/>
            </w:tcBorders>
            <w:noWrap/>
            <w:vAlign w:val="center"/>
            <w:hideMark/>
          </w:tcPr>
          <w:p w14:paraId="014ABE70"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Male</w:t>
            </w:r>
          </w:p>
        </w:tc>
        <w:tc>
          <w:tcPr>
            <w:tcW w:w="990" w:type="dxa"/>
            <w:tcBorders>
              <w:top w:val="nil"/>
              <w:bottom w:val="nil"/>
              <w:right w:val="single" w:sz="18" w:space="0" w:color="auto"/>
            </w:tcBorders>
            <w:noWrap/>
            <w:vAlign w:val="center"/>
            <w:hideMark/>
          </w:tcPr>
          <w:p w14:paraId="2B787B45"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Female</w:t>
            </w:r>
          </w:p>
        </w:tc>
        <w:tc>
          <w:tcPr>
            <w:tcW w:w="732" w:type="dxa"/>
            <w:tcBorders>
              <w:left w:val="single" w:sz="18" w:space="0" w:color="auto"/>
            </w:tcBorders>
            <w:noWrap/>
            <w:vAlign w:val="center"/>
            <w:hideMark/>
          </w:tcPr>
          <w:p w14:paraId="481DE2D4"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20.20</w:t>
            </w:r>
          </w:p>
        </w:tc>
        <w:tc>
          <w:tcPr>
            <w:tcW w:w="1175" w:type="dxa"/>
            <w:noWrap/>
            <w:vAlign w:val="center"/>
            <w:hideMark/>
          </w:tcPr>
          <w:p w14:paraId="3D93BF6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-23.46</w:t>
            </w:r>
          </w:p>
        </w:tc>
        <w:tc>
          <w:tcPr>
            <w:tcW w:w="1170" w:type="dxa"/>
            <w:tcBorders>
              <w:right w:val="single" w:sz="18" w:space="0" w:color="auto"/>
            </w:tcBorders>
            <w:noWrap/>
            <w:vAlign w:val="center"/>
            <w:hideMark/>
          </w:tcPr>
          <w:p w14:paraId="6822FFF3"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-10.49</w:t>
            </w:r>
          </w:p>
        </w:tc>
        <w:tc>
          <w:tcPr>
            <w:tcW w:w="732" w:type="dxa"/>
            <w:tcBorders>
              <w:top w:val="nil"/>
              <w:left w:val="single" w:sz="18" w:space="0" w:color="auto"/>
              <w:bottom w:val="nil"/>
            </w:tcBorders>
            <w:noWrap/>
            <w:vAlign w:val="center"/>
            <w:hideMark/>
          </w:tcPr>
          <w:p w14:paraId="21C20132" w14:textId="79D5A319"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20.16</w:t>
            </w:r>
          </w:p>
        </w:tc>
        <w:tc>
          <w:tcPr>
            <w:tcW w:w="1158" w:type="dxa"/>
            <w:tcBorders>
              <w:top w:val="nil"/>
              <w:bottom w:val="nil"/>
            </w:tcBorders>
            <w:noWrap/>
            <w:vAlign w:val="center"/>
            <w:hideMark/>
          </w:tcPr>
          <w:p w14:paraId="2AB48E91" w14:textId="13DEF77C"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-23.50</w:t>
            </w:r>
          </w:p>
        </w:tc>
        <w:tc>
          <w:tcPr>
            <w:tcW w:w="1080" w:type="dxa"/>
            <w:tcBorders>
              <w:top w:val="nil"/>
              <w:bottom w:val="nil"/>
              <w:right w:val="single" w:sz="18" w:space="0" w:color="auto"/>
            </w:tcBorders>
            <w:noWrap/>
            <w:vAlign w:val="center"/>
            <w:hideMark/>
          </w:tcPr>
          <w:p w14:paraId="6BCE1B60" w14:textId="6BC91E32"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-10.17</w:t>
            </w:r>
          </w:p>
        </w:tc>
        <w:tc>
          <w:tcPr>
            <w:tcW w:w="732" w:type="dxa"/>
            <w:tcBorders>
              <w:left w:val="single" w:sz="18" w:space="0" w:color="auto"/>
            </w:tcBorders>
            <w:noWrap/>
            <w:vAlign w:val="center"/>
            <w:hideMark/>
          </w:tcPr>
          <w:p w14:paraId="5CFD35BF"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18.40</w:t>
            </w:r>
          </w:p>
        </w:tc>
        <w:tc>
          <w:tcPr>
            <w:tcW w:w="1158" w:type="dxa"/>
            <w:noWrap/>
            <w:vAlign w:val="center"/>
            <w:hideMark/>
          </w:tcPr>
          <w:p w14:paraId="7903D49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-24.02</w:t>
            </w:r>
          </w:p>
        </w:tc>
        <w:tc>
          <w:tcPr>
            <w:tcW w:w="1153" w:type="dxa"/>
            <w:tcBorders>
              <w:right w:val="single" w:sz="18" w:space="0" w:color="auto"/>
            </w:tcBorders>
            <w:noWrap/>
            <w:vAlign w:val="center"/>
            <w:hideMark/>
          </w:tcPr>
          <w:p w14:paraId="22FFE73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-0.04</w:t>
            </w:r>
          </w:p>
        </w:tc>
        <w:tc>
          <w:tcPr>
            <w:tcW w:w="732" w:type="dxa"/>
            <w:tcBorders>
              <w:top w:val="nil"/>
              <w:left w:val="single" w:sz="18" w:space="0" w:color="auto"/>
              <w:bottom w:val="nil"/>
            </w:tcBorders>
            <w:noWrap/>
            <w:vAlign w:val="center"/>
            <w:hideMark/>
          </w:tcPr>
          <w:p w14:paraId="4E563013" w14:textId="1D984F50"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19.50</w:t>
            </w:r>
          </w:p>
        </w:tc>
        <w:tc>
          <w:tcPr>
            <w:tcW w:w="1158" w:type="dxa"/>
            <w:tcBorders>
              <w:top w:val="nil"/>
              <w:bottom w:val="nil"/>
            </w:tcBorders>
            <w:noWrap/>
            <w:vAlign w:val="center"/>
            <w:hideMark/>
          </w:tcPr>
          <w:p w14:paraId="5B7F35D9" w14:textId="7727804F"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-24.52</w:t>
            </w:r>
          </w:p>
        </w:tc>
        <w:tc>
          <w:tcPr>
            <w:tcW w:w="1153" w:type="dxa"/>
            <w:tcBorders>
              <w:top w:val="nil"/>
              <w:bottom w:val="nil"/>
            </w:tcBorders>
            <w:noWrap/>
            <w:vAlign w:val="center"/>
            <w:hideMark/>
          </w:tcPr>
          <w:p w14:paraId="3A41A3B8" w14:textId="41724525"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-2.07</w:t>
            </w:r>
          </w:p>
        </w:tc>
      </w:tr>
      <w:tr w:rsidR="00DB2CC2" w:rsidRPr="00DB2CC2" w14:paraId="303C45B9" w14:textId="77777777" w:rsidTr="00014DCE">
        <w:trPr>
          <w:gridAfter w:val="1"/>
          <w:wAfter w:w="7" w:type="dxa"/>
          <w:trHeight w:val="295"/>
          <w:jc w:val="center"/>
        </w:trPr>
        <w:tc>
          <w:tcPr>
            <w:tcW w:w="1057" w:type="dxa"/>
            <w:tcBorders>
              <w:top w:val="nil"/>
            </w:tcBorders>
            <w:noWrap/>
            <w:vAlign w:val="center"/>
            <w:hideMark/>
          </w:tcPr>
          <w:p w14:paraId="34E07A87"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Education</w:t>
            </w:r>
          </w:p>
        </w:tc>
        <w:tc>
          <w:tcPr>
            <w:tcW w:w="900" w:type="dxa"/>
            <w:tcBorders>
              <w:top w:val="nil"/>
            </w:tcBorders>
            <w:noWrap/>
            <w:vAlign w:val="center"/>
            <w:hideMark/>
          </w:tcPr>
          <w:p w14:paraId="22C96503" w14:textId="1EAC7A62" w:rsidR="00DB2CC2" w:rsidRPr="00A725F8" w:rsidRDefault="00DB2CC2" w:rsidP="00DB2CC2">
            <w:pPr>
              <w:spacing w:line="240" w:lineRule="auto"/>
              <w:jc w:val="left"/>
              <w:rPr>
                <w:rFonts w:eastAsia="Times New Roman" w:cs="Times New Roman"/>
                <w:color w:val="000000"/>
                <w:sz w:val="20"/>
                <w:szCs w:val="20"/>
              </w:rPr>
            </w:pPr>
            <w:r w:rsidRPr="00A725F8">
              <w:rPr>
                <w:rFonts w:eastAsia="Times New Roman" w:cs="Times New Roman"/>
                <w:color w:val="000000"/>
                <w:sz w:val="20"/>
                <w:szCs w:val="20"/>
              </w:rPr>
              <w:t xml:space="preserve">Less than </w:t>
            </w:r>
            <w:r w:rsidR="00A725F8">
              <w:rPr>
                <w:rFonts w:eastAsia="Times New Roman" w:cs="Times New Roman"/>
                <w:color w:val="000000"/>
                <w:sz w:val="20"/>
                <w:szCs w:val="20"/>
              </w:rPr>
              <w:t>B</w:t>
            </w:r>
            <w:r w:rsidRPr="00A725F8">
              <w:rPr>
                <w:rFonts w:eastAsia="Times New Roman" w:cs="Times New Roman"/>
                <w:color w:val="000000"/>
                <w:sz w:val="20"/>
                <w:szCs w:val="20"/>
              </w:rPr>
              <w:t>achelor</w:t>
            </w:r>
            <w:r w:rsidR="00A725F8" w:rsidRPr="00A725F8">
              <w:rPr>
                <w:rFonts w:eastAsia="Times New Roman" w:cs="Times New Roman"/>
                <w:sz w:val="20"/>
                <w:szCs w:val="20"/>
              </w:rPr>
              <w:t>'</w:t>
            </w:r>
            <w:r w:rsidRPr="00A725F8">
              <w:rPr>
                <w:rFonts w:eastAsia="Times New Roman" w:cs="Times New Roman"/>
                <w:color w:val="000000"/>
                <w:sz w:val="20"/>
                <w:szCs w:val="20"/>
              </w:rPr>
              <w:t>s</w:t>
            </w:r>
          </w:p>
        </w:tc>
        <w:tc>
          <w:tcPr>
            <w:tcW w:w="990" w:type="dxa"/>
            <w:tcBorders>
              <w:top w:val="nil"/>
              <w:right w:val="single" w:sz="18" w:space="0" w:color="auto"/>
            </w:tcBorders>
            <w:noWrap/>
            <w:vAlign w:val="center"/>
            <w:hideMark/>
          </w:tcPr>
          <w:p w14:paraId="2334E102" w14:textId="6DD6579E" w:rsidR="00DB2CC2" w:rsidRPr="00A725F8" w:rsidRDefault="00DB2CC2" w:rsidP="00DB2CC2">
            <w:pPr>
              <w:spacing w:line="240" w:lineRule="auto"/>
              <w:jc w:val="left"/>
              <w:rPr>
                <w:rFonts w:eastAsia="Times New Roman" w:cs="Times New Roman"/>
                <w:color w:val="000000"/>
                <w:sz w:val="20"/>
                <w:szCs w:val="20"/>
              </w:rPr>
            </w:pPr>
            <w:r w:rsidRPr="00A725F8">
              <w:rPr>
                <w:rFonts w:eastAsia="Times New Roman" w:cs="Times New Roman"/>
                <w:color w:val="000000"/>
                <w:sz w:val="20"/>
                <w:szCs w:val="20"/>
              </w:rPr>
              <w:t>Bachelor</w:t>
            </w:r>
            <w:r w:rsidR="00A725F8" w:rsidRPr="00A725F8">
              <w:rPr>
                <w:rFonts w:eastAsia="Times New Roman" w:cs="Times New Roman"/>
                <w:sz w:val="20"/>
                <w:szCs w:val="20"/>
              </w:rPr>
              <w:t>'</w:t>
            </w:r>
            <w:r w:rsidRPr="00A725F8">
              <w:rPr>
                <w:rFonts w:eastAsia="Times New Roman" w:cs="Times New Roman"/>
                <w:color w:val="000000"/>
                <w:sz w:val="20"/>
                <w:szCs w:val="20"/>
              </w:rPr>
              <w:t>s Degree</w:t>
            </w:r>
          </w:p>
        </w:tc>
        <w:tc>
          <w:tcPr>
            <w:tcW w:w="732" w:type="dxa"/>
            <w:tcBorders>
              <w:left w:val="single" w:sz="18" w:space="0" w:color="auto"/>
            </w:tcBorders>
            <w:noWrap/>
            <w:vAlign w:val="center"/>
            <w:hideMark/>
          </w:tcPr>
          <w:p w14:paraId="3EA8D70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-9.03</w:t>
            </w:r>
          </w:p>
        </w:tc>
        <w:tc>
          <w:tcPr>
            <w:tcW w:w="1175" w:type="dxa"/>
            <w:noWrap/>
            <w:vAlign w:val="center"/>
            <w:hideMark/>
          </w:tcPr>
          <w:p w14:paraId="6E4EF8F1"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12.81</w:t>
            </w:r>
          </w:p>
        </w:tc>
        <w:tc>
          <w:tcPr>
            <w:tcW w:w="1170" w:type="dxa"/>
            <w:tcBorders>
              <w:right w:val="single" w:sz="18" w:space="0" w:color="auto"/>
            </w:tcBorders>
            <w:noWrap/>
            <w:vAlign w:val="center"/>
            <w:hideMark/>
          </w:tcPr>
          <w:p w14:paraId="66B132F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13.77</w:t>
            </w:r>
          </w:p>
        </w:tc>
        <w:tc>
          <w:tcPr>
            <w:tcW w:w="732" w:type="dxa"/>
            <w:tcBorders>
              <w:top w:val="nil"/>
              <w:left w:val="single" w:sz="18" w:space="0" w:color="auto"/>
              <w:bottom w:val="nil"/>
            </w:tcBorders>
            <w:noWrap/>
            <w:vAlign w:val="center"/>
            <w:hideMark/>
          </w:tcPr>
          <w:p w14:paraId="36FDA3B9" w14:textId="57D36C64"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-9.00</w:t>
            </w:r>
          </w:p>
        </w:tc>
        <w:tc>
          <w:tcPr>
            <w:tcW w:w="1158" w:type="dxa"/>
            <w:tcBorders>
              <w:top w:val="nil"/>
              <w:bottom w:val="nil"/>
            </w:tcBorders>
            <w:noWrap/>
            <w:vAlign w:val="center"/>
            <w:hideMark/>
          </w:tcPr>
          <w:p w14:paraId="3B7EB032" w14:textId="64F20AE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12.86</w:t>
            </w:r>
          </w:p>
        </w:tc>
        <w:tc>
          <w:tcPr>
            <w:tcW w:w="1080" w:type="dxa"/>
            <w:tcBorders>
              <w:top w:val="nil"/>
              <w:bottom w:val="nil"/>
              <w:right w:val="single" w:sz="18" w:space="0" w:color="auto"/>
            </w:tcBorders>
            <w:noWrap/>
            <w:vAlign w:val="center"/>
            <w:hideMark/>
          </w:tcPr>
          <w:p w14:paraId="063A4CA7" w14:textId="3498F9D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13.41</w:t>
            </w:r>
          </w:p>
        </w:tc>
        <w:tc>
          <w:tcPr>
            <w:tcW w:w="732" w:type="dxa"/>
            <w:tcBorders>
              <w:left w:val="single" w:sz="18" w:space="0" w:color="auto"/>
            </w:tcBorders>
            <w:noWrap/>
            <w:vAlign w:val="center"/>
            <w:hideMark/>
          </w:tcPr>
          <w:p w14:paraId="059B5805"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-8.16</w:t>
            </w:r>
          </w:p>
        </w:tc>
        <w:tc>
          <w:tcPr>
            <w:tcW w:w="1158" w:type="dxa"/>
            <w:noWrap/>
            <w:vAlign w:val="center"/>
            <w:hideMark/>
          </w:tcPr>
          <w:p w14:paraId="338C77E2"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14.99</w:t>
            </w:r>
          </w:p>
        </w:tc>
        <w:tc>
          <w:tcPr>
            <w:tcW w:w="1153" w:type="dxa"/>
            <w:tcBorders>
              <w:right w:val="single" w:sz="18" w:space="0" w:color="auto"/>
            </w:tcBorders>
            <w:noWrap/>
            <w:vAlign w:val="center"/>
            <w:hideMark/>
          </w:tcPr>
          <w:p w14:paraId="2EDFD831"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1.85</w:t>
            </w:r>
          </w:p>
        </w:tc>
        <w:tc>
          <w:tcPr>
            <w:tcW w:w="732" w:type="dxa"/>
            <w:tcBorders>
              <w:top w:val="nil"/>
              <w:left w:val="single" w:sz="18" w:space="0" w:color="auto"/>
              <w:bottom w:val="nil"/>
            </w:tcBorders>
            <w:noWrap/>
            <w:vAlign w:val="center"/>
            <w:hideMark/>
          </w:tcPr>
          <w:p w14:paraId="5C75A764" w14:textId="6BB5703D"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-8.98</w:t>
            </w:r>
          </w:p>
        </w:tc>
        <w:tc>
          <w:tcPr>
            <w:tcW w:w="1158" w:type="dxa"/>
            <w:tcBorders>
              <w:top w:val="nil"/>
              <w:bottom w:val="nil"/>
            </w:tcBorders>
            <w:noWrap/>
            <w:vAlign w:val="center"/>
            <w:hideMark/>
          </w:tcPr>
          <w:p w14:paraId="28A38E22" w14:textId="2A9FCAC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12.95</w:t>
            </w:r>
          </w:p>
        </w:tc>
        <w:tc>
          <w:tcPr>
            <w:tcW w:w="1153" w:type="dxa"/>
            <w:tcBorders>
              <w:top w:val="nil"/>
              <w:bottom w:val="nil"/>
            </w:tcBorders>
            <w:noWrap/>
            <w:vAlign w:val="center"/>
            <w:hideMark/>
          </w:tcPr>
          <w:p w14:paraId="259069EC" w14:textId="4F32D61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7.91</w:t>
            </w:r>
          </w:p>
        </w:tc>
      </w:tr>
      <w:tr w:rsidR="00DB2CC2" w:rsidRPr="00DB2CC2" w14:paraId="5D304CA8" w14:textId="77777777" w:rsidTr="00014DCE">
        <w:trPr>
          <w:gridAfter w:val="1"/>
          <w:wAfter w:w="7" w:type="dxa"/>
          <w:trHeight w:val="295"/>
          <w:jc w:val="center"/>
        </w:trPr>
        <w:tc>
          <w:tcPr>
            <w:tcW w:w="1057" w:type="dxa"/>
            <w:noWrap/>
            <w:vAlign w:val="bottom"/>
            <w:hideMark/>
          </w:tcPr>
          <w:p w14:paraId="1F75417D"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Race</w:t>
            </w:r>
          </w:p>
        </w:tc>
        <w:tc>
          <w:tcPr>
            <w:tcW w:w="900" w:type="dxa"/>
            <w:noWrap/>
            <w:vAlign w:val="bottom"/>
            <w:hideMark/>
          </w:tcPr>
          <w:p w14:paraId="705E1DB7"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White</w:t>
            </w:r>
          </w:p>
        </w:tc>
        <w:tc>
          <w:tcPr>
            <w:tcW w:w="990" w:type="dxa"/>
            <w:tcBorders>
              <w:right w:val="single" w:sz="18" w:space="0" w:color="auto"/>
            </w:tcBorders>
            <w:noWrap/>
            <w:vAlign w:val="bottom"/>
            <w:hideMark/>
          </w:tcPr>
          <w:p w14:paraId="65A6F65B"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Nonwhite</w:t>
            </w:r>
          </w:p>
        </w:tc>
        <w:tc>
          <w:tcPr>
            <w:tcW w:w="732" w:type="dxa"/>
            <w:tcBorders>
              <w:left w:val="single" w:sz="18" w:space="0" w:color="auto"/>
            </w:tcBorders>
            <w:noWrap/>
            <w:vAlign w:val="center"/>
            <w:hideMark/>
          </w:tcPr>
          <w:p w14:paraId="5145EB15"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-2.08</w:t>
            </w:r>
          </w:p>
        </w:tc>
        <w:tc>
          <w:tcPr>
            <w:tcW w:w="1175" w:type="dxa"/>
            <w:noWrap/>
            <w:vAlign w:val="center"/>
            <w:hideMark/>
          </w:tcPr>
          <w:p w14:paraId="02585F4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-5.82</w:t>
            </w:r>
          </w:p>
        </w:tc>
        <w:tc>
          <w:tcPr>
            <w:tcW w:w="1170" w:type="dxa"/>
            <w:tcBorders>
              <w:right w:val="single" w:sz="18" w:space="0" w:color="auto"/>
            </w:tcBorders>
            <w:noWrap/>
            <w:vAlign w:val="center"/>
            <w:hideMark/>
          </w:tcPr>
          <w:p w14:paraId="134C91D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28.09</w:t>
            </w:r>
          </w:p>
        </w:tc>
        <w:tc>
          <w:tcPr>
            <w:tcW w:w="732" w:type="dxa"/>
            <w:tcBorders>
              <w:top w:val="nil"/>
              <w:left w:val="single" w:sz="18" w:space="0" w:color="auto"/>
              <w:bottom w:val="nil"/>
            </w:tcBorders>
            <w:noWrap/>
            <w:vAlign w:val="center"/>
            <w:hideMark/>
          </w:tcPr>
          <w:p w14:paraId="7B83DDE4" w14:textId="6C4BE0C2"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-2.15</w:t>
            </w:r>
          </w:p>
        </w:tc>
        <w:tc>
          <w:tcPr>
            <w:tcW w:w="1158" w:type="dxa"/>
            <w:tcBorders>
              <w:top w:val="nil"/>
              <w:bottom w:val="nil"/>
            </w:tcBorders>
            <w:noWrap/>
            <w:vAlign w:val="center"/>
            <w:hideMark/>
          </w:tcPr>
          <w:p w14:paraId="0CE45D2E" w14:textId="35FA595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-5.79</w:t>
            </w:r>
          </w:p>
        </w:tc>
        <w:tc>
          <w:tcPr>
            <w:tcW w:w="1080" w:type="dxa"/>
            <w:tcBorders>
              <w:top w:val="nil"/>
              <w:bottom w:val="nil"/>
              <w:right w:val="single" w:sz="18" w:space="0" w:color="auto"/>
            </w:tcBorders>
            <w:noWrap/>
            <w:vAlign w:val="center"/>
            <w:hideMark/>
          </w:tcPr>
          <w:p w14:paraId="2FD7702C" w14:textId="6042BAA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28.35</w:t>
            </w:r>
          </w:p>
        </w:tc>
        <w:tc>
          <w:tcPr>
            <w:tcW w:w="732" w:type="dxa"/>
            <w:tcBorders>
              <w:left w:val="single" w:sz="18" w:space="0" w:color="auto"/>
            </w:tcBorders>
            <w:noWrap/>
            <w:vAlign w:val="center"/>
            <w:hideMark/>
          </w:tcPr>
          <w:p w14:paraId="76F7263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-1.83</w:t>
            </w:r>
          </w:p>
        </w:tc>
        <w:tc>
          <w:tcPr>
            <w:tcW w:w="1158" w:type="dxa"/>
            <w:noWrap/>
            <w:vAlign w:val="center"/>
            <w:hideMark/>
          </w:tcPr>
          <w:p w14:paraId="028305B3"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-3.52</w:t>
            </w:r>
          </w:p>
        </w:tc>
        <w:tc>
          <w:tcPr>
            <w:tcW w:w="1153" w:type="dxa"/>
            <w:tcBorders>
              <w:right w:val="single" w:sz="18" w:space="0" w:color="auto"/>
            </w:tcBorders>
            <w:noWrap/>
            <w:vAlign w:val="center"/>
            <w:hideMark/>
          </w:tcPr>
          <w:p w14:paraId="777E4A2A"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22.00</w:t>
            </w:r>
          </w:p>
        </w:tc>
        <w:tc>
          <w:tcPr>
            <w:tcW w:w="732" w:type="dxa"/>
            <w:tcBorders>
              <w:top w:val="nil"/>
              <w:left w:val="single" w:sz="18" w:space="0" w:color="auto"/>
              <w:bottom w:val="nil"/>
            </w:tcBorders>
            <w:noWrap/>
            <w:vAlign w:val="center"/>
            <w:hideMark/>
          </w:tcPr>
          <w:p w14:paraId="42F0188F" w14:textId="7B001E50"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-2.34</w:t>
            </w:r>
          </w:p>
        </w:tc>
        <w:tc>
          <w:tcPr>
            <w:tcW w:w="1158" w:type="dxa"/>
            <w:tcBorders>
              <w:top w:val="nil"/>
              <w:bottom w:val="nil"/>
            </w:tcBorders>
            <w:noWrap/>
            <w:vAlign w:val="center"/>
            <w:hideMark/>
          </w:tcPr>
          <w:p w14:paraId="0FEAF4B4" w14:textId="4E97EE5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-4.83</w:t>
            </w:r>
          </w:p>
        </w:tc>
        <w:tc>
          <w:tcPr>
            <w:tcW w:w="1153" w:type="dxa"/>
            <w:tcBorders>
              <w:top w:val="nil"/>
              <w:bottom w:val="nil"/>
            </w:tcBorders>
            <w:noWrap/>
            <w:vAlign w:val="center"/>
            <w:hideMark/>
          </w:tcPr>
          <w:p w14:paraId="43BA4D32" w14:textId="359FE650"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26.34</w:t>
            </w:r>
          </w:p>
        </w:tc>
      </w:tr>
      <w:tr w:rsidR="00DB2CC2" w:rsidRPr="00DB2CC2" w14:paraId="06B60659" w14:textId="77777777" w:rsidTr="00014DCE">
        <w:trPr>
          <w:gridAfter w:val="1"/>
          <w:wAfter w:w="7" w:type="dxa"/>
          <w:trHeight w:val="295"/>
          <w:jc w:val="center"/>
        </w:trPr>
        <w:tc>
          <w:tcPr>
            <w:tcW w:w="1057" w:type="dxa"/>
            <w:tcBorders>
              <w:top w:val="nil"/>
              <w:bottom w:val="nil"/>
            </w:tcBorders>
            <w:noWrap/>
            <w:vAlign w:val="center"/>
            <w:hideMark/>
          </w:tcPr>
          <w:p w14:paraId="466B3D04"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Income</w:t>
            </w:r>
          </w:p>
        </w:tc>
        <w:tc>
          <w:tcPr>
            <w:tcW w:w="900" w:type="dxa"/>
            <w:tcBorders>
              <w:top w:val="nil"/>
              <w:bottom w:val="nil"/>
            </w:tcBorders>
            <w:noWrap/>
            <w:vAlign w:val="center"/>
            <w:hideMark/>
          </w:tcPr>
          <w:p w14:paraId="1B10A4EA"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&lt; $25,000</w:t>
            </w:r>
          </w:p>
        </w:tc>
        <w:tc>
          <w:tcPr>
            <w:tcW w:w="990" w:type="dxa"/>
            <w:tcBorders>
              <w:top w:val="nil"/>
              <w:bottom w:val="nil"/>
              <w:right w:val="single" w:sz="18" w:space="0" w:color="auto"/>
            </w:tcBorders>
            <w:noWrap/>
            <w:vAlign w:val="center"/>
            <w:hideMark/>
          </w:tcPr>
          <w:p w14:paraId="6893630C" w14:textId="74530CE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$100,000+</w:t>
            </w:r>
          </w:p>
        </w:tc>
        <w:tc>
          <w:tcPr>
            <w:tcW w:w="732" w:type="dxa"/>
            <w:tcBorders>
              <w:left w:val="single" w:sz="18" w:space="0" w:color="auto"/>
            </w:tcBorders>
            <w:noWrap/>
            <w:vAlign w:val="center"/>
            <w:hideMark/>
          </w:tcPr>
          <w:p w14:paraId="794BAC7B"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-0.39</w:t>
            </w:r>
          </w:p>
        </w:tc>
        <w:tc>
          <w:tcPr>
            <w:tcW w:w="1175" w:type="dxa"/>
            <w:noWrap/>
            <w:vAlign w:val="center"/>
            <w:hideMark/>
          </w:tcPr>
          <w:p w14:paraId="6724E4D1"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53.93</w:t>
            </w:r>
          </w:p>
        </w:tc>
        <w:tc>
          <w:tcPr>
            <w:tcW w:w="1170" w:type="dxa"/>
            <w:tcBorders>
              <w:right w:val="single" w:sz="18" w:space="0" w:color="auto"/>
            </w:tcBorders>
            <w:noWrap/>
            <w:vAlign w:val="center"/>
            <w:hideMark/>
          </w:tcPr>
          <w:p w14:paraId="0D6B02C4"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-58.85</w:t>
            </w:r>
          </w:p>
        </w:tc>
        <w:tc>
          <w:tcPr>
            <w:tcW w:w="732" w:type="dxa"/>
            <w:tcBorders>
              <w:top w:val="nil"/>
              <w:left w:val="single" w:sz="18" w:space="0" w:color="auto"/>
              <w:bottom w:val="nil"/>
            </w:tcBorders>
            <w:noWrap/>
            <w:vAlign w:val="center"/>
            <w:hideMark/>
          </w:tcPr>
          <w:p w14:paraId="5D55CEB3" w14:textId="525348F4"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-0.26</w:t>
            </w:r>
          </w:p>
        </w:tc>
        <w:tc>
          <w:tcPr>
            <w:tcW w:w="1158" w:type="dxa"/>
            <w:tcBorders>
              <w:top w:val="nil"/>
              <w:bottom w:val="nil"/>
            </w:tcBorders>
            <w:noWrap/>
            <w:vAlign w:val="center"/>
            <w:hideMark/>
          </w:tcPr>
          <w:p w14:paraId="3FE79D64" w14:textId="602293D4"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53.50</w:t>
            </w:r>
          </w:p>
        </w:tc>
        <w:tc>
          <w:tcPr>
            <w:tcW w:w="1080" w:type="dxa"/>
            <w:tcBorders>
              <w:top w:val="nil"/>
              <w:bottom w:val="nil"/>
              <w:right w:val="single" w:sz="18" w:space="0" w:color="auto"/>
            </w:tcBorders>
            <w:noWrap/>
            <w:vAlign w:val="center"/>
            <w:hideMark/>
          </w:tcPr>
          <w:p w14:paraId="338DE28A" w14:textId="298E080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-58.82</w:t>
            </w:r>
          </w:p>
        </w:tc>
        <w:tc>
          <w:tcPr>
            <w:tcW w:w="732" w:type="dxa"/>
            <w:tcBorders>
              <w:left w:val="single" w:sz="18" w:space="0" w:color="auto"/>
            </w:tcBorders>
            <w:noWrap/>
            <w:vAlign w:val="center"/>
            <w:hideMark/>
          </w:tcPr>
          <w:p w14:paraId="6538A079"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0.73</w:t>
            </w:r>
          </w:p>
        </w:tc>
        <w:tc>
          <w:tcPr>
            <w:tcW w:w="1158" w:type="dxa"/>
            <w:noWrap/>
            <w:vAlign w:val="center"/>
            <w:hideMark/>
          </w:tcPr>
          <w:p w14:paraId="487121B7"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49.12</w:t>
            </w:r>
          </w:p>
        </w:tc>
        <w:tc>
          <w:tcPr>
            <w:tcW w:w="1153" w:type="dxa"/>
            <w:tcBorders>
              <w:right w:val="single" w:sz="18" w:space="0" w:color="auto"/>
            </w:tcBorders>
            <w:noWrap/>
            <w:vAlign w:val="center"/>
            <w:hideMark/>
          </w:tcPr>
          <w:p w14:paraId="37274891"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-53.94</w:t>
            </w:r>
          </w:p>
        </w:tc>
        <w:tc>
          <w:tcPr>
            <w:tcW w:w="732" w:type="dxa"/>
            <w:tcBorders>
              <w:top w:val="nil"/>
              <w:left w:val="single" w:sz="18" w:space="0" w:color="auto"/>
              <w:bottom w:val="nil"/>
            </w:tcBorders>
            <w:noWrap/>
            <w:vAlign w:val="center"/>
            <w:hideMark/>
          </w:tcPr>
          <w:p w14:paraId="7917A968" w14:textId="48D6D07B"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0.67</w:t>
            </w:r>
          </w:p>
        </w:tc>
        <w:tc>
          <w:tcPr>
            <w:tcW w:w="1158" w:type="dxa"/>
            <w:tcBorders>
              <w:top w:val="nil"/>
              <w:bottom w:val="nil"/>
            </w:tcBorders>
            <w:noWrap/>
            <w:vAlign w:val="center"/>
            <w:hideMark/>
          </w:tcPr>
          <w:p w14:paraId="1BCAE69B" w14:textId="7408D3A6"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50.66</w:t>
            </w:r>
          </w:p>
        </w:tc>
        <w:tc>
          <w:tcPr>
            <w:tcW w:w="1153" w:type="dxa"/>
            <w:tcBorders>
              <w:top w:val="nil"/>
              <w:bottom w:val="nil"/>
            </w:tcBorders>
            <w:noWrap/>
            <w:vAlign w:val="center"/>
            <w:hideMark/>
          </w:tcPr>
          <w:p w14:paraId="51FD8A78" w14:textId="11AC86C3"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-59.11</w:t>
            </w:r>
          </w:p>
        </w:tc>
      </w:tr>
      <w:tr w:rsidR="00DB2CC2" w:rsidRPr="00DB2CC2" w14:paraId="1B37C901" w14:textId="77777777" w:rsidTr="00014DCE">
        <w:trPr>
          <w:gridAfter w:val="1"/>
          <w:wAfter w:w="7" w:type="dxa"/>
          <w:trHeight w:val="295"/>
          <w:jc w:val="center"/>
        </w:trPr>
        <w:tc>
          <w:tcPr>
            <w:tcW w:w="1057" w:type="dxa"/>
            <w:tcBorders>
              <w:top w:val="nil"/>
              <w:bottom w:val="single" w:sz="18" w:space="0" w:color="auto"/>
            </w:tcBorders>
            <w:noWrap/>
            <w:vAlign w:val="center"/>
            <w:hideMark/>
          </w:tcPr>
          <w:p w14:paraId="6D435D7E"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Presence of Children</w:t>
            </w:r>
          </w:p>
        </w:tc>
        <w:tc>
          <w:tcPr>
            <w:tcW w:w="900" w:type="dxa"/>
            <w:tcBorders>
              <w:top w:val="nil"/>
              <w:bottom w:val="single" w:sz="18" w:space="0" w:color="auto"/>
            </w:tcBorders>
            <w:noWrap/>
            <w:vAlign w:val="center"/>
            <w:hideMark/>
          </w:tcPr>
          <w:p w14:paraId="4C669685"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No</w:t>
            </w:r>
          </w:p>
        </w:tc>
        <w:tc>
          <w:tcPr>
            <w:tcW w:w="990" w:type="dxa"/>
            <w:tcBorders>
              <w:top w:val="nil"/>
              <w:bottom w:val="single" w:sz="18" w:space="0" w:color="auto"/>
              <w:right w:val="single" w:sz="18" w:space="0" w:color="auto"/>
            </w:tcBorders>
            <w:noWrap/>
            <w:vAlign w:val="center"/>
            <w:hideMark/>
          </w:tcPr>
          <w:p w14:paraId="16A94DF3" w14:textId="77777777" w:rsidR="00DB2CC2" w:rsidRPr="00DB2CC2" w:rsidRDefault="00DB2CC2" w:rsidP="00DB2CC2">
            <w:pPr>
              <w:spacing w:line="240" w:lineRule="auto"/>
              <w:jc w:val="left"/>
              <w:rPr>
                <w:rFonts w:eastAsia="Times New Roman" w:cs="Times New Roman"/>
                <w:color w:val="000000"/>
                <w:sz w:val="20"/>
                <w:szCs w:val="20"/>
              </w:rPr>
            </w:pPr>
            <w:r w:rsidRPr="00DB2CC2">
              <w:rPr>
                <w:rFonts w:eastAsia="Times New Roman" w:cs="Times New Roman"/>
                <w:color w:val="000000"/>
                <w:sz w:val="20"/>
                <w:szCs w:val="20"/>
              </w:rPr>
              <w:t>Yes</w:t>
            </w:r>
          </w:p>
        </w:tc>
        <w:tc>
          <w:tcPr>
            <w:tcW w:w="732" w:type="dxa"/>
            <w:tcBorders>
              <w:left w:val="single" w:sz="18" w:space="0" w:color="auto"/>
              <w:bottom w:val="single" w:sz="18" w:space="0" w:color="auto"/>
            </w:tcBorders>
            <w:noWrap/>
            <w:vAlign w:val="center"/>
            <w:hideMark/>
          </w:tcPr>
          <w:p w14:paraId="782030C0"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0.67</w:t>
            </w:r>
          </w:p>
        </w:tc>
        <w:tc>
          <w:tcPr>
            <w:tcW w:w="1175" w:type="dxa"/>
            <w:tcBorders>
              <w:bottom w:val="single" w:sz="18" w:space="0" w:color="auto"/>
            </w:tcBorders>
            <w:noWrap/>
            <w:vAlign w:val="center"/>
            <w:hideMark/>
          </w:tcPr>
          <w:p w14:paraId="05FB2EEA"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2.00</w:t>
            </w:r>
          </w:p>
        </w:tc>
        <w:tc>
          <w:tcPr>
            <w:tcW w:w="1170" w:type="dxa"/>
            <w:tcBorders>
              <w:bottom w:val="single" w:sz="18" w:space="0" w:color="auto"/>
              <w:right w:val="single" w:sz="18" w:space="0" w:color="auto"/>
            </w:tcBorders>
            <w:noWrap/>
            <w:vAlign w:val="center"/>
            <w:hideMark/>
          </w:tcPr>
          <w:p w14:paraId="10436F8C"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-8.57</w:t>
            </w:r>
          </w:p>
        </w:tc>
        <w:tc>
          <w:tcPr>
            <w:tcW w:w="732" w:type="dxa"/>
            <w:tcBorders>
              <w:top w:val="nil"/>
              <w:left w:val="single" w:sz="18" w:space="0" w:color="auto"/>
              <w:bottom w:val="single" w:sz="18" w:space="0" w:color="auto"/>
            </w:tcBorders>
            <w:noWrap/>
            <w:vAlign w:val="center"/>
            <w:hideMark/>
          </w:tcPr>
          <w:p w14:paraId="061B0B9B" w14:textId="22BA9945"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0.68</w:t>
            </w:r>
          </w:p>
        </w:tc>
        <w:tc>
          <w:tcPr>
            <w:tcW w:w="1158" w:type="dxa"/>
            <w:tcBorders>
              <w:top w:val="nil"/>
              <w:bottom w:val="single" w:sz="18" w:space="0" w:color="auto"/>
            </w:tcBorders>
            <w:noWrap/>
            <w:vAlign w:val="center"/>
            <w:hideMark/>
          </w:tcPr>
          <w:p w14:paraId="5698E032" w14:textId="6B96A8E8"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1.93</w:t>
            </w:r>
          </w:p>
        </w:tc>
        <w:tc>
          <w:tcPr>
            <w:tcW w:w="1080" w:type="dxa"/>
            <w:tcBorders>
              <w:top w:val="nil"/>
              <w:bottom w:val="single" w:sz="18" w:space="0" w:color="auto"/>
              <w:right w:val="single" w:sz="18" w:space="0" w:color="auto"/>
            </w:tcBorders>
            <w:noWrap/>
            <w:vAlign w:val="center"/>
            <w:hideMark/>
          </w:tcPr>
          <w:p w14:paraId="41DDC26B" w14:textId="0DDAB901"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-8.39</w:t>
            </w:r>
          </w:p>
        </w:tc>
        <w:tc>
          <w:tcPr>
            <w:tcW w:w="732" w:type="dxa"/>
            <w:tcBorders>
              <w:left w:val="single" w:sz="18" w:space="0" w:color="auto"/>
              <w:bottom w:val="single" w:sz="18" w:space="0" w:color="auto"/>
            </w:tcBorders>
            <w:noWrap/>
            <w:vAlign w:val="center"/>
            <w:hideMark/>
          </w:tcPr>
          <w:p w14:paraId="73785E0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2.96</w:t>
            </w:r>
          </w:p>
        </w:tc>
        <w:tc>
          <w:tcPr>
            <w:tcW w:w="1158" w:type="dxa"/>
            <w:tcBorders>
              <w:bottom w:val="single" w:sz="18" w:space="0" w:color="auto"/>
            </w:tcBorders>
            <w:noWrap/>
            <w:vAlign w:val="center"/>
            <w:hideMark/>
          </w:tcPr>
          <w:p w14:paraId="6BBD4175"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3.11</w:t>
            </w:r>
          </w:p>
        </w:tc>
        <w:tc>
          <w:tcPr>
            <w:tcW w:w="1153" w:type="dxa"/>
            <w:tcBorders>
              <w:bottom w:val="single" w:sz="18" w:space="0" w:color="auto"/>
              <w:right w:val="single" w:sz="18" w:space="0" w:color="auto"/>
            </w:tcBorders>
            <w:noWrap/>
            <w:vAlign w:val="center"/>
            <w:hideMark/>
          </w:tcPr>
          <w:p w14:paraId="568527CE" w14:textId="77777777"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DB2CC2">
              <w:rPr>
                <w:rFonts w:eastAsia="Times New Roman" w:cs="Times New Roman"/>
                <w:color w:val="000000"/>
                <w:sz w:val="20"/>
                <w:szCs w:val="20"/>
              </w:rPr>
              <w:t>-20.40</w:t>
            </w:r>
          </w:p>
        </w:tc>
        <w:tc>
          <w:tcPr>
            <w:tcW w:w="732" w:type="dxa"/>
            <w:tcBorders>
              <w:top w:val="nil"/>
              <w:left w:val="single" w:sz="18" w:space="0" w:color="auto"/>
              <w:bottom w:val="single" w:sz="18" w:space="0" w:color="auto"/>
            </w:tcBorders>
            <w:noWrap/>
            <w:vAlign w:val="center"/>
            <w:hideMark/>
          </w:tcPr>
          <w:p w14:paraId="4D54DEE1" w14:textId="1AF8246C"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1.73</w:t>
            </w:r>
          </w:p>
        </w:tc>
        <w:tc>
          <w:tcPr>
            <w:tcW w:w="1158" w:type="dxa"/>
            <w:tcBorders>
              <w:top w:val="nil"/>
              <w:bottom w:val="single" w:sz="18" w:space="0" w:color="auto"/>
            </w:tcBorders>
            <w:noWrap/>
            <w:vAlign w:val="center"/>
            <w:hideMark/>
          </w:tcPr>
          <w:p w14:paraId="4BF73DCC" w14:textId="3C99FA88"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3.74</w:t>
            </w:r>
          </w:p>
        </w:tc>
        <w:tc>
          <w:tcPr>
            <w:tcW w:w="1153" w:type="dxa"/>
            <w:tcBorders>
              <w:top w:val="nil"/>
              <w:bottom w:val="single" w:sz="18" w:space="0" w:color="auto"/>
            </w:tcBorders>
            <w:noWrap/>
            <w:vAlign w:val="center"/>
            <w:hideMark/>
          </w:tcPr>
          <w:p w14:paraId="670A8FB4" w14:textId="7A2D0F31" w:rsidR="00DB2CC2" w:rsidRPr="00DB2CC2" w:rsidRDefault="00DB2CC2" w:rsidP="00DB2CC2">
            <w:pPr>
              <w:tabs>
                <w:tab w:val="decimal" w:pos="328"/>
              </w:tabs>
              <w:spacing w:line="240" w:lineRule="auto"/>
              <w:jc w:val="center"/>
              <w:rPr>
                <w:rFonts w:eastAsia="Times New Roman" w:cs="Times New Roman"/>
                <w:color w:val="000000"/>
                <w:sz w:val="20"/>
                <w:szCs w:val="20"/>
              </w:rPr>
            </w:pPr>
            <w:r w:rsidRPr="00014DCE">
              <w:rPr>
                <w:rFonts w:cs="Times New Roman"/>
                <w:sz w:val="20"/>
                <w:szCs w:val="20"/>
              </w:rPr>
              <w:t>-17.74</w:t>
            </w:r>
          </w:p>
        </w:tc>
      </w:tr>
    </w:tbl>
    <w:p w14:paraId="2DF1F0D3" w14:textId="77777777" w:rsidR="001E1F0E" w:rsidRDefault="001E1F0E" w:rsidP="001C4C7F">
      <w:pPr>
        <w:spacing w:line="276" w:lineRule="auto"/>
        <w:ind w:left="144" w:hanging="144"/>
        <w:rPr>
          <w:rFonts w:cs="Times New Roman"/>
          <w:b/>
          <w:bCs/>
          <w:sz w:val="20"/>
          <w:szCs w:val="20"/>
        </w:rPr>
      </w:pPr>
    </w:p>
    <w:p w14:paraId="46109C8C" w14:textId="77777777" w:rsidR="00951B1E" w:rsidRDefault="00951B1E" w:rsidP="001C4C7F">
      <w:pPr>
        <w:spacing w:line="276" w:lineRule="auto"/>
        <w:ind w:left="144" w:hanging="144"/>
        <w:rPr>
          <w:rFonts w:cs="Times New Roman"/>
          <w:b/>
          <w:bCs/>
          <w:sz w:val="20"/>
          <w:szCs w:val="20"/>
        </w:rPr>
      </w:pPr>
    </w:p>
    <w:p w14:paraId="26AFDE3C" w14:textId="31E49EE4" w:rsidR="00951B1E" w:rsidRDefault="00951B1E" w:rsidP="00AE0DBD">
      <w:pPr>
        <w:spacing w:line="276" w:lineRule="auto"/>
        <w:ind w:left="144" w:hanging="144"/>
        <w:jc w:val="center"/>
        <w:rPr>
          <w:rFonts w:cs="Times New Roman"/>
          <w:b/>
          <w:bCs/>
          <w:sz w:val="20"/>
          <w:szCs w:val="20"/>
        </w:rPr>
      </w:pPr>
      <w:r>
        <w:rPr>
          <w:noProof/>
        </w:rPr>
        <w:lastRenderedPageBreak/>
        <w:drawing>
          <wp:inline distT="0" distB="0" distL="0" distR="0" wp14:anchorId="2AB063DA" wp14:editId="1FE6F72D">
            <wp:extent cx="8229600" cy="3872865"/>
            <wp:effectExtent l="0" t="0" r="0" b="0"/>
            <wp:docPr id="138380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08908" name=""/>
                    <pic:cNvPicPr/>
                  </pic:nvPicPr>
                  <pic:blipFill>
                    <a:blip r:embed="rId444"/>
                    <a:stretch>
                      <a:fillRect/>
                    </a:stretch>
                  </pic:blipFill>
                  <pic:spPr>
                    <a:xfrm>
                      <a:off x="0" y="0"/>
                      <a:ext cx="8229600" cy="3872865"/>
                    </a:xfrm>
                    <a:prstGeom prst="rect">
                      <a:avLst/>
                    </a:prstGeom>
                  </pic:spPr>
                </pic:pic>
              </a:graphicData>
            </a:graphic>
          </wp:inline>
        </w:drawing>
      </w:r>
    </w:p>
    <w:p w14:paraId="364392C7" w14:textId="77777777" w:rsidR="004B74E0" w:rsidRDefault="004B74E0" w:rsidP="001C4C7F">
      <w:pPr>
        <w:spacing w:line="276" w:lineRule="auto"/>
        <w:ind w:left="144" w:hanging="144"/>
        <w:rPr>
          <w:rFonts w:cs="Times New Roman"/>
          <w:b/>
          <w:bCs/>
          <w:sz w:val="20"/>
          <w:szCs w:val="20"/>
        </w:rPr>
      </w:pPr>
    </w:p>
    <w:p w14:paraId="38BBC180" w14:textId="0D5F47D3" w:rsidR="004B74E0" w:rsidRDefault="007B6C8F" w:rsidP="00A725F8">
      <w:pPr>
        <w:spacing w:line="276" w:lineRule="auto"/>
        <w:ind w:left="144" w:hanging="144"/>
        <w:jc w:val="center"/>
        <w:rPr>
          <w:rFonts w:cs="Times New Roman"/>
          <w:b/>
          <w:bCs/>
          <w:szCs w:val="24"/>
        </w:rPr>
      </w:pPr>
      <w:r w:rsidRPr="007B6C8F">
        <w:rPr>
          <w:rFonts w:cs="Times New Roman"/>
          <w:b/>
          <w:bCs/>
          <w:szCs w:val="24"/>
        </w:rPr>
        <w:t>Figure 1</w:t>
      </w:r>
      <w:r>
        <w:rPr>
          <w:rFonts w:cs="Times New Roman"/>
          <w:b/>
          <w:bCs/>
          <w:szCs w:val="24"/>
        </w:rPr>
        <w:t xml:space="preserve">: </w:t>
      </w:r>
      <w:r w:rsidR="00AE0DBD">
        <w:rPr>
          <w:rFonts w:cs="Times New Roman"/>
          <w:b/>
          <w:bCs/>
          <w:szCs w:val="24"/>
        </w:rPr>
        <w:t>Density of Standardized Asymmetric Error Terms with Varying YJ Transformation Parameters</w:t>
      </w:r>
    </w:p>
    <w:p w14:paraId="0BD3F433" w14:textId="77777777" w:rsidR="00AE0DBD" w:rsidRDefault="00AE0DBD" w:rsidP="001C4C7F">
      <w:pPr>
        <w:spacing w:line="276" w:lineRule="auto"/>
        <w:ind w:left="144" w:hanging="144"/>
        <w:rPr>
          <w:rFonts w:cs="Times New Roman"/>
          <w:b/>
          <w:bCs/>
          <w:szCs w:val="24"/>
        </w:rPr>
        <w:sectPr w:rsidR="00AE0DBD" w:rsidSect="00C56252">
          <w:pgSz w:w="15840" w:h="12240" w:orient="landscape"/>
          <w:pgMar w:top="1440" w:right="1440" w:bottom="1440" w:left="1440" w:header="720" w:footer="720" w:gutter="0"/>
          <w:cols w:space="720"/>
          <w:docGrid w:linePitch="360"/>
        </w:sectPr>
      </w:pPr>
    </w:p>
    <w:p w14:paraId="0A8E2FFF" w14:textId="77777777" w:rsidR="00AE0DBD" w:rsidRPr="007B6C8F" w:rsidRDefault="00AE0DBD" w:rsidP="001C4C7F">
      <w:pPr>
        <w:spacing w:line="276" w:lineRule="auto"/>
        <w:ind w:left="144" w:hanging="144"/>
        <w:rPr>
          <w:rFonts w:cs="Times New Roman"/>
          <w:b/>
          <w:bCs/>
          <w:szCs w:val="24"/>
        </w:rPr>
      </w:pPr>
    </w:p>
    <w:p w14:paraId="5FB1A251" w14:textId="00AEC693" w:rsidR="004B74E0" w:rsidRDefault="004B74E0" w:rsidP="00AE0DBD">
      <w:pPr>
        <w:spacing w:line="276" w:lineRule="auto"/>
        <w:ind w:left="144" w:hanging="144"/>
        <w:jc w:val="center"/>
        <w:rPr>
          <w:rFonts w:cs="Times New Roman"/>
          <w:b/>
          <w:bCs/>
          <w:sz w:val="20"/>
          <w:szCs w:val="20"/>
        </w:rPr>
      </w:pPr>
      <w:r>
        <w:rPr>
          <w:noProof/>
        </w:rPr>
        <w:drawing>
          <wp:inline distT="0" distB="0" distL="0" distR="0" wp14:anchorId="4C04B8C3" wp14:editId="517389D6">
            <wp:extent cx="5438177" cy="7518041"/>
            <wp:effectExtent l="0" t="0" r="0" b="6985"/>
            <wp:docPr id="121730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00583" name="Picture 1"/>
                    <pic:cNvPicPr/>
                  </pic:nvPicPr>
                  <pic:blipFill>
                    <a:blip r:embed="rId445">
                      <a:extLst>
                        <a:ext uri="{96DAC541-7B7A-43D3-8B79-37D633B846F1}">
                          <asvg:svgBlip xmlns:asvg="http://schemas.microsoft.com/office/drawing/2016/SVG/main" r:embed="rId446"/>
                        </a:ext>
                      </a:extLst>
                    </a:blip>
                    <a:stretch>
                      <a:fillRect/>
                    </a:stretch>
                  </pic:blipFill>
                  <pic:spPr>
                    <a:xfrm>
                      <a:off x="0" y="0"/>
                      <a:ext cx="5438177" cy="7518041"/>
                    </a:xfrm>
                    <a:prstGeom prst="rect">
                      <a:avLst/>
                    </a:prstGeom>
                  </pic:spPr>
                </pic:pic>
              </a:graphicData>
            </a:graphic>
          </wp:inline>
        </w:drawing>
      </w:r>
    </w:p>
    <w:p w14:paraId="1A653158" w14:textId="77777777" w:rsidR="00AE0DBD" w:rsidRDefault="00AE0DBD" w:rsidP="001C4C7F">
      <w:pPr>
        <w:spacing w:line="276" w:lineRule="auto"/>
        <w:ind w:left="144" w:hanging="144"/>
        <w:rPr>
          <w:rFonts w:cs="Times New Roman"/>
          <w:b/>
          <w:bCs/>
          <w:sz w:val="20"/>
          <w:szCs w:val="20"/>
        </w:rPr>
      </w:pPr>
    </w:p>
    <w:p w14:paraId="5F29A5CE" w14:textId="59DFB141" w:rsidR="00AE0DBD" w:rsidRPr="00AE0DBD" w:rsidRDefault="00AE0DBD" w:rsidP="00A725F8">
      <w:pPr>
        <w:spacing w:line="276" w:lineRule="auto"/>
        <w:ind w:left="144" w:hanging="144"/>
        <w:jc w:val="center"/>
        <w:rPr>
          <w:rFonts w:cs="Times New Roman"/>
          <w:b/>
          <w:bCs/>
          <w:sz w:val="23"/>
          <w:szCs w:val="23"/>
        </w:rPr>
      </w:pPr>
      <w:r w:rsidRPr="00AE0DBD">
        <w:rPr>
          <w:rFonts w:cs="Times New Roman"/>
          <w:b/>
          <w:bCs/>
          <w:sz w:val="23"/>
          <w:szCs w:val="23"/>
        </w:rPr>
        <w:t>Figure 2: Distributions of Standardized Kernel Errors Based on Estimated Shape Parameters</w:t>
      </w:r>
    </w:p>
    <w:sectPr w:rsidR="00AE0DBD" w:rsidRPr="00AE0DBD" w:rsidSect="00AE0D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F908F" w14:textId="77777777" w:rsidR="00B57006" w:rsidRDefault="00B57006" w:rsidP="00FC705B">
      <w:pPr>
        <w:spacing w:line="240" w:lineRule="auto"/>
      </w:pPr>
      <w:r>
        <w:separator/>
      </w:r>
    </w:p>
  </w:endnote>
  <w:endnote w:type="continuationSeparator" w:id="0">
    <w:p w14:paraId="6EEB6E60" w14:textId="77777777" w:rsidR="00B57006" w:rsidRDefault="00B57006" w:rsidP="00FC705B">
      <w:pPr>
        <w:spacing w:line="240" w:lineRule="auto"/>
      </w:pPr>
      <w:r>
        <w:continuationSeparator/>
      </w:r>
    </w:p>
  </w:endnote>
  <w:endnote w:type="continuationNotice" w:id="1">
    <w:p w14:paraId="7AFB4615" w14:textId="77777777" w:rsidR="00B57006" w:rsidRDefault="00B570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MR12">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180352"/>
      <w:docPartObj>
        <w:docPartGallery w:val="Page Numbers (Bottom of Page)"/>
        <w:docPartUnique/>
      </w:docPartObj>
    </w:sdtPr>
    <w:sdtEndPr>
      <w:rPr>
        <w:noProof/>
      </w:rPr>
    </w:sdtEndPr>
    <w:sdtContent>
      <w:p w14:paraId="372371D7" w14:textId="1E8CFD73" w:rsidR="00FC7FBF" w:rsidRDefault="00DF4C27" w:rsidP="007753EF">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476831"/>
      <w:docPartObj>
        <w:docPartGallery w:val="Page Numbers (Bottom of Page)"/>
        <w:docPartUnique/>
      </w:docPartObj>
    </w:sdtPr>
    <w:sdtEndPr>
      <w:rPr>
        <w:noProof/>
      </w:rPr>
    </w:sdtEndPr>
    <w:sdtContent>
      <w:p w14:paraId="36DB8513" w14:textId="77777777" w:rsidR="00FC7FBF" w:rsidRDefault="00FC7FBF" w:rsidP="007753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E504" w14:textId="77777777" w:rsidR="00B57006" w:rsidRDefault="00B57006" w:rsidP="00FC705B">
      <w:pPr>
        <w:spacing w:line="240" w:lineRule="auto"/>
      </w:pPr>
      <w:r>
        <w:separator/>
      </w:r>
    </w:p>
  </w:footnote>
  <w:footnote w:type="continuationSeparator" w:id="0">
    <w:p w14:paraId="7E370DC8" w14:textId="77777777" w:rsidR="00B57006" w:rsidRDefault="00B57006" w:rsidP="00FC705B">
      <w:pPr>
        <w:spacing w:line="240" w:lineRule="auto"/>
      </w:pPr>
      <w:r>
        <w:continuationSeparator/>
      </w:r>
    </w:p>
  </w:footnote>
  <w:footnote w:type="continuationNotice" w:id="1">
    <w:p w14:paraId="48DCB428" w14:textId="77777777" w:rsidR="00B57006" w:rsidRDefault="00B57006">
      <w:pPr>
        <w:spacing w:line="240" w:lineRule="auto"/>
      </w:pPr>
    </w:p>
  </w:footnote>
  <w:footnote w:id="2">
    <w:p w14:paraId="5FC95441" w14:textId="08582A4C" w:rsidR="00F25229" w:rsidRDefault="00F25229" w:rsidP="00B06414">
      <w:pPr>
        <w:pStyle w:val="FootnoteText"/>
        <w:spacing w:after="120"/>
      </w:pPr>
      <w:r w:rsidRPr="001A678C">
        <w:rPr>
          <w:rStyle w:val="FootnoteReference"/>
        </w:rPr>
        <w:footnoteRef/>
      </w:r>
      <w:r w:rsidR="00D44FC3">
        <w:t>T</w:t>
      </w:r>
      <w:r w:rsidR="004D7E70">
        <w:t>here is nothing from a theoretical standpoint that prevents non-kernel random coefficients from being correlated with kernel error terms, although the assumption of independence between these two stochastic components is almost universally invoked in the earlier mixing literature. This convention arises primarily from computational and identification considerations rather than from any behavioral necessity. Allowing such correlations substantially increases the complexity of the likelihood function and can create numerical instability in simulation-based estimation. Conceptually, random coefficients capture unobserved heterogeneity in sensitivities to observed explanatory variables, wh</w:t>
      </w:r>
      <w:r w:rsidR="002B54C4">
        <w:t>ile</w:t>
      </w:r>
      <w:r w:rsidR="004D7E70">
        <w:t xml:space="preserve"> kernel error terms capture residual utility variation associated with omitted attributes, latent perceptions, contextual influences, measurement error, and other unobserved determinants of utility. While these two forms of stochasticity are not fundamentally separable from a behavioral standpoint, maintaining independence between them provides a useful and tractable decomposition between unobserved taste heterogeneity in observed-variable sensitivities and residual unobserved utility variation.</w:t>
      </w:r>
      <w:r w:rsidR="00305CFD">
        <w:t xml:space="preserve"> </w:t>
      </w:r>
    </w:p>
  </w:footnote>
  <w:footnote w:id="3">
    <w:p w14:paraId="125F5333" w14:textId="59EBF4BC" w:rsidR="00546BEA" w:rsidRDefault="00546BEA">
      <w:pPr>
        <w:pStyle w:val="FootnoteText"/>
      </w:pPr>
      <w:r w:rsidRPr="001A678C">
        <w:rPr>
          <w:rStyle w:val="FootnoteReference"/>
        </w:rPr>
        <w:footnoteRef/>
      </w:r>
      <w:r>
        <w:t xml:space="preserve">Note that Equation (15) assumes an inverse YJ transformation for the random coefficients, which implies an unbounded coefficient. If the analyst desires a strictly bounded coefficient such as strictly positive or strictly negative for specific coefficients, log-normal specifications can be introduced in the usual way while allowing for inverse YJ-transformed coefficients on other variables. </w:t>
      </w:r>
    </w:p>
  </w:footnote>
  <w:footnote w:id="4">
    <w:p w14:paraId="162D8F09" w14:textId="57CC577E" w:rsidR="001949C8" w:rsidRDefault="001949C8">
      <w:pPr>
        <w:pStyle w:val="FootnoteText"/>
      </w:pPr>
      <w:r>
        <w:rPr>
          <w:rStyle w:val="FootnoteReference"/>
        </w:rPr>
        <w:footnoteRef/>
      </w:r>
      <w:r>
        <w:t xml:space="preserve">An important point here. </w:t>
      </w:r>
      <w:r w:rsidR="00B85243">
        <w:t xml:space="preserve">Even in the independent </w:t>
      </w:r>
      <w:r w:rsidR="00290A05">
        <w:t xml:space="preserve">(but non-identical) </w:t>
      </w:r>
      <w:r w:rsidR="00B85243">
        <w:t xml:space="preserve">MNP, one can technically estimate the structural variances up to the global scale normalization. </w:t>
      </w:r>
      <w:r>
        <w:t xml:space="preserve">The </w:t>
      </w:r>
      <w:r w:rsidR="00B85243">
        <w:t>problem though is that</w:t>
      </w:r>
      <w:r>
        <w:t xml:space="preserve">, in the MNP, the differenced kernel error distribution of </w:t>
      </w:r>
      <w:r w:rsidR="009323C0" w:rsidRPr="000205DC">
        <w:rPr>
          <w:position w:val="-12"/>
        </w:rPr>
        <w:object w:dxaOrig="279" w:dyaOrig="360" w14:anchorId="4BBF7E39">
          <v:shape id="_x0000_i1263" type="#_x0000_t75" style="width:12.45pt;height:16.3pt" o:ole="">
            <v:imagedata r:id="rId1" o:title=""/>
          </v:shape>
          <o:OLEObject Type="Embed" ProgID="Equation.DSMT4" ShapeID="_x0000_i1263" DrawAspect="Content" ObjectID="_1841834637" r:id="rId2"/>
        </w:object>
      </w:r>
      <w:r>
        <w:t xml:space="preserve"> is also Gaussian (multivariate normal), which is fully characterized by the second moments</w:t>
      </w:r>
      <w:r w:rsidR="00B85243">
        <w:t xml:space="preserve"> (that is, the differenced covariance matrix). As Bunch (1991) cautions, if one estimates the differenced covariance matrix, </w:t>
      </w:r>
      <w:r w:rsidR="005B5F6C">
        <w:t xml:space="preserve">this </w:t>
      </w:r>
      <w:r w:rsidR="005C0A53">
        <w:t xml:space="preserve">preferred covariance matrix </w:t>
      </w:r>
      <w:r w:rsidR="005B5F6C">
        <w:t xml:space="preserve">may not correspond to a valid independent structural covariance system with strictly positive structural variances. </w:t>
      </w:r>
      <w:r w:rsidR="00F2608C">
        <w:t xml:space="preserve">But this situation can be circumvented </w:t>
      </w:r>
      <w:r w:rsidR="005C0A53">
        <w:t xml:space="preserve">in the independent MNP </w:t>
      </w:r>
      <w:r w:rsidR="00F2608C">
        <w:t xml:space="preserve">by </w:t>
      </w:r>
      <w:r w:rsidR="00B85243">
        <w:t>start</w:t>
      </w:r>
      <w:r w:rsidR="00F2608C">
        <w:t>ing</w:t>
      </w:r>
      <w:r w:rsidR="00B85243">
        <w:t xml:space="preserve"> off with a heteroscedastic (independent) structural error covariance matrix maintaining strict positivity of each variance term (up to a global scale normalization)</w:t>
      </w:r>
      <w:r w:rsidR="005B5F6C">
        <w:t>, as we propose in our formulation that also immediately accommodates the global scale normalization</w:t>
      </w:r>
      <w:r w:rsidR="00F2608C">
        <w:t>. However,</w:t>
      </w:r>
      <w:r w:rsidR="00B85243">
        <w:t xml:space="preserve"> the net result in estimation can be a much worse model fi</w:t>
      </w:r>
      <w:r w:rsidR="005C0A53">
        <w:t>t</w:t>
      </w:r>
      <w:r w:rsidR="00B85243">
        <w:t xml:space="preserve"> than what would be obtained if one simply focused on the differenced error covariance matrix</w:t>
      </w:r>
      <w:r w:rsidR="005B5F6C">
        <w:t xml:space="preserve"> (because the implied differenced covariance matrix cannot span the full admissible covariance space, and the MNP has no additional means to compensate for the resulting poor fit)</w:t>
      </w:r>
      <w:r w:rsidR="00B85243">
        <w:t xml:space="preserve">. </w:t>
      </w:r>
      <w:r w:rsidR="005B5F6C">
        <w:t xml:space="preserve">The independent MNYJ model inherits the same second-moment restrictions under structural independence. However, unlike MNP, the MNYJ specification introduces additional flexibility through </w:t>
      </w:r>
      <w:r w:rsidR="00715654">
        <w:t>alternative-specific asymmetry and the resulting higher-order moment structure</w:t>
      </w:r>
      <w:r w:rsidR="005B5F6C">
        <w:t>.</w:t>
      </w:r>
      <w:r w:rsidR="00715654">
        <w:t xml:space="preserve"> </w:t>
      </w:r>
      <w:r w:rsidR="005B5F6C">
        <w:t xml:space="preserve">Consequently, substitution patterns that would require </w:t>
      </w:r>
      <w:r w:rsidR="005C0A53">
        <w:t xml:space="preserve">flexible </w:t>
      </w:r>
      <w:r w:rsidR="005B5F6C">
        <w:t>covariance in the Gaussian MNP framework may instead be partially accommodated through asymmetric marginal behavior, making the independent MNYJ model behaviorally richer and less restrictive than the independent MNP despite the same diagonal covariance restriction</w:t>
      </w:r>
      <w:r w:rsidR="005C0A53">
        <w:t xml:space="preserve">. In this context, though, the real benefit of the MNYJ is in the case of the non-diagonal structural covariance matrix specification, as discussed later. </w:t>
      </w:r>
    </w:p>
  </w:footnote>
  <w:footnote w:id="5">
    <w:p w14:paraId="23C321C9" w14:textId="4FBAF283" w:rsidR="00EF1560" w:rsidRDefault="00EF1560">
      <w:pPr>
        <w:pStyle w:val="FootnoteText"/>
      </w:pPr>
      <w:r>
        <w:rPr>
          <w:rStyle w:val="FootnoteReference"/>
        </w:rPr>
        <w:footnoteRef/>
      </w:r>
      <w:r>
        <w:t>Variable costs in the context of conventional non-AV vehicles typically refer to usage-dependent operating expenses such as fuel, maintenance, repair, insurance, parking, and toll costs. In the context of future owned AVs, variable costs may additionally include electricity or charging costs, AV software and connectivity fees, sensor/computing maintenance costs, autonomous-system service subscriptions, and other recurring mobility-related operating expenditures incurred on a per-trip or per-mile 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28E7"/>
    <w:multiLevelType w:val="multilevel"/>
    <w:tmpl w:val="E5D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6005A"/>
    <w:multiLevelType w:val="hybridMultilevel"/>
    <w:tmpl w:val="0344A576"/>
    <w:lvl w:ilvl="0" w:tplc="2C0C39D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F95EAD"/>
    <w:multiLevelType w:val="hybridMultilevel"/>
    <w:tmpl w:val="37CCE1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4E1684"/>
    <w:multiLevelType w:val="multilevel"/>
    <w:tmpl w:val="E5B0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E6F8D"/>
    <w:multiLevelType w:val="hybridMultilevel"/>
    <w:tmpl w:val="5B6EE2A6"/>
    <w:lvl w:ilvl="0" w:tplc="B972E8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9D82FD4"/>
    <w:multiLevelType w:val="hybridMultilevel"/>
    <w:tmpl w:val="20384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50FF1"/>
    <w:multiLevelType w:val="hybridMultilevel"/>
    <w:tmpl w:val="FD9CD52C"/>
    <w:lvl w:ilvl="0" w:tplc="C1F433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0673A"/>
    <w:multiLevelType w:val="hybridMultilevel"/>
    <w:tmpl w:val="90F6D49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B3D0F"/>
    <w:multiLevelType w:val="multilevel"/>
    <w:tmpl w:val="48DA2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54CE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C6133B3"/>
    <w:multiLevelType w:val="multilevel"/>
    <w:tmpl w:val="1798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4513BD"/>
    <w:multiLevelType w:val="multilevel"/>
    <w:tmpl w:val="00063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2A73E6"/>
    <w:multiLevelType w:val="multilevel"/>
    <w:tmpl w:val="44D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E39A9"/>
    <w:multiLevelType w:val="multilevel"/>
    <w:tmpl w:val="798C6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6E1A4A"/>
    <w:multiLevelType w:val="multilevel"/>
    <w:tmpl w:val="A0F4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5578D"/>
    <w:multiLevelType w:val="hybridMultilevel"/>
    <w:tmpl w:val="75DC150A"/>
    <w:lvl w:ilvl="0" w:tplc="7FDEEC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0201DC"/>
    <w:multiLevelType w:val="multilevel"/>
    <w:tmpl w:val="F7E2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F4181"/>
    <w:multiLevelType w:val="multilevel"/>
    <w:tmpl w:val="8F400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09E5F15"/>
    <w:multiLevelType w:val="hybridMultilevel"/>
    <w:tmpl w:val="0344A576"/>
    <w:lvl w:ilvl="0" w:tplc="2C0C39D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0949FD"/>
    <w:multiLevelType w:val="hybridMultilevel"/>
    <w:tmpl w:val="6B40E3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B8C29A7"/>
    <w:multiLevelType w:val="multilevel"/>
    <w:tmpl w:val="67A82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08708B"/>
    <w:multiLevelType w:val="multilevel"/>
    <w:tmpl w:val="C04C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24096C"/>
    <w:multiLevelType w:val="multilevel"/>
    <w:tmpl w:val="61EE57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B14769D"/>
    <w:multiLevelType w:val="hybridMultilevel"/>
    <w:tmpl w:val="7BD2C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1616C1"/>
    <w:multiLevelType w:val="hybridMultilevel"/>
    <w:tmpl w:val="5ED4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9"/>
  </w:num>
  <w:num w:numId="4">
    <w:abstractNumId w:val="17"/>
  </w:num>
  <w:num w:numId="5">
    <w:abstractNumId w:val="2"/>
  </w:num>
  <w:num w:numId="6">
    <w:abstractNumId w:val="9"/>
  </w:num>
  <w:num w:numId="7">
    <w:abstractNumId w:val="5"/>
  </w:num>
  <w:num w:numId="8">
    <w:abstractNumId w:val="1"/>
  </w:num>
  <w:num w:numId="9">
    <w:abstractNumId w:val="20"/>
  </w:num>
  <w:num w:numId="10">
    <w:abstractNumId w:val="3"/>
  </w:num>
  <w:num w:numId="11">
    <w:abstractNumId w:val="12"/>
  </w:num>
  <w:num w:numId="12">
    <w:abstractNumId w:val="16"/>
  </w:num>
  <w:num w:numId="13">
    <w:abstractNumId w:val="13"/>
  </w:num>
  <w:num w:numId="14">
    <w:abstractNumId w:val="8"/>
  </w:num>
  <w:num w:numId="15">
    <w:abstractNumId w:val="14"/>
  </w:num>
  <w:num w:numId="16">
    <w:abstractNumId w:val="24"/>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3"/>
  </w:num>
  <w:num w:numId="24">
    <w:abstractNumId w:val="10"/>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yNjExNDW3MDcyNTZU0lEKTi0uzszPAykwrAUAxPNk1CwAAAA="/>
  </w:docVars>
  <w:rsids>
    <w:rsidRoot w:val="00A21958"/>
    <w:rsid w:val="0000022C"/>
    <w:rsid w:val="00001414"/>
    <w:rsid w:val="00001766"/>
    <w:rsid w:val="00001B35"/>
    <w:rsid w:val="00001B8C"/>
    <w:rsid w:val="00002775"/>
    <w:rsid w:val="00002800"/>
    <w:rsid w:val="000028A5"/>
    <w:rsid w:val="00002F1F"/>
    <w:rsid w:val="000032BA"/>
    <w:rsid w:val="000034E6"/>
    <w:rsid w:val="00012B0F"/>
    <w:rsid w:val="0001336D"/>
    <w:rsid w:val="00014295"/>
    <w:rsid w:val="00014DCE"/>
    <w:rsid w:val="0001545E"/>
    <w:rsid w:val="000163ED"/>
    <w:rsid w:val="00017CE6"/>
    <w:rsid w:val="000204EF"/>
    <w:rsid w:val="00021002"/>
    <w:rsid w:val="00023CC6"/>
    <w:rsid w:val="0002581B"/>
    <w:rsid w:val="000275D4"/>
    <w:rsid w:val="000302BA"/>
    <w:rsid w:val="00030E2B"/>
    <w:rsid w:val="000312DE"/>
    <w:rsid w:val="00033B86"/>
    <w:rsid w:val="00033EF3"/>
    <w:rsid w:val="000350EC"/>
    <w:rsid w:val="000370D5"/>
    <w:rsid w:val="000374B1"/>
    <w:rsid w:val="0003771A"/>
    <w:rsid w:val="00037976"/>
    <w:rsid w:val="00037A95"/>
    <w:rsid w:val="000442B7"/>
    <w:rsid w:val="000445BA"/>
    <w:rsid w:val="0004625F"/>
    <w:rsid w:val="0005031C"/>
    <w:rsid w:val="000508A5"/>
    <w:rsid w:val="00051DB0"/>
    <w:rsid w:val="000520AF"/>
    <w:rsid w:val="00053E9D"/>
    <w:rsid w:val="00054094"/>
    <w:rsid w:val="00055C73"/>
    <w:rsid w:val="00056803"/>
    <w:rsid w:val="00057306"/>
    <w:rsid w:val="00057C42"/>
    <w:rsid w:val="000613F1"/>
    <w:rsid w:val="0006185B"/>
    <w:rsid w:val="00063076"/>
    <w:rsid w:val="000638B1"/>
    <w:rsid w:val="000641EB"/>
    <w:rsid w:val="00064CCC"/>
    <w:rsid w:val="000653A3"/>
    <w:rsid w:val="000653C9"/>
    <w:rsid w:val="00067B82"/>
    <w:rsid w:val="00067EB4"/>
    <w:rsid w:val="0007143F"/>
    <w:rsid w:val="000718ED"/>
    <w:rsid w:val="0007247D"/>
    <w:rsid w:val="00074A71"/>
    <w:rsid w:val="00074D86"/>
    <w:rsid w:val="00077490"/>
    <w:rsid w:val="00077EA5"/>
    <w:rsid w:val="000832D6"/>
    <w:rsid w:val="00083B2F"/>
    <w:rsid w:val="00083D84"/>
    <w:rsid w:val="00085ABD"/>
    <w:rsid w:val="000865A3"/>
    <w:rsid w:val="00086EB5"/>
    <w:rsid w:val="00087125"/>
    <w:rsid w:val="00090219"/>
    <w:rsid w:val="00090FF0"/>
    <w:rsid w:val="00091F51"/>
    <w:rsid w:val="00093B5F"/>
    <w:rsid w:val="0009590E"/>
    <w:rsid w:val="00096D84"/>
    <w:rsid w:val="00097147"/>
    <w:rsid w:val="00097247"/>
    <w:rsid w:val="000A0EE9"/>
    <w:rsid w:val="000A250C"/>
    <w:rsid w:val="000A2D72"/>
    <w:rsid w:val="000A4573"/>
    <w:rsid w:val="000A4C26"/>
    <w:rsid w:val="000B0CEE"/>
    <w:rsid w:val="000B1399"/>
    <w:rsid w:val="000B33C5"/>
    <w:rsid w:val="000B37B4"/>
    <w:rsid w:val="000B3F97"/>
    <w:rsid w:val="000B4010"/>
    <w:rsid w:val="000B4813"/>
    <w:rsid w:val="000B56AD"/>
    <w:rsid w:val="000B7062"/>
    <w:rsid w:val="000B72F4"/>
    <w:rsid w:val="000C032B"/>
    <w:rsid w:val="000C0B75"/>
    <w:rsid w:val="000C125C"/>
    <w:rsid w:val="000C480A"/>
    <w:rsid w:val="000C5283"/>
    <w:rsid w:val="000C6D76"/>
    <w:rsid w:val="000C72C2"/>
    <w:rsid w:val="000C75BE"/>
    <w:rsid w:val="000D1955"/>
    <w:rsid w:val="000D326A"/>
    <w:rsid w:val="000D3EF7"/>
    <w:rsid w:val="000D4C02"/>
    <w:rsid w:val="000D6549"/>
    <w:rsid w:val="000D6847"/>
    <w:rsid w:val="000D72A2"/>
    <w:rsid w:val="000E1310"/>
    <w:rsid w:val="000E2D26"/>
    <w:rsid w:val="000E4E4F"/>
    <w:rsid w:val="000E5006"/>
    <w:rsid w:val="000E5A8A"/>
    <w:rsid w:val="000E7217"/>
    <w:rsid w:val="000E7C04"/>
    <w:rsid w:val="000F0B0B"/>
    <w:rsid w:val="000F0B6F"/>
    <w:rsid w:val="000F2CE0"/>
    <w:rsid w:val="000F4790"/>
    <w:rsid w:val="000F6416"/>
    <w:rsid w:val="000F6A2A"/>
    <w:rsid w:val="000F7DE0"/>
    <w:rsid w:val="00101267"/>
    <w:rsid w:val="00101B11"/>
    <w:rsid w:val="00104C65"/>
    <w:rsid w:val="00104DC8"/>
    <w:rsid w:val="001100AA"/>
    <w:rsid w:val="00112708"/>
    <w:rsid w:val="00112A00"/>
    <w:rsid w:val="001145D5"/>
    <w:rsid w:val="00115ACE"/>
    <w:rsid w:val="0011715D"/>
    <w:rsid w:val="00121804"/>
    <w:rsid w:val="00122D36"/>
    <w:rsid w:val="00123BCD"/>
    <w:rsid w:val="00123BF9"/>
    <w:rsid w:val="001246DD"/>
    <w:rsid w:val="00125FA8"/>
    <w:rsid w:val="00130400"/>
    <w:rsid w:val="00132895"/>
    <w:rsid w:val="0013537B"/>
    <w:rsid w:val="001353DA"/>
    <w:rsid w:val="00135F94"/>
    <w:rsid w:val="0013646B"/>
    <w:rsid w:val="00136709"/>
    <w:rsid w:val="00144A77"/>
    <w:rsid w:val="00144F6E"/>
    <w:rsid w:val="0014601D"/>
    <w:rsid w:val="00146173"/>
    <w:rsid w:val="0014658E"/>
    <w:rsid w:val="0014681A"/>
    <w:rsid w:val="00146F06"/>
    <w:rsid w:val="0015070C"/>
    <w:rsid w:val="00151FF9"/>
    <w:rsid w:val="0015305D"/>
    <w:rsid w:val="0015455F"/>
    <w:rsid w:val="001553A6"/>
    <w:rsid w:val="00160E1B"/>
    <w:rsid w:val="001635B2"/>
    <w:rsid w:val="00163BEE"/>
    <w:rsid w:val="0016421B"/>
    <w:rsid w:val="00164E22"/>
    <w:rsid w:val="00165408"/>
    <w:rsid w:val="00165C84"/>
    <w:rsid w:val="001671EB"/>
    <w:rsid w:val="00170EE5"/>
    <w:rsid w:val="00171F3C"/>
    <w:rsid w:val="00172BF5"/>
    <w:rsid w:val="00172D41"/>
    <w:rsid w:val="00173AB7"/>
    <w:rsid w:val="001740E3"/>
    <w:rsid w:val="001758F3"/>
    <w:rsid w:val="0017745A"/>
    <w:rsid w:val="0017773D"/>
    <w:rsid w:val="00181070"/>
    <w:rsid w:val="0018123B"/>
    <w:rsid w:val="00181B1B"/>
    <w:rsid w:val="00181C09"/>
    <w:rsid w:val="0018281D"/>
    <w:rsid w:val="00184153"/>
    <w:rsid w:val="0018495E"/>
    <w:rsid w:val="00191945"/>
    <w:rsid w:val="00192781"/>
    <w:rsid w:val="001949C8"/>
    <w:rsid w:val="00194A76"/>
    <w:rsid w:val="00195E36"/>
    <w:rsid w:val="00195E73"/>
    <w:rsid w:val="001A0ECE"/>
    <w:rsid w:val="001A2C26"/>
    <w:rsid w:val="001A3D02"/>
    <w:rsid w:val="001A4312"/>
    <w:rsid w:val="001A4E85"/>
    <w:rsid w:val="001A4F83"/>
    <w:rsid w:val="001A509B"/>
    <w:rsid w:val="001A61FB"/>
    <w:rsid w:val="001A678C"/>
    <w:rsid w:val="001B059A"/>
    <w:rsid w:val="001B1635"/>
    <w:rsid w:val="001B1C88"/>
    <w:rsid w:val="001B1FB9"/>
    <w:rsid w:val="001B371C"/>
    <w:rsid w:val="001B3E26"/>
    <w:rsid w:val="001B5ABB"/>
    <w:rsid w:val="001B5EBB"/>
    <w:rsid w:val="001B6C9A"/>
    <w:rsid w:val="001B7562"/>
    <w:rsid w:val="001B7EB4"/>
    <w:rsid w:val="001C0792"/>
    <w:rsid w:val="001C174D"/>
    <w:rsid w:val="001C1900"/>
    <w:rsid w:val="001C3CC5"/>
    <w:rsid w:val="001C3E33"/>
    <w:rsid w:val="001C4C7F"/>
    <w:rsid w:val="001C53C1"/>
    <w:rsid w:val="001C578F"/>
    <w:rsid w:val="001C65F1"/>
    <w:rsid w:val="001C6C22"/>
    <w:rsid w:val="001C6EAC"/>
    <w:rsid w:val="001D01FD"/>
    <w:rsid w:val="001D03A2"/>
    <w:rsid w:val="001D188C"/>
    <w:rsid w:val="001D26A1"/>
    <w:rsid w:val="001D3E10"/>
    <w:rsid w:val="001D663C"/>
    <w:rsid w:val="001D7070"/>
    <w:rsid w:val="001D7E15"/>
    <w:rsid w:val="001E1F0E"/>
    <w:rsid w:val="001E46F8"/>
    <w:rsid w:val="001E5547"/>
    <w:rsid w:val="001E664B"/>
    <w:rsid w:val="001E6B88"/>
    <w:rsid w:val="001E7A9D"/>
    <w:rsid w:val="001F126B"/>
    <w:rsid w:val="001F231A"/>
    <w:rsid w:val="001F282F"/>
    <w:rsid w:val="001F2FB2"/>
    <w:rsid w:val="001F38AE"/>
    <w:rsid w:val="001F5063"/>
    <w:rsid w:val="001F5AF7"/>
    <w:rsid w:val="001F5E0B"/>
    <w:rsid w:val="001F6DD5"/>
    <w:rsid w:val="001F724F"/>
    <w:rsid w:val="00202781"/>
    <w:rsid w:val="00204008"/>
    <w:rsid w:val="00204D9A"/>
    <w:rsid w:val="00207DAB"/>
    <w:rsid w:val="00207F79"/>
    <w:rsid w:val="0021094C"/>
    <w:rsid w:val="002115C9"/>
    <w:rsid w:val="00212AC0"/>
    <w:rsid w:val="002155BC"/>
    <w:rsid w:val="00216B8E"/>
    <w:rsid w:val="00217B70"/>
    <w:rsid w:val="002210AF"/>
    <w:rsid w:val="002213F4"/>
    <w:rsid w:val="00221E13"/>
    <w:rsid w:val="00223864"/>
    <w:rsid w:val="0022780C"/>
    <w:rsid w:val="00227A65"/>
    <w:rsid w:val="0023002F"/>
    <w:rsid w:val="00230BC9"/>
    <w:rsid w:val="002320CE"/>
    <w:rsid w:val="002358B4"/>
    <w:rsid w:val="00236645"/>
    <w:rsid w:val="00236776"/>
    <w:rsid w:val="00236E21"/>
    <w:rsid w:val="00241620"/>
    <w:rsid w:val="0024213F"/>
    <w:rsid w:val="00243AC5"/>
    <w:rsid w:val="0024448D"/>
    <w:rsid w:val="002448E7"/>
    <w:rsid w:val="002451B4"/>
    <w:rsid w:val="00245719"/>
    <w:rsid w:val="002458A2"/>
    <w:rsid w:val="00246087"/>
    <w:rsid w:val="0024634D"/>
    <w:rsid w:val="002463D2"/>
    <w:rsid w:val="00246F7E"/>
    <w:rsid w:val="00251CCB"/>
    <w:rsid w:val="0025389B"/>
    <w:rsid w:val="00253B99"/>
    <w:rsid w:val="002565DB"/>
    <w:rsid w:val="00257ECD"/>
    <w:rsid w:val="002602DB"/>
    <w:rsid w:val="00260805"/>
    <w:rsid w:val="002616E2"/>
    <w:rsid w:val="0026395B"/>
    <w:rsid w:val="00266232"/>
    <w:rsid w:val="0026688D"/>
    <w:rsid w:val="00270E5A"/>
    <w:rsid w:val="002713B6"/>
    <w:rsid w:val="0027194B"/>
    <w:rsid w:val="0027195D"/>
    <w:rsid w:val="002722D9"/>
    <w:rsid w:val="002730CF"/>
    <w:rsid w:val="00274929"/>
    <w:rsid w:val="00275E1B"/>
    <w:rsid w:val="00275F44"/>
    <w:rsid w:val="00276542"/>
    <w:rsid w:val="002767CF"/>
    <w:rsid w:val="002767DD"/>
    <w:rsid w:val="00277BE1"/>
    <w:rsid w:val="002809DE"/>
    <w:rsid w:val="00281CD6"/>
    <w:rsid w:val="0028211A"/>
    <w:rsid w:val="0028293F"/>
    <w:rsid w:val="00284AC0"/>
    <w:rsid w:val="00284C7E"/>
    <w:rsid w:val="00284D80"/>
    <w:rsid w:val="0028522F"/>
    <w:rsid w:val="00285BDC"/>
    <w:rsid w:val="00285D90"/>
    <w:rsid w:val="00287CB3"/>
    <w:rsid w:val="00290A05"/>
    <w:rsid w:val="00290D19"/>
    <w:rsid w:val="002933F8"/>
    <w:rsid w:val="00295089"/>
    <w:rsid w:val="00296B47"/>
    <w:rsid w:val="002A0334"/>
    <w:rsid w:val="002A12C5"/>
    <w:rsid w:val="002A1692"/>
    <w:rsid w:val="002A2CFF"/>
    <w:rsid w:val="002A2EFC"/>
    <w:rsid w:val="002A3B4D"/>
    <w:rsid w:val="002A3C6B"/>
    <w:rsid w:val="002A4166"/>
    <w:rsid w:val="002A449A"/>
    <w:rsid w:val="002B4081"/>
    <w:rsid w:val="002B4094"/>
    <w:rsid w:val="002B47CD"/>
    <w:rsid w:val="002B4ED0"/>
    <w:rsid w:val="002B5024"/>
    <w:rsid w:val="002B54C4"/>
    <w:rsid w:val="002B64FA"/>
    <w:rsid w:val="002B6A1A"/>
    <w:rsid w:val="002B748C"/>
    <w:rsid w:val="002B7BC8"/>
    <w:rsid w:val="002C0B0C"/>
    <w:rsid w:val="002C0C25"/>
    <w:rsid w:val="002C128A"/>
    <w:rsid w:val="002C28B8"/>
    <w:rsid w:val="002C2F4D"/>
    <w:rsid w:val="002C6073"/>
    <w:rsid w:val="002D149F"/>
    <w:rsid w:val="002D4CC4"/>
    <w:rsid w:val="002D4DC1"/>
    <w:rsid w:val="002D76F1"/>
    <w:rsid w:val="002E01BB"/>
    <w:rsid w:val="002E08D6"/>
    <w:rsid w:val="002E0B0C"/>
    <w:rsid w:val="002E10B5"/>
    <w:rsid w:val="002E44AF"/>
    <w:rsid w:val="002E5686"/>
    <w:rsid w:val="002E6470"/>
    <w:rsid w:val="002E7C1E"/>
    <w:rsid w:val="002F3610"/>
    <w:rsid w:val="002F44B4"/>
    <w:rsid w:val="002F5A10"/>
    <w:rsid w:val="002F65E3"/>
    <w:rsid w:val="002F6E49"/>
    <w:rsid w:val="0030158A"/>
    <w:rsid w:val="00302476"/>
    <w:rsid w:val="003032D7"/>
    <w:rsid w:val="00303F64"/>
    <w:rsid w:val="003053B4"/>
    <w:rsid w:val="00305B98"/>
    <w:rsid w:val="00305CFD"/>
    <w:rsid w:val="00305D6C"/>
    <w:rsid w:val="0030668A"/>
    <w:rsid w:val="00306DCC"/>
    <w:rsid w:val="00311458"/>
    <w:rsid w:val="003114ED"/>
    <w:rsid w:val="00311C85"/>
    <w:rsid w:val="0031288A"/>
    <w:rsid w:val="0031321E"/>
    <w:rsid w:val="00313346"/>
    <w:rsid w:val="00313C65"/>
    <w:rsid w:val="003140D5"/>
    <w:rsid w:val="00315A5C"/>
    <w:rsid w:val="00315DFF"/>
    <w:rsid w:val="00316008"/>
    <w:rsid w:val="00316472"/>
    <w:rsid w:val="00316EB6"/>
    <w:rsid w:val="003177EF"/>
    <w:rsid w:val="00317AAA"/>
    <w:rsid w:val="00321001"/>
    <w:rsid w:val="00321019"/>
    <w:rsid w:val="00321691"/>
    <w:rsid w:val="003228E8"/>
    <w:rsid w:val="00324216"/>
    <w:rsid w:val="0032461E"/>
    <w:rsid w:val="003257DD"/>
    <w:rsid w:val="00330522"/>
    <w:rsid w:val="00334102"/>
    <w:rsid w:val="003348EF"/>
    <w:rsid w:val="00334F36"/>
    <w:rsid w:val="003359DE"/>
    <w:rsid w:val="003359EC"/>
    <w:rsid w:val="00335FCF"/>
    <w:rsid w:val="00337CFA"/>
    <w:rsid w:val="00337D97"/>
    <w:rsid w:val="003417AC"/>
    <w:rsid w:val="00342169"/>
    <w:rsid w:val="00344934"/>
    <w:rsid w:val="00345FF9"/>
    <w:rsid w:val="003479BD"/>
    <w:rsid w:val="00347C26"/>
    <w:rsid w:val="00352EB6"/>
    <w:rsid w:val="00353A6B"/>
    <w:rsid w:val="003547B0"/>
    <w:rsid w:val="00355663"/>
    <w:rsid w:val="00360F9F"/>
    <w:rsid w:val="00361FC6"/>
    <w:rsid w:val="003640C7"/>
    <w:rsid w:val="00364C4A"/>
    <w:rsid w:val="00364C54"/>
    <w:rsid w:val="003678AE"/>
    <w:rsid w:val="00367AD4"/>
    <w:rsid w:val="003713A5"/>
    <w:rsid w:val="003727AC"/>
    <w:rsid w:val="00373DEC"/>
    <w:rsid w:val="00374352"/>
    <w:rsid w:val="0037558F"/>
    <w:rsid w:val="00376F84"/>
    <w:rsid w:val="00382D0F"/>
    <w:rsid w:val="00383223"/>
    <w:rsid w:val="0038542A"/>
    <w:rsid w:val="0039011A"/>
    <w:rsid w:val="00391E85"/>
    <w:rsid w:val="00392ADD"/>
    <w:rsid w:val="003944F9"/>
    <w:rsid w:val="00395765"/>
    <w:rsid w:val="00395AF8"/>
    <w:rsid w:val="00395CD9"/>
    <w:rsid w:val="003A0B86"/>
    <w:rsid w:val="003A0FA8"/>
    <w:rsid w:val="003A19EC"/>
    <w:rsid w:val="003A2063"/>
    <w:rsid w:val="003A5AFA"/>
    <w:rsid w:val="003A65AC"/>
    <w:rsid w:val="003A7A34"/>
    <w:rsid w:val="003B10F7"/>
    <w:rsid w:val="003B1A72"/>
    <w:rsid w:val="003B3A69"/>
    <w:rsid w:val="003B431B"/>
    <w:rsid w:val="003B4492"/>
    <w:rsid w:val="003B4C16"/>
    <w:rsid w:val="003B6C9A"/>
    <w:rsid w:val="003C0454"/>
    <w:rsid w:val="003C166A"/>
    <w:rsid w:val="003C16B1"/>
    <w:rsid w:val="003C16FD"/>
    <w:rsid w:val="003C315F"/>
    <w:rsid w:val="003C409F"/>
    <w:rsid w:val="003C4F86"/>
    <w:rsid w:val="003C515F"/>
    <w:rsid w:val="003C7751"/>
    <w:rsid w:val="003D0ED0"/>
    <w:rsid w:val="003D33A5"/>
    <w:rsid w:val="003D3471"/>
    <w:rsid w:val="003D36C2"/>
    <w:rsid w:val="003D3801"/>
    <w:rsid w:val="003E01ED"/>
    <w:rsid w:val="003E1DA2"/>
    <w:rsid w:val="003E2045"/>
    <w:rsid w:val="003E2C1D"/>
    <w:rsid w:val="003E33F0"/>
    <w:rsid w:val="003E48A6"/>
    <w:rsid w:val="003E48C2"/>
    <w:rsid w:val="003E4B4E"/>
    <w:rsid w:val="003E6D8E"/>
    <w:rsid w:val="003F2755"/>
    <w:rsid w:val="003F3982"/>
    <w:rsid w:val="003F3AB8"/>
    <w:rsid w:val="003F5997"/>
    <w:rsid w:val="003F5E16"/>
    <w:rsid w:val="003F5E8F"/>
    <w:rsid w:val="003F603A"/>
    <w:rsid w:val="00400201"/>
    <w:rsid w:val="00401266"/>
    <w:rsid w:val="00401FE4"/>
    <w:rsid w:val="00402E10"/>
    <w:rsid w:val="00403B52"/>
    <w:rsid w:val="004056D4"/>
    <w:rsid w:val="004059E0"/>
    <w:rsid w:val="004060AC"/>
    <w:rsid w:val="00406723"/>
    <w:rsid w:val="00406A51"/>
    <w:rsid w:val="00406BEB"/>
    <w:rsid w:val="00406D48"/>
    <w:rsid w:val="00410A69"/>
    <w:rsid w:val="00411941"/>
    <w:rsid w:val="00411C0F"/>
    <w:rsid w:val="004124D1"/>
    <w:rsid w:val="004127B5"/>
    <w:rsid w:val="004139CD"/>
    <w:rsid w:val="00413BD5"/>
    <w:rsid w:val="00414194"/>
    <w:rsid w:val="00415083"/>
    <w:rsid w:val="00415903"/>
    <w:rsid w:val="00415BD2"/>
    <w:rsid w:val="00416A6F"/>
    <w:rsid w:val="00416CA7"/>
    <w:rsid w:val="00420942"/>
    <w:rsid w:val="00421C6A"/>
    <w:rsid w:val="00423298"/>
    <w:rsid w:val="00424B39"/>
    <w:rsid w:val="0042607E"/>
    <w:rsid w:val="0042699E"/>
    <w:rsid w:val="004269CE"/>
    <w:rsid w:val="00426D21"/>
    <w:rsid w:val="004328AE"/>
    <w:rsid w:val="00432A9A"/>
    <w:rsid w:val="004345B5"/>
    <w:rsid w:val="00434DC8"/>
    <w:rsid w:val="00435165"/>
    <w:rsid w:val="0043614F"/>
    <w:rsid w:val="004366EF"/>
    <w:rsid w:val="0044055D"/>
    <w:rsid w:val="00440E1C"/>
    <w:rsid w:val="00441E26"/>
    <w:rsid w:val="00442C1A"/>
    <w:rsid w:val="0044445A"/>
    <w:rsid w:val="004447D7"/>
    <w:rsid w:val="00446810"/>
    <w:rsid w:val="00446F18"/>
    <w:rsid w:val="00454A9C"/>
    <w:rsid w:val="00454C18"/>
    <w:rsid w:val="00457E9D"/>
    <w:rsid w:val="00460B5C"/>
    <w:rsid w:val="0046244B"/>
    <w:rsid w:val="00464CEB"/>
    <w:rsid w:val="00465F76"/>
    <w:rsid w:val="0046684F"/>
    <w:rsid w:val="004722EF"/>
    <w:rsid w:val="0047469C"/>
    <w:rsid w:val="00474963"/>
    <w:rsid w:val="00474DB2"/>
    <w:rsid w:val="0047599E"/>
    <w:rsid w:val="00476C27"/>
    <w:rsid w:val="004773E9"/>
    <w:rsid w:val="00480280"/>
    <w:rsid w:val="0048041F"/>
    <w:rsid w:val="004817EA"/>
    <w:rsid w:val="004837EB"/>
    <w:rsid w:val="00483DA3"/>
    <w:rsid w:val="0048423E"/>
    <w:rsid w:val="00484383"/>
    <w:rsid w:val="00484435"/>
    <w:rsid w:val="004929B4"/>
    <w:rsid w:val="004929D1"/>
    <w:rsid w:val="00493646"/>
    <w:rsid w:val="00493E79"/>
    <w:rsid w:val="0049651B"/>
    <w:rsid w:val="00496C47"/>
    <w:rsid w:val="004971E9"/>
    <w:rsid w:val="004A0080"/>
    <w:rsid w:val="004A0A14"/>
    <w:rsid w:val="004A1045"/>
    <w:rsid w:val="004A12D4"/>
    <w:rsid w:val="004A12EC"/>
    <w:rsid w:val="004A4605"/>
    <w:rsid w:val="004A4DD4"/>
    <w:rsid w:val="004A5157"/>
    <w:rsid w:val="004A5DF9"/>
    <w:rsid w:val="004A5EB1"/>
    <w:rsid w:val="004B2C47"/>
    <w:rsid w:val="004B2FD8"/>
    <w:rsid w:val="004B3982"/>
    <w:rsid w:val="004B4656"/>
    <w:rsid w:val="004B4820"/>
    <w:rsid w:val="004B5529"/>
    <w:rsid w:val="004B5724"/>
    <w:rsid w:val="004B700F"/>
    <w:rsid w:val="004B74E0"/>
    <w:rsid w:val="004B7B52"/>
    <w:rsid w:val="004B7C69"/>
    <w:rsid w:val="004C0768"/>
    <w:rsid w:val="004C16FD"/>
    <w:rsid w:val="004C3698"/>
    <w:rsid w:val="004C3C5D"/>
    <w:rsid w:val="004C4AC7"/>
    <w:rsid w:val="004C50BF"/>
    <w:rsid w:val="004C5CC2"/>
    <w:rsid w:val="004C630B"/>
    <w:rsid w:val="004C7773"/>
    <w:rsid w:val="004C7AAF"/>
    <w:rsid w:val="004C7B4C"/>
    <w:rsid w:val="004D090A"/>
    <w:rsid w:val="004D141B"/>
    <w:rsid w:val="004D25B9"/>
    <w:rsid w:val="004D3852"/>
    <w:rsid w:val="004D490E"/>
    <w:rsid w:val="004D4F4D"/>
    <w:rsid w:val="004D587A"/>
    <w:rsid w:val="004D6499"/>
    <w:rsid w:val="004D76BD"/>
    <w:rsid w:val="004D7B3A"/>
    <w:rsid w:val="004D7E70"/>
    <w:rsid w:val="004E17DA"/>
    <w:rsid w:val="004E22B6"/>
    <w:rsid w:val="004E2792"/>
    <w:rsid w:val="004E2FAB"/>
    <w:rsid w:val="004E4CEE"/>
    <w:rsid w:val="004E4DB1"/>
    <w:rsid w:val="004E5312"/>
    <w:rsid w:val="004E5D36"/>
    <w:rsid w:val="004E7199"/>
    <w:rsid w:val="004E7D68"/>
    <w:rsid w:val="004F6681"/>
    <w:rsid w:val="004F673E"/>
    <w:rsid w:val="004F758A"/>
    <w:rsid w:val="004F79F1"/>
    <w:rsid w:val="00503011"/>
    <w:rsid w:val="00503542"/>
    <w:rsid w:val="00504B2F"/>
    <w:rsid w:val="00505278"/>
    <w:rsid w:val="005068E6"/>
    <w:rsid w:val="00510411"/>
    <w:rsid w:val="00510D73"/>
    <w:rsid w:val="00510D7F"/>
    <w:rsid w:val="00510F6F"/>
    <w:rsid w:val="00511089"/>
    <w:rsid w:val="00511EBB"/>
    <w:rsid w:val="00512AC1"/>
    <w:rsid w:val="00513711"/>
    <w:rsid w:val="00513D01"/>
    <w:rsid w:val="005144C2"/>
    <w:rsid w:val="005144D0"/>
    <w:rsid w:val="00516040"/>
    <w:rsid w:val="00516FCD"/>
    <w:rsid w:val="00517B8E"/>
    <w:rsid w:val="005201EB"/>
    <w:rsid w:val="005204F2"/>
    <w:rsid w:val="0052340E"/>
    <w:rsid w:val="00527EA8"/>
    <w:rsid w:val="00530597"/>
    <w:rsid w:val="00530FD9"/>
    <w:rsid w:val="00533E60"/>
    <w:rsid w:val="00540280"/>
    <w:rsid w:val="005407B5"/>
    <w:rsid w:val="00542BFC"/>
    <w:rsid w:val="00546A8D"/>
    <w:rsid w:val="00546BEA"/>
    <w:rsid w:val="005514DC"/>
    <w:rsid w:val="005543AF"/>
    <w:rsid w:val="005552CB"/>
    <w:rsid w:val="005568BA"/>
    <w:rsid w:val="0055704B"/>
    <w:rsid w:val="0055709C"/>
    <w:rsid w:val="0056049C"/>
    <w:rsid w:val="00561B38"/>
    <w:rsid w:val="00563198"/>
    <w:rsid w:val="0056452E"/>
    <w:rsid w:val="005655CC"/>
    <w:rsid w:val="00565EEB"/>
    <w:rsid w:val="00565F8B"/>
    <w:rsid w:val="0057123E"/>
    <w:rsid w:val="005716E3"/>
    <w:rsid w:val="00572060"/>
    <w:rsid w:val="005723C3"/>
    <w:rsid w:val="005731B3"/>
    <w:rsid w:val="005756EE"/>
    <w:rsid w:val="00575B52"/>
    <w:rsid w:val="00576FA1"/>
    <w:rsid w:val="005773DA"/>
    <w:rsid w:val="00577616"/>
    <w:rsid w:val="00577B17"/>
    <w:rsid w:val="005815A2"/>
    <w:rsid w:val="00583569"/>
    <w:rsid w:val="0058439C"/>
    <w:rsid w:val="00584F77"/>
    <w:rsid w:val="00585B5A"/>
    <w:rsid w:val="005868FD"/>
    <w:rsid w:val="005874E5"/>
    <w:rsid w:val="00587A8C"/>
    <w:rsid w:val="00587C93"/>
    <w:rsid w:val="0059131D"/>
    <w:rsid w:val="00592BD9"/>
    <w:rsid w:val="00593A1B"/>
    <w:rsid w:val="00593B28"/>
    <w:rsid w:val="00593D94"/>
    <w:rsid w:val="005A0C5C"/>
    <w:rsid w:val="005A2CB1"/>
    <w:rsid w:val="005A3156"/>
    <w:rsid w:val="005A3442"/>
    <w:rsid w:val="005A5C50"/>
    <w:rsid w:val="005A7AD6"/>
    <w:rsid w:val="005A7B80"/>
    <w:rsid w:val="005B2189"/>
    <w:rsid w:val="005B2E63"/>
    <w:rsid w:val="005B3BBD"/>
    <w:rsid w:val="005B4A03"/>
    <w:rsid w:val="005B4F17"/>
    <w:rsid w:val="005B5F6C"/>
    <w:rsid w:val="005B63A3"/>
    <w:rsid w:val="005B66FF"/>
    <w:rsid w:val="005B67F1"/>
    <w:rsid w:val="005B7351"/>
    <w:rsid w:val="005C01A3"/>
    <w:rsid w:val="005C0A53"/>
    <w:rsid w:val="005C0EE3"/>
    <w:rsid w:val="005C1B05"/>
    <w:rsid w:val="005C3996"/>
    <w:rsid w:val="005D0349"/>
    <w:rsid w:val="005D1E94"/>
    <w:rsid w:val="005D21EF"/>
    <w:rsid w:val="005D26D6"/>
    <w:rsid w:val="005D3033"/>
    <w:rsid w:val="005D346C"/>
    <w:rsid w:val="005D3CAF"/>
    <w:rsid w:val="005D58AB"/>
    <w:rsid w:val="005D668F"/>
    <w:rsid w:val="005D76DF"/>
    <w:rsid w:val="005E2047"/>
    <w:rsid w:val="005E2125"/>
    <w:rsid w:val="005E248E"/>
    <w:rsid w:val="005E2C42"/>
    <w:rsid w:val="005E4965"/>
    <w:rsid w:val="005E55D1"/>
    <w:rsid w:val="005E72D4"/>
    <w:rsid w:val="005E73CF"/>
    <w:rsid w:val="005F0123"/>
    <w:rsid w:val="005F02EA"/>
    <w:rsid w:val="005F10C6"/>
    <w:rsid w:val="005F1A6E"/>
    <w:rsid w:val="005F1C7A"/>
    <w:rsid w:val="005F57A7"/>
    <w:rsid w:val="005F5B17"/>
    <w:rsid w:val="005F5E9E"/>
    <w:rsid w:val="005F6FCF"/>
    <w:rsid w:val="005F741B"/>
    <w:rsid w:val="005F7EB1"/>
    <w:rsid w:val="005F7F16"/>
    <w:rsid w:val="00600336"/>
    <w:rsid w:val="006020AD"/>
    <w:rsid w:val="006021CC"/>
    <w:rsid w:val="00602446"/>
    <w:rsid w:val="00603E91"/>
    <w:rsid w:val="00604C56"/>
    <w:rsid w:val="0060601B"/>
    <w:rsid w:val="00610703"/>
    <w:rsid w:val="00610CDF"/>
    <w:rsid w:val="00612487"/>
    <w:rsid w:val="006134F7"/>
    <w:rsid w:val="0061501B"/>
    <w:rsid w:val="0061510A"/>
    <w:rsid w:val="0061543B"/>
    <w:rsid w:val="00615489"/>
    <w:rsid w:val="0061584D"/>
    <w:rsid w:val="006161D1"/>
    <w:rsid w:val="00620AF0"/>
    <w:rsid w:val="00621DA3"/>
    <w:rsid w:val="006243DA"/>
    <w:rsid w:val="00625435"/>
    <w:rsid w:val="00626606"/>
    <w:rsid w:val="0062666C"/>
    <w:rsid w:val="0062760E"/>
    <w:rsid w:val="00627E00"/>
    <w:rsid w:val="006306F6"/>
    <w:rsid w:val="006324E2"/>
    <w:rsid w:val="00632FF8"/>
    <w:rsid w:val="006330CA"/>
    <w:rsid w:val="006337AF"/>
    <w:rsid w:val="00634578"/>
    <w:rsid w:val="0063473D"/>
    <w:rsid w:val="00634AED"/>
    <w:rsid w:val="00634B1A"/>
    <w:rsid w:val="00634BBB"/>
    <w:rsid w:val="00637611"/>
    <w:rsid w:val="00637944"/>
    <w:rsid w:val="006415C3"/>
    <w:rsid w:val="0064507E"/>
    <w:rsid w:val="006469C1"/>
    <w:rsid w:val="00646EDE"/>
    <w:rsid w:val="00647D25"/>
    <w:rsid w:val="006503DC"/>
    <w:rsid w:val="00651DEF"/>
    <w:rsid w:val="00652725"/>
    <w:rsid w:val="00652D5A"/>
    <w:rsid w:val="00652D7A"/>
    <w:rsid w:val="00653BBD"/>
    <w:rsid w:val="006547D8"/>
    <w:rsid w:val="006554C5"/>
    <w:rsid w:val="006560E3"/>
    <w:rsid w:val="00656174"/>
    <w:rsid w:val="006562E0"/>
    <w:rsid w:val="006573C7"/>
    <w:rsid w:val="00660B72"/>
    <w:rsid w:val="00660EE1"/>
    <w:rsid w:val="00660F17"/>
    <w:rsid w:val="00662636"/>
    <w:rsid w:val="006629A5"/>
    <w:rsid w:val="00665205"/>
    <w:rsid w:val="00665D8E"/>
    <w:rsid w:val="00666134"/>
    <w:rsid w:val="00666AE0"/>
    <w:rsid w:val="0067063C"/>
    <w:rsid w:val="00670760"/>
    <w:rsid w:val="006716E8"/>
    <w:rsid w:val="006718C0"/>
    <w:rsid w:val="0067275D"/>
    <w:rsid w:val="00672E77"/>
    <w:rsid w:val="006734B5"/>
    <w:rsid w:val="00673F90"/>
    <w:rsid w:val="006742D4"/>
    <w:rsid w:val="0067533E"/>
    <w:rsid w:val="006760DD"/>
    <w:rsid w:val="00676C54"/>
    <w:rsid w:val="00680274"/>
    <w:rsid w:val="00680289"/>
    <w:rsid w:val="00680428"/>
    <w:rsid w:val="0068193B"/>
    <w:rsid w:val="00682155"/>
    <w:rsid w:val="006837C7"/>
    <w:rsid w:val="00684D19"/>
    <w:rsid w:val="00686828"/>
    <w:rsid w:val="00686C2A"/>
    <w:rsid w:val="00686DC3"/>
    <w:rsid w:val="00690422"/>
    <w:rsid w:val="0069106C"/>
    <w:rsid w:val="00691121"/>
    <w:rsid w:val="00691B24"/>
    <w:rsid w:val="00691B50"/>
    <w:rsid w:val="006924F4"/>
    <w:rsid w:val="00692711"/>
    <w:rsid w:val="00693CC5"/>
    <w:rsid w:val="00695143"/>
    <w:rsid w:val="006959BD"/>
    <w:rsid w:val="00696550"/>
    <w:rsid w:val="00697217"/>
    <w:rsid w:val="00697941"/>
    <w:rsid w:val="006A1B9D"/>
    <w:rsid w:val="006A3C0A"/>
    <w:rsid w:val="006A3D84"/>
    <w:rsid w:val="006A40F9"/>
    <w:rsid w:val="006A4F00"/>
    <w:rsid w:val="006A5788"/>
    <w:rsid w:val="006A5CD5"/>
    <w:rsid w:val="006A6730"/>
    <w:rsid w:val="006A6A54"/>
    <w:rsid w:val="006A7122"/>
    <w:rsid w:val="006B0FBC"/>
    <w:rsid w:val="006B102A"/>
    <w:rsid w:val="006B23E7"/>
    <w:rsid w:val="006B3F01"/>
    <w:rsid w:val="006C0436"/>
    <w:rsid w:val="006C07C0"/>
    <w:rsid w:val="006C0F48"/>
    <w:rsid w:val="006C2775"/>
    <w:rsid w:val="006C3AB8"/>
    <w:rsid w:val="006C4637"/>
    <w:rsid w:val="006C7BFD"/>
    <w:rsid w:val="006D00B8"/>
    <w:rsid w:val="006D0E6E"/>
    <w:rsid w:val="006D1272"/>
    <w:rsid w:val="006D1BC6"/>
    <w:rsid w:val="006D26C7"/>
    <w:rsid w:val="006D2A9D"/>
    <w:rsid w:val="006D2F8F"/>
    <w:rsid w:val="006D4938"/>
    <w:rsid w:val="006D65EA"/>
    <w:rsid w:val="006D75D5"/>
    <w:rsid w:val="006D7846"/>
    <w:rsid w:val="006D7859"/>
    <w:rsid w:val="006D7DF1"/>
    <w:rsid w:val="006E2AD2"/>
    <w:rsid w:val="006E2DE0"/>
    <w:rsid w:val="006E30AE"/>
    <w:rsid w:val="006E3128"/>
    <w:rsid w:val="006E3468"/>
    <w:rsid w:val="006E5939"/>
    <w:rsid w:val="006E5B12"/>
    <w:rsid w:val="006E7BF4"/>
    <w:rsid w:val="006F1585"/>
    <w:rsid w:val="006F2B75"/>
    <w:rsid w:val="006F3735"/>
    <w:rsid w:val="006F3B8D"/>
    <w:rsid w:val="006F3E47"/>
    <w:rsid w:val="006F4D6F"/>
    <w:rsid w:val="006F57BA"/>
    <w:rsid w:val="006F7CAF"/>
    <w:rsid w:val="0070005F"/>
    <w:rsid w:val="00701A0D"/>
    <w:rsid w:val="007036FC"/>
    <w:rsid w:val="0070474A"/>
    <w:rsid w:val="0070479C"/>
    <w:rsid w:val="00704C92"/>
    <w:rsid w:val="007056C4"/>
    <w:rsid w:val="00706534"/>
    <w:rsid w:val="00706A53"/>
    <w:rsid w:val="0070775E"/>
    <w:rsid w:val="00710848"/>
    <w:rsid w:val="0071190F"/>
    <w:rsid w:val="00712AF1"/>
    <w:rsid w:val="00714302"/>
    <w:rsid w:val="00715053"/>
    <w:rsid w:val="00715654"/>
    <w:rsid w:val="00715B9A"/>
    <w:rsid w:val="007163E2"/>
    <w:rsid w:val="00717627"/>
    <w:rsid w:val="007206A4"/>
    <w:rsid w:val="007208FA"/>
    <w:rsid w:val="007210E0"/>
    <w:rsid w:val="00722BDE"/>
    <w:rsid w:val="00724D06"/>
    <w:rsid w:val="00727667"/>
    <w:rsid w:val="007279F2"/>
    <w:rsid w:val="00731020"/>
    <w:rsid w:val="007318B3"/>
    <w:rsid w:val="007327FE"/>
    <w:rsid w:val="00734907"/>
    <w:rsid w:val="00736E2D"/>
    <w:rsid w:val="007375E8"/>
    <w:rsid w:val="00741CED"/>
    <w:rsid w:val="00743037"/>
    <w:rsid w:val="007435B9"/>
    <w:rsid w:val="0074556A"/>
    <w:rsid w:val="00745C6B"/>
    <w:rsid w:val="00745C84"/>
    <w:rsid w:val="00745CE0"/>
    <w:rsid w:val="007542CC"/>
    <w:rsid w:val="00754FDD"/>
    <w:rsid w:val="007555E4"/>
    <w:rsid w:val="00755797"/>
    <w:rsid w:val="00757E15"/>
    <w:rsid w:val="00757E65"/>
    <w:rsid w:val="00760A34"/>
    <w:rsid w:val="007610C3"/>
    <w:rsid w:val="00761516"/>
    <w:rsid w:val="007618A8"/>
    <w:rsid w:val="00761A06"/>
    <w:rsid w:val="00762332"/>
    <w:rsid w:val="00763436"/>
    <w:rsid w:val="00764828"/>
    <w:rsid w:val="00764AD0"/>
    <w:rsid w:val="00764D15"/>
    <w:rsid w:val="0076533E"/>
    <w:rsid w:val="0076652E"/>
    <w:rsid w:val="007674CC"/>
    <w:rsid w:val="007677A9"/>
    <w:rsid w:val="00767E27"/>
    <w:rsid w:val="00770055"/>
    <w:rsid w:val="00774B28"/>
    <w:rsid w:val="007753EF"/>
    <w:rsid w:val="00775B94"/>
    <w:rsid w:val="00776E99"/>
    <w:rsid w:val="0078229E"/>
    <w:rsid w:val="00782D30"/>
    <w:rsid w:val="00784E53"/>
    <w:rsid w:val="00786671"/>
    <w:rsid w:val="00787029"/>
    <w:rsid w:val="007904F3"/>
    <w:rsid w:val="0079094C"/>
    <w:rsid w:val="007948FC"/>
    <w:rsid w:val="00794CDE"/>
    <w:rsid w:val="00794E62"/>
    <w:rsid w:val="00796292"/>
    <w:rsid w:val="0079643C"/>
    <w:rsid w:val="00796554"/>
    <w:rsid w:val="00796A81"/>
    <w:rsid w:val="00797B9C"/>
    <w:rsid w:val="007A0637"/>
    <w:rsid w:val="007A0A81"/>
    <w:rsid w:val="007A11B1"/>
    <w:rsid w:val="007A1697"/>
    <w:rsid w:val="007A1B32"/>
    <w:rsid w:val="007A1F12"/>
    <w:rsid w:val="007A25C7"/>
    <w:rsid w:val="007A3C1E"/>
    <w:rsid w:val="007A474C"/>
    <w:rsid w:val="007A5B9F"/>
    <w:rsid w:val="007A7977"/>
    <w:rsid w:val="007B0100"/>
    <w:rsid w:val="007B06CF"/>
    <w:rsid w:val="007B0992"/>
    <w:rsid w:val="007B0D60"/>
    <w:rsid w:val="007B1411"/>
    <w:rsid w:val="007B465B"/>
    <w:rsid w:val="007B5188"/>
    <w:rsid w:val="007B5311"/>
    <w:rsid w:val="007B5C3A"/>
    <w:rsid w:val="007B603C"/>
    <w:rsid w:val="007B69B0"/>
    <w:rsid w:val="007B6C8F"/>
    <w:rsid w:val="007B6FDB"/>
    <w:rsid w:val="007B772D"/>
    <w:rsid w:val="007B7CA6"/>
    <w:rsid w:val="007C10BC"/>
    <w:rsid w:val="007C209C"/>
    <w:rsid w:val="007C272C"/>
    <w:rsid w:val="007C33AD"/>
    <w:rsid w:val="007C3BC5"/>
    <w:rsid w:val="007C3ED1"/>
    <w:rsid w:val="007C4940"/>
    <w:rsid w:val="007C4B8A"/>
    <w:rsid w:val="007C6F7A"/>
    <w:rsid w:val="007D21E5"/>
    <w:rsid w:val="007D6724"/>
    <w:rsid w:val="007D7BAE"/>
    <w:rsid w:val="007E04CC"/>
    <w:rsid w:val="007E0B02"/>
    <w:rsid w:val="007E0F4A"/>
    <w:rsid w:val="007E17A1"/>
    <w:rsid w:val="007E2AEF"/>
    <w:rsid w:val="007E4C69"/>
    <w:rsid w:val="007E55E4"/>
    <w:rsid w:val="007E5615"/>
    <w:rsid w:val="007E5E31"/>
    <w:rsid w:val="007E5EBC"/>
    <w:rsid w:val="007E76C9"/>
    <w:rsid w:val="007E7816"/>
    <w:rsid w:val="007F0504"/>
    <w:rsid w:val="007F11DC"/>
    <w:rsid w:val="007F146E"/>
    <w:rsid w:val="007F396D"/>
    <w:rsid w:val="007F3A75"/>
    <w:rsid w:val="007F401E"/>
    <w:rsid w:val="007F63F1"/>
    <w:rsid w:val="00801757"/>
    <w:rsid w:val="0080277B"/>
    <w:rsid w:val="008035F3"/>
    <w:rsid w:val="00805132"/>
    <w:rsid w:val="0080626A"/>
    <w:rsid w:val="00806560"/>
    <w:rsid w:val="0080661B"/>
    <w:rsid w:val="008072D7"/>
    <w:rsid w:val="0081076A"/>
    <w:rsid w:val="00810CF5"/>
    <w:rsid w:val="008113FF"/>
    <w:rsid w:val="00812790"/>
    <w:rsid w:val="0081540D"/>
    <w:rsid w:val="0081604D"/>
    <w:rsid w:val="008161FE"/>
    <w:rsid w:val="00817734"/>
    <w:rsid w:val="008200D1"/>
    <w:rsid w:val="00820218"/>
    <w:rsid w:val="00821ADB"/>
    <w:rsid w:val="00823982"/>
    <w:rsid w:val="00824580"/>
    <w:rsid w:val="00824E73"/>
    <w:rsid w:val="00826689"/>
    <w:rsid w:val="00827A40"/>
    <w:rsid w:val="00827D8F"/>
    <w:rsid w:val="008307A8"/>
    <w:rsid w:val="008308B5"/>
    <w:rsid w:val="00831B90"/>
    <w:rsid w:val="00831E05"/>
    <w:rsid w:val="00832137"/>
    <w:rsid w:val="008347FF"/>
    <w:rsid w:val="00834ED7"/>
    <w:rsid w:val="00840D99"/>
    <w:rsid w:val="0084101F"/>
    <w:rsid w:val="00841A11"/>
    <w:rsid w:val="00841C1D"/>
    <w:rsid w:val="00843584"/>
    <w:rsid w:val="00843C7F"/>
    <w:rsid w:val="00845BD0"/>
    <w:rsid w:val="00846DE1"/>
    <w:rsid w:val="008470F6"/>
    <w:rsid w:val="00850891"/>
    <w:rsid w:val="00851ECB"/>
    <w:rsid w:val="00853676"/>
    <w:rsid w:val="008559F3"/>
    <w:rsid w:val="00856A45"/>
    <w:rsid w:val="00857305"/>
    <w:rsid w:val="0086018F"/>
    <w:rsid w:val="008609BD"/>
    <w:rsid w:val="00860DD3"/>
    <w:rsid w:val="0086177E"/>
    <w:rsid w:val="00861958"/>
    <w:rsid w:val="0086277A"/>
    <w:rsid w:val="00862D3E"/>
    <w:rsid w:val="00862DC4"/>
    <w:rsid w:val="00865821"/>
    <w:rsid w:val="008672A1"/>
    <w:rsid w:val="008734C8"/>
    <w:rsid w:val="008737EF"/>
    <w:rsid w:val="00874305"/>
    <w:rsid w:val="00875162"/>
    <w:rsid w:val="00875218"/>
    <w:rsid w:val="00876B0C"/>
    <w:rsid w:val="008774BE"/>
    <w:rsid w:val="00881367"/>
    <w:rsid w:val="00881738"/>
    <w:rsid w:val="008825DF"/>
    <w:rsid w:val="00882F80"/>
    <w:rsid w:val="0088316B"/>
    <w:rsid w:val="0088774A"/>
    <w:rsid w:val="00887777"/>
    <w:rsid w:val="00887F6A"/>
    <w:rsid w:val="008908E8"/>
    <w:rsid w:val="00890A58"/>
    <w:rsid w:val="0089244C"/>
    <w:rsid w:val="008925F9"/>
    <w:rsid w:val="00893DFF"/>
    <w:rsid w:val="00894467"/>
    <w:rsid w:val="008944C3"/>
    <w:rsid w:val="008948B9"/>
    <w:rsid w:val="00895B16"/>
    <w:rsid w:val="00896436"/>
    <w:rsid w:val="008A0B43"/>
    <w:rsid w:val="008A206F"/>
    <w:rsid w:val="008A285E"/>
    <w:rsid w:val="008A3347"/>
    <w:rsid w:val="008A339A"/>
    <w:rsid w:val="008A4CF5"/>
    <w:rsid w:val="008A6800"/>
    <w:rsid w:val="008A7196"/>
    <w:rsid w:val="008A7382"/>
    <w:rsid w:val="008A794B"/>
    <w:rsid w:val="008B2307"/>
    <w:rsid w:val="008B269F"/>
    <w:rsid w:val="008B2F75"/>
    <w:rsid w:val="008B30EA"/>
    <w:rsid w:val="008B461B"/>
    <w:rsid w:val="008B6BF0"/>
    <w:rsid w:val="008C13AF"/>
    <w:rsid w:val="008C2C26"/>
    <w:rsid w:val="008C3812"/>
    <w:rsid w:val="008C4A4C"/>
    <w:rsid w:val="008C71D0"/>
    <w:rsid w:val="008D1FC4"/>
    <w:rsid w:val="008D2E0C"/>
    <w:rsid w:val="008D5AE4"/>
    <w:rsid w:val="008D5DD8"/>
    <w:rsid w:val="008E24B0"/>
    <w:rsid w:val="008E4DD5"/>
    <w:rsid w:val="008E59B7"/>
    <w:rsid w:val="008F02E9"/>
    <w:rsid w:val="008F06A3"/>
    <w:rsid w:val="008F10D7"/>
    <w:rsid w:val="008F2BAA"/>
    <w:rsid w:val="008F4A92"/>
    <w:rsid w:val="008F57F5"/>
    <w:rsid w:val="008F61DF"/>
    <w:rsid w:val="008F68E3"/>
    <w:rsid w:val="008F6D74"/>
    <w:rsid w:val="008F7ACA"/>
    <w:rsid w:val="008F7C12"/>
    <w:rsid w:val="00900DCA"/>
    <w:rsid w:val="009010C8"/>
    <w:rsid w:val="00903A3D"/>
    <w:rsid w:val="00904D31"/>
    <w:rsid w:val="00906086"/>
    <w:rsid w:val="00907AF4"/>
    <w:rsid w:val="00910253"/>
    <w:rsid w:val="00910500"/>
    <w:rsid w:val="0091054F"/>
    <w:rsid w:val="009131CB"/>
    <w:rsid w:val="00914BE1"/>
    <w:rsid w:val="00915FA7"/>
    <w:rsid w:val="009163A8"/>
    <w:rsid w:val="00921564"/>
    <w:rsid w:val="00923CCF"/>
    <w:rsid w:val="00924313"/>
    <w:rsid w:val="00926100"/>
    <w:rsid w:val="00926604"/>
    <w:rsid w:val="00927E71"/>
    <w:rsid w:val="009323C0"/>
    <w:rsid w:val="00932622"/>
    <w:rsid w:val="00932ECD"/>
    <w:rsid w:val="0093315A"/>
    <w:rsid w:val="00935BE1"/>
    <w:rsid w:val="0093725A"/>
    <w:rsid w:val="00940784"/>
    <w:rsid w:val="009416F6"/>
    <w:rsid w:val="009426EA"/>
    <w:rsid w:val="00942BBA"/>
    <w:rsid w:val="00942DC1"/>
    <w:rsid w:val="00946E4B"/>
    <w:rsid w:val="00947F81"/>
    <w:rsid w:val="0095160E"/>
    <w:rsid w:val="00951B1E"/>
    <w:rsid w:val="00952A5F"/>
    <w:rsid w:val="009533E1"/>
    <w:rsid w:val="00953988"/>
    <w:rsid w:val="00953F0E"/>
    <w:rsid w:val="0095401C"/>
    <w:rsid w:val="00954D6A"/>
    <w:rsid w:val="00956400"/>
    <w:rsid w:val="009628E1"/>
    <w:rsid w:val="009629B2"/>
    <w:rsid w:val="00962D4E"/>
    <w:rsid w:val="00965F02"/>
    <w:rsid w:val="00966CC3"/>
    <w:rsid w:val="0097006B"/>
    <w:rsid w:val="00971526"/>
    <w:rsid w:val="009719D8"/>
    <w:rsid w:val="00972140"/>
    <w:rsid w:val="009723CE"/>
    <w:rsid w:val="00972AC8"/>
    <w:rsid w:val="00973121"/>
    <w:rsid w:val="00973297"/>
    <w:rsid w:val="009765A6"/>
    <w:rsid w:val="00976D98"/>
    <w:rsid w:val="00980145"/>
    <w:rsid w:val="00980F46"/>
    <w:rsid w:val="009814E2"/>
    <w:rsid w:val="00981EA6"/>
    <w:rsid w:val="00982D80"/>
    <w:rsid w:val="00983009"/>
    <w:rsid w:val="00983325"/>
    <w:rsid w:val="00984295"/>
    <w:rsid w:val="009845F1"/>
    <w:rsid w:val="009854E6"/>
    <w:rsid w:val="00985FB6"/>
    <w:rsid w:val="009867C7"/>
    <w:rsid w:val="009867EA"/>
    <w:rsid w:val="00992E2D"/>
    <w:rsid w:val="00995814"/>
    <w:rsid w:val="009963F4"/>
    <w:rsid w:val="0099643F"/>
    <w:rsid w:val="0099647B"/>
    <w:rsid w:val="00996642"/>
    <w:rsid w:val="00996F96"/>
    <w:rsid w:val="00997988"/>
    <w:rsid w:val="00997BB1"/>
    <w:rsid w:val="00997D37"/>
    <w:rsid w:val="009A2ADA"/>
    <w:rsid w:val="009A4941"/>
    <w:rsid w:val="009A62D0"/>
    <w:rsid w:val="009A679C"/>
    <w:rsid w:val="009A7B85"/>
    <w:rsid w:val="009B3A08"/>
    <w:rsid w:val="009B493F"/>
    <w:rsid w:val="009B4FB3"/>
    <w:rsid w:val="009B5258"/>
    <w:rsid w:val="009B567F"/>
    <w:rsid w:val="009B729A"/>
    <w:rsid w:val="009B7FD7"/>
    <w:rsid w:val="009C02C2"/>
    <w:rsid w:val="009C2C45"/>
    <w:rsid w:val="009C3863"/>
    <w:rsid w:val="009C3A0C"/>
    <w:rsid w:val="009C3BE5"/>
    <w:rsid w:val="009C56A0"/>
    <w:rsid w:val="009C5C8B"/>
    <w:rsid w:val="009C6185"/>
    <w:rsid w:val="009C74AA"/>
    <w:rsid w:val="009C7961"/>
    <w:rsid w:val="009D0E76"/>
    <w:rsid w:val="009D49F5"/>
    <w:rsid w:val="009D7015"/>
    <w:rsid w:val="009D7911"/>
    <w:rsid w:val="009E04F1"/>
    <w:rsid w:val="009E1F3D"/>
    <w:rsid w:val="009E2C9D"/>
    <w:rsid w:val="009E4296"/>
    <w:rsid w:val="009E42E4"/>
    <w:rsid w:val="009E53C7"/>
    <w:rsid w:val="009E64F6"/>
    <w:rsid w:val="009E75D2"/>
    <w:rsid w:val="009E7A85"/>
    <w:rsid w:val="009F054C"/>
    <w:rsid w:val="009F202B"/>
    <w:rsid w:val="009F20D1"/>
    <w:rsid w:val="009F2263"/>
    <w:rsid w:val="009F27A8"/>
    <w:rsid w:val="009F4DF9"/>
    <w:rsid w:val="009F4FD8"/>
    <w:rsid w:val="009F6822"/>
    <w:rsid w:val="009F71B4"/>
    <w:rsid w:val="00A01003"/>
    <w:rsid w:val="00A01E0C"/>
    <w:rsid w:val="00A04E8B"/>
    <w:rsid w:val="00A0589A"/>
    <w:rsid w:val="00A06A79"/>
    <w:rsid w:val="00A10571"/>
    <w:rsid w:val="00A10F8D"/>
    <w:rsid w:val="00A1169C"/>
    <w:rsid w:val="00A13CE4"/>
    <w:rsid w:val="00A14713"/>
    <w:rsid w:val="00A14D1B"/>
    <w:rsid w:val="00A15195"/>
    <w:rsid w:val="00A1565C"/>
    <w:rsid w:val="00A16A04"/>
    <w:rsid w:val="00A1795F"/>
    <w:rsid w:val="00A21572"/>
    <w:rsid w:val="00A21637"/>
    <w:rsid w:val="00A21958"/>
    <w:rsid w:val="00A220AD"/>
    <w:rsid w:val="00A228FB"/>
    <w:rsid w:val="00A22AFE"/>
    <w:rsid w:val="00A231FE"/>
    <w:rsid w:val="00A24193"/>
    <w:rsid w:val="00A244A7"/>
    <w:rsid w:val="00A24940"/>
    <w:rsid w:val="00A27A28"/>
    <w:rsid w:val="00A31970"/>
    <w:rsid w:val="00A329D2"/>
    <w:rsid w:val="00A34D99"/>
    <w:rsid w:val="00A36895"/>
    <w:rsid w:val="00A3714D"/>
    <w:rsid w:val="00A40460"/>
    <w:rsid w:val="00A44092"/>
    <w:rsid w:val="00A44BD0"/>
    <w:rsid w:val="00A45FAC"/>
    <w:rsid w:val="00A476B7"/>
    <w:rsid w:val="00A50191"/>
    <w:rsid w:val="00A5077C"/>
    <w:rsid w:val="00A51D36"/>
    <w:rsid w:val="00A5209D"/>
    <w:rsid w:val="00A53863"/>
    <w:rsid w:val="00A5399F"/>
    <w:rsid w:val="00A53DAD"/>
    <w:rsid w:val="00A53E4A"/>
    <w:rsid w:val="00A54899"/>
    <w:rsid w:val="00A564E7"/>
    <w:rsid w:val="00A57A8D"/>
    <w:rsid w:val="00A57DA6"/>
    <w:rsid w:val="00A6043A"/>
    <w:rsid w:val="00A61BD2"/>
    <w:rsid w:val="00A62D4A"/>
    <w:rsid w:val="00A62F02"/>
    <w:rsid w:val="00A65BAA"/>
    <w:rsid w:val="00A6612E"/>
    <w:rsid w:val="00A676FC"/>
    <w:rsid w:val="00A70237"/>
    <w:rsid w:val="00A70C8B"/>
    <w:rsid w:val="00A7159E"/>
    <w:rsid w:val="00A718B4"/>
    <w:rsid w:val="00A720DD"/>
    <w:rsid w:val="00A725F8"/>
    <w:rsid w:val="00A72C8B"/>
    <w:rsid w:val="00A72D25"/>
    <w:rsid w:val="00A76A1A"/>
    <w:rsid w:val="00A776DE"/>
    <w:rsid w:val="00A77C7E"/>
    <w:rsid w:val="00A87402"/>
    <w:rsid w:val="00A8762A"/>
    <w:rsid w:val="00A87931"/>
    <w:rsid w:val="00A87B41"/>
    <w:rsid w:val="00A87D52"/>
    <w:rsid w:val="00A87F85"/>
    <w:rsid w:val="00A90284"/>
    <w:rsid w:val="00A91DCE"/>
    <w:rsid w:val="00A91E15"/>
    <w:rsid w:val="00A9437F"/>
    <w:rsid w:val="00A94F12"/>
    <w:rsid w:val="00A964EF"/>
    <w:rsid w:val="00A9709F"/>
    <w:rsid w:val="00AA0131"/>
    <w:rsid w:val="00AA14A7"/>
    <w:rsid w:val="00AA170F"/>
    <w:rsid w:val="00AA3DBD"/>
    <w:rsid w:val="00AA65F7"/>
    <w:rsid w:val="00AA70EE"/>
    <w:rsid w:val="00AA77B9"/>
    <w:rsid w:val="00AA79CC"/>
    <w:rsid w:val="00AB3074"/>
    <w:rsid w:val="00AB34D4"/>
    <w:rsid w:val="00AB3C7F"/>
    <w:rsid w:val="00AB5BFC"/>
    <w:rsid w:val="00AB65F7"/>
    <w:rsid w:val="00AB730E"/>
    <w:rsid w:val="00AB7739"/>
    <w:rsid w:val="00AC0185"/>
    <w:rsid w:val="00AC13EA"/>
    <w:rsid w:val="00AC1DE2"/>
    <w:rsid w:val="00AC4485"/>
    <w:rsid w:val="00AC4CDD"/>
    <w:rsid w:val="00AD0F95"/>
    <w:rsid w:val="00AD10D4"/>
    <w:rsid w:val="00AD145D"/>
    <w:rsid w:val="00AD1C67"/>
    <w:rsid w:val="00AD449C"/>
    <w:rsid w:val="00AD66B1"/>
    <w:rsid w:val="00AD674C"/>
    <w:rsid w:val="00AE0692"/>
    <w:rsid w:val="00AE09E3"/>
    <w:rsid w:val="00AE0DBD"/>
    <w:rsid w:val="00AE0E5C"/>
    <w:rsid w:val="00AE2205"/>
    <w:rsid w:val="00AE2DBE"/>
    <w:rsid w:val="00AE5336"/>
    <w:rsid w:val="00AE754A"/>
    <w:rsid w:val="00AF221E"/>
    <w:rsid w:val="00AF5214"/>
    <w:rsid w:val="00AF57D0"/>
    <w:rsid w:val="00AF66F9"/>
    <w:rsid w:val="00AF6A05"/>
    <w:rsid w:val="00AF7140"/>
    <w:rsid w:val="00B00A23"/>
    <w:rsid w:val="00B01B7E"/>
    <w:rsid w:val="00B04093"/>
    <w:rsid w:val="00B04268"/>
    <w:rsid w:val="00B06414"/>
    <w:rsid w:val="00B06559"/>
    <w:rsid w:val="00B06FA4"/>
    <w:rsid w:val="00B07ED8"/>
    <w:rsid w:val="00B11F29"/>
    <w:rsid w:val="00B1375D"/>
    <w:rsid w:val="00B2075C"/>
    <w:rsid w:val="00B2091B"/>
    <w:rsid w:val="00B21CFC"/>
    <w:rsid w:val="00B21DCC"/>
    <w:rsid w:val="00B226DF"/>
    <w:rsid w:val="00B2355F"/>
    <w:rsid w:val="00B23739"/>
    <w:rsid w:val="00B24EAE"/>
    <w:rsid w:val="00B26E5E"/>
    <w:rsid w:val="00B27D46"/>
    <w:rsid w:val="00B31203"/>
    <w:rsid w:val="00B31755"/>
    <w:rsid w:val="00B349DB"/>
    <w:rsid w:val="00B34A75"/>
    <w:rsid w:val="00B36D7D"/>
    <w:rsid w:val="00B406B2"/>
    <w:rsid w:val="00B413AE"/>
    <w:rsid w:val="00B45662"/>
    <w:rsid w:val="00B509F2"/>
    <w:rsid w:val="00B52194"/>
    <w:rsid w:val="00B52DEA"/>
    <w:rsid w:val="00B53061"/>
    <w:rsid w:val="00B53A34"/>
    <w:rsid w:val="00B541B7"/>
    <w:rsid w:val="00B54A23"/>
    <w:rsid w:val="00B5541F"/>
    <w:rsid w:val="00B55C44"/>
    <w:rsid w:val="00B5685E"/>
    <w:rsid w:val="00B57006"/>
    <w:rsid w:val="00B603C7"/>
    <w:rsid w:val="00B607F4"/>
    <w:rsid w:val="00B61A5D"/>
    <w:rsid w:val="00B61C20"/>
    <w:rsid w:val="00B62A54"/>
    <w:rsid w:val="00B65765"/>
    <w:rsid w:val="00B65A64"/>
    <w:rsid w:val="00B65B35"/>
    <w:rsid w:val="00B663BB"/>
    <w:rsid w:val="00B701D5"/>
    <w:rsid w:val="00B706C8"/>
    <w:rsid w:val="00B71211"/>
    <w:rsid w:val="00B71378"/>
    <w:rsid w:val="00B740C3"/>
    <w:rsid w:val="00B7528B"/>
    <w:rsid w:val="00B76939"/>
    <w:rsid w:val="00B801EC"/>
    <w:rsid w:val="00B81903"/>
    <w:rsid w:val="00B81B95"/>
    <w:rsid w:val="00B82D15"/>
    <w:rsid w:val="00B83E64"/>
    <w:rsid w:val="00B847F2"/>
    <w:rsid w:val="00B84931"/>
    <w:rsid w:val="00B84B44"/>
    <w:rsid w:val="00B84BF8"/>
    <w:rsid w:val="00B84E84"/>
    <w:rsid w:val="00B85243"/>
    <w:rsid w:val="00B8694F"/>
    <w:rsid w:val="00B8738D"/>
    <w:rsid w:val="00B87B9A"/>
    <w:rsid w:val="00B90E71"/>
    <w:rsid w:val="00B9164B"/>
    <w:rsid w:val="00B937A0"/>
    <w:rsid w:val="00B94FFE"/>
    <w:rsid w:val="00B95BA6"/>
    <w:rsid w:val="00B96048"/>
    <w:rsid w:val="00B96BFF"/>
    <w:rsid w:val="00BA3481"/>
    <w:rsid w:val="00BA5B0E"/>
    <w:rsid w:val="00BA6696"/>
    <w:rsid w:val="00BA7A13"/>
    <w:rsid w:val="00BB1A29"/>
    <w:rsid w:val="00BB29F9"/>
    <w:rsid w:val="00BB3697"/>
    <w:rsid w:val="00BB3926"/>
    <w:rsid w:val="00BB46F4"/>
    <w:rsid w:val="00BB4B35"/>
    <w:rsid w:val="00BB5BC0"/>
    <w:rsid w:val="00BB72A5"/>
    <w:rsid w:val="00BB7CF5"/>
    <w:rsid w:val="00BC0BBF"/>
    <w:rsid w:val="00BC159E"/>
    <w:rsid w:val="00BC19CA"/>
    <w:rsid w:val="00BC4BAD"/>
    <w:rsid w:val="00BC5262"/>
    <w:rsid w:val="00BC575E"/>
    <w:rsid w:val="00BC613E"/>
    <w:rsid w:val="00BC69D2"/>
    <w:rsid w:val="00BD05DD"/>
    <w:rsid w:val="00BD20C4"/>
    <w:rsid w:val="00BD2B53"/>
    <w:rsid w:val="00BD3C47"/>
    <w:rsid w:val="00BD4613"/>
    <w:rsid w:val="00BD536C"/>
    <w:rsid w:val="00BD7557"/>
    <w:rsid w:val="00BE09EA"/>
    <w:rsid w:val="00BE167D"/>
    <w:rsid w:val="00BE3EC4"/>
    <w:rsid w:val="00BE5016"/>
    <w:rsid w:val="00BE5ADB"/>
    <w:rsid w:val="00BE5FD1"/>
    <w:rsid w:val="00BE6247"/>
    <w:rsid w:val="00BE6879"/>
    <w:rsid w:val="00BE7F6D"/>
    <w:rsid w:val="00BF0FBC"/>
    <w:rsid w:val="00BF290E"/>
    <w:rsid w:val="00BF2DB2"/>
    <w:rsid w:val="00BF3216"/>
    <w:rsid w:val="00BF3A72"/>
    <w:rsid w:val="00BF3D78"/>
    <w:rsid w:val="00BF3F08"/>
    <w:rsid w:val="00BF4BA4"/>
    <w:rsid w:val="00BF61AC"/>
    <w:rsid w:val="00BF6DF1"/>
    <w:rsid w:val="00BF7A3E"/>
    <w:rsid w:val="00BF7C6B"/>
    <w:rsid w:val="00C01B7A"/>
    <w:rsid w:val="00C01FA9"/>
    <w:rsid w:val="00C045AB"/>
    <w:rsid w:val="00C0797D"/>
    <w:rsid w:val="00C07C12"/>
    <w:rsid w:val="00C134F2"/>
    <w:rsid w:val="00C158E3"/>
    <w:rsid w:val="00C17516"/>
    <w:rsid w:val="00C175FC"/>
    <w:rsid w:val="00C20002"/>
    <w:rsid w:val="00C21FA2"/>
    <w:rsid w:val="00C23DB4"/>
    <w:rsid w:val="00C24FAF"/>
    <w:rsid w:val="00C25757"/>
    <w:rsid w:val="00C26B28"/>
    <w:rsid w:val="00C3099D"/>
    <w:rsid w:val="00C30C6B"/>
    <w:rsid w:val="00C30DD6"/>
    <w:rsid w:val="00C30EE7"/>
    <w:rsid w:val="00C32D18"/>
    <w:rsid w:val="00C3387F"/>
    <w:rsid w:val="00C3408B"/>
    <w:rsid w:val="00C346D8"/>
    <w:rsid w:val="00C347B2"/>
    <w:rsid w:val="00C36903"/>
    <w:rsid w:val="00C36E6E"/>
    <w:rsid w:val="00C36F73"/>
    <w:rsid w:val="00C36F89"/>
    <w:rsid w:val="00C37010"/>
    <w:rsid w:val="00C406E3"/>
    <w:rsid w:val="00C40C1E"/>
    <w:rsid w:val="00C44CA2"/>
    <w:rsid w:val="00C46F99"/>
    <w:rsid w:val="00C50D30"/>
    <w:rsid w:val="00C50E65"/>
    <w:rsid w:val="00C51804"/>
    <w:rsid w:val="00C51C1B"/>
    <w:rsid w:val="00C53228"/>
    <w:rsid w:val="00C53624"/>
    <w:rsid w:val="00C56252"/>
    <w:rsid w:val="00C61AE9"/>
    <w:rsid w:val="00C64B7D"/>
    <w:rsid w:val="00C6579E"/>
    <w:rsid w:val="00C659F0"/>
    <w:rsid w:val="00C66CB2"/>
    <w:rsid w:val="00C66F5A"/>
    <w:rsid w:val="00C67577"/>
    <w:rsid w:val="00C7170E"/>
    <w:rsid w:val="00C72121"/>
    <w:rsid w:val="00C77285"/>
    <w:rsid w:val="00C777E9"/>
    <w:rsid w:val="00C80864"/>
    <w:rsid w:val="00C80988"/>
    <w:rsid w:val="00C81A00"/>
    <w:rsid w:val="00C81CF0"/>
    <w:rsid w:val="00C850AB"/>
    <w:rsid w:val="00C913F5"/>
    <w:rsid w:val="00C929DE"/>
    <w:rsid w:val="00C938BB"/>
    <w:rsid w:val="00C951F0"/>
    <w:rsid w:val="00C96560"/>
    <w:rsid w:val="00C96E23"/>
    <w:rsid w:val="00C97566"/>
    <w:rsid w:val="00C97AB0"/>
    <w:rsid w:val="00CA05FA"/>
    <w:rsid w:val="00CA1468"/>
    <w:rsid w:val="00CA17C0"/>
    <w:rsid w:val="00CA1B42"/>
    <w:rsid w:val="00CA3C54"/>
    <w:rsid w:val="00CB1806"/>
    <w:rsid w:val="00CB1E7C"/>
    <w:rsid w:val="00CB2045"/>
    <w:rsid w:val="00CB286F"/>
    <w:rsid w:val="00CB32A0"/>
    <w:rsid w:val="00CB4063"/>
    <w:rsid w:val="00CB5D24"/>
    <w:rsid w:val="00CB7419"/>
    <w:rsid w:val="00CB763B"/>
    <w:rsid w:val="00CC01A4"/>
    <w:rsid w:val="00CC1218"/>
    <w:rsid w:val="00CC2065"/>
    <w:rsid w:val="00CC21BA"/>
    <w:rsid w:val="00CC3C77"/>
    <w:rsid w:val="00CC500C"/>
    <w:rsid w:val="00CC7A21"/>
    <w:rsid w:val="00CD41DF"/>
    <w:rsid w:val="00CD59A3"/>
    <w:rsid w:val="00CD6023"/>
    <w:rsid w:val="00CD6B58"/>
    <w:rsid w:val="00CD7486"/>
    <w:rsid w:val="00CD7520"/>
    <w:rsid w:val="00CD789A"/>
    <w:rsid w:val="00CE0547"/>
    <w:rsid w:val="00CE1153"/>
    <w:rsid w:val="00CE2383"/>
    <w:rsid w:val="00CE2F54"/>
    <w:rsid w:val="00CE44EC"/>
    <w:rsid w:val="00CE6A1D"/>
    <w:rsid w:val="00CF08C7"/>
    <w:rsid w:val="00CF1A7A"/>
    <w:rsid w:val="00CF27A2"/>
    <w:rsid w:val="00CF2B7E"/>
    <w:rsid w:val="00CF5085"/>
    <w:rsid w:val="00CF688B"/>
    <w:rsid w:val="00CF6CFB"/>
    <w:rsid w:val="00D03721"/>
    <w:rsid w:val="00D03B13"/>
    <w:rsid w:val="00D043BA"/>
    <w:rsid w:val="00D05127"/>
    <w:rsid w:val="00D055BD"/>
    <w:rsid w:val="00D1090C"/>
    <w:rsid w:val="00D121F4"/>
    <w:rsid w:val="00D124D4"/>
    <w:rsid w:val="00D12538"/>
    <w:rsid w:val="00D133E8"/>
    <w:rsid w:val="00D14894"/>
    <w:rsid w:val="00D156BC"/>
    <w:rsid w:val="00D219C4"/>
    <w:rsid w:val="00D2308B"/>
    <w:rsid w:val="00D23111"/>
    <w:rsid w:val="00D24AE4"/>
    <w:rsid w:val="00D26371"/>
    <w:rsid w:val="00D26758"/>
    <w:rsid w:val="00D27226"/>
    <w:rsid w:val="00D273A5"/>
    <w:rsid w:val="00D27477"/>
    <w:rsid w:val="00D2774E"/>
    <w:rsid w:val="00D27B1F"/>
    <w:rsid w:val="00D30398"/>
    <w:rsid w:val="00D3096A"/>
    <w:rsid w:val="00D32775"/>
    <w:rsid w:val="00D3287F"/>
    <w:rsid w:val="00D33AB7"/>
    <w:rsid w:val="00D33E2B"/>
    <w:rsid w:val="00D344BE"/>
    <w:rsid w:val="00D34DF9"/>
    <w:rsid w:val="00D34FC3"/>
    <w:rsid w:val="00D3558F"/>
    <w:rsid w:val="00D3598C"/>
    <w:rsid w:val="00D359AE"/>
    <w:rsid w:val="00D360FE"/>
    <w:rsid w:val="00D375D0"/>
    <w:rsid w:val="00D37899"/>
    <w:rsid w:val="00D37DF3"/>
    <w:rsid w:val="00D41CCC"/>
    <w:rsid w:val="00D43F30"/>
    <w:rsid w:val="00D44D62"/>
    <w:rsid w:val="00D44FC3"/>
    <w:rsid w:val="00D472C9"/>
    <w:rsid w:val="00D50F5B"/>
    <w:rsid w:val="00D521B6"/>
    <w:rsid w:val="00D5263D"/>
    <w:rsid w:val="00D5419F"/>
    <w:rsid w:val="00D54F0B"/>
    <w:rsid w:val="00D5578F"/>
    <w:rsid w:val="00D55A4F"/>
    <w:rsid w:val="00D566B2"/>
    <w:rsid w:val="00D57DCA"/>
    <w:rsid w:val="00D6039D"/>
    <w:rsid w:val="00D6088A"/>
    <w:rsid w:val="00D6168C"/>
    <w:rsid w:val="00D61E13"/>
    <w:rsid w:val="00D63992"/>
    <w:rsid w:val="00D63C90"/>
    <w:rsid w:val="00D64AC5"/>
    <w:rsid w:val="00D65CA4"/>
    <w:rsid w:val="00D66F14"/>
    <w:rsid w:val="00D70287"/>
    <w:rsid w:val="00D71E8F"/>
    <w:rsid w:val="00D7465D"/>
    <w:rsid w:val="00D74660"/>
    <w:rsid w:val="00D74741"/>
    <w:rsid w:val="00D751FE"/>
    <w:rsid w:val="00D75352"/>
    <w:rsid w:val="00D75DEA"/>
    <w:rsid w:val="00D77B01"/>
    <w:rsid w:val="00D813CD"/>
    <w:rsid w:val="00D81B60"/>
    <w:rsid w:val="00D81BC8"/>
    <w:rsid w:val="00D82E7A"/>
    <w:rsid w:val="00D84548"/>
    <w:rsid w:val="00D85468"/>
    <w:rsid w:val="00D85471"/>
    <w:rsid w:val="00D859A6"/>
    <w:rsid w:val="00D86F87"/>
    <w:rsid w:val="00D86FD7"/>
    <w:rsid w:val="00D87D2E"/>
    <w:rsid w:val="00D91B0A"/>
    <w:rsid w:val="00D9283C"/>
    <w:rsid w:val="00D93626"/>
    <w:rsid w:val="00D93ED0"/>
    <w:rsid w:val="00D946BE"/>
    <w:rsid w:val="00D9494D"/>
    <w:rsid w:val="00D94C07"/>
    <w:rsid w:val="00D95DC4"/>
    <w:rsid w:val="00D966FD"/>
    <w:rsid w:val="00D976C4"/>
    <w:rsid w:val="00D97F72"/>
    <w:rsid w:val="00DA0345"/>
    <w:rsid w:val="00DA1DB5"/>
    <w:rsid w:val="00DA4C1B"/>
    <w:rsid w:val="00DA7C03"/>
    <w:rsid w:val="00DB0B19"/>
    <w:rsid w:val="00DB150C"/>
    <w:rsid w:val="00DB178E"/>
    <w:rsid w:val="00DB192D"/>
    <w:rsid w:val="00DB2CC2"/>
    <w:rsid w:val="00DB2DD6"/>
    <w:rsid w:val="00DB42EE"/>
    <w:rsid w:val="00DB4724"/>
    <w:rsid w:val="00DC18A2"/>
    <w:rsid w:val="00DC2424"/>
    <w:rsid w:val="00DC2975"/>
    <w:rsid w:val="00DC3067"/>
    <w:rsid w:val="00DC3346"/>
    <w:rsid w:val="00DC3B2C"/>
    <w:rsid w:val="00DC4EEB"/>
    <w:rsid w:val="00DC5913"/>
    <w:rsid w:val="00DC6D82"/>
    <w:rsid w:val="00DC7E1C"/>
    <w:rsid w:val="00DD253A"/>
    <w:rsid w:val="00DD25D2"/>
    <w:rsid w:val="00DD2B55"/>
    <w:rsid w:val="00DD34E7"/>
    <w:rsid w:val="00DD3819"/>
    <w:rsid w:val="00DD4062"/>
    <w:rsid w:val="00DD5FA6"/>
    <w:rsid w:val="00DD69EB"/>
    <w:rsid w:val="00DD6DBF"/>
    <w:rsid w:val="00DE0163"/>
    <w:rsid w:val="00DE3C69"/>
    <w:rsid w:val="00DE5047"/>
    <w:rsid w:val="00DE5AAE"/>
    <w:rsid w:val="00DE5FE6"/>
    <w:rsid w:val="00DE7192"/>
    <w:rsid w:val="00DE74B8"/>
    <w:rsid w:val="00DF1446"/>
    <w:rsid w:val="00DF173D"/>
    <w:rsid w:val="00DF29E4"/>
    <w:rsid w:val="00DF4C27"/>
    <w:rsid w:val="00DF4CFD"/>
    <w:rsid w:val="00DF5E45"/>
    <w:rsid w:val="00DF5F82"/>
    <w:rsid w:val="00DF61F7"/>
    <w:rsid w:val="00DF6C56"/>
    <w:rsid w:val="00E012A1"/>
    <w:rsid w:val="00E02087"/>
    <w:rsid w:val="00E026C2"/>
    <w:rsid w:val="00E03EEC"/>
    <w:rsid w:val="00E04D0D"/>
    <w:rsid w:val="00E05356"/>
    <w:rsid w:val="00E06248"/>
    <w:rsid w:val="00E071E3"/>
    <w:rsid w:val="00E0760D"/>
    <w:rsid w:val="00E07C68"/>
    <w:rsid w:val="00E10495"/>
    <w:rsid w:val="00E10E74"/>
    <w:rsid w:val="00E1146D"/>
    <w:rsid w:val="00E11581"/>
    <w:rsid w:val="00E118B1"/>
    <w:rsid w:val="00E1277C"/>
    <w:rsid w:val="00E13012"/>
    <w:rsid w:val="00E151CE"/>
    <w:rsid w:val="00E154BA"/>
    <w:rsid w:val="00E17A3E"/>
    <w:rsid w:val="00E2434B"/>
    <w:rsid w:val="00E2493A"/>
    <w:rsid w:val="00E26A94"/>
    <w:rsid w:val="00E27E96"/>
    <w:rsid w:val="00E27F25"/>
    <w:rsid w:val="00E303AD"/>
    <w:rsid w:val="00E30827"/>
    <w:rsid w:val="00E30B91"/>
    <w:rsid w:val="00E31BA3"/>
    <w:rsid w:val="00E32D1B"/>
    <w:rsid w:val="00E34178"/>
    <w:rsid w:val="00E34445"/>
    <w:rsid w:val="00E346E7"/>
    <w:rsid w:val="00E34F9E"/>
    <w:rsid w:val="00E36043"/>
    <w:rsid w:val="00E40F65"/>
    <w:rsid w:val="00E44838"/>
    <w:rsid w:val="00E4565F"/>
    <w:rsid w:val="00E46D5E"/>
    <w:rsid w:val="00E50739"/>
    <w:rsid w:val="00E50EA1"/>
    <w:rsid w:val="00E511FD"/>
    <w:rsid w:val="00E5192B"/>
    <w:rsid w:val="00E520C7"/>
    <w:rsid w:val="00E522E4"/>
    <w:rsid w:val="00E52337"/>
    <w:rsid w:val="00E5266A"/>
    <w:rsid w:val="00E5582C"/>
    <w:rsid w:val="00E558D3"/>
    <w:rsid w:val="00E55FFD"/>
    <w:rsid w:val="00E56F0F"/>
    <w:rsid w:val="00E57482"/>
    <w:rsid w:val="00E60065"/>
    <w:rsid w:val="00E601BC"/>
    <w:rsid w:val="00E60F05"/>
    <w:rsid w:val="00E643CF"/>
    <w:rsid w:val="00E65BED"/>
    <w:rsid w:val="00E65E17"/>
    <w:rsid w:val="00E67457"/>
    <w:rsid w:val="00E675A9"/>
    <w:rsid w:val="00E70792"/>
    <w:rsid w:val="00E71BE3"/>
    <w:rsid w:val="00E71D0D"/>
    <w:rsid w:val="00E71DF3"/>
    <w:rsid w:val="00E73B7D"/>
    <w:rsid w:val="00E74BB7"/>
    <w:rsid w:val="00E75764"/>
    <w:rsid w:val="00E75A41"/>
    <w:rsid w:val="00E7622C"/>
    <w:rsid w:val="00E80B0B"/>
    <w:rsid w:val="00E8197A"/>
    <w:rsid w:val="00E81F4A"/>
    <w:rsid w:val="00E84129"/>
    <w:rsid w:val="00E877EE"/>
    <w:rsid w:val="00E90067"/>
    <w:rsid w:val="00E9071C"/>
    <w:rsid w:val="00E926FA"/>
    <w:rsid w:val="00E96C56"/>
    <w:rsid w:val="00EA1BE2"/>
    <w:rsid w:val="00EA4E98"/>
    <w:rsid w:val="00EA55F1"/>
    <w:rsid w:val="00EA5E2E"/>
    <w:rsid w:val="00EA5EB0"/>
    <w:rsid w:val="00EB1151"/>
    <w:rsid w:val="00EB2763"/>
    <w:rsid w:val="00EB2BA0"/>
    <w:rsid w:val="00EB4E8F"/>
    <w:rsid w:val="00EC5747"/>
    <w:rsid w:val="00EC6109"/>
    <w:rsid w:val="00EC7F8D"/>
    <w:rsid w:val="00ED4CD2"/>
    <w:rsid w:val="00ED65F2"/>
    <w:rsid w:val="00ED7139"/>
    <w:rsid w:val="00EE00BF"/>
    <w:rsid w:val="00EE04E2"/>
    <w:rsid w:val="00EE1439"/>
    <w:rsid w:val="00EE280D"/>
    <w:rsid w:val="00EE3035"/>
    <w:rsid w:val="00EE3128"/>
    <w:rsid w:val="00EE3784"/>
    <w:rsid w:val="00EE409D"/>
    <w:rsid w:val="00EE513B"/>
    <w:rsid w:val="00EE5B68"/>
    <w:rsid w:val="00EE6F92"/>
    <w:rsid w:val="00EE764F"/>
    <w:rsid w:val="00EE77BA"/>
    <w:rsid w:val="00EF018D"/>
    <w:rsid w:val="00EF0397"/>
    <w:rsid w:val="00EF1560"/>
    <w:rsid w:val="00EF1994"/>
    <w:rsid w:val="00EF26DD"/>
    <w:rsid w:val="00EF2E2F"/>
    <w:rsid w:val="00EF2FDD"/>
    <w:rsid w:val="00EF3EC9"/>
    <w:rsid w:val="00EF447F"/>
    <w:rsid w:val="00EF5103"/>
    <w:rsid w:val="00F00120"/>
    <w:rsid w:val="00F01AE8"/>
    <w:rsid w:val="00F01B3E"/>
    <w:rsid w:val="00F02605"/>
    <w:rsid w:val="00F043C7"/>
    <w:rsid w:val="00F1075A"/>
    <w:rsid w:val="00F10DBA"/>
    <w:rsid w:val="00F12B7D"/>
    <w:rsid w:val="00F140EE"/>
    <w:rsid w:val="00F143A7"/>
    <w:rsid w:val="00F14F37"/>
    <w:rsid w:val="00F164C5"/>
    <w:rsid w:val="00F1699C"/>
    <w:rsid w:val="00F16B79"/>
    <w:rsid w:val="00F16CFD"/>
    <w:rsid w:val="00F1726E"/>
    <w:rsid w:val="00F1779E"/>
    <w:rsid w:val="00F21186"/>
    <w:rsid w:val="00F24901"/>
    <w:rsid w:val="00F25229"/>
    <w:rsid w:val="00F2551F"/>
    <w:rsid w:val="00F2608C"/>
    <w:rsid w:val="00F27ABC"/>
    <w:rsid w:val="00F27FE9"/>
    <w:rsid w:val="00F31372"/>
    <w:rsid w:val="00F334FF"/>
    <w:rsid w:val="00F355CF"/>
    <w:rsid w:val="00F35B1C"/>
    <w:rsid w:val="00F366FE"/>
    <w:rsid w:val="00F41287"/>
    <w:rsid w:val="00F415A0"/>
    <w:rsid w:val="00F4160B"/>
    <w:rsid w:val="00F41678"/>
    <w:rsid w:val="00F41B0B"/>
    <w:rsid w:val="00F41DD0"/>
    <w:rsid w:val="00F42328"/>
    <w:rsid w:val="00F425E1"/>
    <w:rsid w:val="00F45ED0"/>
    <w:rsid w:val="00F460C5"/>
    <w:rsid w:val="00F471BD"/>
    <w:rsid w:val="00F50BC4"/>
    <w:rsid w:val="00F52EAA"/>
    <w:rsid w:val="00F53683"/>
    <w:rsid w:val="00F53BDA"/>
    <w:rsid w:val="00F54073"/>
    <w:rsid w:val="00F561A3"/>
    <w:rsid w:val="00F56E87"/>
    <w:rsid w:val="00F579C6"/>
    <w:rsid w:val="00F57C13"/>
    <w:rsid w:val="00F57E08"/>
    <w:rsid w:val="00F605BE"/>
    <w:rsid w:val="00F6171E"/>
    <w:rsid w:val="00F61CAE"/>
    <w:rsid w:val="00F63766"/>
    <w:rsid w:val="00F63F8E"/>
    <w:rsid w:val="00F67DC2"/>
    <w:rsid w:val="00F70B6F"/>
    <w:rsid w:val="00F70E43"/>
    <w:rsid w:val="00F73491"/>
    <w:rsid w:val="00F753CD"/>
    <w:rsid w:val="00F75B4B"/>
    <w:rsid w:val="00F7792B"/>
    <w:rsid w:val="00F81579"/>
    <w:rsid w:val="00F819F7"/>
    <w:rsid w:val="00F85F7D"/>
    <w:rsid w:val="00F86739"/>
    <w:rsid w:val="00F86C4F"/>
    <w:rsid w:val="00F874FC"/>
    <w:rsid w:val="00F87996"/>
    <w:rsid w:val="00F903ED"/>
    <w:rsid w:val="00F90933"/>
    <w:rsid w:val="00F925F4"/>
    <w:rsid w:val="00F93300"/>
    <w:rsid w:val="00F93DDF"/>
    <w:rsid w:val="00F95F68"/>
    <w:rsid w:val="00F96558"/>
    <w:rsid w:val="00FA1A62"/>
    <w:rsid w:val="00FA35AA"/>
    <w:rsid w:val="00FA4E3D"/>
    <w:rsid w:val="00FA4F4A"/>
    <w:rsid w:val="00FA5276"/>
    <w:rsid w:val="00FB03FB"/>
    <w:rsid w:val="00FB079B"/>
    <w:rsid w:val="00FB0902"/>
    <w:rsid w:val="00FB1702"/>
    <w:rsid w:val="00FB2053"/>
    <w:rsid w:val="00FB2324"/>
    <w:rsid w:val="00FB34A3"/>
    <w:rsid w:val="00FB4286"/>
    <w:rsid w:val="00FB4F17"/>
    <w:rsid w:val="00FB51CB"/>
    <w:rsid w:val="00FB52E0"/>
    <w:rsid w:val="00FC04E8"/>
    <w:rsid w:val="00FC2C6E"/>
    <w:rsid w:val="00FC36EA"/>
    <w:rsid w:val="00FC48CC"/>
    <w:rsid w:val="00FC4E9C"/>
    <w:rsid w:val="00FC62D2"/>
    <w:rsid w:val="00FC705B"/>
    <w:rsid w:val="00FC78F8"/>
    <w:rsid w:val="00FC7FBF"/>
    <w:rsid w:val="00FD0315"/>
    <w:rsid w:val="00FD0700"/>
    <w:rsid w:val="00FD0C85"/>
    <w:rsid w:val="00FD30D2"/>
    <w:rsid w:val="00FD3CFF"/>
    <w:rsid w:val="00FD4155"/>
    <w:rsid w:val="00FD424B"/>
    <w:rsid w:val="00FD5BBF"/>
    <w:rsid w:val="00FD5EE9"/>
    <w:rsid w:val="00FD6A6F"/>
    <w:rsid w:val="00FD6B77"/>
    <w:rsid w:val="00FD6F64"/>
    <w:rsid w:val="00FD7666"/>
    <w:rsid w:val="00FE0141"/>
    <w:rsid w:val="00FE2C59"/>
    <w:rsid w:val="00FE31FA"/>
    <w:rsid w:val="00FE4CE1"/>
    <w:rsid w:val="00FE5A12"/>
    <w:rsid w:val="00FF1800"/>
    <w:rsid w:val="00FF1FA5"/>
    <w:rsid w:val="00FF2FDF"/>
    <w:rsid w:val="00FF3117"/>
    <w:rsid w:val="00FF35B4"/>
    <w:rsid w:val="00FF4BED"/>
    <w:rsid w:val="00FF5210"/>
    <w:rsid w:val="00FF53A4"/>
    <w:rsid w:val="00FF57C8"/>
    <w:rsid w:val="00FF57E1"/>
    <w:rsid w:val="00FF5FFF"/>
    <w:rsid w:val="00FF6CF5"/>
    <w:rsid w:val="00FF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4"/>
    <o:shapelayout v:ext="edit">
      <o:idmap v:ext="edit" data="1"/>
    </o:shapelayout>
  </w:shapeDefaults>
  <w:decimalSymbol w:val="."/>
  <w:listSeparator w:val=","/>
  <w14:docId w14:val="3D8BC70A"/>
  <w15:chartTrackingRefBased/>
  <w15:docId w15:val="{9DFFC3E8-9405-42A7-9FE0-15DC38D9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0B"/>
    <w:pPr>
      <w:spacing w:after="0"/>
      <w:jc w:val="both"/>
    </w:pPr>
    <w:rPr>
      <w:rFonts w:ascii="Times New Roman" w:hAnsi="Times New Roman"/>
      <w:sz w:val="24"/>
    </w:rPr>
  </w:style>
  <w:style w:type="paragraph" w:styleId="Heading1">
    <w:name w:val="heading 1"/>
    <w:basedOn w:val="Normal"/>
    <w:next w:val="Normal"/>
    <w:link w:val="Heading1Char"/>
    <w:uiPriority w:val="9"/>
    <w:qFormat/>
    <w:rsid w:val="00F53BDA"/>
    <w:pPr>
      <w:keepNext/>
      <w:keepLines/>
      <w:numPr>
        <w:numId w:val="6"/>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53BDA"/>
    <w:pPr>
      <w:keepNext/>
      <w:keepLines/>
      <w:numPr>
        <w:ilvl w:val="1"/>
        <w:numId w:val="6"/>
      </w:numPr>
      <w:spacing w:before="12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C19CA"/>
    <w:pPr>
      <w:keepNext/>
      <w:keepLines/>
      <w:numPr>
        <w:ilvl w:val="2"/>
        <w:numId w:val="6"/>
      </w:numPr>
      <w:spacing w:before="120" w:after="120" w:line="360" w:lineRule="auto"/>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semiHidden/>
    <w:unhideWhenUsed/>
    <w:qFormat/>
    <w:rsid w:val="00F53BDA"/>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3BDA"/>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3BDA"/>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53BD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53BD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3BD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0703"/>
    <w:rPr>
      <w:color w:val="0563C1" w:themeColor="hyperlink"/>
      <w:u w:val="single"/>
    </w:rPr>
  </w:style>
  <w:style w:type="character" w:styleId="UnresolvedMention">
    <w:name w:val="Unresolved Mention"/>
    <w:basedOn w:val="DefaultParagraphFont"/>
    <w:uiPriority w:val="99"/>
    <w:semiHidden/>
    <w:unhideWhenUsed/>
    <w:rsid w:val="00610703"/>
    <w:rPr>
      <w:color w:val="605E5C"/>
      <w:shd w:val="clear" w:color="auto" w:fill="E1DFDD"/>
    </w:rPr>
  </w:style>
  <w:style w:type="character" w:customStyle="1" w:styleId="Heading2Char">
    <w:name w:val="Heading 2 Char"/>
    <w:basedOn w:val="DefaultParagraphFont"/>
    <w:link w:val="Heading2"/>
    <w:uiPriority w:val="9"/>
    <w:rsid w:val="00F53BDA"/>
    <w:rPr>
      <w:rFonts w:ascii="Times New Roman" w:eastAsiaTheme="majorEastAsia" w:hAnsi="Times New Roman" w:cstheme="majorBidi"/>
      <w:b/>
      <w:color w:val="000000" w:themeColor="text1"/>
      <w:sz w:val="24"/>
      <w:szCs w:val="26"/>
    </w:rPr>
  </w:style>
  <w:style w:type="character" w:styleId="FootnoteReference">
    <w:name w:val="footnote reference"/>
    <w:uiPriority w:val="99"/>
    <w:rsid w:val="00FC705B"/>
    <w:rPr>
      <w:rFonts w:cs="Times New Roman"/>
      <w:vertAlign w:val="superscript"/>
    </w:rPr>
  </w:style>
  <w:style w:type="character" w:customStyle="1" w:styleId="Heading3Char">
    <w:name w:val="Heading 3 Char"/>
    <w:basedOn w:val="DefaultParagraphFont"/>
    <w:link w:val="Heading3"/>
    <w:uiPriority w:val="9"/>
    <w:rsid w:val="00BC19CA"/>
    <w:rPr>
      <w:rFonts w:ascii="Times New Roman" w:eastAsiaTheme="majorEastAsia" w:hAnsi="Times New Roman" w:cstheme="majorBidi"/>
      <w:b/>
      <w:i/>
      <w:color w:val="000000" w:themeColor="text1"/>
      <w:sz w:val="24"/>
      <w:szCs w:val="24"/>
    </w:rPr>
  </w:style>
  <w:style w:type="paragraph" w:styleId="ListParagraph">
    <w:name w:val="List Paragraph"/>
    <w:basedOn w:val="Normal"/>
    <w:uiPriority w:val="34"/>
    <w:qFormat/>
    <w:rsid w:val="00C7170E"/>
    <w:pPr>
      <w:ind w:left="720"/>
      <w:contextualSpacing/>
    </w:pPr>
  </w:style>
  <w:style w:type="table" w:styleId="TableGrid">
    <w:name w:val="Table Grid"/>
    <w:basedOn w:val="TableNormal"/>
    <w:uiPriority w:val="39"/>
    <w:rsid w:val="00CD6B58"/>
    <w:pPr>
      <w:spacing w:after="0" w:line="240" w:lineRule="auto"/>
    </w:pPr>
    <w:rPr>
      <w:rFonts w:ascii="Times New Roman" w:hAnsi="Times New Roman" w:cs="Times New Roman"/>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0253"/>
    <w:pPr>
      <w:tabs>
        <w:tab w:val="center" w:pos="4680"/>
        <w:tab w:val="right" w:pos="9360"/>
      </w:tabs>
      <w:spacing w:line="240" w:lineRule="auto"/>
    </w:pPr>
  </w:style>
  <w:style w:type="character" w:customStyle="1" w:styleId="HeaderChar">
    <w:name w:val="Header Char"/>
    <w:basedOn w:val="DefaultParagraphFont"/>
    <w:link w:val="Header"/>
    <w:uiPriority w:val="99"/>
    <w:rsid w:val="00910253"/>
  </w:style>
  <w:style w:type="paragraph" w:styleId="Footer">
    <w:name w:val="footer"/>
    <w:basedOn w:val="Normal"/>
    <w:link w:val="FooterChar"/>
    <w:uiPriority w:val="99"/>
    <w:unhideWhenUsed/>
    <w:rsid w:val="00910253"/>
    <w:pPr>
      <w:tabs>
        <w:tab w:val="center" w:pos="4680"/>
        <w:tab w:val="right" w:pos="9360"/>
      </w:tabs>
      <w:spacing w:line="240" w:lineRule="auto"/>
    </w:pPr>
  </w:style>
  <w:style w:type="character" w:customStyle="1" w:styleId="FooterChar">
    <w:name w:val="Footer Char"/>
    <w:basedOn w:val="DefaultParagraphFont"/>
    <w:link w:val="Footer"/>
    <w:uiPriority w:val="99"/>
    <w:rsid w:val="00910253"/>
  </w:style>
  <w:style w:type="character" w:customStyle="1" w:styleId="Heading1Char">
    <w:name w:val="Heading 1 Char"/>
    <w:basedOn w:val="DefaultParagraphFont"/>
    <w:link w:val="Heading1"/>
    <w:uiPriority w:val="9"/>
    <w:rsid w:val="00F53BDA"/>
    <w:rPr>
      <w:rFonts w:ascii="Times New Roman" w:eastAsiaTheme="majorEastAsia" w:hAnsi="Times New Roman" w:cstheme="majorBidi"/>
      <w:b/>
      <w:sz w:val="24"/>
      <w:szCs w:val="32"/>
    </w:rPr>
  </w:style>
  <w:style w:type="paragraph" w:styleId="NormalWeb">
    <w:name w:val="Normal (Web)"/>
    <w:basedOn w:val="Normal"/>
    <w:uiPriority w:val="99"/>
    <w:unhideWhenUsed/>
    <w:rsid w:val="00F53BDA"/>
    <w:pPr>
      <w:spacing w:before="100" w:beforeAutospacing="1" w:after="100" w:afterAutospacing="1" w:line="240" w:lineRule="auto"/>
    </w:pPr>
    <w:rPr>
      <w:rFonts w:eastAsia="Times New Roman" w:cs="Times New Roman"/>
      <w:szCs w:val="24"/>
    </w:rPr>
  </w:style>
  <w:style w:type="paragraph" w:styleId="FootnoteText">
    <w:name w:val="footnote text"/>
    <w:basedOn w:val="Normal"/>
    <w:link w:val="FootnoteTextChar"/>
    <w:uiPriority w:val="99"/>
    <w:unhideWhenUsed/>
    <w:rsid w:val="00F53BDA"/>
    <w:pPr>
      <w:spacing w:line="240" w:lineRule="auto"/>
    </w:pPr>
    <w:rPr>
      <w:rFonts w:eastAsia="Calibri" w:cs="Times New Roman"/>
      <w:sz w:val="20"/>
      <w:szCs w:val="20"/>
    </w:rPr>
  </w:style>
  <w:style w:type="character" w:customStyle="1" w:styleId="FootnoteTextChar">
    <w:name w:val="Footnote Text Char"/>
    <w:basedOn w:val="DefaultParagraphFont"/>
    <w:link w:val="FootnoteText"/>
    <w:uiPriority w:val="99"/>
    <w:qFormat/>
    <w:rsid w:val="00F53BDA"/>
    <w:rPr>
      <w:rFonts w:ascii="Times New Roman" w:eastAsia="Calibri" w:hAnsi="Times New Roman" w:cs="Times New Roman"/>
      <w:sz w:val="20"/>
      <w:szCs w:val="20"/>
    </w:rPr>
  </w:style>
  <w:style w:type="character" w:customStyle="1" w:styleId="Heading4Char">
    <w:name w:val="Heading 4 Char"/>
    <w:basedOn w:val="DefaultParagraphFont"/>
    <w:link w:val="Heading4"/>
    <w:uiPriority w:val="9"/>
    <w:semiHidden/>
    <w:rsid w:val="00F53BDA"/>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F53BDA"/>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F53BDA"/>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53BDA"/>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53B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3BD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137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75D"/>
    <w:rPr>
      <w:rFonts w:ascii="Segoe UI" w:hAnsi="Segoe UI" w:cs="Segoe UI"/>
      <w:sz w:val="18"/>
      <w:szCs w:val="18"/>
    </w:rPr>
  </w:style>
  <w:style w:type="paragraph" w:styleId="Revision">
    <w:name w:val="Revision"/>
    <w:hidden/>
    <w:uiPriority w:val="99"/>
    <w:semiHidden/>
    <w:rsid w:val="004B2FD8"/>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4A5157"/>
    <w:rPr>
      <w:sz w:val="16"/>
      <w:szCs w:val="16"/>
    </w:rPr>
  </w:style>
  <w:style w:type="paragraph" w:styleId="CommentText">
    <w:name w:val="annotation text"/>
    <w:basedOn w:val="Normal"/>
    <w:link w:val="CommentTextChar"/>
    <w:uiPriority w:val="99"/>
    <w:unhideWhenUsed/>
    <w:rsid w:val="004A5157"/>
    <w:pPr>
      <w:spacing w:line="240" w:lineRule="auto"/>
    </w:pPr>
    <w:rPr>
      <w:sz w:val="20"/>
      <w:szCs w:val="20"/>
    </w:rPr>
  </w:style>
  <w:style w:type="character" w:customStyle="1" w:styleId="CommentTextChar">
    <w:name w:val="Comment Text Char"/>
    <w:basedOn w:val="DefaultParagraphFont"/>
    <w:link w:val="CommentText"/>
    <w:uiPriority w:val="99"/>
    <w:rsid w:val="004A515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A5157"/>
    <w:rPr>
      <w:b/>
      <w:bCs/>
    </w:rPr>
  </w:style>
  <w:style w:type="character" w:customStyle="1" w:styleId="CommentSubjectChar">
    <w:name w:val="Comment Subject Char"/>
    <w:basedOn w:val="CommentTextChar"/>
    <w:link w:val="CommentSubject"/>
    <w:uiPriority w:val="99"/>
    <w:semiHidden/>
    <w:rsid w:val="004A5157"/>
    <w:rPr>
      <w:rFonts w:ascii="Times New Roman" w:hAnsi="Times New Roman"/>
      <w:b/>
      <w:bCs/>
      <w:sz w:val="20"/>
      <w:szCs w:val="20"/>
    </w:rPr>
  </w:style>
  <w:style w:type="character" w:customStyle="1" w:styleId="arxivid">
    <w:name w:val="arxivid"/>
    <w:basedOn w:val="DefaultParagraphFont"/>
    <w:rsid w:val="006A6A54"/>
  </w:style>
  <w:style w:type="paragraph" w:customStyle="1" w:styleId="Default">
    <w:name w:val="Default"/>
    <w:link w:val="DefaultChar"/>
    <w:rsid w:val="00A8762A"/>
    <w:pPr>
      <w:autoSpaceDE w:val="0"/>
      <w:autoSpaceDN w:val="0"/>
      <w:adjustRightInd w:val="0"/>
      <w:spacing w:after="0" w:line="240" w:lineRule="auto"/>
    </w:pPr>
    <w:rPr>
      <w:rFonts w:ascii="Georgia" w:hAnsi="Georgia" w:cs="Georgia"/>
      <w:color w:val="000000"/>
      <w:sz w:val="24"/>
      <w:szCs w:val="24"/>
    </w:rPr>
  </w:style>
  <w:style w:type="character" w:customStyle="1" w:styleId="A3">
    <w:name w:val="A3"/>
    <w:uiPriority w:val="99"/>
    <w:rsid w:val="00A8762A"/>
    <w:rPr>
      <w:rFonts w:cs="Georgia"/>
      <w:b/>
      <w:bCs/>
      <w:color w:val="404041"/>
      <w:sz w:val="16"/>
      <w:szCs w:val="16"/>
    </w:rPr>
  </w:style>
  <w:style w:type="character" w:customStyle="1" w:styleId="A1">
    <w:name w:val="A1"/>
    <w:uiPriority w:val="99"/>
    <w:rsid w:val="00A8762A"/>
    <w:rPr>
      <w:rFonts w:cs="Tw Cen MT"/>
      <w:color w:val="404041"/>
      <w:sz w:val="14"/>
      <w:szCs w:val="14"/>
    </w:rPr>
  </w:style>
  <w:style w:type="character" w:customStyle="1" w:styleId="A0">
    <w:name w:val="A0"/>
    <w:uiPriority w:val="99"/>
    <w:rsid w:val="00A8762A"/>
    <w:rPr>
      <w:rFonts w:ascii="Arial" w:hAnsi="Arial" w:cs="Arial"/>
      <w:color w:val="221E1F"/>
      <w:sz w:val="12"/>
      <w:szCs w:val="12"/>
    </w:rPr>
  </w:style>
  <w:style w:type="character" w:customStyle="1" w:styleId="Date1">
    <w:name w:val="Date1"/>
    <w:basedOn w:val="DefaultParagraphFont"/>
    <w:rsid w:val="00DE5047"/>
  </w:style>
  <w:style w:type="character" w:customStyle="1" w:styleId="journal">
    <w:name w:val="journal"/>
    <w:basedOn w:val="DefaultParagraphFont"/>
    <w:rsid w:val="00DE5047"/>
  </w:style>
  <w:style w:type="character" w:customStyle="1" w:styleId="volume">
    <w:name w:val="volume"/>
    <w:basedOn w:val="DefaultParagraphFont"/>
    <w:rsid w:val="00DE5047"/>
  </w:style>
  <w:style w:type="character" w:customStyle="1" w:styleId="journalnumber">
    <w:name w:val="journalnumber"/>
    <w:basedOn w:val="DefaultParagraphFont"/>
    <w:rsid w:val="00DE5047"/>
  </w:style>
  <w:style w:type="character" w:customStyle="1" w:styleId="pages">
    <w:name w:val="pages"/>
    <w:basedOn w:val="DefaultParagraphFont"/>
    <w:rsid w:val="00DE5047"/>
  </w:style>
  <w:style w:type="character" w:styleId="EndnoteReference">
    <w:name w:val="endnote reference"/>
    <w:basedOn w:val="DefaultParagraphFont"/>
    <w:uiPriority w:val="99"/>
    <w:semiHidden/>
    <w:unhideWhenUsed/>
    <w:rsid w:val="00CD789A"/>
    <w:rPr>
      <w:vertAlign w:val="superscript"/>
    </w:rPr>
  </w:style>
  <w:style w:type="character" w:styleId="Strong">
    <w:name w:val="Strong"/>
    <w:basedOn w:val="DefaultParagraphFont"/>
    <w:uiPriority w:val="22"/>
    <w:qFormat/>
    <w:rsid w:val="00E926FA"/>
    <w:rPr>
      <w:b/>
      <w:bCs/>
    </w:rPr>
  </w:style>
  <w:style w:type="character" w:styleId="Emphasis">
    <w:name w:val="Emphasis"/>
    <w:basedOn w:val="DefaultParagraphFont"/>
    <w:uiPriority w:val="20"/>
    <w:qFormat/>
    <w:rsid w:val="00415083"/>
    <w:rPr>
      <w:i/>
      <w:iCs/>
    </w:rPr>
  </w:style>
  <w:style w:type="character" w:customStyle="1" w:styleId="katex-mathml">
    <w:name w:val="katex-mathml"/>
    <w:basedOn w:val="DefaultParagraphFont"/>
    <w:rsid w:val="009A62D0"/>
  </w:style>
  <w:style w:type="character" w:customStyle="1" w:styleId="mopen">
    <w:name w:val="mopen"/>
    <w:basedOn w:val="DefaultParagraphFont"/>
    <w:rsid w:val="009A62D0"/>
  </w:style>
  <w:style w:type="character" w:customStyle="1" w:styleId="mord">
    <w:name w:val="mord"/>
    <w:basedOn w:val="DefaultParagraphFont"/>
    <w:rsid w:val="009A62D0"/>
  </w:style>
  <w:style w:type="character" w:customStyle="1" w:styleId="mpunct">
    <w:name w:val="mpunct"/>
    <w:basedOn w:val="DefaultParagraphFont"/>
    <w:rsid w:val="009A62D0"/>
  </w:style>
  <w:style w:type="character" w:customStyle="1" w:styleId="mclose">
    <w:name w:val="mclose"/>
    <w:basedOn w:val="DefaultParagraphFont"/>
    <w:rsid w:val="009A62D0"/>
  </w:style>
  <w:style w:type="character" w:customStyle="1" w:styleId="mrel">
    <w:name w:val="mrel"/>
    <w:basedOn w:val="DefaultParagraphFont"/>
    <w:rsid w:val="009A62D0"/>
  </w:style>
  <w:style w:type="character" w:customStyle="1" w:styleId="vlist-s">
    <w:name w:val="vlist-s"/>
    <w:basedOn w:val="DefaultParagraphFont"/>
    <w:rsid w:val="003479BD"/>
  </w:style>
  <w:style w:type="character" w:customStyle="1" w:styleId="mbin">
    <w:name w:val="mbin"/>
    <w:basedOn w:val="DefaultParagraphFont"/>
    <w:rsid w:val="003479BD"/>
  </w:style>
  <w:style w:type="character" w:customStyle="1" w:styleId="minner">
    <w:name w:val="minner"/>
    <w:basedOn w:val="DefaultParagraphFont"/>
    <w:rsid w:val="000F7DE0"/>
  </w:style>
  <w:style w:type="character" w:customStyle="1" w:styleId="mop">
    <w:name w:val="mop"/>
    <w:basedOn w:val="DefaultParagraphFont"/>
    <w:rsid w:val="000F7DE0"/>
  </w:style>
  <w:style w:type="character" w:customStyle="1" w:styleId="DefaultChar">
    <w:name w:val="Default Char"/>
    <w:basedOn w:val="DefaultParagraphFont"/>
    <w:link w:val="Default"/>
    <w:locked/>
    <w:rsid w:val="005F57A7"/>
    <w:rPr>
      <w:rFonts w:ascii="Georgia" w:hAnsi="Georgia" w:cs="Georgia"/>
      <w:color w:val="000000"/>
      <w:sz w:val="24"/>
      <w:szCs w:val="24"/>
    </w:rPr>
  </w:style>
  <w:style w:type="paragraph" w:customStyle="1" w:styleId="CM3">
    <w:name w:val="CM3"/>
    <w:basedOn w:val="Default"/>
    <w:next w:val="Default"/>
    <w:rsid w:val="005F57A7"/>
    <w:pPr>
      <w:widowControl w:val="0"/>
      <w:spacing w:line="568" w:lineRule="atLeast"/>
    </w:pPr>
    <w:rPr>
      <w:rFonts w:ascii="Times New Roman" w:eastAsia="Times New Roman" w:hAnsi="Times New Roman" w:cs="Times New Roman"/>
      <w:color w:val="auto"/>
    </w:rPr>
  </w:style>
  <w:style w:type="paragraph" w:styleId="EndnoteText">
    <w:name w:val="endnote text"/>
    <w:basedOn w:val="Normal"/>
    <w:link w:val="EndnoteTextChar"/>
    <w:uiPriority w:val="99"/>
    <w:semiHidden/>
    <w:unhideWhenUsed/>
    <w:rsid w:val="00F25229"/>
    <w:pPr>
      <w:spacing w:line="240" w:lineRule="auto"/>
    </w:pPr>
    <w:rPr>
      <w:sz w:val="20"/>
      <w:szCs w:val="20"/>
    </w:rPr>
  </w:style>
  <w:style w:type="character" w:customStyle="1" w:styleId="EndnoteTextChar">
    <w:name w:val="Endnote Text Char"/>
    <w:basedOn w:val="DefaultParagraphFont"/>
    <w:link w:val="EndnoteText"/>
    <w:uiPriority w:val="99"/>
    <w:semiHidden/>
    <w:rsid w:val="00F25229"/>
    <w:rPr>
      <w:rFonts w:ascii="Times New Roman" w:hAnsi="Times New Roman"/>
      <w:sz w:val="20"/>
      <w:szCs w:val="20"/>
    </w:rPr>
  </w:style>
  <w:style w:type="character" w:customStyle="1" w:styleId="MTEquationSection">
    <w:name w:val="MTEquationSection"/>
    <w:basedOn w:val="DefaultParagraphFont"/>
    <w:rsid w:val="006D0E6E"/>
    <w:rPr>
      <w:rFonts w:cs="Times New Roman"/>
      <w:b/>
      <w:vanish/>
      <w:color w:val="FF0000"/>
    </w:rPr>
  </w:style>
  <w:style w:type="paragraph" w:customStyle="1" w:styleId="MTDisplayEquation">
    <w:name w:val="MTDisplayEquation"/>
    <w:basedOn w:val="Normal"/>
    <w:next w:val="Normal"/>
    <w:link w:val="MTDisplayEquationChar"/>
    <w:rsid w:val="006D0E6E"/>
    <w:pPr>
      <w:tabs>
        <w:tab w:val="center" w:pos="4680"/>
        <w:tab w:val="right" w:pos="9360"/>
      </w:tabs>
      <w:spacing w:line="276" w:lineRule="auto"/>
    </w:pPr>
    <w:rPr>
      <w:rFonts w:cs="Times New Roman"/>
      <w:szCs w:val="24"/>
    </w:rPr>
  </w:style>
  <w:style w:type="character" w:customStyle="1" w:styleId="MTDisplayEquationChar">
    <w:name w:val="MTDisplayEquation Char"/>
    <w:basedOn w:val="DefaultParagraphFont"/>
    <w:link w:val="MTDisplayEquation"/>
    <w:rsid w:val="006D0E6E"/>
    <w:rPr>
      <w:rFonts w:ascii="Times New Roman" w:hAnsi="Times New Roman" w:cs="Times New Roman"/>
      <w:sz w:val="24"/>
      <w:szCs w:val="24"/>
    </w:rPr>
  </w:style>
  <w:style w:type="character" w:styleId="HTMLCode">
    <w:name w:val="HTML Code"/>
    <w:basedOn w:val="DefaultParagraphFont"/>
    <w:uiPriority w:val="99"/>
    <w:semiHidden/>
    <w:unhideWhenUsed/>
    <w:rsid w:val="00A5077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4039">
      <w:bodyDiv w:val="1"/>
      <w:marLeft w:val="0"/>
      <w:marRight w:val="0"/>
      <w:marTop w:val="0"/>
      <w:marBottom w:val="0"/>
      <w:divBdr>
        <w:top w:val="none" w:sz="0" w:space="0" w:color="auto"/>
        <w:left w:val="none" w:sz="0" w:space="0" w:color="auto"/>
        <w:bottom w:val="none" w:sz="0" w:space="0" w:color="auto"/>
        <w:right w:val="none" w:sz="0" w:space="0" w:color="auto"/>
      </w:divBdr>
    </w:div>
    <w:div w:id="28192054">
      <w:bodyDiv w:val="1"/>
      <w:marLeft w:val="0"/>
      <w:marRight w:val="0"/>
      <w:marTop w:val="0"/>
      <w:marBottom w:val="0"/>
      <w:divBdr>
        <w:top w:val="none" w:sz="0" w:space="0" w:color="auto"/>
        <w:left w:val="none" w:sz="0" w:space="0" w:color="auto"/>
        <w:bottom w:val="none" w:sz="0" w:space="0" w:color="auto"/>
        <w:right w:val="none" w:sz="0" w:space="0" w:color="auto"/>
      </w:divBdr>
    </w:div>
    <w:div w:id="66922514">
      <w:bodyDiv w:val="1"/>
      <w:marLeft w:val="0"/>
      <w:marRight w:val="0"/>
      <w:marTop w:val="0"/>
      <w:marBottom w:val="0"/>
      <w:divBdr>
        <w:top w:val="none" w:sz="0" w:space="0" w:color="auto"/>
        <w:left w:val="none" w:sz="0" w:space="0" w:color="auto"/>
        <w:bottom w:val="none" w:sz="0" w:space="0" w:color="auto"/>
        <w:right w:val="none" w:sz="0" w:space="0" w:color="auto"/>
      </w:divBdr>
    </w:div>
    <w:div w:id="133256404">
      <w:bodyDiv w:val="1"/>
      <w:marLeft w:val="0"/>
      <w:marRight w:val="0"/>
      <w:marTop w:val="0"/>
      <w:marBottom w:val="0"/>
      <w:divBdr>
        <w:top w:val="none" w:sz="0" w:space="0" w:color="auto"/>
        <w:left w:val="none" w:sz="0" w:space="0" w:color="auto"/>
        <w:bottom w:val="none" w:sz="0" w:space="0" w:color="auto"/>
        <w:right w:val="none" w:sz="0" w:space="0" w:color="auto"/>
      </w:divBdr>
      <w:divsChild>
        <w:div w:id="2056736447">
          <w:marLeft w:val="0"/>
          <w:marRight w:val="0"/>
          <w:marTop w:val="0"/>
          <w:marBottom w:val="0"/>
          <w:divBdr>
            <w:top w:val="none" w:sz="0" w:space="0" w:color="auto"/>
            <w:left w:val="none" w:sz="0" w:space="0" w:color="auto"/>
            <w:bottom w:val="none" w:sz="0" w:space="0" w:color="auto"/>
            <w:right w:val="none" w:sz="0" w:space="0" w:color="auto"/>
          </w:divBdr>
          <w:divsChild>
            <w:div w:id="438523036">
              <w:marLeft w:val="0"/>
              <w:marRight w:val="0"/>
              <w:marTop w:val="0"/>
              <w:marBottom w:val="0"/>
              <w:divBdr>
                <w:top w:val="none" w:sz="0" w:space="0" w:color="auto"/>
                <w:left w:val="none" w:sz="0" w:space="0" w:color="auto"/>
                <w:bottom w:val="none" w:sz="0" w:space="0" w:color="auto"/>
                <w:right w:val="none" w:sz="0" w:space="0" w:color="auto"/>
              </w:divBdr>
              <w:divsChild>
                <w:div w:id="173157603">
                  <w:marLeft w:val="0"/>
                  <w:marRight w:val="0"/>
                  <w:marTop w:val="0"/>
                  <w:marBottom w:val="0"/>
                  <w:divBdr>
                    <w:top w:val="none" w:sz="0" w:space="0" w:color="auto"/>
                    <w:left w:val="none" w:sz="0" w:space="0" w:color="auto"/>
                    <w:bottom w:val="none" w:sz="0" w:space="0" w:color="auto"/>
                    <w:right w:val="none" w:sz="0" w:space="0" w:color="auto"/>
                  </w:divBdr>
                  <w:divsChild>
                    <w:div w:id="1511140485">
                      <w:marLeft w:val="0"/>
                      <w:marRight w:val="0"/>
                      <w:marTop w:val="0"/>
                      <w:marBottom w:val="0"/>
                      <w:divBdr>
                        <w:top w:val="none" w:sz="0" w:space="0" w:color="auto"/>
                        <w:left w:val="none" w:sz="0" w:space="0" w:color="auto"/>
                        <w:bottom w:val="none" w:sz="0" w:space="0" w:color="auto"/>
                        <w:right w:val="none" w:sz="0" w:space="0" w:color="auto"/>
                      </w:divBdr>
                      <w:divsChild>
                        <w:div w:id="1004279331">
                          <w:marLeft w:val="0"/>
                          <w:marRight w:val="0"/>
                          <w:marTop w:val="0"/>
                          <w:marBottom w:val="0"/>
                          <w:divBdr>
                            <w:top w:val="none" w:sz="0" w:space="0" w:color="auto"/>
                            <w:left w:val="none" w:sz="0" w:space="0" w:color="auto"/>
                            <w:bottom w:val="none" w:sz="0" w:space="0" w:color="auto"/>
                            <w:right w:val="none" w:sz="0" w:space="0" w:color="auto"/>
                          </w:divBdr>
                          <w:divsChild>
                            <w:div w:id="1375541111">
                              <w:marLeft w:val="0"/>
                              <w:marRight w:val="0"/>
                              <w:marTop w:val="0"/>
                              <w:marBottom w:val="0"/>
                              <w:divBdr>
                                <w:top w:val="none" w:sz="0" w:space="0" w:color="auto"/>
                                <w:left w:val="none" w:sz="0" w:space="0" w:color="auto"/>
                                <w:bottom w:val="none" w:sz="0" w:space="0" w:color="auto"/>
                                <w:right w:val="none" w:sz="0" w:space="0" w:color="auto"/>
                              </w:divBdr>
                              <w:divsChild>
                                <w:div w:id="1054698999">
                                  <w:marLeft w:val="0"/>
                                  <w:marRight w:val="0"/>
                                  <w:marTop w:val="0"/>
                                  <w:marBottom w:val="0"/>
                                  <w:divBdr>
                                    <w:top w:val="none" w:sz="0" w:space="0" w:color="auto"/>
                                    <w:left w:val="none" w:sz="0" w:space="0" w:color="auto"/>
                                    <w:bottom w:val="none" w:sz="0" w:space="0" w:color="auto"/>
                                    <w:right w:val="none" w:sz="0" w:space="0" w:color="auto"/>
                                  </w:divBdr>
                                  <w:divsChild>
                                    <w:div w:id="9654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127604">
      <w:bodyDiv w:val="1"/>
      <w:marLeft w:val="0"/>
      <w:marRight w:val="0"/>
      <w:marTop w:val="0"/>
      <w:marBottom w:val="0"/>
      <w:divBdr>
        <w:top w:val="none" w:sz="0" w:space="0" w:color="auto"/>
        <w:left w:val="none" w:sz="0" w:space="0" w:color="auto"/>
        <w:bottom w:val="none" w:sz="0" w:space="0" w:color="auto"/>
        <w:right w:val="none" w:sz="0" w:space="0" w:color="auto"/>
      </w:divBdr>
      <w:divsChild>
        <w:div w:id="993724624">
          <w:marLeft w:val="0"/>
          <w:marRight w:val="0"/>
          <w:marTop w:val="0"/>
          <w:marBottom w:val="0"/>
          <w:divBdr>
            <w:top w:val="none" w:sz="0" w:space="0" w:color="auto"/>
            <w:left w:val="none" w:sz="0" w:space="0" w:color="auto"/>
            <w:bottom w:val="none" w:sz="0" w:space="0" w:color="auto"/>
            <w:right w:val="none" w:sz="0" w:space="0" w:color="auto"/>
          </w:divBdr>
        </w:div>
        <w:div w:id="1098133198">
          <w:marLeft w:val="0"/>
          <w:marRight w:val="0"/>
          <w:marTop w:val="0"/>
          <w:marBottom w:val="0"/>
          <w:divBdr>
            <w:top w:val="none" w:sz="0" w:space="0" w:color="auto"/>
            <w:left w:val="none" w:sz="0" w:space="0" w:color="auto"/>
            <w:bottom w:val="none" w:sz="0" w:space="0" w:color="auto"/>
            <w:right w:val="none" w:sz="0" w:space="0" w:color="auto"/>
          </w:divBdr>
        </w:div>
      </w:divsChild>
    </w:div>
    <w:div w:id="436678703">
      <w:bodyDiv w:val="1"/>
      <w:marLeft w:val="0"/>
      <w:marRight w:val="0"/>
      <w:marTop w:val="0"/>
      <w:marBottom w:val="0"/>
      <w:divBdr>
        <w:top w:val="none" w:sz="0" w:space="0" w:color="auto"/>
        <w:left w:val="none" w:sz="0" w:space="0" w:color="auto"/>
        <w:bottom w:val="none" w:sz="0" w:space="0" w:color="auto"/>
        <w:right w:val="none" w:sz="0" w:space="0" w:color="auto"/>
      </w:divBdr>
    </w:div>
    <w:div w:id="441415618">
      <w:bodyDiv w:val="1"/>
      <w:marLeft w:val="0"/>
      <w:marRight w:val="0"/>
      <w:marTop w:val="0"/>
      <w:marBottom w:val="0"/>
      <w:divBdr>
        <w:top w:val="none" w:sz="0" w:space="0" w:color="auto"/>
        <w:left w:val="none" w:sz="0" w:space="0" w:color="auto"/>
        <w:bottom w:val="none" w:sz="0" w:space="0" w:color="auto"/>
        <w:right w:val="none" w:sz="0" w:space="0" w:color="auto"/>
      </w:divBdr>
    </w:div>
    <w:div w:id="451099874">
      <w:bodyDiv w:val="1"/>
      <w:marLeft w:val="0"/>
      <w:marRight w:val="0"/>
      <w:marTop w:val="0"/>
      <w:marBottom w:val="0"/>
      <w:divBdr>
        <w:top w:val="none" w:sz="0" w:space="0" w:color="auto"/>
        <w:left w:val="none" w:sz="0" w:space="0" w:color="auto"/>
        <w:bottom w:val="none" w:sz="0" w:space="0" w:color="auto"/>
        <w:right w:val="none" w:sz="0" w:space="0" w:color="auto"/>
      </w:divBdr>
    </w:div>
    <w:div w:id="479883446">
      <w:bodyDiv w:val="1"/>
      <w:marLeft w:val="0"/>
      <w:marRight w:val="0"/>
      <w:marTop w:val="0"/>
      <w:marBottom w:val="0"/>
      <w:divBdr>
        <w:top w:val="none" w:sz="0" w:space="0" w:color="auto"/>
        <w:left w:val="none" w:sz="0" w:space="0" w:color="auto"/>
        <w:bottom w:val="none" w:sz="0" w:space="0" w:color="auto"/>
        <w:right w:val="none" w:sz="0" w:space="0" w:color="auto"/>
      </w:divBdr>
    </w:div>
    <w:div w:id="627394186">
      <w:bodyDiv w:val="1"/>
      <w:marLeft w:val="0"/>
      <w:marRight w:val="0"/>
      <w:marTop w:val="0"/>
      <w:marBottom w:val="0"/>
      <w:divBdr>
        <w:top w:val="none" w:sz="0" w:space="0" w:color="auto"/>
        <w:left w:val="none" w:sz="0" w:space="0" w:color="auto"/>
        <w:bottom w:val="none" w:sz="0" w:space="0" w:color="auto"/>
        <w:right w:val="none" w:sz="0" w:space="0" w:color="auto"/>
      </w:divBdr>
    </w:div>
    <w:div w:id="666052319">
      <w:bodyDiv w:val="1"/>
      <w:marLeft w:val="0"/>
      <w:marRight w:val="0"/>
      <w:marTop w:val="0"/>
      <w:marBottom w:val="0"/>
      <w:divBdr>
        <w:top w:val="none" w:sz="0" w:space="0" w:color="auto"/>
        <w:left w:val="none" w:sz="0" w:space="0" w:color="auto"/>
        <w:bottom w:val="none" w:sz="0" w:space="0" w:color="auto"/>
        <w:right w:val="none" w:sz="0" w:space="0" w:color="auto"/>
      </w:divBdr>
    </w:div>
    <w:div w:id="742219109">
      <w:bodyDiv w:val="1"/>
      <w:marLeft w:val="0"/>
      <w:marRight w:val="0"/>
      <w:marTop w:val="0"/>
      <w:marBottom w:val="0"/>
      <w:divBdr>
        <w:top w:val="none" w:sz="0" w:space="0" w:color="auto"/>
        <w:left w:val="none" w:sz="0" w:space="0" w:color="auto"/>
        <w:bottom w:val="none" w:sz="0" w:space="0" w:color="auto"/>
        <w:right w:val="none" w:sz="0" w:space="0" w:color="auto"/>
      </w:divBdr>
    </w:div>
    <w:div w:id="775978617">
      <w:bodyDiv w:val="1"/>
      <w:marLeft w:val="0"/>
      <w:marRight w:val="0"/>
      <w:marTop w:val="0"/>
      <w:marBottom w:val="0"/>
      <w:divBdr>
        <w:top w:val="none" w:sz="0" w:space="0" w:color="auto"/>
        <w:left w:val="none" w:sz="0" w:space="0" w:color="auto"/>
        <w:bottom w:val="none" w:sz="0" w:space="0" w:color="auto"/>
        <w:right w:val="none" w:sz="0" w:space="0" w:color="auto"/>
      </w:divBdr>
    </w:div>
    <w:div w:id="789058182">
      <w:bodyDiv w:val="1"/>
      <w:marLeft w:val="0"/>
      <w:marRight w:val="0"/>
      <w:marTop w:val="0"/>
      <w:marBottom w:val="0"/>
      <w:divBdr>
        <w:top w:val="none" w:sz="0" w:space="0" w:color="auto"/>
        <w:left w:val="none" w:sz="0" w:space="0" w:color="auto"/>
        <w:bottom w:val="none" w:sz="0" w:space="0" w:color="auto"/>
        <w:right w:val="none" w:sz="0" w:space="0" w:color="auto"/>
      </w:divBdr>
    </w:div>
    <w:div w:id="812061426">
      <w:bodyDiv w:val="1"/>
      <w:marLeft w:val="0"/>
      <w:marRight w:val="0"/>
      <w:marTop w:val="0"/>
      <w:marBottom w:val="0"/>
      <w:divBdr>
        <w:top w:val="none" w:sz="0" w:space="0" w:color="auto"/>
        <w:left w:val="none" w:sz="0" w:space="0" w:color="auto"/>
        <w:bottom w:val="none" w:sz="0" w:space="0" w:color="auto"/>
        <w:right w:val="none" w:sz="0" w:space="0" w:color="auto"/>
      </w:divBdr>
    </w:div>
    <w:div w:id="841051128">
      <w:bodyDiv w:val="1"/>
      <w:marLeft w:val="0"/>
      <w:marRight w:val="0"/>
      <w:marTop w:val="0"/>
      <w:marBottom w:val="0"/>
      <w:divBdr>
        <w:top w:val="none" w:sz="0" w:space="0" w:color="auto"/>
        <w:left w:val="none" w:sz="0" w:space="0" w:color="auto"/>
        <w:bottom w:val="none" w:sz="0" w:space="0" w:color="auto"/>
        <w:right w:val="none" w:sz="0" w:space="0" w:color="auto"/>
      </w:divBdr>
    </w:div>
    <w:div w:id="871763992">
      <w:bodyDiv w:val="1"/>
      <w:marLeft w:val="0"/>
      <w:marRight w:val="0"/>
      <w:marTop w:val="0"/>
      <w:marBottom w:val="0"/>
      <w:divBdr>
        <w:top w:val="none" w:sz="0" w:space="0" w:color="auto"/>
        <w:left w:val="none" w:sz="0" w:space="0" w:color="auto"/>
        <w:bottom w:val="none" w:sz="0" w:space="0" w:color="auto"/>
        <w:right w:val="none" w:sz="0" w:space="0" w:color="auto"/>
      </w:divBdr>
    </w:div>
    <w:div w:id="962155096">
      <w:bodyDiv w:val="1"/>
      <w:marLeft w:val="0"/>
      <w:marRight w:val="0"/>
      <w:marTop w:val="0"/>
      <w:marBottom w:val="0"/>
      <w:divBdr>
        <w:top w:val="none" w:sz="0" w:space="0" w:color="auto"/>
        <w:left w:val="none" w:sz="0" w:space="0" w:color="auto"/>
        <w:bottom w:val="none" w:sz="0" w:space="0" w:color="auto"/>
        <w:right w:val="none" w:sz="0" w:space="0" w:color="auto"/>
      </w:divBdr>
    </w:div>
    <w:div w:id="974527206">
      <w:bodyDiv w:val="1"/>
      <w:marLeft w:val="0"/>
      <w:marRight w:val="0"/>
      <w:marTop w:val="0"/>
      <w:marBottom w:val="0"/>
      <w:divBdr>
        <w:top w:val="none" w:sz="0" w:space="0" w:color="auto"/>
        <w:left w:val="none" w:sz="0" w:space="0" w:color="auto"/>
        <w:bottom w:val="none" w:sz="0" w:space="0" w:color="auto"/>
        <w:right w:val="none" w:sz="0" w:space="0" w:color="auto"/>
      </w:divBdr>
    </w:div>
    <w:div w:id="1042439050">
      <w:bodyDiv w:val="1"/>
      <w:marLeft w:val="0"/>
      <w:marRight w:val="0"/>
      <w:marTop w:val="0"/>
      <w:marBottom w:val="0"/>
      <w:divBdr>
        <w:top w:val="none" w:sz="0" w:space="0" w:color="auto"/>
        <w:left w:val="none" w:sz="0" w:space="0" w:color="auto"/>
        <w:bottom w:val="none" w:sz="0" w:space="0" w:color="auto"/>
        <w:right w:val="none" w:sz="0" w:space="0" w:color="auto"/>
      </w:divBdr>
    </w:div>
    <w:div w:id="1047027126">
      <w:bodyDiv w:val="1"/>
      <w:marLeft w:val="0"/>
      <w:marRight w:val="0"/>
      <w:marTop w:val="0"/>
      <w:marBottom w:val="0"/>
      <w:divBdr>
        <w:top w:val="none" w:sz="0" w:space="0" w:color="auto"/>
        <w:left w:val="none" w:sz="0" w:space="0" w:color="auto"/>
        <w:bottom w:val="none" w:sz="0" w:space="0" w:color="auto"/>
        <w:right w:val="none" w:sz="0" w:space="0" w:color="auto"/>
      </w:divBdr>
    </w:div>
    <w:div w:id="1343167777">
      <w:bodyDiv w:val="1"/>
      <w:marLeft w:val="0"/>
      <w:marRight w:val="0"/>
      <w:marTop w:val="0"/>
      <w:marBottom w:val="0"/>
      <w:divBdr>
        <w:top w:val="none" w:sz="0" w:space="0" w:color="auto"/>
        <w:left w:val="none" w:sz="0" w:space="0" w:color="auto"/>
        <w:bottom w:val="none" w:sz="0" w:space="0" w:color="auto"/>
        <w:right w:val="none" w:sz="0" w:space="0" w:color="auto"/>
      </w:divBdr>
    </w:div>
    <w:div w:id="1349522584">
      <w:bodyDiv w:val="1"/>
      <w:marLeft w:val="0"/>
      <w:marRight w:val="0"/>
      <w:marTop w:val="0"/>
      <w:marBottom w:val="0"/>
      <w:divBdr>
        <w:top w:val="none" w:sz="0" w:space="0" w:color="auto"/>
        <w:left w:val="none" w:sz="0" w:space="0" w:color="auto"/>
        <w:bottom w:val="none" w:sz="0" w:space="0" w:color="auto"/>
        <w:right w:val="none" w:sz="0" w:space="0" w:color="auto"/>
      </w:divBdr>
    </w:div>
    <w:div w:id="1388337272">
      <w:bodyDiv w:val="1"/>
      <w:marLeft w:val="0"/>
      <w:marRight w:val="0"/>
      <w:marTop w:val="0"/>
      <w:marBottom w:val="0"/>
      <w:divBdr>
        <w:top w:val="none" w:sz="0" w:space="0" w:color="auto"/>
        <w:left w:val="none" w:sz="0" w:space="0" w:color="auto"/>
        <w:bottom w:val="none" w:sz="0" w:space="0" w:color="auto"/>
        <w:right w:val="none" w:sz="0" w:space="0" w:color="auto"/>
      </w:divBdr>
    </w:div>
    <w:div w:id="1404335509">
      <w:bodyDiv w:val="1"/>
      <w:marLeft w:val="0"/>
      <w:marRight w:val="0"/>
      <w:marTop w:val="0"/>
      <w:marBottom w:val="0"/>
      <w:divBdr>
        <w:top w:val="none" w:sz="0" w:space="0" w:color="auto"/>
        <w:left w:val="none" w:sz="0" w:space="0" w:color="auto"/>
        <w:bottom w:val="none" w:sz="0" w:space="0" w:color="auto"/>
        <w:right w:val="none" w:sz="0" w:space="0" w:color="auto"/>
      </w:divBdr>
    </w:div>
    <w:div w:id="1411466771">
      <w:bodyDiv w:val="1"/>
      <w:marLeft w:val="0"/>
      <w:marRight w:val="0"/>
      <w:marTop w:val="0"/>
      <w:marBottom w:val="0"/>
      <w:divBdr>
        <w:top w:val="none" w:sz="0" w:space="0" w:color="auto"/>
        <w:left w:val="none" w:sz="0" w:space="0" w:color="auto"/>
        <w:bottom w:val="none" w:sz="0" w:space="0" w:color="auto"/>
        <w:right w:val="none" w:sz="0" w:space="0" w:color="auto"/>
      </w:divBdr>
    </w:div>
    <w:div w:id="1414819084">
      <w:bodyDiv w:val="1"/>
      <w:marLeft w:val="0"/>
      <w:marRight w:val="0"/>
      <w:marTop w:val="0"/>
      <w:marBottom w:val="0"/>
      <w:divBdr>
        <w:top w:val="none" w:sz="0" w:space="0" w:color="auto"/>
        <w:left w:val="none" w:sz="0" w:space="0" w:color="auto"/>
        <w:bottom w:val="none" w:sz="0" w:space="0" w:color="auto"/>
        <w:right w:val="none" w:sz="0" w:space="0" w:color="auto"/>
      </w:divBdr>
    </w:div>
    <w:div w:id="1440443241">
      <w:bodyDiv w:val="1"/>
      <w:marLeft w:val="0"/>
      <w:marRight w:val="0"/>
      <w:marTop w:val="0"/>
      <w:marBottom w:val="0"/>
      <w:divBdr>
        <w:top w:val="none" w:sz="0" w:space="0" w:color="auto"/>
        <w:left w:val="none" w:sz="0" w:space="0" w:color="auto"/>
        <w:bottom w:val="none" w:sz="0" w:space="0" w:color="auto"/>
        <w:right w:val="none" w:sz="0" w:space="0" w:color="auto"/>
      </w:divBdr>
    </w:div>
    <w:div w:id="1658147014">
      <w:bodyDiv w:val="1"/>
      <w:marLeft w:val="0"/>
      <w:marRight w:val="0"/>
      <w:marTop w:val="0"/>
      <w:marBottom w:val="0"/>
      <w:divBdr>
        <w:top w:val="none" w:sz="0" w:space="0" w:color="auto"/>
        <w:left w:val="none" w:sz="0" w:space="0" w:color="auto"/>
        <w:bottom w:val="none" w:sz="0" w:space="0" w:color="auto"/>
        <w:right w:val="none" w:sz="0" w:space="0" w:color="auto"/>
      </w:divBdr>
    </w:div>
    <w:div w:id="1692225282">
      <w:bodyDiv w:val="1"/>
      <w:marLeft w:val="0"/>
      <w:marRight w:val="0"/>
      <w:marTop w:val="0"/>
      <w:marBottom w:val="0"/>
      <w:divBdr>
        <w:top w:val="none" w:sz="0" w:space="0" w:color="auto"/>
        <w:left w:val="none" w:sz="0" w:space="0" w:color="auto"/>
        <w:bottom w:val="none" w:sz="0" w:space="0" w:color="auto"/>
        <w:right w:val="none" w:sz="0" w:space="0" w:color="auto"/>
      </w:divBdr>
    </w:div>
    <w:div w:id="1764838082">
      <w:bodyDiv w:val="1"/>
      <w:marLeft w:val="0"/>
      <w:marRight w:val="0"/>
      <w:marTop w:val="0"/>
      <w:marBottom w:val="0"/>
      <w:divBdr>
        <w:top w:val="none" w:sz="0" w:space="0" w:color="auto"/>
        <w:left w:val="none" w:sz="0" w:space="0" w:color="auto"/>
        <w:bottom w:val="none" w:sz="0" w:space="0" w:color="auto"/>
        <w:right w:val="none" w:sz="0" w:space="0" w:color="auto"/>
      </w:divBdr>
    </w:div>
    <w:div w:id="1869559248">
      <w:bodyDiv w:val="1"/>
      <w:marLeft w:val="0"/>
      <w:marRight w:val="0"/>
      <w:marTop w:val="0"/>
      <w:marBottom w:val="0"/>
      <w:divBdr>
        <w:top w:val="none" w:sz="0" w:space="0" w:color="auto"/>
        <w:left w:val="none" w:sz="0" w:space="0" w:color="auto"/>
        <w:bottom w:val="none" w:sz="0" w:space="0" w:color="auto"/>
        <w:right w:val="none" w:sz="0" w:space="0" w:color="auto"/>
      </w:divBdr>
    </w:div>
    <w:div w:id="1872298798">
      <w:bodyDiv w:val="1"/>
      <w:marLeft w:val="0"/>
      <w:marRight w:val="0"/>
      <w:marTop w:val="0"/>
      <w:marBottom w:val="0"/>
      <w:divBdr>
        <w:top w:val="none" w:sz="0" w:space="0" w:color="auto"/>
        <w:left w:val="none" w:sz="0" w:space="0" w:color="auto"/>
        <w:bottom w:val="none" w:sz="0" w:space="0" w:color="auto"/>
        <w:right w:val="none" w:sz="0" w:space="0" w:color="auto"/>
      </w:divBdr>
      <w:divsChild>
        <w:div w:id="440537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250154">
              <w:marLeft w:val="0"/>
              <w:marRight w:val="0"/>
              <w:marTop w:val="0"/>
              <w:marBottom w:val="0"/>
              <w:divBdr>
                <w:top w:val="none" w:sz="0" w:space="0" w:color="auto"/>
                <w:left w:val="none" w:sz="0" w:space="0" w:color="auto"/>
                <w:bottom w:val="none" w:sz="0" w:space="0" w:color="auto"/>
                <w:right w:val="none" w:sz="0" w:space="0" w:color="auto"/>
              </w:divBdr>
              <w:divsChild>
                <w:div w:id="11902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3067">
      <w:bodyDiv w:val="1"/>
      <w:marLeft w:val="0"/>
      <w:marRight w:val="0"/>
      <w:marTop w:val="0"/>
      <w:marBottom w:val="0"/>
      <w:divBdr>
        <w:top w:val="none" w:sz="0" w:space="0" w:color="auto"/>
        <w:left w:val="none" w:sz="0" w:space="0" w:color="auto"/>
        <w:bottom w:val="none" w:sz="0" w:space="0" w:color="auto"/>
        <w:right w:val="none" w:sz="0" w:space="0" w:color="auto"/>
      </w:divBdr>
    </w:div>
    <w:div w:id="1957447702">
      <w:bodyDiv w:val="1"/>
      <w:marLeft w:val="0"/>
      <w:marRight w:val="0"/>
      <w:marTop w:val="0"/>
      <w:marBottom w:val="0"/>
      <w:divBdr>
        <w:top w:val="none" w:sz="0" w:space="0" w:color="auto"/>
        <w:left w:val="none" w:sz="0" w:space="0" w:color="auto"/>
        <w:bottom w:val="none" w:sz="0" w:space="0" w:color="auto"/>
        <w:right w:val="none" w:sz="0" w:space="0" w:color="auto"/>
      </w:divBdr>
    </w:div>
    <w:div w:id="1978102645">
      <w:bodyDiv w:val="1"/>
      <w:marLeft w:val="0"/>
      <w:marRight w:val="0"/>
      <w:marTop w:val="0"/>
      <w:marBottom w:val="0"/>
      <w:divBdr>
        <w:top w:val="none" w:sz="0" w:space="0" w:color="auto"/>
        <w:left w:val="none" w:sz="0" w:space="0" w:color="auto"/>
        <w:bottom w:val="none" w:sz="0" w:space="0" w:color="auto"/>
        <w:right w:val="none" w:sz="0" w:space="0" w:color="auto"/>
      </w:divBdr>
    </w:div>
    <w:div w:id="2045667133">
      <w:bodyDiv w:val="1"/>
      <w:marLeft w:val="0"/>
      <w:marRight w:val="0"/>
      <w:marTop w:val="0"/>
      <w:marBottom w:val="0"/>
      <w:divBdr>
        <w:top w:val="none" w:sz="0" w:space="0" w:color="auto"/>
        <w:left w:val="none" w:sz="0" w:space="0" w:color="auto"/>
        <w:bottom w:val="none" w:sz="0" w:space="0" w:color="auto"/>
        <w:right w:val="none" w:sz="0" w:space="0" w:color="auto"/>
      </w:divBdr>
    </w:div>
    <w:div w:id="2130080180">
      <w:bodyDiv w:val="1"/>
      <w:marLeft w:val="0"/>
      <w:marRight w:val="0"/>
      <w:marTop w:val="0"/>
      <w:marBottom w:val="0"/>
      <w:divBdr>
        <w:top w:val="none" w:sz="0" w:space="0" w:color="auto"/>
        <w:left w:val="none" w:sz="0" w:space="0" w:color="auto"/>
        <w:bottom w:val="none" w:sz="0" w:space="0" w:color="auto"/>
        <w:right w:val="none" w:sz="0" w:space="0" w:color="auto"/>
      </w:divBdr>
    </w:div>
    <w:div w:id="214237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image" Target="media/image133.wmf"/><Relationship Id="rId21" Type="http://schemas.openxmlformats.org/officeDocument/2006/relationships/oleObject" Target="embeddings/oleObject6.bin"/><Relationship Id="rId63" Type="http://schemas.openxmlformats.org/officeDocument/2006/relationships/oleObject" Target="embeddings/oleObject33.bin"/><Relationship Id="rId159" Type="http://schemas.openxmlformats.org/officeDocument/2006/relationships/image" Target="media/image66.wmf"/><Relationship Id="rId324" Type="http://schemas.openxmlformats.org/officeDocument/2006/relationships/oleObject" Target="embeddings/oleObject173.bin"/><Relationship Id="rId366" Type="http://schemas.openxmlformats.org/officeDocument/2006/relationships/oleObject" Target="embeddings/oleObject195.bin"/><Relationship Id="rId170" Type="http://schemas.openxmlformats.org/officeDocument/2006/relationships/image" Target="media/image71.wmf"/><Relationship Id="rId226" Type="http://schemas.openxmlformats.org/officeDocument/2006/relationships/oleObject" Target="embeddings/oleObject118.bin"/><Relationship Id="rId433" Type="http://schemas.openxmlformats.org/officeDocument/2006/relationships/oleObject" Target="embeddings/oleObject232.bin"/><Relationship Id="rId268" Type="http://schemas.openxmlformats.org/officeDocument/2006/relationships/oleObject" Target="embeddings/oleObject141.bin"/><Relationship Id="rId32" Type="http://schemas.openxmlformats.org/officeDocument/2006/relationships/image" Target="media/image9.wmf"/><Relationship Id="rId74" Type="http://schemas.openxmlformats.org/officeDocument/2006/relationships/oleObject" Target="embeddings/oleObject39.bin"/><Relationship Id="rId128" Type="http://schemas.openxmlformats.org/officeDocument/2006/relationships/image" Target="media/image51.wmf"/><Relationship Id="rId335" Type="http://schemas.openxmlformats.org/officeDocument/2006/relationships/image" Target="media/image149.wmf"/><Relationship Id="rId377" Type="http://schemas.openxmlformats.org/officeDocument/2006/relationships/image" Target="media/image169.wmf"/><Relationship Id="rId5" Type="http://schemas.openxmlformats.org/officeDocument/2006/relationships/webSettings" Target="webSettings.xml"/><Relationship Id="rId181" Type="http://schemas.openxmlformats.org/officeDocument/2006/relationships/oleObject" Target="embeddings/oleObject95.bin"/><Relationship Id="rId237" Type="http://schemas.openxmlformats.org/officeDocument/2006/relationships/image" Target="media/image104.wmf"/><Relationship Id="rId402" Type="http://schemas.openxmlformats.org/officeDocument/2006/relationships/oleObject" Target="embeddings/oleObject213.bin"/><Relationship Id="rId279" Type="http://schemas.openxmlformats.org/officeDocument/2006/relationships/image" Target="media/image124.wmf"/><Relationship Id="rId444" Type="http://schemas.openxmlformats.org/officeDocument/2006/relationships/image" Target="media/image197.png"/><Relationship Id="rId43" Type="http://schemas.openxmlformats.org/officeDocument/2006/relationships/oleObject" Target="embeddings/oleObject19.bin"/><Relationship Id="rId139" Type="http://schemas.openxmlformats.org/officeDocument/2006/relationships/oleObject" Target="embeddings/oleObject73.bin"/><Relationship Id="rId290" Type="http://schemas.openxmlformats.org/officeDocument/2006/relationships/oleObject" Target="embeddings/oleObject153.bin"/><Relationship Id="rId304" Type="http://schemas.openxmlformats.org/officeDocument/2006/relationships/oleObject" Target="embeddings/oleObject162.bin"/><Relationship Id="rId346" Type="http://schemas.openxmlformats.org/officeDocument/2006/relationships/oleObject" Target="embeddings/oleObject184.bin"/><Relationship Id="rId388" Type="http://schemas.openxmlformats.org/officeDocument/2006/relationships/image" Target="media/image174.wmf"/><Relationship Id="rId85" Type="http://schemas.openxmlformats.org/officeDocument/2006/relationships/image" Target="media/image31.wmf"/><Relationship Id="rId150" Type="http://schemas.openxmlformats.org/officeDocument/2006/relationships/oleObject" Target="embeddings/oleObject79.bin"/><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image" Target="media/image186.wmf"/><Relationship Id="rId248" Type="http://schemas.openxmlformats.org/officeDocument/2006/relationships/oleObject" Target="embeddings/oleObject130.bin"/><Relationship Id="rId12" Type="http://schemas.openxmlformats.org/officeDocument/2006/relationships/oleObject" Target="embeddings/oleObject1.bin"/><Relationship Id="rId108" Type="http://schemas.openxmlformats.org/officeDocument/2006/relationships/oleObject" Target="embeddings/oleObject56.bin"/><Relationship Id="rId315" Type="http://schemas.openxmlformats.org/officeDocument/2006/relationships/image" Target="media/image140.wmf"/><Relationship Id="rId357" Type="http://schemas.openxmlformats.org/officeDocument/2006/relationships/image" Target="media/image160.wmf"/><Relationship Id="rId54" Type="http://schemas.openxmlformats.org/officeDocument/2006/relationships/image" Target="media/image17.wmf"/><Relationship Id="rId96" Type="http://schemas.openxmlformats.org/officeDocument/2006/relationships/oleObject" Target="embeddings/oleObject50.bin"/><Relationship Id="rId161" Type="http://schemas.openxmlformats.org/officeDocument/2006/relationships/image" Target="media/image67.wmf"/><Relationship Id="rId217" Type="http://schemas.openxmlformats.org/officeDocument/2006/relationships/image" Target="media/image94.wmf"/><Relationship Id="rId399" Type="http://schemas.openxmlformats.org/officeDocument/2006/relationships/oleObject" Target="embeddings/oleObject212.bin"/><Relationship Id="rId259" Type="http://schemas.openxmlformats.org/officeDocument/2006/relationships/image" Target="media/image114.wmf"/><Relationship Id="rId424" Type="http://schemas.openxmlformats.org/officeDocument/2006/relationships/oleObject" Target="embeddings/oleObject225.bin"/><Relationship Id="rId23" Type="http://schemas.openxmlformats.org/officeDocument/2006/relationships/oleObject" Target="embeddings/oleObject7.bin"/><Relationship Id="rId119" Type="http://schemas.openxmlformats.org/officeDocument/2006/relationships/oleObject" Target="embeddings/oleObject63.bin"/><Relationship Id="rId270" Type="http://schemas.openxmlformats.org/officeDocument/2006/relationships/oleObject" Target="embeddings/oleObject142.bin"/><Relationship Id="rId326" Type="http://schemas.openxmlformats.org/officeDocument/2006/relationships/oleObject" Target="embeddings/oleObject174.bin"/><Relationship Id="rId65" Type="http://schemas.openxmlformats.org/officeDocument/2006/relationships/image" Target="media/image21.wmf"/><Relationship Id="rId130" Type="http://schemas.openxmlformats.org/officeDocument/2006/relationships/image" Target="media/image52.wmf"/><Relationship Id="rId368" Type="http://schemas.openxmlformats.org/officeDocument/2006/relationships/oleObject" Target="embeddings/oleObject196.bin"/><Relationship Id="rId172" Type="http://schemas.openxmlformats.org/officeDocument/2006/relationships/image" Target="media/image72.wmf"/><Relationship Id="rId228" Type="http://schemas.openxmlformats.org/officeDocument/2006/relationships/oleObject" Target="embeddings/oleObject119.bin"/><Relationship Id="rId435" Type="http://schemas.openxmlformats.org/officeDocument/2006/relationships/oleObject" Target="embeddings/oleObject234.bin"/><Relationship Id="rId281" Type="http://schemas.openxmlformats.org/officeDocument/2006/relationships/image" Target="media/image125.wmf"/><Relationship Id="rId337" Type="http://schemas.openxmlformats.org/officeDocument/2006/relationships/image" Target="media/image150.wmf"/><Relationship Id="rId34" Type="http://schemas.openxmlformats.org/officeDocument/2006/relationships/image" Target="media/image10.wmf"/><Relationship Id="rId76" Type="http://schemas.openxmlformats.org/officeDocument/2006/relationships/oleObject" Target="embeddings/oleObject40.bin"/><Relationship Id="rId141" Type="http://schemas.openxmlformats.org/officeDocument/2006/relationships/image" Target="media/image57.wmf"/><Relationship Id="rId379" Type="http://schemas.openxmlformats.org/officeDocument/2006/relationships/image" Target="media/image170.wmf"/><Relationship Id="rId7" Type="http://schemas.openxmlformats.org/officeDocument/2006/relationships/endnotes" Target="endnotes.xml"/><Relationship Id="rId183" Type="http://schemas.openxmlformats.org/officeDocument/2006/relationships/image" Target="media/image77.wmf"/><Relationship Id="rId239" Type="http://schemas.openxmlformats.org/officeDocument/2006/relationships/image" Target="media/image105.wmf"/><Relationship Id="rId390" Type="http://schemas.openxmlformats.org/officeDocument/2006/relationships/image" Target="media/image175.wmf"/><Relationship Id="rId404" Type="http://schemas.openxmlformats.org/officeDocument/2006/relationships/oleObject" Target="embeddings/oleObject214.bin"/><Relationship Id="rId446" Type="http://schemas.openxmlformats.org/officeDocument/2006/relationships/image" Target="media/image199.svg"/><Relationship Id="rId250" Type="http://schemas.openxmlformats.org/officeDocument/2006/relationships/oleObject" Target="embeddings/oleObject131.bin"/><Relationship Id="rId292" Type="http://schemas.openxmlformats.org/officeDocument/2006/relationships/oleObject" Target="embeddings/oleObject154.bin"/><Relationship Id="rId306" Type="http://schemas.openxmlformats.org/officeDocument/2006/relationships/oleObject" Target="embeddings/oleObject163.bin"/><Relationship Id="rId45" Type="http://schemas.openxmlformats.org/officeDocument/2006/relationships/oleObject" Target="embeddings/oleObject21.bin"/><Relationship Id="rId87" Type="http://schemas.openxmlformats.org/officeDocument/2006/relationships/image" Target="media/image32.wmf"/><Relationship Id="rId110" Type="http://schemas.openxmlformats.org/officeDocument/2006/relationships/oleObject" Target="embeddings/oleObject58.bin"/><Relationship Id="rId348" Type="http://schemas.openxmlformats.org/officeDocument/2006/relationships/oleObject" Target="embeddings/oleObject185.bin"/><Relationship Id="rId152" Type="http://schemas.openxmlformats.org/officeDocument/2006/relationships/oleObject" Target="embeddings/oleObject80.bin"/><Relationship Id="rId194" Type="http://schemas.openxmlformats.org/officeDocument/2006/relationships/oleObject" Target="embeddings/oleObject102.bin"/><Relationship Id="rId208" Type="http://schemas.openxmlformats.org/officeDocument/2006/relationships/oleObject" Target="embeddings/oleObject109.bin"/><Relationship Id="rId415" Type="http://schemas.openxmlformats.org/officeDocument/2006/relationships/image" Target="media/image187.wmf"/><Relationship Id="rId261" Type="http://schemas.openxmlformats.org/officeDocument/2006/relationships/oleObject" Target="embeddings/oleObject137.bin"/><Relationship Id="rId14" Type="http://schemas.openxmlformats.org/officeDocument/2006/relationships/oleObject" Target="embeddings/oleObject2.bin"/><Relationship Id="rId56" Type="http://schemas.openxmlformats.org/officeDocument/2006/relationships/image" Target="media/image18.wmf"/><Relationship Id="rId317" Type="http://schemas.openxmlformats.org/officeDocument/2006/relationships/image" Target="media/image141.wmf"/><Relationship Id="rId359" Type="http://schemas.openxmlformats.org/officeDocument/2006/relationships/image" Target="media/image161.wmf"/><Relationship Id="rId98" Type="http://schemas.openxmlformats.org/officeDocument/2006/relationships/oleObject" Target="embeddings/oleObject51.bin"/><Relationship Id="rId121" Type="http://schemas.openxmlformats.org/officeDocument/2006/relationships/oleObject" Target="embeddings/oleObject64.bin"/><Relationship Id="rId163" Type="http://schemas.openxmlformats.org/officeDocument/2006/relationships/image" Target="media/image68.wmf"/><Relationship Id="rId219" Type="http://schemas.openxmlformats.org/officeDocument/2006/relationships/image" Target="media/image95.wmf"/><Relationship Id="rId370" Type="http://schemas.openxmlformats.org/officeDocument/2006/relationships/oleObject" Target="embeddings/oleObject197.bin"/><Relationship Id="rId426" Type="http://schemas.openxmlformats.org/officeDocument/2006/relationships/oleObject" Target="embeddings/oleObject227.bin"/><Relationship Id="rId230" Type="http://schemas.openxmlformats.org/officeDocument/2006/relationships/oleObject" Target="embeddings/oleObject120.bin"/><Relationship Id="rId25" Type="http://schemas.openxmlformats.org/officeDocument/2006/relationships/oleObject" Target="embeddings/oleObject9.bin"/><Relationship Id="rId67" Type="http://schemas.openxmlformats.org/officeDocument/2006/relationships/image" Target="media/image22.wmf"/><Relationship Id="rId272" Type="http://schemas.openxmlformats.org/officeDocument/2006/relationships/oleObject" Target="embeddings/oleObject143.bin"/><Relationship Id="rId328" Type="http://schemas.openxmlformats.org/officeDocument/2006/relationships/oleObject" Target="embeddings/oleObject175.bin"/><Relationship Id="rId132" Type="http://schemas.openxmlformats.org/officeDocument/2006/relationships/image" Target="media/image53.wmf"/><Relationship Id="rId174" Type="http://schemas.openxmlformats.org/officeDocument/2006/relationships/image" Target="media/image73.wmf"/><Relationship Id="rId381" Type="http://schemas.openxmlformats.org/officeDocument/2006/relationships/image" Target="media/image171.wmf"/><Relationship Id="rId241" Type="http://schemas.openxmlformats.org/officeDocument/2006/relationships/oleObject" Target="embeddings/oleObject126.bin"/><Relationship Id="rId437" Type="http://schemas.openxmlformats.org/officeDocument/2006/relationships/oleObject" Target="embeddings/oleObject235.bin"/><Relationship Id="rId36" Type="http://schemas.openxmlformats.org/officeDocument/2006/relationships/image" Target="media/image11.wmf"/><Relationship Id="rId283" Type="http://schemas.openxmlformats.org/officeDocument/2006/relationships/image" Target="media/image126.wmf"/><Relationship Id="rId339" Type="http://schemas.openxmlformats.org/officeDocument/2006/relationships/image" Target="media/image151.wmf"/><Relationship Id="rId78" Type="http://schemas.openxmlformats.org/officeDocument/2006/relationships/oleObject" Target="embeddings/oleObject41.bin"/><Relationship Id="rId101" Type="http://schemas.openxmlformats.org/officeDocument/2006/relationships/image" Target="media/image39.wmf"/><Relationship Id="rId143" Type="http://schemas.openxmlformats.org/officeDocument/2006/relationships/image" Target="media/image58.wmf"/><Relationship Id="rId185" Type="http://schemas.openxmlformats.org/officeDocument/2006/relationships/image" Target="media/image78.wmf"/><Relationship Id="rId350" Type="http://schemas.openxmlformats.org/officeDocument/2006/relationships/oleObject" Target="embeddings/oleObject186.bin"/><Relationship Id="rId406" Type="http://schemas.openxmlformats.org/officeDocument/2006/relationships/oleObject" Target="embeddings/oleObject215.bin"/><Relationship Id="rId9" Type="http://schemas.openxmlformats.org/officeDocument/2006/relationships/hyperlink" Target="mailto:dar4836@utexas.edu" TargetMode="External"/><Relationship Id="rId210" Type="http://schemas.openxmlformats.org/officeDocument/2006/relationships/oleObject" Target="embeddings/oleObject110.bin"/><Relationship Id="rId392" Type="http://schemas.openxmlformats.org/officeDocument/2006/relationships/image" Target="media/image176.wmf"/><Relationship Id="rId448" Type="http://schemas.openxmlformats.org/officeDocument/2006/relationships/theme" Target="theme/theme1.xml"/><Relationship Id="rId252" Type="http://schemas.openxmlformats.org/officeDocument/2006/relationships/oleObject" Target="embeddings/oleObject132.bin"/><Relationship Id="rId294" Type="http://schemas.openxmlformats.org/officeDocument/2006/relationships/oleObject" Target="embeddings/oleObject155.bin"/><Relationship Id="rId308" Type="http://schemas.openxmlformats.org/officeDocument/2006/relationships/oleObject" Target="embeddings/oleObject164.bin"/><Relationship Id="rId47" Type="http://schemas.openxmlformats.org/officeDocument/2006/relationships/image" Target="media/image15.wmf"/><Relationship Id="rId89" Type="http://schemas.openxmlformats.org/officeDocument/2006/relationships/image" Target="media/image33.wmf"/><Relationship Id="rId112" Type="http://schemas.openxmlformats.org/officeDocument/2006/relationships/oleObject" Target="embeddings/oleObject59.bin"/><Relationship Id="rId154" Type="http://schemas.openxmlformats.org/officeDocument/2006/relationships/oleObject" Target="embeddings/oleObject81.bin"/><Relationship Id="rId361" Type="http://schemas.openxmlformats.org/officeDocument/2006/relationships/oleObject" Target="embeddings/oleObject192.bin"/><Relationship Id="rId196" Type="http://schemas.openxmlformats.org/officeDocument/2006/relationships/oleObject" Target="embeddings/oleObject103.bin"/><Relationship Id="rId417" Type="http://schemas.openxmlformats.org/officeDocument/2006/relationships/image" Target="media/image188.wmf"/><Relationship Id="rId16" Type="http://schemas.openxmlformats.org/officeDocument/2006/relationships/oleObject" Target="embeddings/oleObject3.bin"/><Relationship Id="rId221" Type="http://schemas.openxmlformats.org/officeDocument/2006/relationships/image" Target="media/image96.wmf"/><Relationship Id="rId263" Type="http://schemas.openxmlformats.org/officeDocument/2006/relationships/oleObject" Target="embeddings/oleObject138.bin"/><Relationship Id="rId319" Type="http://schemas.openxmlformats.org/officeDocument/2006/relationships/image" Target="media/image142.wmf"/><Relationship Id="rId58" Type="http://schemas.openxmlformats.org/officeDocument/2006/relationships/oleObject" Target="embeddings/oleObject30.bin"/><Relationship Id="rId123" Type="http://schemas.openxmlformats.org/officeDocument/2006/relationships/oleObject" Target="embeddings/oleObject65.bin"/><Relationship Id="rId330" Type="http://schemas.openxmlformats.org/officeDocument/2006/relationships/oleObject" Target="embeddings/oleObject176.bin"/><Relationship Id="rId165" Type="http://schemas.openxmlformats.org/officeDocument/2006/relationships/image" Target="media/image69.wmf"/><Relationship Id="rId372" Type="http://schemas.openxmlformats.org/officeDocument/2006/relationships/oleObject" Target="embeddings/oleObject198.bin"/><Relationship Id="rId428" Type="http://schemas.openxmlformats.org/officeDocument/2006/relationships/image" Target="media/image191.wmf"/><Relationship Id="rId232" Type="http://schemas.openxmlformats.org/officeDocument/2006/relationships/oleObject" Target="embeddings/oleObject121.bin"/><Relationship Id="rId274" Type="http://schemas.openxmlformats.org/officeDocument/2006/relationships/oleObject" Target="embeddings/oleObject145.bin"/><Relationship Id="rId27" Type="http://schemas.openxmlformats.org/officeDocument/2006/relationships/image" Target="media/image7.wmf"/><Relationship Id="rId69" Type="http://schemas.openxmlformats.org/officeDocument/2006/relationships/image" Target="media/image23.wmf"/><Relationship Id="rId134" Type="http://schemas.openxmlformats.org/officeDocument/2006/relationships/image" Target="media/image54.wmf"/><Relationship Id="rId80" Type="http://schemas.openxmlformats.org/officeDocument/2006/relationships/oleObject" Target="embeddings/oleObject42.bin"/><Relationship Id="rId176" Type="http://schemas.openxmlformats.org/officeDocument/2006/relationships/image" Target="media/image74.wmf"/><Relationship Id="rId341" Type="http://schemas.openxmlformats.org/officeDocument/2006/relationships/image" Target="media/image152.wmf"/><Relationship Id="rId383" Type="http://schemas.openxmlformats.org/officeDocument/2006/relationships/image" Target="media/image172.wmf"/><Relationship Id="rId439" Type="http://schemas.openxmlformats.org/officeDocument/2006/relationships/oleObject" Target="embeddings/oleObject236.bin"/><Relationship Id="rId201" Type="http://schemas.openxmlformats.org/officeDocument/2006/relationships/image" Target="media/image86.wmf"/><Relationship Id="rId243" Type="http://schemas.openxmlformats.org/officeDocument/2006/relationships/oleObject" Target="embeddings/oleObject127.bin"/><Relationship Id="rId285" Type="http://schemas.openxmlformats.org/officeDocument/2006/relationships/image" Target="media/image127.wmf"/><Relationship Id="rId38" Type="http://schemas.openxmlformats.org/officeDocument/2006/relationships/image" Target="media/image12.wmf"/><Relationship Id="rId103" Type="http://schemas.openxmlformats.org/officeDocument/2006/relationships/image" Target="media/image40.wmf"/><Relationship Id="rId310" Type="http://schemas.openxmlformats.org/officeDocument/2006/relationships/oleObject" Target="embeddings/oleObject165.bin"/><Relationship Id="rId91" Type="http://schemas.openxmlformats.org/officeDocument/2006/relationships/image" Target="media/image34.wmf"/><Relationship Id="rId145" Type="http://schemas.openxmlformats.org/officeDocument/2006/relationships/image" Target="media/image59.wmf"/><Relationship Id="rId187" Type="http://schemas.openxmlformats.org/officeDocument/2006/relationships/image" Target="media/image79.wmf"/><Relationship Id="rId352" Type="http://schemas.openxmlformats.org/officeDocument/2006/relationships/oleObject" Target="embeddings/oleObject187.bin"/><Relationship Id="rId394" Type="http://schemas.openxmlformats.org/officeDocument/2006/relationships/image" Target="media/image177.wmf"/><Relationship Id="rId408" Type="http://schemas.openxmlformats.org/officeDocument/2006/relationships/oleObject" Target="embeddings/oleObject216.bin"/><Relationship Id="rId212" Type="http://schemas.openxmlformats.org/officeDocument/2006/relationships/oleObject" Target="embeddings/oleObject111.bin"/><Relationship Id="rId254" Type="http://schemas.openxmlformats.org/officeDocument/2006/relationships/oleObject" Target="embeddings/oleObject133.bin"/><Relationship Id="rId49" Type="http://schemas.openxmlformats.org/officeDocument/2006/relationships/oleObject" Target="embeddings/oleObject24.bin"/><Relationship Id="rId114" Type="http://schemas.openxmlformats.org/officeDocument/2006/relationships/oleObject" Target="embeddings/oleObject60.bin"/><Relationship Id="rId296" Type="http://schemas.openxmlformats.org/officeDocument/2006/relationships/oleObject" Target="embeddings/oleObject157.bin"/><Relationship Id="rId60" Type="http://schemas.openxmlformats.org/officeDocument/2006/relationships/oleObject" Target="embeddings/oleObject31.bin"/><Relationship Id="rId156" Type="http://schemas.openxmlformats.org/officeDocument/2006/relationships/oleObject" Target="embeddings/oleObject82.bin"/><Relationship Id="rId198" Type="http://schemas.openxmlformats.org/officeDocument/2006/relationships/oleObject" Target="embeddings/oleObject104.bin"/><Relationship Id="rId321" Type="http://schemas.openxmlformats.org/officeDocument/2006/relationships/oleObject" Target="embeddings/oleObject171.bin"/><Relationship Id="rId363" Type="http://schemas.openxmlformats.org/officeDocument/2006/relationships/image" Target="media/image162.wmf"/><Relationship Id="rId419" Type="http://schemas.openxmlformats.org/officeDocument/2006/relationships/image" Target="media/image189.wmf"/><Relationship Id="rId223" Type="http://schemas.openxmlformats.org/officeDocument/2006/relationships/image" Target="media/image97.wmf"/><Relationship Id="rId430" Type="http://schemas.openxmlformats.org/officeDocument/2006/relationships/oleObject" Target="embeddings/oleObject230.bin"/><Relationship Id="rId18" Type="http://schemas.openxmlformats.org/officeDocument/2006/relationships/oleObject" Target="embeddings/oleObject4.bin"/><Relationship Id="rId39" Type="http://schemas.openxmlformats.org/officeDocument/2006/relationships/oleObject" Target="embeddings/oleObject17.bin"/><Relationship Id="rId265" Type="http://schemas.openxmlformats.org/officeDocument/2006/relationships/image" Target="media/image116.wmf"/><Relationship Id="rId286" Type="http://schemas.openxmlformats.org/officeDocument/2006/relationships/oleObject" Target="embeddings/oleObject151.bin"/><Relationship Id="rId50" Type="http://schemas.openxmlformats.org/officeDocument/2006/relationships/image" Target="media/image16.wmf"/><Relationship Id="rId104" Type="http://schemas.openxmlformats.org/officeDocument/2006/relationships/oleObject" Target="embeddings/oleObject54.bin"/><Relationship Id="rId125" Type="http://schemas.openxmlformats.org/officeDocument/2006/relationships/oleObject" Target="embeddings/oleObject66.bin"/><Relationship Id="rId146" Type="http://schemas.openxmlformats.org/officeDocument/2006/relationships/oleObject" Target="embeddings/oleObject77.bin"/><Relationship Id="rId167" Type="http://schemas.openxmlformats.org/officeDocument/2006/relationships/image" Target="media/image70.wmf"/><Relationship Id="rId188" Type="http://schemas.openxmlformats.org/officeDocument/2006/relationships/oleObject" Target="embeddings/oleObject99.bin"/><Relationship Id="rId311" Type="http://schemas.openxmlformats.org/officeDocument/2006/relationships/image" Target="media/image138.wmf"/><Relationship Id="rId332" Type="http://schemas.openxmlformats.org/officeDocument/2006/relationships/oleObject" Target="embeddings/oleObject177.bin"/><Relationship Id="rId353" Type="http://schemas.openxmlformats.org/officeDocument/2006/relationships/image" Target="media/image158.wmf"/><Relationship Id="rId374" Type="http://schemas.openxmlformats.org/officeDocument/2006/relationships/oleObject" Target="embeddings/oleObject199.bin"/><Relationship Id="rId395" Type="http://schemas.openxmlformats.org/officeDocument/2006/relationships/oleObject" Target="embeddings/oleObject210.bin"/><Relationship Id="rId409" Type="http://schemas.openxmlformats.org/officeDocument/2006/relationships/image" Target="media/image184.wmf"/><Relationship Id="rId71" Type="http://schemas.openxmlformats.org/officeDocument/2006/relationships/image" Target="media/image24.wmf"/><Relationship Id="rId92" Type="http://schemas.openxmlformats.org/officeDocument/2006/relationships/oleObject" Target="embeddings/oleObject48.bin"/><Relationship Id="rId213" Type="http://schemas.openxmlformats.org/officeDocument/2006/relationships/image" Target="media/image92.wmf"/><Relationship Id="rId234" Type="http://schemas.openxmlformats.org/officeDocument/2006/relationships/oleObject" Target="embeddings/oleObject122.bin"/><Relationship Id="rId420" Type="http://schemas.openxmlformats.org/officeDocument/2006/relationships/oleObject" Target="embeddings/oleObject222.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12.wmf"/><Relationship Id="rId276" Type="http://schemas.openxmlformats.org/officeDocument/2006/relationships/oleObject" Target="embeddings/oleObject146.bin"/><Relationship Id="rId297" Type="http://schemas.openxmlformats.org/officeDocument/2006/relationships/image" Target="media/image132.wmf"/><Relationship Id="rId441" Type="http://schemas.openxmlformats.org/officeDocument/2006/relationships/oleObject" Target="embeddings/oleObject237.bin"/><Relationship Id="rId40" Type="http://schemas.openxmlformats.org/officeDocument/2006/relationships/image" Target="media/image13.wmf"/><Relationship Id="rId115" Type="http://schemas.openxmlformats.org/officeDocument/2006/relationships/image" Target="media/image45.wmf"/><Relationship Id="rId136" Type="http://schemas.openxmlformats.org/officeDocument/2006/relationships/image" Target="media/image55.wmf"/><Relationship Id="rId157" Type="http://schemas.openxmlformats.org/officeDocument/2006/relationships/image" Target="media/image65.wmf"/><Relationship Id="rId178" Type="http://schemas.openxmlformats.org/officeDocument/2006/relationships/image" Target="media/image75.wmf"/><Relationship Id="rId301" Type="http://schemas.openxmlformats.org/officeDocument/2006/relationships/image" Target="media/image134.wmf"/><Relationship Id="rId322" Type="http://schemas.openxmlformats.org/officeDocument/2006/relationships/oleObject" Target="embeddings/oleObject172.bin"/><Relationship Id="rId343" Type="http://schemas.openxmlformats.org/officeDocument/2006/relationships/image" Target="media/image153.wmf"/><Relationship Id="rId364" Type="http://schemas.openxmlformats.org/officeDocument/2006/relationships/oleObject" Target="embeddings/oleObject194.bin"/><Relationship Id="rId61" Type="http://schemas.openxmlformats.org/officeDocument/2006/relationships/oleObject" Target="embeddings/oleObject32.bin"/><Relationship Id="rId82" Type="http://schemas.openxmlformats.org/officeDocument/2006/relationships/oleObject" Target="embeddings/oleObject43.bin"/><Relationship Id="rId199" Type="http://schemas.openxmlformats.org/officeDocument/2006/relationships/image" Target="media/image85.wmf"/><Relationship Id="rId203" Type="http://schemas.openxmlformats.org/officeDocument/2006/relationships/image" Target="media/image87.wmf"/><Relationship Id="rId385" Type="http://schemas.openxmlformats.org/officeDocument/2006/relationships/oleObject" Target="embeddings/oleObject205.bin"/><Relationship Id="rId19" Type="http://schemas.openxmlformats.org/officeDocument/2006/relationships/image" Target="media/image5.wmf"/><Relationship Id="rId224" Type="http://schemas.openxmlformats.org/officeDocument/2006/relationships/oleObject" Target="embeddings/oleObject117.bin"/><Relationship Id="rId245" Type="http://schemas.openxmlformats.org/officeDocument/2006/relationships/oleObject" Target="embeddings/oleObject128.bin"/><Relationship Id="rId266" Type="http://schemas.openxmlformats.org/officeDocument/2006/relationships/oleObject" Target="embeddings/oleObject140.bin"/><Relationship Id="rId287" Type="http://schemas.openxmlformats.org/officeDocument/2006/relationships/image" Target="media/image128.wmf"/><Relationship Id="rId410" Type="http://schemas.openxmlformats.org/officeDocument/2006/relationships/oleObject" Target="embeddings/oleObject217.bin"/><Relationship Id="rId431" Type="http://schemas.openxmlformats.org/officeDocument/2006/relationships/image" Target="media/image192.wmf"/><Relationship Id="rId30" Type="http://schemas.openxmlformats.org/officeDocument/2006/relationships/oleObject" Target="embeddings/oleObject12.bin"/><Relationship Id="rId105" Type="http://schemas.openxmlformats.org/officeDocument/2006/relationships/image" Target="media/image41.wmf"/><Relationship Id="rId126" Type="http://schemas.openxmlformats.org/officeDocument/2006/relationships/image" Target="media/image50.wmf"/><Relationship Id="rId147" Type="http://schemas.openxmlformats.org/officeDocument/2006/relationships/image" Target="media/image60.wmf"/><Relationship Id="rId168" Type="http://schemas.openxmlformats.org/officeDocument/2006/relationships/oleObject" Target="embeddings/oleObject88.bin"/><Relationship Id="rId312" Type="http://schemas.openxmlformats.org/officeDocument/2006/relationships/oleObject" Target="embeddings/oleObject166.bin"/><Relationship Id="rId333" Type="http://schemas.openxmlformats.org/officeDocument/2006/relationships/image" Target="media/image148.wmf"/><Relationship Id="rId354" Type="http://schemas.openxmlformats.org/officeDocument/2006/relationships/oleObject" Target="embeddings/oleObject188.bin"/><Relationship Id="rId51" Type="http://schemas.openxmlformats.org/officeDocument/2006/relationships/oleObject" Target="embeddings/oleObject25.bin"/><Relationship Id="rId72" Type="http://schemas.openxmlformats.org/officeDocument/2006/relationships/oleObject" Target="embeddings/oleObject38.bin"/><Relationship Id="rId93" Type="http://schemas.openxmlformats.org/officeDocument/2006/relationships/image" Target="media/image35.wmf"/><Relationship Id="rId189" Type="http://schemas.openxmlformats.org/officeDocument/2006/relationships/image" Target="media/image80.wmf"/><Relationship Id="rId375" Type="http://schemas.openxmlformats.org/officeDocument/2006/relationships/image" Target="media/image168.wmf"/><Relationship Id="rId396" Type="http://schemas.openxmlformats.org/officeDocument/2006/relationships/image" Target="media/image178.wmf"/><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image" Target="media/image103.wmf"/><Relationship Id="rId256" Type="http://schemas.openxmlformats.org/officeDocument/2006/relationships/oleObject" Target="embeddings/oleObject134.bin"/><Relationship Id="rId277" Type="http://schemas.openxmlformats.org/officeDocument/2006/relationships/image" Target="media/image123.wmf"/><Relationship Id="rId298" Type="http://schemas.openxmlformats.org/officeDocument/2006/relationships/oleObject" Target="embeddings/oleObject158.bin"/><Relationship Id="rId400" Type="http://schemas.openxmlformats.org/officeDocument/2006/relationships/footer" Target="footer2.xml"/><Relationship Id="rId421" Type="http://schemas.openxmlformats.org/officeDocument/2006/relationships/image" Target="media/image190.wmf"/><Relationship Id="rId442" Type="http://schemas.openxmlformats.org/officeDocument/2006/relationships/image" Target="media/image196.wmf"/><Relationship Id="rId116" Type="http://schemas.openxmlformats.org/officeDocument/2006/relationships/oleObject" Target="embeddings/oleObject61.bin"/><Relationship Id="rId137" Type="http://schemas.openxmlformats.org/officeDocument/2006/relationships/oleObject" Target="embeddings/oleObject72.bin"/><Relationship Id="rId158" Type="http://schemas.openxmlformats.org/officeDocument/2006/relationships/oleObject" Target="embeddings/oleObject83.bin"/><Relationship Id="rId302" Type="http://schemas.openxmlformats.org/officeDocument/2006/relationships/oleObject" Target="embeddings/oleObject160.bin"/><Relationship Id="rId323" Type="http://schemas.openxmlformats.org/officeDocument/2006/relationships/image" Target="media/image143.wmf"/><Relationship Id="rId344" Type="http://schemas.openxmlformats.org/officeDocument/2006/relationships/oleObject" Target="embeddings/oleObject183.bin"/><Relationship Id="rId20" Type="http://schemas.openxmlformats.org/officeDocument/2006/relationships/oleObject" Target="embeddings/oleObject5.bin"/><Relationship Id="rId41" Type="http://schemas.openxmlformats.org/officeDocument/2006/relationships/oleObject" Target="embeddings/oleObject18.bin"/><Relationship Id="rId62" Type="http://schemas.openxmlformats.org/officeDocument/2006/relationships/image" Target="media/image20.wmf"/><Relationship Id="rId83" Type="http://schemas.openxmlformats.org/officeDocument/2006/relationships/image" Target="media/image30.wmf"/><Relationship Id="rId179" Type="http://schemas.openxmlformats.org/officeDocument/2006/relationships/oleObject" Target="embeddings/oleObject94.bin"/><Relationship Id="rId365" Type="http://schemas.openxmlformats.org/officeDocument/2006/relationships/image" Target="media/image163.wmf"/><Relationship Id="rId386" Type="http://schemas.openxmlformats.org/officeDocument/2006/relationships/image" Target="media/image173.wmf"/><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98.wmf"/><Relationship Id="rId246" Type="http://schemas.openxmlformats.org/officeDocument/2006/relationships/image" Target="media/image108.wmf"/><Relationship Id="rId267" Type="http://schemas.openxmlformats.org/officeDocument/2006/relationships/image" Target="media/image117.wmf"/><Relationship Id="rId288" Type="http://schemas.openxmlformats.org/officeDocument/2006/relationships/oleObject" Target="embeddings/oleObject152.bin"/><Relationship Id="rId411" Type="http://schemas.openxmlformats.org/officeDocument/2006/relationships/image" Target="media/image185.wmf"/><Relationship Id="rId432" Type="http://schemas.openxmlformats.org/officeDocument/2006/relationships/oleObject" Target="embeddings/oleObject231.bin"/><Relationship Id="rId106" Type="http://schemas.openxmlformats.org/officeDocument/2006/relationships/oleObject" Target="embeddings/oleObject55.bin"/><Relationship Id="rId127" Type="http://schemas.openxmlformats.org/officeDocument/2006/relationships/oleObject" Target="embeddings/oleObject67.bin"/><Relationship Id="rId313" Type="http://schemas.openxmlformats.org/officeDocument/2006/relationships/image" Target="media/image139.wmf"/><Relationship Id="rId10" Type="http://schemas.openxmlformats.org/officeDocument/2006/relationships/footer" Target="footer1.xml"/><Relationship Id="rId31" Type="http://schemas.openxmlformats.org/officeDocument/2006/relationships/oleObject" Target="embeddings/oleObject13.bin"/><Relationship Id="rId52" Type="http://schemas.openxmlformats.org/officeDocument/2006/relationships/oleObject" Target="embeddings/oleObject26.bin"/><Relationship Id="rId73" Type="http://schemas.openxmlformats.org/officeDocument/2006/relationships/image" Target="media/image25.wmf"/><Relationship Id="rId94" Type="http://schemas.openxmlformats.org/officeDocument/2006/relationships/oleObject" Target="embeddings/oleObject49.bin"/><Relationship Id="rId148" Type="http://schemas.openxmlformats.org/officeDocument/2006/relationships/oleObject" Target="embeddings/oleObject78.bin"/><Relationship Id="rId169" Type="http://schemas.openxmlformats.org/officeDocument/2006/relationships/oleObject" Target="embeddings/oleObject89.bin"/><Relationship Id="rId334" Type="http://schemas.openxmlformats.org/officeDocument/2006/relationships/oleObject" Target="embeddings/oleObject178.bin"/><Relationship Id="rId355" Type="http://schemas.openxmlformats.org/officeDocument/2006/relationships/image" Target="media/image159.wmf"/><Relationship Id="rId376" Type="http://schemas.openxmlformats.org/officeDocument/2006/relationships/oleObject" Target="embeddings/oleObject200.bin"/><Relationship Id="rId397" Type="http://schemas.openxmlformats.org/officeDocument/2006/relationships/oleObject" Target="embeddings/oleObject211.bin"/><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image" Target="media/image93.wmf"/><Relationship Id="rId236" Type="http://schemas.openxmlformats.org/officeDocument/2006/relationships/oleObject" Target="embeddings/oleObject123.bin"/><Relationship Id="rId257" Type="http://schemas.openxmlformats.org/officeDocument/2006/relationships/image" Target="media/image113.wmf"/><Relationship Id="rId278" Type="http://schemas.openxmlformats.org/officeDocument/2006/relationships/oleObject" Target="embeddings/oleObject147.bin"/><Relationship Id="rId401" Type="http://schemas.openxmlformats.org/officeDocument/2006/relationships/image" Target="media/image180.wmf"/><Relationship Id="rId422" Type="http://schemas.openxmlformats.org/officeDocument/2006/relationships/oleObject" Target="embeddings/oleObject223.bin"/><Relationship Id="rId443" Type="http://schemas.openxmlformats.org/officeDocument/2006/relationships/oleObject" Target="embeddings/oleObject238.bin"/><Relationship Id="rId303" Type="http://schemas.openxmlformats.org/officeDocument/2006/relationships/oleObject" Target="embeddings/oleObject161.bin"/><Relationship Id="rId42" Type="http://schemas.openxmlformats.org/officeDocument/2006/relationships/image" Target="media/image14.wmf"/><Relationship Id="rId84" Type="http://schemas.openxmlformats.org/officeDocument/2006/relationships/oleObject" Target="embeddings/oleObject44.bin"/><Relationship Id="rId138" Type="http://schemas.openxmlformats.org/officeDocument/2006/relationships/image" Target="media/image56.wmf"/><Relationship Id="rId345" Type="http://schemas.openxmlformats.org/officeDocument/2006/relationships/image" Target="media/image154.wmf"/><Relationship Id="rId387" Type="http://schemas.openxmlformats.org/officeDocument/2006/relationships/oleObject" Target="embeddings/oleObject206.bin"/><Relationship Id="rId191" Type="http://schemas.openxmlformats.org/officeDocument/2006/relationships/image" Target="media/image81.wmf"/><Relationship Id="rId205" Type="http://schemas.openxmlformats.org/officeDocument/2006/relationships/image" Target="media/image88.wmf"/><Relationship Id="rId247" Type="http://schemas.openxmlformats.org/officeDocument/2006/relationships/oleObject" Target="embeddings/oleObject129.bin"/><Relationship Id="rId412" Type="http://schemas.openxmlformats.org/officeDocument/2006/relationships/oleObject" Target="embeddings/oleObject218.bin"/><Relationship Id="rId107" Type="http://schemas.openxmlformats.org/officeDocument/2006/relationships/image" Target="media/image42.wmf"/><Relationship Id="rId289" Type="http://schemas.openxmlformats.org/officeDocument/2006/relationships/image" Target="media/image129.wmf"/><Relationship Id="rId11" Type="http://schemas.openxmlformats.org/officeDocument/2006/relationships/image" Target="media/image1.wmf"/><Relationship Id="rId53" Type="http://schemas.openxmlformats.org/officeDocument/2006/relationships/oleObject" Target="embeddings/oleObject27.bin"/><Relationship Id="rId149" Type="http://schemas.openxmlformats.org/officeDocument/2006/relationships/image" Target="media/image61.wmf"/><Relationship Id="rId314" Type="http://schemas.openxmlformats.org/officeDocument/2006/relationships/oleObject" Target="embeddings/oleObject167.bin"/><Relationship Id="rId356" Type="http://schemas.openxmlformats.org/officeDocument/2006/relationships/oleObject" Target="embeddings/oleObject189.bin"/><Relationship Id="rId398" Type="http://schemas.openxmlformats.org/officeDocument/2006/relationships/image" Target="media/image179.wmf"/><Relationship Id="rId95" Type="http://schemas.openxmlformats.org/officeDocument/2006/relationships/image" Target="media/image36.wmf"/><Relationship Id="rId160" Type="http://schemas.openxmlformats.org/officeDocument/2006/relationships/oleObject" Target="embeddings/oleObject84.bin"/><Relationship Id="rId216" Type="http://schemas.openxmlformats.org/officeDocument/2006/relationships/oleObject" Target="embeddings/oleObject113.bin"/><Relationship Id="rId423" Type="http://schemas.openxmlformats.org/officeDocument/2006/relationships/oleObject" Target="embeddings/oleObject224.bin"/><Relationship Id="rId258" Type="http://schemas.openxmlformats.org/officeDocument/2006/relationships/oleObject" Target="embeddings/oleObject135.bin"/><Relationship Id="rId22" Type="http://schemas.openxmlformats.org/officeDocument/2006/relationships/image" Target="media/image6.wmf"/><Relationship Id="rId64" Type="http://schemas.openxmlformats.org/officeDocument/2006/relationships/oleObject" Target="embeddings/oleObject34.bin"/><Relationship Id="rId118" Type="http://schemas.openxmlformats.org/officeDocument/2006/relationships/oleObject" Target="embeddings/oleObject62.bin"/><Relationship Id="rId325" Type="http://schemas.openxmlformats.org/officeDocument/2006/relationships/image" Target="media/image144.wmf"/><Relationship Id="rId367" Type="http://schemas.openxmlformats.org/officeDocument/2006/relationships/image" Target="media/image164.wmf"/><Relationship Id="rId171" Type="http://schemas.openxmlformats.org/officeDocument/2006/relationships/oleObject" Target="embeddings/oleObject90.bin"/><Relationship Id="rId227" Type="http://schemas.openxmlformats.org/officeDocument/2006/relationships/image" Target="media/image99.wmf"/><Relationship Id="rId269" Type="http://schemas.openxmlformats.org/officeDocument/2006/relationships/image" Target="media/image118.wmf"/><Relationship Id="rId434" Type="http://schemas.openxmlformats.org/officeDocument/2006/relationships/oleObject" Target="embeddings/oleObject233.bin"/><Relationship Id="rId33" Type="http://schemas.openxmlformats.org/officeDocument/2006/relationships/oleObject" Target="embeddings/oleObject14.bin"/><Relationship Id="rId129" Type="http://schemas.openxmlformats.org/officeDocument/2006/relationships/oleObject" Target="embeddings/oleObject68.bin"/><Relationship Id="rId280" Type="http://schemas.openxmlformats.org/officeDocument/2006/relationships/oleObject" Target="embeddings/oleObject148.bin"/><Relationship Id="rId336" Type="http://schemas.openxmlformats.org/officeDocument/2006/relationships/oleObject" Target="embeddings/oleObject179.bin"/><Relationship Id="rId75" Type="http://schemas.openxmlformats.org/officeDocument/2006/relationships/image" Target="media/image26.wmf"/><Relationship Id="rId140" Type="http://schemas.openxmlformats.org/officeDocument/2006/relationships/oleObject" Target="embeddings/oleObject74.bin"/><Relationship Id="rId182" Type="http://schemas.openxmlformats.org/officeDocument/2006/relationships/oleObject" Target="embeddings/oleObject96.bin"/><Relationship Id="rId378" Type="http://schemas.openxmlformats.org/officeDocument/2006/relationships/oleObject" Target="embeddings/oleObject201.bin"/><Relationship Id="rId403" Type="http://schemas.openxmlformats.org/officeDocument/2006/relationships/image" Target="media/image181.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198.png"/><Relationship Id="rId291" Type="http://schemas.openxmlformats.org/officeDocument/2006/relationships/image" Target="media/image130.wmf"/><Relationship Id="rId305" Type="http://schemas.openxmlformats.org/officeDocument/2006/relationships/image" Target="media/image135.wmf"/><Relationship Id="rId347" Type="http://schemas.openxmlformats.org/officeDocument/2006/relationships/image" Target="media/image155.wmf"/><Relationship Id="rId44" Type="http://schemas.openxmlformats.org/officeDocument/2006/relationships/oleObject" Target="embeddings/oleObject20.bin"/><Relationship Id="rId86" Type="http://schemas.openxmlformats.org/officeDocument/2006/relationships/oleObject" Target="embeddings/oleObject45.bin"/><Relationship Id="rId151" Type="http://schemas.openxmlformats.org/officeDocument/2006/relationships/image" Target="media/image62.wmf"/><Relationship Id="rId389" Type="http://schemas.openxmlformats.org/officeDocument/2006/relationships/oleObject" Target="embeddings/oleObject207.bin"/><Relationship Id="rId193" Type="http://schemas.openxmlformats.org/officeDocument/2006/relationships/image" Target="media/image82.wmf"/><Relationship Id="rId207" Type="http://schemas.openxmlformats.org/officeDocument/2006/relationships/image" Target="media/image89.wmf"/><Relationship Id="rId249" Type="http://schemas.openxmlformats.org/officeDocument/2006/relationships/image" Target="media/image109.wmf"/><Relationship Id="rId414" Type="http://schemas.openxmlformats.org/officeDocument/2006/relationships/oleObject" Target="embeddings/oleObject219.bin"/><Relationship Id="rId13" Type="http://schemas.openxmlformats.org/officeDocument/2006/relationships/image" Target="media/image2.wmf"/><Relationship Id="rId109" Type="http://schemas.openxmlformats.org/officeDocument/2006/relationships/oleObject" Target="embeddings/oleObject57.bin"/><Relationship Id="rId260" Type="http://schemas.openxmlformats.org/officeDocument/2006/relationships/oleObject" Target="embeddings/oleObject136.bin"/><Relationship Id="rId316" Type="http://schemas.openxmlformats.org/officeDocument/2006/relationships/oleObject" Target="embeddings/oleObject168.bin"/><Relationship Id="rId55" Type="http://schemas.openxmlformats.org/officeDocument/2006/relationships/oleObject" Target="embeddings/oleObject28.bin"/><Relationship Id="rId97" Type="http://schemas.openxmlformats.org/officeDocument/2006/relationships/image" Target="media/image37.wmf"/><Relationship Id="rId120" Type="http://schemas.openxmlformats.org/officeDocument/2006/relationships/image" Target="media/image47.wmf"/><Relationship Id="rId358" Type="http://schemas.openxmlformats.org/officeDocument/2006/relationships/oleObject" Target="embeddings/oleObject190.bin"/><Relationship Id="rId162" Type="http://schemas.openxmlformats.org/officeDocument/2006/relationships/oleObject" Target="embeddings/oleObject85.bin"/><Relationship Id="rId218" Type="http://schemas.openxmlformats.org/officeDocument/2006/relationships/oleObject" Target="embeddings/oleObject114.bin"/><Relationship Id="rId425" Type="http://schemas.openxmlformats.org/officeDocument/2006/relationships/oleObject" Target="embeddings/oleObject226.bin"/><Relationship Id="rId271" Type="http://schemas.openxmlformats.org/officeDocument/2006/relationships/image" Target="media/image119.wmf"/><Relationship Id="rId24" Type="http://schemas.openxmlformats.org/officeDocument/2006/relationships/oleObject" Target="embeddings/oleObject8.bin"/><Relationship Id="rId66" Type="http://schemas.openxmlformats.org/officeDocument/2006/relationships/oleObject" Target="embeddings/oleObject35.bin"/><Relationship Id="rId131" Type="http://schemas.openxmlformats.org/officeDocument/2006/relationships/oleObject" Target="embeddings/oleObject69.bin"/><Relationship Id="rId327" Type="http://schemas.openxmlformats.org/officeDocument/2006/relationships/image" Target="media/image145.wmf"/><Relationship Id="rId369" Type="http://schemas.openxmlformats.org/officeDocument/2006/relationships/image" Target="media/image165.wmf"/><Relationship Id="rId173" Type="http://schemas.openxmlformats.org/officeDocument/2006/relationships/oleObject" Target="embeddings/oleObject91.bin"/><Relationship Id="rId229" Type="http://schemas.openxmlformats.org/officeDocument/2006/relationships/image" Target="media/image100.wmf"/><Relationship Id="rId380" Type="http://schemas.openxmlformats.org/officeDocument/2006/relationships/oleObject" Target="embeddings/oleObject202.bin"/><Relationship Id="rId436" Type="http://schemas.openxmlformats.org/officeDocument/2006/relationships/image" Target="media/image193.wmf"/><Relationship Id="rId240" Type="http://schemas.openxmlformats.org/officeDocument/2006/relationships/oleObject" Target="embeddings/oleObject125.bin"/><Relationship Id="rId35" Type="http://schemas.openxmlformats.org/officeDocument/2006/relationships/oleObject" Target="embeddings/oleObject15.bin"/><Relationship Id="rId77" Type="http://schemas.openxmlformats.org/officeDocument/2006/relationships/image" Target="media/image27.wmf"/><Relationship Id="rId100" Type="http://schemas.openxmlformats.org/officeDocument/2006/relationships/oleObject" Target="embeddings/oleObject52.bin"/><Relationship Id="rId282" Type="http://schemas.openxmlformats.org/officeDocument/2006/relationships/oleObject" Target="embeddings/oleObject149.bin"/><Relationship Id="rId338" Type="http://schemas.openxmlformats.org/officeDocument/2006/relationships/oleObject" Target="embeddings/oleObject180.bin"/><Relationship Id="rId8" Type="http://schemas.openxmlformats.org/officeDocument/2006/relationships/hyperlink" Target="mailto:bhat@mail.utexas.edu" TargetMode="External"/><Relationship Id="rId142" Type="http://schemas.openxmlformats.org/officeDocument/2006/relationships/oleObject" Target="embeddings/oleObject75.bin"/><Relationship Id="rId184" Type="http://schemas.openxmlformats.org/officeDocument/2006/relationships/oleObject" Target="embeddings/oleObject97.bin"/><Relationship Id="rId391" Type="http://schemas.openxmlformats.org/officeDocument/2006/relationships/oleObject" Target="embeddings/oleObject208.bin"/><Relationship Id="rId405" Type="http://schemas.openxmlformats.org/officeDocument/2006/relationships/image" Target="media/image182.wmf"/><Relationship Id="rId447" Type="http://schemas.openxmlformats.org/officeDocument/2006/relationships/fontTable" Target="fontTable.xml"/><Relationship Id="rId251" Type="http://schemas.openxmlformats.org/officeDocument/2006/relationships/image" Target="media/image110.wmf"/><Relationship Id="rId46" Type="http://schemas.openxmlformats.org/officeDocument/2006/relationships/oleObject" Target="embeddings/oleObject22.bin"/><Relationship Id="rId293" Type="http://schemas.openxmlformats.org/officeDocument/2006/relationships/image" Target="media/image131.wmf"/><Relationship Id="rId307" Type="http://schemas.openxmlformats.org/officeDocument/2006/relationships/image" Target="media/image136.wmf"/><Relationship Id="rId349" Type="http://schemas.openxmlformats.org/officeDocument/2006/relationships/image" Target="media/image156.wmf"/><Relationship Id="rId88" Type="http://schemas.openxmlformats.org/officeDocument/2006/relationships/oleObject" Target="embeddings/oleObject46.bin"/><Relationship Id="rId111" Type="http://schemas.openxmlformats.org/officeDocument/2006/relationships/image" Target="media/image43.wmf"/><Relationship Id="rId153" Type="http://schemas.openxmlformats.org/officeDocument/2006/relationships/image" Target="media/image63.wmf"/><Relationship Id="rId195" Type="http://schemas.openxmlformats.org/officeDocument/2006/relationships/image" Target="media/image83.wmf"/><Relationship Id="rId209" Type="http://schemas.openxmlformats.org/officeDocument/2006/relationships/image" Target="media/image90.wmf"/><Relationship Id="rId360" Type="http://schemas.openxmlformats.org/officeDocument/2006/relationships/oleObject" Target="embeddings/oleObject191.bin"/><Relationship Id="rId416" Type="http://schemas.openxmlformats.org/officeDocument/2006/relationships/oleObject" Target="embeddings/oleObject220.bin"/><Relationship Id="rId220" Type="http://schemas.openxmlformats.org/officeDocument/2006/relationships/oleObject" Target="embeddings/oleObject115.bin"/><Relationship Id="rId15" Type="http://schemas.openxmlformats.org/officeDocument/2006/relationships/image" Target="media/image3.wmf"/><Relationship Id="rId57" Type="http://schemas.openxmlformats.org/officeDocument/2006/relationships/oleObject" Target="embeddings/oleObject29.bin"/><Relationship Id="rId262" Type="http://schemas.openxmlformats.org/officeDocument/2006/relationships/image" Target="media/image115.wmf"/><Relationship Id="rId318" Type="http://schemas.openxmlformats.org/officeDocument/2006/relationships/oleObject" Target="embeddings/oleObject169.bin"/><Relationship Id="rId99" Type="http://schemas.openxmlformats.org/officeDocument/2006/relationships/image" Target="media/image38.wmf"/><Relationship Id="rId122" Type="http://schemas.openxmlformats.org/officeDocument/2006/relationships/image" Target="media/image48.wmf"/><Relationship Id="rId164" Type="http://schemas.openxmlformats.org/officeDocument/2006/relationships/oleObject" Target="embeddings/oleObject86.bin"/><Relationship Id="rId371" Type="http://schemas.openxmlformats.org/officeDocument/2006/relationships/image" Target="media/image166.wmf"/><Relationship Id="rId427" Type="http://schemas.openxmlformats.org/officeDocument/2006/relationships/oleObject" Target="embeddings/oleObject228.bin"/><Relationship Id="rId26" Type="http://schemas.openxmlformats.org/officeDocument/2006/relationships/oleObject" Target="embeddings/oleObject10.bin"/><Relationship Id="rId231" Type="http://schemas.openxmlformats.org/officeDocument/2006/relationships/image" Target="media/image101.wmf"/><Relationship Id="rId273" Type="http://schemas.openxmlformats.org/officeDocument/2006/relationships/image" Target="media/image121.wmf"/><Relationship Id="rId329" Type="http://schemas.openxmlformats.org/officeDocument/2006/relationships/image" Target="media/image146.wmf"/><Relationship Id="rId68" Type="http://schemas.openxmlformats.org/officeDocument/2006/relationships/oleObject" Target="embeddings/oleObject36.bin"/><Relationship Id="rId133" Type="http://schemas.openxmlformats.org/officeDocument/2006/relationships/oleObject" Target="embeddings/oleObject70.bin"/><Relationship Id="rId175" Type="http://schemas.openxmlformats.org/officeDocument/2006/relationships/oleObject" Target="embeddings/oleObject92.bin"/><Relationship Id="rId340" Type="http://schemas.openxmlformats.org/officeDocument/2006/relationships/oleObject" Target="embeddings/oleObject181.bin"/><Relationship Id="rId200" Type="http://schemas.openxmlformats.org/officeDocument/2006/relationships/oleObject" Target="embeddings/oleObject105.bin"/><Relationship Id="rId382" Type="http://schemas.openxmlformats.org/officeDocument/2006/relationships/oleObject" Target="embeddings/oleObject203.bin"/><Relationship Id="rId438" Type="http://schemas.openxmlformats.org/officeDocument/2006/relationships/image" Target="media/image194.wmf"/><Relationship Id="rId242" Type="http://schemas.openxmlformats.org/officeDocument/2006/relationships/image" Target="media/image106.wmf"/><Relationship Id="rId284" Type="http://schemas.openxmlformats.org/officeDocument/2006/relationships/oleObject" Target="embeddings/oleObject150.bin"/><Relationship Id="rId37" Type="http://schemas.openxmlformats.org/officeDocument/2006/relationships/oleObject" Target="embeddings/oleObject16.bin"/><Relationship Id="rId79" Type="http://schemas.openxmlformats.org/officeDocument/2006/relationships/image" Target="media/image28.wmf"/><Relationship Id="rId102" Type="http://schemas.openxmlformats.org/officeDocument/2006/relationships/oleObject" Target="embeddings/oleObject53.bin"/><Relationship Id="rId144" Type="http://schemas.openxmlformats.org/officeDocument/2006/relationships/oleObject" Target="embeddings/oleObject76.bin"/><Relationship Id="rId90" Type="http://schemas.openxmlformats.org/officeDocument/2006/relationships/oleObject" Target="embeddings/oleObject47.bin"/><Relationship Id="rId186" Type="http://schemas.openxmlformats.org/officeDocument/2006/relationships/oleObject" Target="embeddings/oleObject98.bin"/><Relationship Id="rId351" Type="http://schemas.openxmlformats.org/officeDocument/2006/relationships/image" Target="media/image157.wmf"/><Relationship Id="rId393" Type="http://schemas.openxmlformats.org/officeDocument/2006/relationships/oleObject" Target="embeddings/oleObject209.bin"/><Relationship Id="rId407" Type="http://schemas.openxmlformats.org/officeDocument/2006/relationships/image" Target="media/image183.wmf"/><Relationship Id="rId211" Type="http://schemas.openxmlformats.org/officeDocument/2006/relationships/image" Target="media/image91.wmf"/><Relationship Id="rId253" Type="http://schemas.openxmlformats.org/officeDocument/2006/relationships/image" Target="media/image111.wmf"/><Relationship Id="rId295" Type="http://schemas.openxmlformats.org/officeDocument/2006/relationships/oleObject" Target="embeddings/oleObject156.bin"/><Relationship Id="rId309" Type="http://schemas.openxmlformats.org/officeDocument/2006/relationships/image" Target="media/image137.wmf"/><Relationship Id="rId48" Type="http://schemas.openxmlformats.org/officeDocument/2006/relationships/oleObject" Target="embeddings/oleObject23.bin"/><Relationship Id="rId113" Type="http://schemas.openxmlformats.org/officeDocument/2006/relationships/image" Target="media/image44.wmf"/><Relationship Id="rId320" Type="http://schemas.openxmlformats.org/officeDocument/2006/relationships/oleObject" Target="embeddings/oleObject170.bin"/><Relationship Id="rId155" Type="http://schemas.openxmlformats.org/officeDocument/2006/relationships/image" Target="media/image64.wmf"/><Relationship Id="rId197" Type="http://schemas.openxmlformats.org/officeDocument/2006/relationships/image" Target="media/image84.wmf"/><Relationship Id="rId362" Type="http://schemas.openxmlformats.org/officeDocument/2006/relationships/oleObject" Target="embeddings/oleObject193.bin"/><Relationship Id="rId418" Type="http://schemas.openxmlformats.org/officeDocument/2006/relationships/oleObject" Target="embeddings/oleObject221.bin"/><Relationship Id="rId222" Type="http://schemas.openxmlformats.org/officeDocument/2006/relationships/oleObject" Target="embeddings/oleObject116.bin"/><Relationship Id="rId264" Type="http://schemas.openxmlformats.org/officeDocument/2006/relationships/oleObject" Target="embeddings/oleObject139.bin"/><Relationship Id="rId17" Type="http://schemas.openxmlformats.org/officeDocument/2006/relationships/image" Target="media/image4.wmf"/><Relationship Id="rId59" Type="http://schemas.openxmlformats.org/officeDocument/2006/relationships/image" Target="media/image19.wmf"/><Relationship Id="rId124" Type="http://schemas.openxmlformats.org/officeDocument/2006/relationships/image" Target="media/image49.wmf"/><Relationship Id="rId70" Type="http://schemas.openxmlformats.org/officeDocument/2006/relationships/oleObject" Target="embeddings/oleObject37.bin"/><Relationship Id="rId166" Type="http://schemas.openxmlformats.org/officeDocument/2006/relationships/oleObject" Target="embeddings/oleObject87.bin"/><Relationship Id="rId331" Type="http://schemas.openxmlformats.org/officeDocument/2006/relationships/image" Target="media/image147.wmf"/><Relationship Id="rId373" Type="http://schemas.openxmlformats.org/officeDocument/2006/relationships/image" Target="media/image167.wmf"/><Relationship Id="rId429" Type="http://schemas.openxmlformats.org/officeDocument/2006/relationships/oleObject" Target="embeddings/oleObject229.bin"/><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image" Target="media/image195.wmf"/><Relationship Id="rId28" Type="http://schemas.openxmlformats.org/officeDocument/2006/relationships/oleObject" Target="embeddings/oleObject11.bin"/><Relationship Id="rId275" Type="http://schemas.openxmlformats.org/officeDocument/2006/relationships/image" Target="media/image122.wmf"/><Relationship Id="rId300" Type="http://schemas.openxmlformats.org/officeDocument/2006/relationships/oleObject" Target="embeddings/oleObject159.bin"/><Relationship Id="rId81" Type="http://schemas.openxmlformats.org/officeDocument/2006/relationships/image" Target="media/image29.wmf"/><Relationship Id="rId135" Type="http://schemas.openxmlformats.org/officeDocument/2006/relationships/oleObject" Target="embeddings/oleObject71.bin"/><Relationship Id="rId177" Type="http://schemas.openxmlformats.org/officeDocument/2006/relationships/oleObject" Target="embeddings/oleObject93.bin"/><Relationship Id="rId342" Type="http://schemas.openxmlformats.org/officeDocument/2006/relationships/oleObject" Target="embeddings/oleObject182.bin"/><Relationship Id="rId384" Type="http://schemas.openxmlformats.org/officeDocument/2006/relationships/oleObject" Target="embeddings/oleObject204.bin"/><Relationship Id="rId202" Type="http://schemas.openxmlformats.org/officeDocument/2006/relationships/oleObject" Target="embeddings/oleObject106.bin"/><Relationship Id="rId244" Type="http://schemas.openxmlformats.org/officeDocument/2006/relationships/image" Target="media/image107.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44.bin"/><Relationship Id="rId1" Type="http://schemas.openxmlformats.org/officeDocument/2006/relationships/image" Target="media/image1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99E1B-4DED-44BE-A5FD-845E656C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18885</Words>
  <Characters>107646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Mondal, Aupal</dc:creator>
  <cp:keywords/>
  <dc:description/>
  <cp:lastModifiedBy>Macias, Lisa J</cp:lastModifiedBy>
  <cp:revision>2</cp:revision>
  <cp:lastPrinted>2025-10-27T18:57:00Z</cp:lastPrinted>
  <dcterms:created xsi:type="dcterms:W3CDTF">2026-06-01T20:22:00Z</dcterms:created>
  <dcterms:modified xsi:type="dcterms:W3CDTF">2026-06-01T20:22:00Z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0cf84514072470c8240fdb0d035c08d19dda2dec2055c10d62988b7663ae64ff</vt:lpwstr>
  </property>
  <property fmtid="{D5CDD505-2E9C-101B-9397-08002B2CF9AE}" pid="3" name="MTWinEqns">
    <vt:bool>true</vt:bool>
  </property>
  <property fmtid="{D5CDD505-2E9C-101B-9397-08002B2CF9AE}" pid="4" name="MTEquationNumber2">
    <vt:lpwstr>(#E1)</vt:lpwstr>
  </property>
  <property fmtid="{D5CDD505-2E9C-101B-9397-08002B2CF9AE}" pid="5" name="MTEquationSection">
    <vt:lpwstr>1</vt:lpwstr>
  </property>
  <property fmtid="{D5CDD505-2E9C-101B-9397-08002B2CF9AE}" pid="6" name="ZOTERO_PREF_1">
    <vt:lpwstr>&lt;data data-version="3" zotero-version="8.0.4"&gt;&lt;session id="vEn6J2IC"/&gt;&lt;style id="http://www.zotero.org/styles/transportation-research-part-b" hasBibliography="1" bibliographyStyleHasBeenSet="0"/&gt;&lt;prefs&gt;&lt;pref name="fieldType" value="Field"/&gt;&lt;pref name="aut</vt:lpwstr>
  </property>
  <property fmtid="{D5CDD505-2E9C-101B-9397-08002B2CF9AE}" pid="7" name="ZOTERO_PREF_2">
    <vt:lpwstr>omaticJournalAbbreviations" value="true"/&gt;&lt;/prefs&gt;&lt;/data&gt;</vt:lpwstr>
  </property>
</Properties>
</file>