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FE1B" w14:textId="77777777" w:rsidR="00E435BB" w:rsidRDefault="008404B6" w:rsidP="00E435BB">
      <w:pPr>
        <w:spacing w:after="0" w:line="240" w:lineRule="auto"/>
        <w:rPr>
          <w:b/>
        </w:rPr>
      </w:pPr>
      <w:r w:rsidRPr="00B71F92">
        <w:rPr>
          <w:b/>
        </w:rPr>
        <w:fldChar w:fldCharType="begin"/>
      </w:r>
      <w:r w:rsidRPr="00B71F92">
        <w:rPr>
          <w:b/>
        </w:rPr>
        <w:instrText xml:space="preserve"> MACROBUTTON MTEditEquationSection2 </w:instrText>
      </w:r>
      <w:r w:rsidRPr="00B71F92">
        <w:rPr>
          <w:rStyle w:val="MTEquationSection"/>
        </w:rPr>
        <w:instrText>Equation Chapter 1 Section 1</w:instrText>
      </w:r>
      <w:r w:rsidRPr="00B71F92">
        <w:rPr>
          <w:b/>
        </w:rPr>
        <w:fldChar w:fldCharType="begin"/>
      </w:r>
      <w:r w:rsidRPr="00B71F92">
        <w:rPr>
          <w:b/>
        </w:rPr>
        <w:instrText xml:space="preserve"> SEQ MTEqn \r \h \* MERGEFORMAT </w:instrText>
      </w:r>
      <w:r w:rsidRPr="00B71F92">
        <w:rPr>
          <w:b/>
        </w:rPr>
        <w:fldChar w:fldCharType="end"/>
      </w:r>
      <w:r w:rsidRPr="00B71F92">
        <w:rPr>
          <w:b/>
        </w:rPr>
        <w:fldChar w:fldCharType="begin"/>
      </w:r>
      <w:r w:rsidRPr="00B71F92">
        <w:rPr>
          <w:b/>
        </w:rPr>
        <w:instrText xml:space="preserve"> SEQ MTSec \r 1 \h \* MERGEFORMAT </w:instrText>
      </w:r>
      <w:r w:rsidRPr="00B71F92">
        <w:rPr>
          <w:b/>
        </w:rPr>
        <w:fldChar w:fldCharType="end"/>
      </w:r>
      <w:r w:rsidRPr="00B71F92">
        <w:rPr>
          <w:b/>
        </w:rPr>
        <w:fldChar w:fldCharType="begin"/>
      </w:r>
      <w:r w:rsidRPr="00B71F92">
        <w:rPr>
          <w:b/>
        </w:rPr>
        <w:instrText xml:space="preserve"> SEQ MTChap \r 1 \h \* MERGEFORMAT </w:instrText>
      </w:r>
      <w:r w:rsidRPr="00B71F92">
        <w:rPr>
          <w:b/>
        </w:rPr>
        <w:fldChar w:fldCharType="end"/>
      </w:r>
      <w:r w:rsidRPr="00B71F92">
        <w:rPr>
          <w:b/>
        </w:rPr>
        <w:fldChar w:fldCharType="end"/>
      </w:r>
    </w:p>
    <w:p w14:paraId="03A286F3" w14:textId="77777777" w:rsidR="00E435BB" w:rsidRDefault="00E435BB" w:rsidP="00E435BB">
      <w:pPr>
        <w:spacing w:after="0" w:line="240" w:lineRule="auto"/>
        <w:rPr>
          <w:b/>
        </w:rPr>
      </w:pPr>
    </w:p>
    <w:p w14:paraId="4C726A2E" w14:textId="77777777" w:rsidR="00E435BB" w:rsidRDefault="00E435BB" w:rsidP="00E435BB">
      <w:pPr>
        <w:spacing w:after="0" w:line="240" w:lineRule="auto"/>
        <w:rPr>
          <w:b/>
        </w:rPr>
      </w:pPr>
    </w:p>
    <w:p w14:paraId="7551161C" w14:textId="77777777" w:rsidR="00E435BB" w:rsidRDefault="00E435BB" w:rsidP="00E435BB">
      <w:pPr>
        <w:spacing w:after="0" w:line="240" w:lineRule="auto"/>
        <w:rPr>
          <w:b/>
        </w:rPr>
      </w:pPr>
    </w:p>
    <w:p w14:paraId="05E1DB47" w14:textId="5C604C04" w:rsidR="00D30ADA" w:rsidRDefault="00D30ADA" w:rsidP="00E435BB">
      <w:pPr>
        <w:spacing w:after="0" w:line="240" w:lineRule="auto"/>
        <w:rPr>
          <w:b/>
        </w:rPr>
      </w:pPr>
      <w:r w:rsidRPr="00B71F92">
        <w:rPr>
          <w:b/>
        </w:rPr>
        <w:t>Reasons for Residential Relocation: A Structuration Approach to Analyze Evolving Motivations in the Housing Market</w:t>
      </w:r>
    </w:p>
    <w:p w14:paraId="2F7EA241" w14:textId="1B2CB8B4" w:rsidR="00D30ADA" w:rsidRDefault="00D30ADA" w:rsidP="00E435BB">
      <w:pPr>
        <w:spacing w:after="0" w:line="240" w:lineRule="auto"/>
        <w:rPr>
          <w:b/>
        </w:rPr>
      </w:pPr>
    </w:p>
    <w:p w14:paraId="1DB69461" w14:textId="00670F8E" w:rsidR="00E435BB" w:rsidRDefault="00E435BB" w:rsidP="00E435BB">
      <w:pPr>
        <w:spacing w:after="0" w:line="240" w:lineRule="auto"/>
        <w:rPr>
          <w:b/>
        </w:rPr>
      </w:pPr>
    </w:p>
    <w:p w14:paraId="0CCC648D" w14:textId="183A1DEA" w:rsidR="00E435BB" w:rsidRDefault="00E435BB" w:rsidP="00E435BB">
      <w:pPr>
        <w:spacing w:after="0" w:line="240" w:lineRule="auto"/>
        <w:rPr>
          <w:b/>
        </w:rPr>
      </w:pPr>
    </w:p>
    <w:p w14:paraId="089A4DB4" w14:textId="3FA98263" w:rsidR="00E435BB" w:rsidRDefault="00E435BB" w:rsidP="00E435BB">
      <w:pPr>
        <w:spacing w:after="0" w:line="240" w:lineRule="auto"/>
        <w:rPr>
          <w:b/>
        </w:rPr>
      </w:pPr>
    </w:p>
    <w:p w14:paraId="64FBF065" w14:textId="77777777" w:rsidR="00E435BB" w:rsidRDefault="00E435BB" w:rsidP="00E435BB">
      <w:pPr>
        <w:spacing w:after="0" w:line="240" w:lineRule="auto"/>
        <w:rPr>
          <w:b/>
        </w:rPr>
      </w:pPr>
    </w:p>
    <w:p w14:paraId="7ABEBBA6" w14:textId="77777777" w:rsidR="00E435BB" w:rsidRDefault="00E435BB" w:rsidP="00E435BB">
      <w:pPr>
        <w:spacing w:after="0" w:line="240" w:lineRule="auto"/>
        <w:rPr>
          <w:b/>
        </w:rPr>
      </w:pPr>
    </w:p>
    <w:p w14:paraId="55E5B9D2" w14:textId="5EA4EBD3" w:rsidR="00E435BB" w:rsidRPr="00B71F92" w:rsidRDefault="00E435BB" w:rsidP="00E435BB">
      <w:pPr>
        <w:spacing w:after="0"/>
        <w:rPr>
          <w:b/>
        </w:rPr>
      </w:pPr>
      <w:r w:rsidRPr="00B71F92">
        <w:rPr>
          <w:b/>
        </w:rPr>
        <w:t>Dale Robbennolt</w:t>
      </w:r>
    </w:p>
    <w:p w14:paraId="69169B35" w14:textId="77F7EA85" w:rsidR="00E435BB" w:rsidRPr="00B71F92" w:rsidRDefault="00E435BB" w:rsidP="00E435BB">
      <w:pPr>
        <w:spacing w:after="0"/>
        <w:rPr>
          <w:bCs/>
        </w:rPr>
      </w:pPr>
      <w:r w:rsidRPr="00B71F92">
        <w:rPr>
          <w:bCs/>
        </w:rPr>
        <w:t>The University of Texas at Austin</w:t>
      </w:r>
    </w:p>
    <w:p w14:paraId="234D2C01" w14:textId="7CECED98" w:rsidR="00E435BB" w:rsidRPr="00B71F92" w:rsidRDefault="00E435BB" w:rsidP="00E435BB">
      <w:pPr>
        <w:spacing w:after="0"/>
        <w:rPr>
          <w:bCs/>
        </w:rPr>
      </w:pPr>
      <w:r w:rsidRPr="00B71F92">
        <w:rPr>
          <w:bCs/>
        </w:rPr>
        <w:t>Department of Civil, Architectural and Environmental Engineering</w:t>
      </w:r>
    </w:p>
    <w:p w14:paraId="629DDD7B" w14:textId="2863D509" w:rsidR="00E435BB" w:rsidRPr="00B71F92" w:rsidRDefault="00E435BB" w:rsidP="00E435BB">
      <w:pPr>
        <w:spacing w:after="0"/>
        <w:rPr>
          <w:bCs/>
        </w:rPr>
      </w:pPr>
      <w:r w:rsidRPr="00B71F92">
        <w:rPr>
          <w:bCs/>
        </w:rPr>
        <w:t>301 E. Dean Keeton St. Stop C1761, Austin TX 78712, USA</w:t>
      </w:r>
    </w:p>
    <w:p w14:paraId="5D469D96" w14:textId="18F074A4" w:rsidR="00E435BB" w:rsidRPr="00B71F92" w:rsidRDefault="00E435BB" w:rsidP="00E435BB">
      <w:pPr>
        <w:spacing w:after="0"/>
        <w:rPr>
          <w:bCs/>
        </w:rPr>
      </w:pPr>
      <w:r w:rsidRPr="00B71F92">
        <w:rPr>
          <w:bCs/>
        </w:rPr>
        <w:t>Email: dar4836@utexas.edu</w:t>
      </w:r>
    </w:p>
    <w:p w14:paraId="79185E87" w14:textId="42CA1626" w:rsidR="00E435BB" w:rsidRDefault="00E435BB" w:rsidP="00E435BB">
      <w:pPr>
        <w:spacing w:after="0"/>
        <w:rPr>
          <w:b/>
        </w:rPr>
      </w:pPr>
    </w:p>
    <w:p w14:paraId="5DC091E2" w14:textId="77777777" w:rsidR="00E435BB" w:rsidRPr="00B71F92" w:rsidRDefault="00E435BB" w:rsidP="00E435BB">
      <w:pPr>
        <w:spacing w:after="0"/>
        <w:rPr>
          <w:b/>
        </w:rPr>
      </w:pPr>
    </w:p>
    <w:p w14:paraId="36EF557C" w14:textId="5BB77E29" w:rsidR="00E435BB" w:rsidRPr="00B71F92" w:rsidRDefault="00E435BB" w:rsidP="00E435BB">
      <w:pPr>
        <w:spacing w:after="0"/>
        <w:rPr>
          <w:b/>
        </w:rPr>
      </w:pPr>
      <w:r w:rsidRPr="00B71F92">
        <w:rPr>
          <w:b/>
        </w:rPr>
        <w:t>Chandra R. Bhat (corresponding author)</w:t>
      </w:r>
    </w:p>
    <w:p w14:paraId="16AF3404" w14:textId="296FC8C8" w:rsidR="00E435BB" w:rsidRPr="00B71F92" w:rsidRDefault="00E435BB" w:rsidP="00E435BB">
      <w:pPr>
        <w:spacing w:after="0"/>
        <w:rPr>
          <w:bCs/>
        </w:rPr>
      </w:pPr>
      <w:r w:rsidRPr="00B71F92">
        <w:rPr>
          <w:bCs/>
        </w:rPr>
        <w:t>The University of Texas at Austin</w:t>
      </w:r>
    </w:p>
    <w:p w14:paraId="5A6B393F" w14:textId="40766AFC" w:rsidR="00E435BB" w:rsidRPr="00B71F92" w:rsidRDefault="00E435BB" w:rsidP="00E435BB">
      <w:pPr>
        <w:spacing w:after="0"/>
        <w:rPr>
          <w:bCs/>
        </w:rPr>
      </w:pPr>
      <w:r w:rsidRPr="00B71F92">
        <w:rPr>
          <w:bCs/>
        </w:rPr>
        <w:t>Department of Civil, Architectural and Environmental Engineering</w:t>
      </w:r>
    </w:p>
    <w:p w14:paraId="5E7FFDC7" w14:textId="19F32695" w:rsidR="00E435BB" w:rsidRPr="00B71F92" w:rsidRDefault="00E435BB" w:rsidP="00E435BB">
      <w:pPr>
        <w:spacing w:after="0"/>
        <w:rPr>
          <w:bCs/>
        </w:rPr>
      </w:pPr>
      <w:r w:rsidRPr="00B71F92">
        <w:rPr>
          <w:bCs/>
        </w:rPr>
        <w:t>301 E. Dean Keeton St. Stop C1761, Austin TX 78712, USA</w:t>
      </w:r>
    </w:p>
    <w:p w14:paraId="6F37979A" w14:textId="77777777" w:rsidR="00E435BB" w:rsidRPr="00B71F92" w:rsidRDefault="00E435BB" w:rsidP="00E435BB">
      <w:pPr>
        <w:spacing w:after="0"/>
        <w:rPr>
          <w:bCs/>
        </w:rPr>
      </w:pPr>
      <w:r w:rsidRPr="00B71F92">
        <w:rPr>
          <w:bCs/>
        </w:rPr>
        <w:t>Tel: +1-512-471-4535; Email: bhat@mail.utexas.edu</w:t>
      </w:r>
    </w:p>
    <w:p w14:paraId="727C640B" w14:textId="77777777" w:rsidR="00D30ADA" w:rsidRDefault="00D30ADA" w:rsidP="00E435BB">
      <w:pPr>
        <w:spacing w:after="0" w:line="240" w:lineRule="auto"/>
        <w:rPr>
          <w:b/>
        </w:rPr>
      </w:pPr>
    </w:p>
    <w:p w14:paraId="6FA93DCB" w14:textId="77777777" w:rsidR="00D30ADA" w:rsidRDefault="00D30ADA" w:rsidP="00332FB7">
      <w:pPr>
        <w:spacing w:after="0" w:line="240" w:lineRule="auto"/>
        <w:jc w:val="both"/>
        <w:rPr>
          <w:b/>
        </w:rPr>
      </w:pPr>
    </w:p>
    <w:p w14:paraId="0C58A4E3" w14:textId="77777777" w:rsidR="00D30ADA" w:rsidRDefault="00D30ADA" w:rsidP="00332FB7">
      <w:pPr>
        <w:spacing w:after="0" w:line="240" w:lineRule="auto"/>
        <w:jc w:val="both"/>
        <w:rPr>
          <w:b/>
        </w:rPr>
      </w:pPr>
    </w:p>
    <w:p w14:paraId="3D059B89" w14:textId="77777777" w:rsidR="00E435BB" w:rsidRDefault="00E435BB" w:rsidP="00332FB7">
      <w:pPr>
        <w:spacing w:after="0" w:line="240" w:lineRule="auto"/>
        <w:jc w:val="both"/>
        <w:rPr>
          <w:b/>
        </w:rPr>
        <w:sectPr w:rsidR="00E435BB" w:rsidSect="008404B6">
          <w:pgSz w:w="12240" w:h="15840"/>
          <w:pgMar w:top="1440" w:right="1440" w:bottom="1440" w:left="1440" w:header="720" w:footer="720" w:gutter="0"/>
          <w:cols w:space="720"/>
          <w:docGrid w:linePitch="360"/>
        </w:sectPr>
      </w:pPr>
    </w:p>
    <w:p w14:paraId="72C93500" w14:textId="72B24B74" w:rsidR="00347777" w:rsidRPr="00B71F92" w:rsidRDefault="00347777" w:rsidP="00332FB7">
      <w:pPr>
        <w:spacing w:after="0" w:line="240" w:lineRule="auto"/>
        <w:jc w:val="both"/>
        <w:rPr>
          <w:b/>
        </w:rPr>
      </w:pPr>
      <w:r w:rsidRPr="00B71F92">
        <w:rPr>
          <w:b/>
        </w:rPr>
        <w:lastRenderedPageBreak/>
        <w:t>ABSTRACT</w:t>
      </w:r>
    </w:p>
    <w:p w14:paraId="1099A3E1" w14:textId="59231F5E" w:rsidR="00AF25BF" w:rsidRDefault="00CD2B51" w:rsidP="00347777">
      <w:pPr>
        <w:spacing w:after="0" w:line="240" w:lineRule="auto"/>
        <w:jc w:val="both"/>
        <w:rPr>
          <w:bCs/>
        </w:rPr>
      </w:pPr>
      <w:r w:rsidRPr="00CD2B51">
        <w:rPr>
          <w:bCs/>
        </w:rPr>
        <w:t>Housing choices impact household financial stability, daily experiences, transportation access, social engagement, and well-being, while collectively shaping urban landscapes and market dynamics. Although substantial literature examines how people choose new homes, understanding who leaves their existing homes and the motivations underlying these decisions is equally important. We examine residential relocation through the lens of Gidden’s structuration theory, conceptualizing relocations as resulting from interactions between individual needs and institutional forces, and grouping relocation motivations into four categories that jointly influence relocation decisions: (1) proactive planning processes, (2) disconnects between housing preferences and housing situations, (3) triggered reevaluations of housing situations, and (4) forced relocations. Drawing on data from the Puget Sound Regional Household Travel Survey collected in 2019, 2021, and 2023, we explore the reasons for relocation among those moving in the 2-year period prior to each survey wave and investigate how these reasons have evolved over time. We jointly model the binary decision to relocate with the set of relocation motivations, allowing us to generalize the potential considerations for a move to the broader population. Findings reveal significant shifts in motivations. We find that relocations in the 2021 period were less commonly motivated by proactive planning processes or forced relocations than they had been previously. Further, shifts in employment have had broad implications for housing outcomes by reducing motivations related to aligning home and workplace locations, while increasing attention to space at home. Our findings have broad implications for urban planning, housing market dynamics, transportation demand, and equity.</w:t>
      </w:r>
    </w:p>
    <w:p w14:paraId="46759455" w14:textId="77777777" w:rsidR="00CD2B51" w:rsidRPr="00B71F92" w:rsidRDefault="00CD2B51" w:rsidP="00347777">
      <w:pPr>
        <w:spacing w:after="0" w:line="240" w:lineRule="auto"/>
        <w:jc w:val="both"/>
        <w:rPr>
          <w:bCs/>
        </w:rPr>
      </w:pPr>
    </w:p>
    <w:p w14:paraId="105722C4" w14:textId="6CA8FF59" w:rsidR="00347777" w:rsidRPr="00B71F92" w:rsidRDefault="00347777" w:rsidP="00347777">
      <w:pPr>
        <w:spacing w:after="0" w:line="240" w:lineRule="auto"/>
        <w:jc w:val="both"/>
        <w:rPr>
          <w:bCs/>
        </w:rPr>
      </w:pPr>
      <w:r w:rsidRPr="00B71F92">
        <w:rPr>
          <w:b/>
        </w:rPr>
        <w:t>Keywords:</w:t>
      </w:r>
      <w:r w:rsidRPr="00B71F92">
        <w:rPr>
          <w:bCs/>
        </w:rPr>
        <w:t xml:space="preserve"> </w:t>
      </w:r>
      <w:r w:rsidR="00B63083" w:rsidRPr="00B71F92">
        <w:rPr>
          <w:bCs/>
        </w:rPr>
        <w:t>Residential</w:t>
      </w:r>
      <w:r w:rsidR="00093AAE" w:rsidRPr="00B71F92">
        <w:rPr>
          <w:bCs/>
        </w:rPr>
        <w:t xml:space="preserve"> Relocation, Residential Mobility, Structuration Theory, </w:t>
      </w:r>
      <w:r w:rsidR="00FB6B9C" w:rsidRPr="00B71F92">
        <w:rPr>
          <w:bCs/>
        </w:rPr>
        <w:t>Relocation Motivations</w:t>
      </w:r>
      <w:r w:rsidR="004F13ED" w:rsidRPr="00B71F92">
        <w:rPr>
          <w:bCs/>
        </w:rPr>
        <w:t>,</w:t>
      </w:r>
      <w:r w:rsidR="00FB6B9C" w:rsidRPr="00B71F92">
        <w:rPr>
          <w:bCs/>
        </w:rPr>
        <w:t xml:space="preserve"> </w:t>
      </w:r>
      <w:r w:rsidR="004F13ED" w:rsidRPr="00B71F92">
        <w:rPr>
          <w:bCs/>
        </w:rPr>
        <w:t>Urban Planning, Travel Demand</w:t>
      </w:r>
    </w:p>
    <w:p w14:paraId="6A091377" w14:textId="1CC4092F" w:rsidR="00BA72D3" w:rsidRPr="00B71F92" w:rsidRDefault="00BA72D3">
      <w:pPr>
        <w:rPr>
          <w:bCs/>
        </w:rPr>
      </w:pPr>
      <w:r w:rsidRPr="00B71F92">
        <w:rPr>
          <w:bCs/>
        </w:rPr>
        <w:br w:type="page"/>
      </w:r>
    </w:p>
    <w:p w14:paraId="27A10E57" w14:textId="77777777" w:rsidR="008404B6" w:rsidRPr="00B71F92" w:rsidRDefault="008404B6" w:rsidP="008404B6">
      <w:pPr>
        <w:spacing w:after="0" w:line="240" w:lineRule="auto"/>
        <w:jc w:val="both"/>
        <w:rPr>
          <w:bCs/>
        </w:rPr>
        <w:sectPr w:rsidR="008404B6" w:rsidRPr="00B71F92" w:rsidSect="008404B6">
          <w:pgSz w:w="12240" w:h="15840"/>
          <w:pgMar w:top="1440" w:right="1440" w:bottom="1440" w:left="1440" w:header="720" w:footer="720" w:gutter="0"/>
          <w:cols w:space="720"/>
          <w:docGrid w:linePitch="360"/>
        </w:sectPr>
      </w:pPr>
    </w:p>
    <w:p w14:paraId="793CAF51" w14:textId="77777777" w:rsidR="008404B6" w:rsidRPr="00B71F92" w:rsidRDefault="008404B6" w:rsidP="008404B6">
      <w:pPr>
        <w:spacing w:after="0" w:line="240" w:lineRule="auto"/>
        <w:jc w:val="both"/>
      </w:pPr>
      <w:r w:rsidRPr="00B71F92">
        <w:rPr>
          <w:b/>
        </w:rPr>
        <w:lastRenderedPageBreak/>
        <w:t xml:space="preserve">1. INTRODUCTION </w:t>
      </w:r>
    </w:p>
    <w:p w14:paraId="1675E706" w14:textId="461C4F76" w:rsidR="004163C8" w:rsidRPr="00B71F92" w:rsidRDefault="000A48D6" w:rsidP="00F623C5">
      <w:pPr>
        <w:spacing w:after="0" w:line="240" w:lineRule="auto"/>
        <w:jc w:val="both"/>
        <w:rPr>
          <w:bCs/>
        </w:rPr>
      </w:pPr>
      <w:r w:rsidRPr="00B71F92">
        <w:rPr>
          <w:bCs/>
        </w:rPr>
        <w:t>Housing and r</w:t>
      </w:r>
      <w:r w:rsidR="00277B60" w:rsidRPr="00B71F92">
        <w:rPr>
          <w:bCs/>
        </w:rPr>
        <w:t xml:space="preserve">esidential </w:t>
      </w:r>
      <w:r w:rsidR="004D6CC9" w:rsidRPr="00B71F92">
        <w:rPr>
          <w:bCs/>
        </w:rPr>
        <w:t>location</w:t>
      </w:r>
      <w:r w:rsidR="00277B60" w:rsidRPr="00B71F92">
        <w:rPr>
          <w:bCs/>
        </w:rPr>
        <w:t xml:space="preserve"> choices</w:t>
      </w:r>
      <w:r w:rsidR="004D6CC9" w:rsidRPr="00B71F92">
        <w:rPr>
          <w:bCs/>
        </w:rPr>
        <w:t xml:space="preserve"> </w:t>
      </w:r>
      <w:r w:rsidR="00277B60" w:rsidRPr="00B71F92">
        <w:rPr>
          <w:bCs/>
        </w:rPr>
        <w:t>are widely understood to have significant implications across a wide range of life domains. From a household perspective, these decisions</w:t>
      </w:r>
      <w:r w:rsidR="004F37F5" w:rsidRPr="00B71F92">
        <w:rPr>
          <w:bCs/>
        </w:rPr>
        <w:t xml:space="preserve"> have long-lasting</w:t>
      </w:r>
      <w:r w:rsidR="00277B60" w:rsidRPr="00B71F92">
        <w:rPr>
          <w:bCs/>
        </w:rPr>
        <w:t xml:space="preserve"> </w:t>
      </w:r>
      <w:r w:rsidR="004F37F5" w:rsidRPr="00B71F92">
        <w:rPr>
          <w:bCs/>
        </w:rPr>
        <w:t xml:space="preserve">influences over the daily experiences and lifestyle patterns of household members, directly impacting their financial stability, </w:t>
      </w:r>
      <w:r w:rsidR="00ED25E7" w:rsidRPr="00B71F92">
        <w:rPr>
          <w:bCs/>
        </w:rPr>
        <w:t xml:space="preserve">transportation </w:t>
      </w:r>
      <w:r w:rsidR="004F37F5" w:rsidRPr="00B71F92">
        <w:rPr>
          <w:bCs/>
        </w:rPr>
        <w:t>access to economic opportunities</w:t>
      </w:r>
      <w:r w:rsidR="007747C7" w:rsidRPr="00B71F92">
        <w:rPr>
          <w:bCs/>
        </w:rPr>
        <w:t xml:space="preserve"> and other points of interest</w:t>
      </w:r>
      <w:r w:rsidR="004F37F5" w:rsidRPr="00B71F92">
        <w:rPr>
          <w:bCs/>
        </w:rPr>
        <w:t>, social relationships and community engagement, and overall health and well-being</w:t>
      </w:r>
      <w:r w:rsidR="00D77F9C" w:rsidRPr="00B71F92">
        <w:rPr>
          <w:bCs/>
        </w:rPr>
        <w:t xml:space="preserve"> </w:t>
      </w:r>
      <w:r w:rsidR="000B395F" w:rsidRPr="00B71F92">
        <w:rPr>
          <w:bCs/>
        </w:rPr>
        <w:fldChar w:fldCharType="begin"/>
      </w:r>
      <w:r w:rsidR="00AE2498" w:rsidRPr="00B71F92">
        <w:rPr>
          <w:bCs/>
        </w:rPr>
        <w:instrText xml:space="preserve"> ADDIN ZOTERO_ITEM CSL_CITATION {"citationID":"5cGbuiH1","properties":{"formattedCitation":"(Chyn, 2018; De Vos et al., 2018; Swope and Hern\\uc0\\u225{}ndez, 2019)","plainCitation":"(Chyn, 2018; De Vos et al., 2018; Swope and Hernández, 2019)","noteIndex":0},"citationItems":[{"id":4082,"uris":["http://zotero.org/users/12832277/items/637CKI3I"],"itemData":{"id":4082,"type":"article-journal","abstract":"This paper provides new evidence on the effects of moving out of disadvantaged neighborhoods on the long-run outcomes of children. I study public housing demolitions in Chicago, which forced low-income households to relocate to less disadvantaged neighborhoods using housing vouchers. Specifically, I compare young adult outcomes of displaced children to their peers who lived in nearby public housing that was not demolished. Displaced children are more likely to be employed and earn more in young adulthood. I also find that displaced children have fewer violent crime arrests. Children displaced at young ages have lower high school dropout rates.","container-title":"American Economic Review","DOI":"10.1257/aer.20161352","ISSN":"0002-8282","issue":"10","language":"en","page":"3028-3056","source":"www.aeaweb.org","title":"Moved to Opportunity: The Long-Run Effects of Public Housing Demolition on Children","volume":"108","author":[{"family":"Chyn","given":"Eric"}],"issued":{"date-parts":[["2018",10]]}}},{"id":2965,"uris":["http://zotero.org/users/12832277/items/EW6XNM5R"],"itemData":{"id":2965,"type":"article-journal","abstract":"A considerable amount of studies have indicated that people to some extent select themselves in specific neighbourhoods allowing them to travel in their desired way. Although a lot of studies analysed the degree to which travel preferences affect the residential location choice, few studies looked at the effect of a residential relocation on people's travel behaviour and attitudes. A new residential context has the potential to disrupt previous travel choices and could potentially change people's attitudes. This study – using 1539 recently relocated residents in the city of Ghent (Belgium) – analyses self-reported changes in mode frequency and travel attitudes after a relocation, and uses a cohort approach to look at mode frequency and attitudes at different times after the relocation took place. Results suggest that (i) travel attitudes often influence the residential location choice, and (ii) both travel attitudes and travel mode choice change after a relocation, albeit in different ways depending on the current (urban versus suburban) and previous residential neighbourhood (more/equally/less urbanised). This study also suggests that a (possible) dissonance between travel attitudes and the residential neighbourhood is partly a temporal situation, as attitudes can gradually change in accordance with the new residential environment.","container-title":"Journal of Transport Geography","DOI":"10.1016/j.jtrangeo.2018.10.013","ISSN":"0966-6923","page":"131-147","source":"ScienceDirect","title":"Changing Travel Behaviour and Attitudes Following a Residential Relocation","volume":"73","author":[{"family":"De Vos","given":"Jonas"},{"family":"Ettema","given":"Dick"},{"family":"Witlox","given":"Frank"}],"issued":{"date-parts":[["2018",12,1]]}}},{"id":4079,"uris":["http://zotero.org/users/12832277/items/VD37N5MV"],"itemData":{"id":4079,"type":"article-journal","abstract":"Housing is a major pathway through which health disparities emerge and are sustained over time. However, no existing unified conceptual model has comprehensively elucidated the relationship between housing and health equity with attention to the full range of harmful exposures, their cumulative burden and their historical production. We synthesized literature from a diverse array of disciplines to explore the varied aspects of the relationship between housing and health and developed an original conceptual model highlighting these complexities. This holistic conceptual model of the impact of housing on health disparities illustrates how structural inequalities shape unequal distribution of access to health-promoting housing factors, which span four pillars: 1) cost (housing affordability); 2) conditions (housing quality); 3) consistency (residential stability); and 4) context (neighborhood opportunity). We further demonstrate that these four pillars can lead to cumulative burden by interacting with one another and with other structurally-rooted inequalities to produce and reify health disparities. We conclude by offering a comprehensive vision for healthy housing that situates housing's impact on health through a historical and social justice lens, which can help to better design policies and interventions that use housing to promote health equity.","container-title":"Social Science &amp; Medicine","DOI":"10.1016/j.socscimed.2019.112571","ISSN":"0277-9536","source":"ScienceDirect","title":"Housing as a Determinant of Health Equity: A Conceptual Model","URL":"https://www.sciencedirect.com/science/article/pii/S0277953619305659","volume":"243","author":[{"family":"Swope","given":"Carolyn B."},{"family":"Hernández","given":"Diana"}],"accessed":{"date-parts":[["2025",2,2]]},"issued":{"date-parts":[["2019",12,1]]}}}],"schema":"https://github.com/citation-style-language/schema/raw/master/csl-citation.json"} </w:instrText>
      </w:r>
      <w:r w:rsidR="000B395F" w:rsidRPr="00B71F92">
        <w:rPr>
          <w:bCs/>
        </w:rPr>
        <w:fldChar w:fldCharType="separate"/>
      </w:r>
      <w:r w:rsidR="00AE2498" w:rsidRPr="00B71F92">
        <w:t>(Chyn, 2018; De Vos et al., 2018; Swope and Hernández, 2019)</w:t>
      </w:r>
      <w:r w:rsidR="000B395F" w:rsidRPr="00B71F92">
        <w:rPr>
          <w:bCs/>
        </w:rPr>
        <w:fldChar w:fldCharType="end"/>
      </w:r>
      <w:r w:rsidR="004F37F5" w:rsidRPr="00B71F92">
        <w:rPr>
          <w:bCs/>
        </w:rPr>
        <w:t xml:space="preserve">. </w:t>
      </w:r>
      <w:r w:rsidR="00277B60" w:rsidRPr="00B71F92">
        <w:rPr>
          <w:bCs/>
        </w:rPr>
        <w:t>At a</w:t>
      </w:r>
      <w:r w:rsidR="008B1F5A" w:rsidRPr="00B71F92">
        <w:rPr>
          <w:bCs/>
        </w:rPr>
        <w:t xml:space="preserve">n aggregate </w:t>
      </w:r>
      <w:r w:rsidR="00277B60" w:rsidRPr="00B71F92">
        <w:rPr>
          <w:bCs/>
        </w:rPr>
        <w:t xml:space="preserve">level, </w:t>
      </w:r>
      <w:r w:rsidRPr="00B71F92">
        <w:rPr>
          <w:bCs/>
        </w:rPr>
        <w:t>housing</w:t>
      </w:r>
      <w:r w:rsidR="00277B60" w:rsidRPr="00B71F92">
        <w:rPr>
          <w:bCs/>
        </w:rPr>
        <w:t xml:space="preserve"> decisions shape urban landscapes by influencing land-use patterns, determining the social and cultural makeup of neighborhoods, prompting changes to housing values, </w:t>
      </w:r>
      <w:r w:rsidR="00535E5C" w:rsidRPr="00B71F92">
        <w:rPr>
          <w:bCs/>
        </w:rPr>
        <w:t>and affecting travel demand patterns</w:t>
      </w:r>
      <w:r w:rsidR="00846689" w:rsidRPr="00B71F92">
        <w:rPr>
          <w:bCs/>
        </w:rPr>
        <w:t xml:space="preserve"> </w:t>
      </w:r>
      <w:r w:rsidR="00846689" w:rsidRPr="00B71F92">
        <w:rPr>
          <w:bCs/>
        </w:rPr>
        <w:fldChar w:fldCharType="begin"/>
      </w:r>
      <w:r w:rsidR="00846689" w:rsidRPr="00B71F92">
        <w:rPr>
          <w:bCs/>
        </w:rPr>
        <w:instrText xml:space="preserve"> ADDIN ZOTERO_ITEM CSL_CITATION {"citationID":"2UTdPaTQ","properties":{"formattedCitation":"(Bruch and Mare, 2006; Doling and Arundel, 2022)","plainCitation":"(Bruch and Mare, 2006; Doling and Arundel, 2022)","noteIndex":0},"citationItems":[{"id":4084,"uris":["http://zotero.org/users/12832277/items/TC8WEXRV"],"itemData":{"id":4084,"type":"article-journal","abstract":"This article examines the relationships between the residential choices of individuals and aggregate segregation patterns. Analyses based on computational models show that high levels of segregation occur only when individuals’ preferences follow a threshold function. If individuals make finer‐grained distinctions among neighborhoods that vary in racial composition, preferences alone do not lead to segregation. Vignette data indicate that individuals respond in a continuous way to variations in the racial makeup of neighborhoods rather than to a threshold. Race preferences alone may be insufficient to account for the high levels of segregation observed in American cities.","container-title":"American Journal of Sociology","DOI":"10.1086/507856","ISSN":"0002-9602","issue":"3","note":"publisher: The University of Chicago Press","page":"667-709","source":"journals.uchicago.edu (Atypon)","title":"Neighborhood Choice and Neighborhood Change","volume":"112","author":[{"family":"Bruch","given":"Elizabeth E."},{"family":"Mare","given":"Robert D."}],"issued":{"date-parts":[["2006",11]]}}},{"id":515,"uris":["http://zotero.org/users/12832277/items/7AC54LZU"],"itemData":{"id":515,"type":"article-journal","abstract":"The aim of this paper is to examine the increasing use of the home as a workplace and establish its significance for housing studies. Firstly, the article sketches its historical growth founded in technological and business model changes. Using cross-country datasets, it identifies variations across the EU in the scale and characteristics of home working, which by 2015 was the practice for about 1 in 6 EU workers, a ratio that has been greatly boosted by responses to the coronavirus pandemic. Secondly, the article considers the implications of increasing home working for housing studies. This is illustrated through a consideration of influences on our understanding of housing demand, particularly in terms of housing form and location. Further, we consider consequences for other areas of theory on the meaning of home, boundaries between public and private realms, and gender perspectives on the division of domestic work and space.","container-title":"Housing, Theory and Society","DOI":"10.1080/14036096.2020.1846611","ISSN":"1403-6096","issue":"1","note":"publisher: Routledge\n_eprint: https://doi.org/10.1080/14036096.2020.1846611","page":"1-20","source":"Taylor and Francis+NEJM","title":"The Home as Workplace: A Challenge for Housing Research","title-short":"The Home as Workplace","volume":"39","author":[{"family":"Doling","given":"John"},{"family":"Arundel","given":"Rowan"}],"issued":{"date-parts":[["2022",1,1]]}}}],"schema":"https://github.com/citation-style-language/schema/raw/master/csl-citation.json"} </w:instrText>
      </w:r>
      <w:r w:rsidR="00846689" w:rsidRPr="00B71F92">
        <w:rPr>
          <w:bCs/>
        </w:rPr>
        <w:fldChar w:fldCharType="separate"/>
      </w:r>
      <w:r w:rsidR="00846689" w:rsidRPr="00B71F92">
        <w:t>(Bruch and Mare, 2006; Doling and Arundel, 2022)</w:t>
      </w:r>
      <w:r w:rsidR="00846689" w:rsidRPr="00B71F92">
        <w:rPr>
          <w:bCs/>
        </w:rPr>
        <w:fldChar w:fldCharType="end"/>
      </w:r>
      <w:r w:rsidR="00535E5C" w:rsidRPr="00B71F92">
        <w:rPr>
          <w:bCs/>
        </w:rPr>
        <w:t xml:space="preserve">. </w:t>
      </w:r>
      <w:r w:rsidR="003F5D38" w:rsidRPr="00B71F92">
        <w:rPr>
          <w:bCs/>
        </w:rPr>
        <w:t xml:space="preserve">Not surprisingly, therefore, there is a substantial body of literature </w:t>
      </w:r>
      <w:r w:rsidR="00741B94" w:rsidRPr="00B71F92">
        <w:rPr>
          <w:bCs/>
        </w:rPr>
        <w:t>that focuses on</w:t>
      </w:r>
      <w:r w:rsidR="00DA45A9" w:rsidRPr="00B71F92">
        <w:rPr>
          <w:bCs/>
        </w:rPr>
        <w:t xml:space="preserve"> how people choose </w:t>
      </w:r>
      <w:r w:rsidR="006B6A69" w:rsidRPr="00B71F92">
        <w:rPr>
          <w:bCs/>
        </w:rPr>
        <w:t>their new homes</w:t>
      </w:r>
      <w:r w:rsidR="00741B94" w:rsidRPr="00B71F92">
        <w:rPr>
          <w:bCs/>
        </w:rPr>
        <w:t>. However,</w:t>
      </w:r>
      <w:r w:rsidR="009D63CA" w:rsidRPr="00B71F92">
        <w:rPr>
          <w:bCs/>
        </w:rPr>
        <w:t xml:space="preserve"> it is as important to understand</w:t>
      </w:r>
      <w:r w:rsidR="006B6A69" w:rsidRPr="00B71F92">
        <w:rPr>
          <w:bCs/>
        </w:rPr>
        <w:t xml:space="preserve"> who </w:t>
      </w:r>
      <w:r w:rsidR="00D32A7F" w:rsidRPr="00B71F92">
        <w:rPr>
          <w:bCs/>
        </w:rPr>
        <w:t>is leaving their existing homes to enter the housing market in the first place</w:t>
      </w:r>
      <w:r w:rsidR="009D63CA" w:rsidRPr="00B71F92">
        <w:rPr>
          <w:bCs/>
        </w:rPr>
        <w:t xml:space="preserve"> and why they are doing so</w:t>
      </w:r>
      <w:r w:rsidR="00D32A7F" w:rsidRPr="00B71F92">
        <w:rPr>
          <w:bCs/>
        </w:rPr>
        <w:t>.</w:t>
      </w:r>
      <w:r w:rsidR="004163C8" w:rsidRPr="00B71F92">
        <w:rPr>
          <w:bCs/>
        </w:rPr>
        <w:t xml:space="preserve"> </w:t>
      </w:r>
      <w:r w:rsidR="00861F63" w:rsidRPr="00B71F92">
        <w:rPr>
          <w:bCs/>
        </w:rPr>
        <w:t>In fact, t</w:t>
      </w:r>
      <w:r w:rsidR="004163C8" w:rsidRPr="00B71F92">
        <w:rPr>
          <w:bCs/>
        </w:rPr>
        <w:t xml:space="preserve">he decision to leave one’s current home has </w:t>
      </w:r>
      <w:r w:rsidR="00861F63" w:rsidRPr="00B71F92">
        <w:rPr>
          <w:bCs/>
        </w:rPr>
        <w:t>similar long-term effects as the choice of a new home</w:t>
      </w:r>
      <w:r w:rsidR="004163C8" w:rsidRPr="00B71F92">
        <w:rPr>
          <w:bCs/>
        </w:rPr>
        <w:t xml:space="preserve">, influencing individual outcomes as well as the </w:t>
      </w:r>
      <w:r w:rsidR="00A73830" w:rsidRPr="00B71F92">
        <w:rPr>
          <w:bCs/>
        </w:rPr>
        <w:t xml:space="preserve">social and economic </w:t>
      </w:r>
      <w:r w:rsidR="004163C8" w:rsidRPr="00B71F92">
        <w:rPr>
          <w:bCs/>
        </w:rPr>
        <w:t>makeup of the urban landscape</w:t>
      </w:r>
      <w:r w:rsidR="00597829" w:rsidRPr="00B71F92">
        <w:rPr>
          <w:bCs/>
        </w:rPr>
        <w:t xml:space="preserve"> </w:t>
      </w:r>
      <w:r w:rsidR="00597829" w:rsidRPr="00B71F92">
        <w:rPr>
          <w:bCs/>
        </w:rPr>
        <w:fldChar w:fldCharType="begin"/>
      </w:r>
      <w:r w:rsidR="00D122A0" w:rsidRPr="00B71F92">
        <w:rPr>
          <w:bCs/>
        </w:rPr>
        <w:instrText xml:space="preserve"> ADDIN ZOTERO_ITEM CSL_CITATION {"citationID":"HrTsfjur","properties":{"formattedCitation":"(Choi and Oishi, 2020; Desmond, 2022; Ong ViforJ et al., 2023)","plainCitation":"(Choi and Oishi, 2020; Desmond, 2022; Ong ViforJ et al., 2023)","noteIndex":0},"citationItems":[{"id":4122,"uris":["http://zotero.org/users/12832277/items/ZWRXFWH5"],"itemData":{"id":4122,"type":"article-journal","abstract":"Residential mobility has become a common experience for people in most parts of the world. As the number of people moving to different cities, states, and countries increases, it is critical to understand how this residential mobility affects one’s thoughts, emotions, and actions. Psychological research on residential mobility over a decade is such an endeavor. We briefly summarize the earlier research in psychology that demonstrated the importance of residential mobility in understanding important psychological constructs such as self-concepts, social relationships, and well-being. We then review recent evidence in psychology and relevant fields that replicated and extended the earlier research. We discuss what is missing in the current literature and what additional research is needed in the future.","collection-title":"Socio-Ecological Psychology","container-title":"Current Opinion in Psychology","DOI":"10.1016/j.copsyc.2019.07.008","ISSN":"2352-250X","page":"72-75","source":"ScienceDirect","title":"The Psychology of Residential Mobility: A Decade of Progress","volume":"32","author":[{"family":"Choi","given":"Hyewon"},{"family":"Oishi","given":"Shigehiro"}],"issued":{"date-parts":[["2020",4,1]]}}},{"id":4131,"uris":["http://zotero.org/users/12832277/items/B7XHI6PQ"],"itemData":{"id":4131,"type":"chapter","abstract":"Drawing from his own extensive ethnographic and quantitative research, Desmond outlines the trends that led to the current situation: rising housing costs, stagnant or falling incomes among the poor, and a shortfall of federal housing assistance. As a result of these trends, most poor renting families now devote over half of their income to housing costs, and eviction has become commonplace in low-income communities. Poor single mothers with young children, particularly African Americans, are at especially high risk of eviction. Desmond reviews the consequences of eviction – for parents, children, and neighborhoods – and concludes with suggested policy remedies and a call to pull housing back to the center of the poverty debate.","collection-title":"American Journal of Sociology","container-title":"The Affordable Housing Reader","edition":"2","ISBN":"978-0-429-29937-7","note":"number-of-pages: 7","publisher":"Routledge","title":"Unaffordable America: Poverty, housing, and eviction: American Journal of Sociology","title-short":"Unaffordable America","author":[{"family":"Desmond","given":"Matthew"}],"issued":{"date-parts":[["2022"]]}}},{"id":4127,"uris":["http://zotero.org/users/12832277/items/2R6STH6I"],"itemData":{"id":4127,"type":"article-journal","abstract":"This article examines the links between forced housing mobility and the mental wellbeing of Australians in an era of heightened risks in both labour and housing markets. Specifically, we examine how the links between forced housing mobility and mental wellbeing may vary according to states of employment and housing tenure insecurity. Using the 2001–2018 Household, Income and Labour Dynamics in Australia Survey, we implement hybrid models across four mental wellbeing dimensions and uncover three key findings. First, there is strong evidence that forced moves impair mental wellbeing. Second, the adverse wellbeing impacts of forced moves are greater for those experiencing employment insecurity than those in secure employment. Third, forced moves can depress the wellbeing of both owner purchasers and private renters, but the wellbeing penalty is greater in the case of the former. Overall, our analysis emphasises the importance of harnessing housing as a policy instrument for promoting wellbeing. Our findings also highlight the need for policies that mitigate loss of home ownership and reforms that improve tenure security for renters.","container-title":"International Journal of Housing Policy","DOI":"10.1080/19491247.2022.2059845","ISSN":"1949-1247","issue":"1","note":"publisher: Routledge\n_eprint: https://doi.org/10.1080/19491247.2022.2059845","page":"138-162","source":"Taylor and Francis+NEJM","title":"Forced Housing Mobility and Mental Wellbeing: Evidence from Australia","volume":"23","author":[{"family":"Ong ViforJ","given":"Rachel"},{"family":"Hewton","given":"Jack"},{"family":"Bawa","given":"Sherry"},{"family":"Singh","given":"Ranjodh"}],"issued":{"date-parts":[["2023",1,2]]}}}],"schema":"https://github.com/citation-style-language/schema/raw/master/csl-citation.json"} </w:instrText>
      </w:r>
      <w:r w:rsidR="00597829" w:rsidRPr="00B71F92">
        <w:rPr>
          <w:bCs/>
        </w:rPr>
        <w:fldChar w:fldCharType="separate"/>
      </w:r>
      <w:r w:rsidR="00D122A0" w:rsidRPr="00B71F92">
        <w:t>(Choi and Oishi, 2020; Desmond, 2022; Ong ViforJ et al., 2023)</w:t>
      </w:r>
      <w:r w:rsidR="00597829" w:rsidRPr="00B71F92">
        <w:rPr>
          <w:bCs/>
        </w:rPr>
        <w:fldChar w:fldCharType="end"/>
      </w:r>
      <w:r w:rsidR="004163C8" w:rsidRPr="00B71F92">
        <w:rPr>
          <w:bCs/>
        </w:rPr>
        <w:t xml:space="preserve">. </w:t>
      </w:r>
      <w:r w:rsidR="00861F63" w:rsidRPr="00B71F92">
        <w:rPr>
          <w:bCs/>
        </w:rPr>
        <w:t>Further, as this is the initial decision that initiates the housing search process, t</w:t>
      </w:r>
      <w:r w:rsidR="004163C8" w:rsidRPr="00B71F92">
        <w:rPr>
          <w:bCs/>
        </w:rPr>
        <w:t xml:space="preserve">he reasons for the relocation can also significantly impact the remainder of the housing choice process, shaping the housing search and </w:t>
      </w:r>
      <w:r w:rsidR="00CF75E6" w:rsidRPr="00B71F92">
        <w:rPr>
          <w:bCs/>
        </w:rPr>
        <w:t>influencing its outcome</w:t>
      </w:r>
      <w:r w:rsidR="00D122A0" w:rsidRPr="00B71F92">
        <w:rPr>
          <w:bCs/>
        </w:rPr>
        <w:t xml:space="preserve"> </w:t>
      </w:r>
      <w:r w:rsidR="00D122A0" w:rsidRPr="00B71F92">
        <w:rPr>
          <w:bCs/>
        </w:rPr>
        <w:fldChar w:fldCharType="begin"/>
      </w:r>
      <w:r w:rsidR="001A77B0" w:rsidRPr="00B71F92">
        <w:rPr>
          <w:bCs/>
        </w:rPr>
        <w:instrText xml:space="preserve"> ADDIN ZOTERO_ITEM CSL_CITATION {"citationID":"wklve3I8","properties":{"formattedCitation":"(Saini and Pandit, 2025)","plainCitation":"(Saini and Pandit, 2025)","dontUpdate":true,"noteIndex":0},"citationItems":[{"id":4054,"uris":["http://zotero.org/users/12832277/items/LY2DR2VM"],"itemData":{"id":4054,"type":"article-journal","abstract":"When a household decides to move from the current location, it takes bundle of decisions such as when to move, where to search, and others. We hypothise that these decisions are interlinked and may result in different decision-making trajectories. This heterogeneity in decision-making may exist due to the influence of different triggers, associated urgency, and household's attributes on spatial decisions (search criteria and search type: tenure or typology), choice of information source, search duration, and search extent which may result in varied choice set for different households. The paper aims to establish a need to determine these decision trajectories by quantitatively exploring the variation across decision dimensions. A retrospective revealed preference survey was conducted in Rajarhat Newtown and Rajarhat Gopalpur in India resulting in 272 households’ samples. The findings support the hypothesis and also suggests that variation in trigger and urgency results in the variation of search duration from 1 day to 2 years whereas variation in household's attributes reveals the selection of different search criteria and search type. The study bears an important implication on land use and transportation integration (LUTI) models by providing an alternative approach to consider dependency across decision stages dimensions of relocation process to develop the choice set formation, and location choice model.","collection-title":"World Conference on Transport Research - WCTR 2023 Montreal 17-21 July 2023","container-title":"Transportation Research Procedia","DOI":"10.1016/j.trpro.2024.12.063","ISSN":"2352-1465","page":"604-619","source":"ScienceDirect","title":"A Quantitative Exploration of Linkages Across the Decision Stages of Residential Relocation Process","volume":"82","author":[{"family":"Saini","given":"Preety"},{"family":"Pandit","given":"Debapratim"}],"issued":{"date-parts":[["2025",1,1]]}}}],"schema":"https://github.com/citation-style-language/schema/raw/master/csl-citation.json"} </w:instrText>
      </w:r>
      <w:r w:rsidR="00D122A0" w:rsidRPr="00B71F92">
        <w:rPr>
          <w:bCs/>
        </w:rPr>
        <w:fldChar w:fldCharType="separate"/>
      </w:r>
      <w:r w:rsidR="00D122A0" w:rsidRPr="00B71F92">
        <w:t>(see Saini and Pandit, 2025)</w:t>
      </w:r>
      <w:r w:rsidR="00D122A0" w:rsidRPr="00B71F92">
        <w:rPr>
          <w:bCs/>
        </w:rPr>
        <w:fldChar w:fldCharType="end"/>
      </w:r>
      <w:r w:rsidR="00CF75E6" w:rsidRPr="00B71F92">
        <w:rPr>
          <w:bCs/>
        </w:rPr>
        <w:t xml:space="preserve">. </w:t>
      </w:r>
    </w:p>
    <w:p w14:paraId="31F0E75F" w14:textId="6BE8A63D" w:rsidR="007B5E1C" w:rsidRPr="00B71F92" w:rsidRDefault="00CF75E6" w:rsidP="008404B6">
      <w:pPr>
        <w:spacing w:after="0" w:line="240" w:lineRule="auto"/>
        <w:ind w:firstLine="720"/>
        <w:jc w:val="both"/>
        <w:rPr>
          <w:b/>
        </w:rPr>
      </w:pPr>
      <w:r w:rsidRPr="00B71F92">
        <w:rPr>
          <w:bCs/>
        </w:rPr>
        <w:t>In th</w:t>
      </w:r>
      <w:r w:rsidR="00ED25E7" w:rsidRPr="00B71F92">
        <w:rPr>
          <w:bCs/>
        </w:rPr>
        <w:t>e above</w:t>
      </w:r>
      <w:r w:rsidRPr="00B71F92">
        <w:rPr>
          <w:bCs/>
        </w:rPr>
        <w:t xml:space="preserve"> context, residential mobility has often been assumed to be based primarily on either (1) changes in residential satisfaction due to changing external conditions</w:t>
      </w:r>
      <w:r w:rsidR="00B51DC0" w:rsidRPr="00B71F92">
        <w:rPr>
          <w:bCs/>
        </w:rPr>
        <w:t xml:space="preserve"> </w:t>
      </w:r>
      <w:r w:rsidR="00B51DC0" w:rsidRPr="00B71F92">
        <w:rPr>
          <w:bCs/>
        </w:rPr>
        <w:fldChar w:fldCharType="begin"/>
      </w:r>
      <w:r w:rsidR="009849D5" w:rsidRPr="00B71F92">
        <w:rPr>
          <w:bCs/>
        </w:rPr>
        <w:instrText xml:space="preserve"> ADDIN ZOTERO_ITEM CSL_CITATION {"citationID":"B2tmsdHb","properties":{"unsorted":true,"formattedCitation":"(Jiang et al., 2019, 2020; Jones and Dantzler, 2021)","plainCitation":"(Jiang et al., 2019, 2020; Jones and Dantzler, 2021)","dontUpdate":true,"noteIndex":0},"citationItems":[{"id":4077,"uris":["http://zotero.org/users/12832277/items/7GP5XJUV"],"itemData":{"id":4077,"type":"article-journal","abstract":"Using data from 8 renovated historical blocks in China, the influence of social-demographic characteristics and residential satisfaction on the intention to move is analysed using multinomial logit models. To explore the observed and unobserved heterogeneity among individuals, a mixed logit model was adopted. The model results indicate that older residents and residents who live in blocks during the middle renovation stage are less interested in relocating. Higher residential satisfaction will lead to a lower intention to move house, and housing satisfaction and satisfaction with the living environment have a higher impact compared with satisfaction related to other residential dimensions. Moreover, the interaction between neighbourhood satisfaction and renovation stages was found influential, while the unobserved taste variation between residents was not identified.","container-title":"Journal of Housing and the Built Environment","DOI":"10.1007/s10901-018-9608-3","ISSN":"1573-7772","issue":"1","language":"en","page":"73-90","source":"Springer Link","title":"Intention to Move in Renovated Historical Blocks in China","volume":"34","author":[{"family":"Jiang","given":"Wen"},{"family":"Feng","given":"Tao"},{"family":"Timmermans","given":"Harry"},{"family":"Li","given":"Heping"}],"issued":{"date-parts":[["2019",3,1]]}}},{"id":4074,"uris":["http://zotero.org/users/12832277/items/ADE8WMEN"],"itemData":{"id":4074,"type":"article-journal","abstract":"This paper proposes a latent class path model to analyse the intention to move house as a function of residential satisfaction, which in turn is influenced by the gap between residential aspirations and reality. Different from the existing literature, which assumes the same structural dependencies apply to all residents with different socio-demographic profiles, we allow for different unobserved classes with different structural dependencies. Class membership is a function of the socio-demographics of individuals. Using data from eight renovated historical blocks in two Chinese cities, the differences influencing the intention to move house between two latent classes are captured. In one class the intention to move is significantly influenced by housing and environmental satisfaction, but this dependency is not found in the other class. The impact of the residential gap on satisfaction also differs between the two classes. Class membership is found to be mainly attributed to having property rights or not and whether respondents are supporting the elderly. Policy and planning implications are provided considering the different residential interests and backgrounds of residents.","container-title":"Socio-Economic Planning Sciences","DOI":"10.1016/j.seps.2019.100743","ISSN":"0038-0121","journalAbbreviation":"Socio-Economic Planning Sciences","page":"100743","source":"ScienceDirect","title":"Latent Class Path Model of Intention to Move House","volume":"70","author":[{"family":"Jiang","given":"Wen"},{"family":"Feng","given":"Tao"},{"family":"Timmermans","given":"Harry J. P."}],"issued":{"date-parts":[["2020",6,1]]}}},{"id":4133,"uris":["http://zotero.org/users/12832277/items/PJESQRXJ"],"itemData":{"id":4133,"type":"article-journal","abstract":"This paper considers the ways in which neighbourhood perceptions can differentially affect residential mobility, particularly in low-income areas. Given the long history of understanding the relationship between neighbourhood context and residential mobility, this study includes measures of satisfaction, safety, decay and neighbourly agency to understand mobility. Using data from the Making Connections Initiative, this paper uses a unique panel survey across neighbourhoods in 10 US cities undergoing spatial and/or demographic transitions to analyse the extent to which neighbourhood perceptions are associated with residential mobility. By employing a multilevel structural equation model, the study accounts for neighbourhood perceptions, neighbourhood demographics and mobility risk over time. The results show that perceptions of neighbourhood context matter more than the actual neighbourhood setting. These findings highlight the continued importance of subjective rather than objective measures of neighbourhood conditions in understanding residential mobility.","container-title":"Urban Studies","DOI":"10.1177/0042098020916440","ISSN":"0042-0980","issue":"9","language":"en","note":"publisher: SAGE Publications Ltd","page":"1792-1810","source":"SAGE Journals","title":"Neighbourhood Perceptions and Residential Mobility","volume":"58","author":[{"family":"Jones","given":"Antwan"},{"family":"Dantzler","given":"Prentiss"}],"issued":{"date-parts":[["2021",7,1]]}}}],"schema":"https://github.com/citation-style-language/schema/raw/master/csl-citation.json"} </w:instrText>
      </w:r>
      <w:r w:rsidR="00B51DC0" w:rsidRPr="00B71F92">
        <w:rPr>
          <w:bCs/>
        </w:rPr>
        <w:fldChar w:fldCharType="separate"/>
      </w:r>
      <w:r w:rsidR="00B51DC0" w:rsidRPr="00B71F92">
        <w:t>(</w:t>
      </w:r>
      <w:r w:rsidR="00A8617D" w:rsidRPr="00B71F92">
        <w:t xml:space="preserve">see, for example, </w:t>
      </w:r>
      <w:r w:rsidR="00B51DC0" w:rsidRPr="00B71F92">
        <w:t>Jiang et al., 2019, 2020; Jones and Dantzler, 2021)</w:t>
      </w:r>
      <w:r w:rsidR="00B51DC0" w:rsidRPr="00B71F92">
        <w:rPr>
          <w:bCs/>
        </w:rPr>
        <w:fldChar w:fldCharType="end"/>
      </w:r>
      <w:r w:rsidRPr="00B71F92">
        <w:rPr>
          <w:bCs/>
        </w:rPr>
        <w:t xml:space="preserve"> or (2) changes to the characteristics of the occupants</w:t>
      </w:r>
      <w:r w:rsidR="0005386F" w:rsidRPr="00B71F92">
        <w:rPr>
          <w:bCs/>
        </w:rPr>
        <w:t xml:space="preserve"> over their life course </w:t>
      </w:r>
      <w:r w:rsidR="00DE07AF" w:rsidRPr="00B71F92">
        <w:rPr>
          <w:bCs/>
        </w:rPr>
        <w:fldChar w:fldCharType="begin"/>
      </w:r>
      <w:r w:rsidR="009849D5" w:rsidRPr="00B71F92">
        <w:rPr>
          <w:bCs/>
        </w:rPr>
        <w:instrText xml:space="preserve"> ADDIN ZOTERO_ITEM CSL_CITATION {"citationID":"fZJawtkL","properties":{"unsorted":true,"formattedCitation":"(Mulder and Hooimeijer, 1999; Clark, 2013; Ghasri et al., 2023)","plainCitation":"(Mulder and Hooimeijer, 1999; Clark, 2013; Ghasri et al., 2023)","dontUpdate":true,"noteIndex":0},"citationItems":[{"id":4135,"uris":["http://zotero.org/users/12832277/items/VNQJK2VJ"],"itemData":{"id":4135,"type":"chapter","abstract":"The life course perspective has proved to be a powerful instrument in developing a general theoretical framework to interpret a variety of phenomena pertaining to residential relocation. The first phenomenon is that relocations are instrumental to goals arising from a specific life course trajectory or “career”. It is important to distinguish between moves triggered by the educational career, the labor career, the family career and the housing career. The second phenomenon is that even those careers that are not the actual trigger for the move, are still pertinent to the relocation decision. These other careers condition the decision by providing the resources for the move and by imposing restrictions on geographical mobility. The third phenomenon is that residential relocation, which has a positive effect on the triggering career, can have a detrimental effect on other careers or on the careers of other household members. The attractiveness of the life course perspective is that it allows for feedback effects between these phenomena, thereby improving the understanding of relocation behavior.","container-title":"Population Issues: An Interdisciplinary Focus","event-place":"Dordrecht","ISBN":"978-94-011-4389-9","language":"en","note":"DOI: 10.1007/978-94-011-4389-9_6","page":"159-186","publisher":"Springer Netherlands","publisher-place":"Dordrecht","source":"Springer Link","title":"Residential Relocations in the Life Course","URL":"https://doi.org/10.1007/978-94-011-4389-9_6","author":[{"family":"Mulder","given":"Clara H."},{"family":"Hooimeijer","given":"Pieter"}],"editor":[{"family":"Wissen","given":"Leo J. G.","non-dropping-particle":"van"},{"family":"Dykstra","given":"Pearl A."}],"accessed":{"date-parts":[["2025",2,12]]},"issued":{"date-parts":[["1999"]]}}},{"id":4065,"uris":["http://zotero.org/users/12832277/items/I7CR67N2"],"itemData":{"id":4065,"type":"article-journal","abstract":"We know that life course events, especially divorce and separation, trigger residential moves, but we know less about how these and other life course events intersect with how far people move and the relationship with labour market change. This research uses data from the Household, Income and Labour Dynamics Survey in Australia to model a set of life course events and their intersection with the distance of move. I examine essentially positive events, marriage and new births and not so positive events, separation and divorce, and the unexpected events of widowhood and job loss, and their outcomes in the housing market. For the decision to move, the models partly parallel other studies of life course events and their role in the mobility decision, but the results provide enriched results about how age and life course events intersect. The analysis shows in greater detail how age acts as a proxy for complicated life course intersections with moving. The disruption of divorce and separation, as expected, increases the probability of moving but with different effects over distance. Households move in response to these life events but they are much less likely to change metropolitan locations, which reflects the embedded nature of family change and location. Overall, the research enriches previous studies of age-related links to migration and mobility.","container-title":"Journal of Population Research","DOI":"10.1007/s12546-013-9116-y","ISSN":"1835-9469","issue":"4","language":"en","page":"319-334","source":"Springer Link","title":"Life Course Events and Residential Change: Unpacking Age Effects on the Probability of Moving","volume":"30","author":[{"family":"Clark","given":"William A. V."}],"issued":{"date-parts":[["2013",12,1]]}}},{"id":4069,"uris":["http://zotero.org/users/12832277/items/HTWBFKCX"],"itemData":{"id":4069,"type":"article-journal","abstract":"This study introduces a survey instrument to collect retrospective life-course events, focusing on residential relocation, and it utilizes the survey to evaluate determinants of residential mobility. The survey consists of seven modules collecting information about household structure and household demographics, latest residential relocation, current and previous home, employment, education, vehicle ownership, and travel behavior. The time window of the life-course calendar in the survey is customized according to the latest residential relocation as an anchor point to assist with memory recollection and balance the required input from participants. The survey is used to collect data from a sample of 514 respondents in Sydney, Australia, and another sample of 404 respondents in Chicago, Illinois, in the US. The Cox proportional hazard model is used to analyze residential mobility. The results show primary school commencement is a salient determinant of residential relocation, but its impact is significantly higher in Chicago compared to Sydney.","container-title":"Transportation Letters","DOI":"10.1080/19427867.2022.2038347","ISSN":"1942-7867","issue":"2","note":"publisher: Taylor &amp; Francis\n_eprint: https://doi.org/10.1080/19427867.2022.2038347","page":"129-141","source":"Taylor and Francis+NEJM","title":"Determinants of Residential Mobility: An Adaptive Retrospective Survey Method","volume":"15","author":[{"family":"Ghasri","given":"Milad"},{"family":"Rashidi","given":"Taha"},{"family":"Auld","given":"Joshua"}],"issued":{"date-parts":[["2023",2,7]]}}}],"schema":"https://github.com/citation-style-language/schema/raw/master/csl-citation.json"} </w:instrText>
      </w:r>
      <w:r w:rsidR="00DE07AF" w:rsidRPr="00B71F92">
        <w:rPr>
          <w:bCs/>
        </w:rPr>
        <w:fldChar w:fldCharType="separate"/>
      </w:r>
      <w:r w:rsidR="00036417" w:rsidRPr="00B71F92">
        <w:t>(see, for example, Mulder and Hooimeijer, 1999; Clark, 2013; Ghasri et al., 2023)</w:t>
      </w:r>
      <w:r w:rsidR="00DE07AF" w:rsidRPr="00B71F92">
        <w:rPr>
          <w:bCs/>
        </w:rPr>
        <w:fldChar w:fldCharType="end"/>
      </w:r>
      <w:r w:rsidRPr="00B71F92">
        <w:rPr>
          <w:bCs/>
        </w:rPr>
        <w:t xml:space="preserve">. In addition, it has often been assumed (at least implicitly) in housing and residential location choice studies that the characteristics of the currently owned home correspond to the preferences of the current owners </w:t>
      </w:r>
      <w:r w:rsidR="00190639" w:rsidRPr="00B71F92">
        <w:rPr>
          <w:bCs/>
        </w:rPr>
        <w:fldChar w:fldCharType="begin"/>
      </w:r>
      <w:r w:rsidR="00ED365A">
        <w:rPr>
          <w:bCs/>
        </w:rPr>
        <w:instrText xml:space="preserve"> ADDIN ZOTERO_ITEM CSL_CITATION {"citationID":"uuSnBEXg","properties":{"unsorted":true,"formattedCitation":"(Zolfaghari et al., 2012; Bhat, 2015a; Frenkel and Kaplan, 2015; Lee et al., 2019; Robbennolt et al., 2024b)","plainCitation":"(Zolfaghari et al., 2012; Bhat, 2015a; Frenkel and Kaplan, 2015; Lee et al., 2019; Robbennolt et al., 2024b)","dontUpdate":true,"noteIndex":0},"citationItems":[{"id":65,"uris":["http://zotero.org/users/12832277/items/8MPN8DE2"],"itemData":{"id":65,"type":"article-journal","abstract":"The discrete choice analysis of residential location choice forms an important part of land use-transport modelling systems but gives rise to a number of significant modelling challenges, one of which is the choice set formation problem. A number of alternative approaches exist to addressing the choice set formation problem, but to the best of our knowledge, there have been no efforts to empirically compare their performance using real choice data. In this paper, we propose to address this gap by examining the performance of several choice set formation methods within the context of residential location choice in London. The paper presents a brief review of the relevant theoretical and empirical literature on the treatment of the choice set formation problem in the context of spatial choice and sets out the characteristics of the specific modelling approaches implemented in the empirical research. In particular, we compare a recently proposed hazard-based screening model with more conventional pure statistical treatments. The empirical research uses a specially constructed data-set on residential location choice, developed by the authors for the Greater London area, which draws on information from a number of separate data sources (including revealed preference data from the London Area Travel Survey). The alternative choice set formation approaches are assessed in terms of their prediction performance on a hold-out validation sub-sample and also in terms of estimated model parameters.","container-title":"Transportation Planning and Technology","DOI":"10.1080/03081060.2012.635420","ISSN":"0308-1060","issue":"1","note":"publisher: Routledge\n_eprint: https://doi.org/10.1080/03081060.2012.635420","page":"87-106","source":"Taylor and Francis+NEJM","title":"Choice Set Pruning in Residential Location Choice Modelling: A Comparison of Sampling and Choice Set Generation Approaches in Greater London","title-short":"Choice Set Pruning in Residential Location Choice Modelling","volume":"35","author":[{"family":"Zolfaghari","given":"Alireza"},{"family":"Sivakumar","given":"Aruna"},{"family":"Polak","given":"John W."}],"issued":{"date-parts":[["2012",2,1]]}}},{"id":3,"uris":["http://zotero.org/users/12832277/items/8ZZCG8II"],"itemData":{"id":3,"type":"article-journal","abstract":"This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R."}],"issued":{"date-parts":[["2015",9,1]]}}},{"id":731,"uris":["http://zotero.org/users/12832277/items/F9A9J9DB"],"itemData":{"id":731,"type":"article-journal","abstract":"This study investigates knowledge-workers’ housing preferences in terms of tenure, dwelling type, location and size. The analysis is conducted by applying a joint multinomial-logit ordered-response model to the housing choices of knowledgeworkers residing in the Tel-Aviv metropolitan region and working in the high-tech and finance sectors. The results confirm the following hypotheses: (i) controlling for socioeconomic characteristics and workplace, knowledge-workers’ housing choices relate to their lifestyle; (ii) knowledge-workers with a culture-oriented lifestyle prefer to rent small apartments in central locations; (iii) knowledge-workers with a home-oriented lifestyle prefer large dwelling units, mainly single-detached houses, in suburban locations.","container-title":"Letters in Spatial and Resource Sciences","DOI":"10.1007/s12076-014-0131-1","ISSN":"1864-404X","issue":"3","language":"en","page":"233-251","source":"Springer Link","title":"The Joint Choice of Tenure, Dwelling Type, Size and Location: The Effect of Home-Oriented Versus Culture-Oriented Lifestyle","volume":"8","author":[{"family":"Frenkel","given":"Amnon"},{"family":"Kaplan","given":"Sigal"}],"issued":{"date-parts":[["2015",11,1]]}}},{"id":1184,"uris":["http://zotero.org/users/12832277/items/4FD88KR5"],"itemData":{"id":1184,"type":"article-journal","abstract":"The millennial generation, the cohort born from 1981 to 1996, lives in large cities or denser parts of metropolitan areas more than preceding generations did at the same age. Studies have theorized that a combination of temporary economic hardship, long-term societal changes, and changing preferences and attitudes have been responsible for Millennials’ unique residential choices. This study examines a less-explored question about the presence and significance of heterogeneity in residential preferences across and within generations. In doing so, this study employs a latent-class choice model on a commuter subsample of Millennials and members of Generation X (n = 729) of the California Millennials Dataset, which collected a rich set of variables on various dimensions in Fall 2015. Using randomly-generated unlabeled choice sets at the US Census block group level, this study identifies three latent classes. The Younger, Pro-Urban Class (53% of our dataset; 66% of its millennial cases and 42% of its Gen Xers) behaves as the stereotypical Millennials in popular media, preferring urban amenities; the Affluent, Highly-Educated Class (32% of our dataset; 25% of its millennials and 38% of its Gen Xers) appears to pursue lifestyles and high socioeconomic status over homeownership or good school districts; and the Middle-Class Homeowner Class (15% of our dataset; 8% of its millennial cases and 21% of its Gen Xers) presents more traditional family-oriented suburban lifestyles. After the examination of shares of the three classes by age and neighborhood type, we provide suggestions for future research and effective planning responses.","container-title":"Transportation Research Part D: Transport and Environment","DOI":"10.1016/j.trd.2019.08.001","ISSN":"1361-9209","page":"289-304","source":"ScienceDirect","title":"Heterogeneous Residential Preferences Among Millennials and Members of Generation X in California: A Latent-Class Approach","volume":"76","author":[{"family":"Lee","given":"Yongsung"},{"family":"Circella","given":"Giovanni"},{"family":"Mokhtarian","given":"Patricia L."},{"family":"Guhathakurta","given":"Subhrajit"}],"issued":{"date-parts":[["2019",11,1]]}}},{"id":3779,"uris":["http://zotero.org/users/12832277/items/2DZBCAUM"],"itemData":{"id":3779,"type":"article-journal","abstract":"We estimate a joint model of housing choice along several dimensions to account for changing valuations of housing outcomes due to the COVID-19 pandemic. We consider housing outcomes including housing type, tenure type, the presence of a patio or yard, the number of bedrooms, neighborhood population density, median housing cost, accessibility of amenities, school quality, crime rate, and commute distance. Data used for this analysis were collected in October and November of 2021 from 24 metropolitan areas across the United States. A Generalized Heterogeneous Data Model (GHDM) is used to estimate these housing outcomes as a function of exogenous household sociodemographic characteristics and latent lifestyle propensities. The GHDM also captures jointness caused by unobserved factors, allowing for the estimation of accurate causal effects between outcomes. The results reveal that lifestyle preferences have significant impacts on housing outcomes. Specifically, individuals with a preference for teleworking are more likely to reside in single-family homes in highly populated areas, experience longer commute distances, and exhibit a higher sensitivity to the presence of amenities in their neighborhoods. Additionally, the analysis of tradeoffs between housing outcomes reveals the relative valuations of various housing outcomes. An increased commute distance is found to lead to an increase in single-family homes, reductions in density, and an increased crime rate. Choosing an apartment in a high-density neighborhood is found to lead to reductions in school quality and significant increases in crime rates. Implications of the results for land-use planning, travel demand analysis, and equity considerations are identified and discussed.","container-title":"Transportation Research Part A: Policy and Practice","DOI":"10.1016/j.tra.2024.104285","ISSN":"0965-8564","page":"104285","source":"ScienceDirect","title":"Housing Choice in an Evolving Remote Work Landscape","volume":"190","author":[{"family":"Robbennolt","given":"Dale"},{"family":"Haddad","given":"Angela J."},{"family":"Mondal","given":"Aupal"},{"family":"Bhat","given":"Chandra R."}],"issued":{"date-parts":[["2024",12,1]]}}}],"schema":"https://github.com/citation-style-language/schema/raw/master/csl-citation.json"} </w:instrText>
      </w:r>
      <w:r w:rsidR="00190639" w:rsidRPr="00B71F92">
        <w:rPr>
          <w:bCs/>
        </w:rPr>
        <w:fldChar w:fldCharType="separate"/>
      </w:r>
      <w:r w:rsidR="00B10884" w:rsidRPr="00B71F92">
        <w:t>(see Zolfaghari et al., 2012; Bhat, 2015a; Frenkel and Kaplan, 2015; Lee et al., 2019; Robbennolt et al., 2024b)</w:t>
      </w:r>
      <w:r w:rsidR="00190639" w:rsidRPr="00B71F92">
        <w:rPr>
          <w:bCs/>
        </w:rPr>
        <w:fldChar w:fldCharType="end"/>
      </w:r>
      <w:r w:rsidRPr="00B71F92">
        <w:rPr>
          <w:bCs/>
        </w:rPr>
        <w:t xml:space="preserve">. However, given the significant cost and challenges associated with relocation, it is likely in many cases that </w:t>
      </w:r>
      <w:r w:rsidR="007747C7" w:rsidRPr="00B71F92">
        <w:rPr>
          <w:bCs/>
        </w:rPr>
        <w:t>some</w:t>
      </w:r>
      <w:r w:rsidRPr="00B71F92">
        <w:rPr>
          <w:bCs/>
        </w:rPr>
        <w:t xml:space="preserve"> families choose to remain in their existing home even as their preferences change over time. In fact, evidence in the social-psychology literature suggests that </w:t>
      </w:r>
      <w:r w:rsidR="001F3AF9" w:rsidRPr="00B71F92">
        <w:rPr>
          <w:bCs/>
        </w:rPr>
        <w:t xml:space="preserve">there are several mechanisms at play that could cause individuals to stay in homes that do not align well with their ideal preferences. First, according to Festinger’s </w:t>
      </w:r>
      <w:r w:rsidR="00AD52AD" w:rsidRPr="00B71F92">
        <w:rPr>
          <w:bCs/>
        </w:rPr>
        <w:fldChar w:fldCharType="begin"/>
      </w:r>
      <w:r w:rsidR="009605BB" w:rsidRPr="00B71F92">
        <w:rPr>
          <w:bCs/>
        </w:rPr>
        <w:instrText xml:space="preserve"> ADDIN ZOTERO_ITEM CSL_CITATION {"citationID":"k5eToAAt","properties":{"formattedCitation":"(1957)","plainCitation":"(1957)","noteIndex":0},"citationItems":[{"id":2165,"uris":["http://zotero.org/users/12832277/items/6EAQPRQI"],"itemData":{"id":2165,"type":"book","event-place":"Evanston, IL","publisher":"Row, Peterson, and Company","publisher-place":"Evanston, IL","title":"A Theory of Cognitive Dissonance","author":[{"family":"Festinger","given":"Lean"}],"issued":{"date-parts":[["1957"]]}},"label":"page","suppress-author":true}],"schema":"https://github.com/citation-style-language/schema/raw/master/csl-citation.json"} </w:instrText>
      </w:r>
      <w:r w:rsidR="00AD52AD" w:rsidRPr="00B71F92">
        <w:rPr>
          <w:bCs/>
        </w:rPr>
        <w:fldChar w:fldCharType="separate"/>
      </w:r>
      <w:r w:rsidR="009605BB" w:rsidRPr="00B71F92">
        <w:t>(1957)</w:t>
      </w:r>
      <w:r w:rsidR="00AD52AD" w:rsidRPr="00B71F92">
        <w:rPr>
          <w:bCs/>
        </w:rPr>
        <w:fldChar w:fldCharType="end"/>
      </w:r>
      <w:r w:rsidR="00AD52AD" w:rsidRPr="00B71F92">
        <w:rPr>
          <w:bCs/>
        </w:rPr>
        <w:t xml:space="preserve"> </w:t>
      </w:r>
      <w:r w:rsidR="001F3AF9" w:rsidRPr="00B71F92">
        <w:rPr>
          <w:bCs/>
        </w:rPr>
        <w:t>theory of cognitive dissonance, individuals who experience dissonance between their preferences and their actual situation may adjust their attitudes and preferences to align better with their current situation and reduce this dissonance</w:t>
      </w:r>
      <w:r w:rsidR="008672B1" w:rsidRPr="00B71F92">
        <w:rPr>
          <w:bCs/>
        </w:rPr>
        <w:t xml:space="preserve"> </w:t>
      </w:r>
      <w:r w:rsidR="008672B1" w:rsidRPr="00B71F92">
        <w:rPr>
          <w:bCs/>
        </w:rPr>
        <w:fldChar w:fldCharType="begin"/>
      </w:r>
      <w:r w:rsidR="008D1314" w:rsidRPr="00B71F92">
        <w:rPr>
          <w:bCs/>
        </w:rPr>
        <w:instrText xml:space="preserve"> ADDIN ZOTERO_ITEM CSL_CITATION {"citationID":"rLjrZqf7","properties":{"formattedCitation":"(van de Coevering et al., 2018)","plainCitation":"(van de Coevering et al., 2018)","dontUpdate":true,"noteIndex":0},"citationItems":[{"id":2484,"uris":["http://zotero.org/users/12832277/items/YVWW9J85"],"itemData":{"id":2484,"type":"article-journal","abstract":"Travel-related attitudes and dissonance between attitudes and the characteristics of the residential built environment are believed to play an important role in the effectiveness of land use policies that aim to influence travel behaviour. To date, research on the nature and directions of causality of the links between these variables has been hindered by the lack of longitudinal approaches. This paper takes such an approach by exploring how people across different population groups adjust their residential environments and attitudes over time. Two latent class transition models are used to segment a population into consonant and dissonant classes to reveal differences in their adjustment process. Interactions between (1) the distance to railway stations and travel-mode-related attitudes and (2) the distance to shopping centres and the importance of satisfaction with these distances are modelled. The models reveal mixed patterns in consonant and dissonant classes at different distances from these destinations. These patterns remain relatively stable over time. People in more dissonant classes generally do not have a higher probability of switching to more consonant classes. People adjust their built environments as well as their attitudes over time and these processes differ between classes. Implications for policies are discussed.","container-title":"Transportation Research Part A: Policy and Practice","DOI":"10.1016/j.tra.2018.08.035","ISSN":"0965-8564","page":"466-479","source":"ScienceDirect","title":"Residential Self-Selection, Reverse Causality and Residential Dissonance. A Latent Class Transition Model of Interactions Between the Built Environment, Travel Attitudes and Travel Behavior","volume":"118","author":[{"family":"Coevering","given":"Paul","non-dropping-particle":"van de"},{"family":"Maat","given":"Kees"},{"family":"Wee","given":"Bert","non-dropping-particle":"van"}],"issued":{"date-parts":[["2018",12,1]]}}}],"schema":"https://github.com/citation-style-language/schema/raw/master/csl-citation.json"} </w:instrText>
      </w:r>
      <w:r w:rsidR="008672B1" w:rsidRPr="00B71F92">
        <w:rPr>
          <w:bCs/>
        </w:rPr>
        <w:fldChar w:fldCharType="separate"/>
      </w:r>
      <w:r w:rsidR="008672B1" w:rsidRPr="00B71F92">
        <w:t>(</w:t>
      </w:r>
      <w:r w:rsidR="0010691E" w:rsidRPr="00B71F92">
        <w:t xml:space="preserve">see also, </w:t>
      </w:r>
      <w:r w:rsidR="008672B1" w:rsidRPr="00B71F92">
        <w:t>van de Coevering et al., 2018)</w:t>
      </w:r>
      <w:r w:rsidR="008672B1" w:rsidRPr="00B71F92">
        <w:rPr>
          <w:bCs/>
        </w:rPr>
        <w:fldChar w:fldCharType="end"/>
      </w:r>
      <w:r w:rsidR="001F3AF9" w:rsidRPr="00B71F92">
        <w:rPr>
          <w:bCs/>
        </w:rPr>
        <w:t xml:space="preserve">. Second, even for individuals who do </w:t>
      </w:r>
      <w:r w:rsidR="00ED25E7" w:rsidRPr="00B71F92">
        <w:rPr>
          <w:bCs/>
        </w:rPr>
        <w:t xml:space="preserve">continue to </w:t>
      </w:r>
      <w:r w:rsidR="001F3AF9" w:rsidRPr="00B71F92">
        <w:rPr>
          <w:bCs/>
        </w:rPr>
        <w:t xml:space="preserve">maintain </w:t>
      </w:r>
      <w:r w:rsidR="00ED25E7" w:rsidRPr="00B71F92">
        <w:rPr>
          <w:bCs/>
        </w:rPr>
        <w:t xml:space="preserve">strong </w:t>
      </w:r>
      <w:r w:rsidR="001F3AF9" w:rsidRPr="00B71F92">
        <w:rPr>
          <w:bCs/>
        </w:rPr>
        <w:t xml:space="preserve">preferences at odds with their current living situation, they may stay in their current home due to loss aversion and the endowment effect. That is, individuals may </w:t>
      </w:r>
      <w:r w:rsidR="00AF3D23" w:rsidRPr="00B71F92">
        <w:rPr>
          <w:bCs/>
        </w:rPr>
        <w:t xml:space="preserve">place more value on the losses associated with moving away from their existing residence than the potential gains they could achieve by moving </w:t>
      </w:r>
      <w:r w:rsidR="00530CB9" w:rsidRPr="00B71F92">
        <w:rPr>
          <w:bCs/>
        </w:rPr>
        <w:fldChar w:fldCharType="begin"/>
      </w:r>
      <w:r w:rsidR="00530CB9" w:rsidRPr="00B71F92">
        <w:rPr>
          <w:bCs/>
        </w:rPr>
        <w:instrText xml:space="preserve"> ADDIN ZOTERO_ITEM CSL_CITATION {"citationID":"ZDf0LfVL","properties":{"formattedCitation":"(Kahneman et al., 1991; Tan, 2021)","plainCitation":"(Kahneman et al., 1991; Tan, 2021)","noteIndex":0},"citationItems":[{"id":4141,"uris":["http://zotero.org/users/12832277/items/THVTNDD2"],"itemData":{"id":4141,"type":"article-journal","abstract":"A wine-loving economist we know purchased some nice Bordeaux wines years ago at low prices. The wines have greatly appreciated in value, so that a bottle that cost only $10 when purchased would now fetch $200 at auction. This economist now drinks some of this wine occasionally, but would neither be willing to sell the wine at the auction price nor buy an additional bottle at that price. Thaler (1980) called this pattern—the fact that people often demand much more to give up an object than they would be willing to pay to acquire it—the endowment effect. The example also illustrates what Samuelson and Zeckhauser (1988) call a status quo bias, a preference for the current state that biases the economist against both buying and selling his wine. These anomalies are a manifestation of an asymmetry of value that Kahneman and Tversky (1984) call loss aversion—the disutility of giving up an object is greater that the utility associated with acquiring it. This column documents the evidence supporting endowment effects and status quo biases, and discusses their relation to loss aversion.","container-title":"Journal of Economic Perspectives","DOI":"10.1257/jep.5.1.193","ISSN":"0895-3309","issue":"1","language":"en","page":"193-206","source":"www.aeaweb.org","title":"Anomalies: The Endowment Effect, Loss Aversion, and Status Quo Bias","volume":"5","author":[{"family":"Kahneman","given":"Daniel"},{"family":"Knetsch","given":"Jack L."},{"family":"Thaler","given":"Richard H."}],"issued":{"date-parts":[["1991",3]]}}},{"id":4136,"uris":["http://zotero.org/users/12832277/items/ZFDPV3D3"],"itemData":{"id":4136,"type":"article-journal","abstract":"Housing choice is always a complicated decision with its dual functions as a roof over the head and as an investment good. This paper aims to investigate the boundedly rational behaviours that affect the housing choice three bounded behaviours play roles in explaining the decision-making behaviour of homebuyers when they acquire/sell a property. These behaviours are endowment effect, loss aversion and herding, which have implications on the decision-making process.,The research is based on cross-sectional questionnaires and collected from 587 respondents. Factor analysis and reliability tests were used to identify the latent construct of bounded rational housing choice behaviour. In the meantime, the study used one-way analysis of variance (ANOVA) to examine whether there are any differences in the housing choice based on the respondents’ demographic backgrounds.,The findings indicated that a total of 11 items were reduced to three factors that accounted for the decision-making in housing choice. There are significant differences in herding behaviour amongst respondents with different level of education and their purpose of looking for a house.,This paper helps to identify latent constructs that shed light on the housing choice, especially on the bounded rational behaviour.,This is one of the few studies to explore boundedly rational behaviours in housing choice from the angle of homebuyers. Previous studies addressed housing choice in terms of price, demand and supply in general but not on individual homebuyers. The results will be useful to developers, policymakers, homebuyers as well as scholars in understanding the decision-making process in housing choice.","archive_location":"world","container-title":"International Journal of Housing Markets and Analysis","DOI":"10.1108/IJHMA-08-2021-0094","ISSN":"1753-8270","issue":"5","language":"en","note":"publisher: Emerald Publishing Limited","page":"1259-1274","source":"www.emerald.com","title":"A Study of Boundedly Rational Behaviour in Housing Choice: Evidence from Malaysia","volume":"15","author":[{"family":"Tan","given":"Consilz"}],"issued":{"date-parts":[["2021",10,15]]}}}],"schema":"https://github.com/citation-style-language/schema/raw/master/csl-citation.json"} </w:instrText>
      </w:r>
      <w:r w:rsidR="00530CB9" w:rsidRPr="00B71F92">
        <w:rPr>
          <w:bCs/>
        </w:rPr>
        <w:fldChar w:fldCharType="separate"/>
      </w:r>
      <w:r w:rsidR="00530CB9" w:rsidRPr="00B71F92">
        <w:t>(Kahneman et al., 1991; Tan, 2021)</w:t>
      </w:r>
      <w:r w:rsidR="00530CB9" w:rsidRPr="00B71F92">
        <w:rPr>
          <w:bCs/>
        </w:rPr>
        <w:fldChar w:fldCharType="end"/>
      </w:r>
      <w:r w:rsidR="00AF3D23" w:rsidRPr="00B71F92">
        <w:rPr>
          <w:bCs/>
        </w:rPr>
        <w:t>. These effects may be particularly powerful in the context of relocation decisions as individuals (</w:t>
      </w:r>
      <w:r w:rsidR="00F94FEB" w:rsidRPr="00B71F92">
        <w:rPr>
          <w:bCs/>
        </w:rPr>
        <w:t>1</w:t>
      </w:r>
      <w:r w:rsidR="00AF3D23" w:rsidRPr="00B71F92">
        <w:rPr>
          <w:bCs/>
        </w:rPr>
        <w:t>) feel that they have invested significant amounts of time/money in their current residence</w:t>
      </w:r>
      <w:r w:rsidR="00CF4CB1" w:rsidRPr="00B71F92">
        <w:rPr>
          <w:bCs/>
        </w:rPr>
        <w:t xml:space="preserve"> which may be lost </w:t>
      </w:r>
      <w:r w:rsidR="002B1E8B" w:rsidRPr="00B71F92">
        <w:rPr>
          <w:bCs/>
        </w:rPr>
        <w:t xml:space="preserve">when selling during market downturns </w:t>
      </w:r>
      <w:r w:rsidR="00946F6E" w:rsidRPr="00B71F92">
        <w:rPr>
          <w:bCs/>
        </w:rPr>
        <w:fldChar w:fldCharType="begin"/>
      </w:r>
      <w:r w:rsidR="00946F6E" w:rsidRPr="00B71F92">
        <w:rPr>
          <w:bCs/>
        </w:rPr>
        <w:instrText xml:space="preserve"> ADDIN ZOTERO_ITEM CSL_CITATION {"citationID":"32wGMmuy","properties":{"formattedCitation":"(Lamorgese and Pellegrino, 2022)","plainCitation":"(Lamorgese and Pellegrino, 2022)","noteIndex":0},"citationItems":[{"id":4230,"uris":["http://zotero.org/users/12832277/items/QGG23YRE"],"itemData":{"id":4230,"type":"article-journal","abstract":"Loss aversion is considered a driver of downward price rigidity in real estate markets: during downturns – when market price of their house is below the price at which they purchased it – loss averse homeowners do not evaluate their houses at the former one but anchor the resale price to the latter price. As a consequence, prices are sluggish to adjust downward, time to sale becomes longer, ask and transaction prices differ. We document loss aversion for the Italian real estate market and complement the existing literature along two dimensions: (i) we test for loss aversion using homeowners’ evaluations of their houses, rather than ask or final prices, as customary in the literature; (ii) we document variation across household characteristics in the degree of loss aversion. We find that homeowners subject to estimated losses stick to the price at which they purchased and do not revise their assessment in response to downward market conditions, whereas the evaluation of those expecting a gain is independent of previous sale prices. Although there is a strong case for loss aversion in our sample, we document some variation across demographic groups: poorer, younger and less educated households show more reference dependence than the average one.","container-title":"Journal of Housing Economics","DOI":"10.1016/j.jhe.2022.101826","ISSN":"1051-1377","source":"ScienceDirect","title":"Loss Aversion in Housing Appraisal: Evidence from Italian Homeowners","URL":"https://www.sciencedirect.com/science/article/pii/S105113772200002X","volume":"56","author":[{"family":"Lamorgese","given":"Andrea R."},{"family":"Pellegrino","given":"Dario"}],"accessed":{"date-parts":[["2025",3,19]]},"issued":{"date-parts":[["2022",6,1]]}}}],"schema":"https://github.com/citation-style-language/schema/raw/master/csl-citation.json"} </w:instrText>
      </w:r>
      <w:r w:rsidR="00946F6E" w:rsidRPr="00B71F92">
        <w:rPr>
          <w:bCs/>
        </w:rPr>
        <w:fldChar w:fldCharType="separate"/>
      </w:r>
      <w:r w:rsidR="00946F6E" w:rsidRPr="00B71F92">
        <w:t>(Lamorgese and Pellegrino, 2022)</w:t>
      </w:r>
      <w:r w:rsidR="00946F6E" w:rsidRPr="00B71F92">
        <w:rPr>
          <w:bCs/>
        </w:rPr>
        <w:fldChar w:fldCharType="end"/>
      </w:r>
      <w:r w:rsidR="007D2E14" w:rsidRPr="00B71F92">
        <w:rPr>
          <w:b/>
        </w:rPr>
        <w:t xml:space="preserve"> </w:t>
      </w:r>
      <w:r w:rsidR="00AF3D23" w:rsidRPr="00B71F92">
        <w:rPr>
          <w:bCs/>
        </w:rPr>
        <w:t>and (</w:t>
      </w:r>
      <w:r w:rsidR="00F94FEB" w:rsidRPr="00B71F92">
        <w:rPr>
          <w:bCs/>
        </w:rPr>
        <w:t>2</w:t>
      </w:r>
      <w:r w:rsidR="00AF3D23" w:rsidRPr="00B71F92">
        <w:rPr>
          <w:bCs/>
        </w:rPr>
        <w:t xml:space="preserve">) form an emotional attachment to </w:t>
      </w:r>
      <w:r w:rsidR="00366006" w:rsidRPr="00B71F92">
        <w:rPr>
          <w:bCs/>
        </w:rPr>
        <w:t>their specific</w:t>
      </w:r>
      <w:r w:rsidR="00AF3D23" w:rsidRPr="00B71F92">
        <w:rPr>
          <w:bCs/>
        </w:rPr>
        <w:t xml:space="preserve"> dwelling and location</w:t>
      </w:r>
      <w:r w:rsidR="00366006" w:rsidRPr="00B71F92">
        <w:rPr>
          <w:bCs/>
        </w:rPr>
        <w:t xml:space="preserve"> rather than simply its objective characteristics</w:t>
      </w:r>
      <w:r w:rsidR="00AF3D23" w:rsidRPr="00B71F92">
        <w:rPr>
          <w:bCs/>
        </w:rPr>
        <w:t xml:space="preserve"> </w:t>
      </w:r>
      <w:r w:rsidR="001A77B0" w:rsidRPr="00B71F92">
        <w:rPr>
          <w:bCs/>
        </w:rPr>
        <w:fldChar w:fldCharType="begin"/>
      </w:r>
      <w:r w:rsidR="007656C4">
        <w:rPr>
          <w:bCs/>
        </w:rPr>
        <w:instrText xml:space="preserve"> ADDIN ZOTERO_ITEM CSL_CITATION {"citationID":"32QZ3wkG","properties":{"unsorted":true,"formattedCitation":"(Windsong, 2010; Clark et al., 2023; Wegener and Schmidt, 2024)","plainCitation":"(Windsong, 2010; Clark et al., 2023; Wegener and Schmidt, 2024)","noteIndex":0},"citationItems":[{"id":4227,"uris":["http://zotero.org/users/12832277/items/HCSTPAII"],"itemData":{"id":4227,"type":"article-journal","abstract":"Home is a key aspect of place attachment literature and research. However, research on place attachment and home often becomes problematic due to the complexities of home as a concept and, particularly, the conflation of home ownership and home. This paper attempts to disentangle the relationship between home ownership and place attachment drawing on a unique data set. Qualitative data are drawn from in-depth interviews with participants from communes in Southern Colorado. The results highlight how place attachment, particularly feelings of at-homeness, is not synonymous with home ownership. Therefore researchers should be cautious of equating home, home ownership, and place attachment.","container-title":"The Social Science Journal","DOI":"10.1016/j.soscij.2009.06.009","ISSN":"0362-3319","issue":"1","page":"205-214","source":"ScienceDirect","title":"There Is No Place Like Home: Complexities in Exploring Home and Place Attachment","volume":"47","author":[{"family":"Windsong","given":"Elena Ariel"}],"issued":{"date-parts":[["2010",1,1]]}}},{"id":4233,"uris":["http://zotero.org/users/12832277/items/HYJBRIGI"],"itemData":{"id":4233,"type":"article-journal","abstract":"The psychology literature offers substantial evidence suggesting that personality traits are associated with different residential mobility patterns. Our study extends this previous work by examining whether the effects of personality traits on mobility are attenuated by risk aversion and endowment effects. We also investigate whether personality traits exert an indirect influence on mobility through risk aversion and endowment effects. We draw on data from the Household, Income and Labour Dynamics in Australia Survey over the period 2014–2018. We find that openness and extraversion have positive associations with residential mobility, but risk aversion and endowment effects reduce the likelihood of moving. Moreover, risk aversion and endowment effects act as mediators through which openness and extraversion exert an indirect influence on residential mobility. These mediators account for 35 % and 30 % of the total effect on mobility exerted by openness and extraversion respectively. The types of individual differences that matter for residential mobility also vary by sex and age, reflecting the influence of life course contexts on residential mobility outcomes.","container-title":"Personality and Individual Differences","DOI":"10.1016/j.paid.2022.112035","ISSN":"0191-8869","source":"ScienceDirect","title":"Personality Traits, Risk Aversion and Endowment Effects on Residential Mobility Outcomes","URL":"https://www.sciencedirect.com/science/article/pii/S0191886922005402","volume":"203","author":[{"family":"Clark","given":"William A. V."},{"family":"Ong ViforJ","given":"Rachel"},{"family":"Phelps","given":"Christopher"}],"accessed":{"date-parts":[["2025",3,19]]},"issued":{"date-parts":[["2023",3,1]]}}},{"id":5153,"uris":["http://zotero.org/users/12832277/items/AHMX3DJC"],"itemData":{"id":5153,"type":"article-journal","abstract":"In the study of residential satisfaction in architectural design different physical comfort domains have received the most attention. But with this comfort-driven approach, residential satisfaction is reduced to a psychophysical relationship. Adding psychological substance to the design process, the paper argues that a distinction should be made between residential satisfaction and home attachment and that we need to consider home attachment as a mediator variable for comfort. The aim of the paper is to empirically assess whether the mediation, if it exists at all, is partial or complete. Distinguishing different forms of comfort, a set of alternative structural equation models are tested with data from a 14-nation population survey in Europe. The result of the model tests is that our wellbeing at home comes in two forms—satisfaction and attachment—and that there is partial as well as complete mediation of home attachment on satisfaction depending on the kind of comfort studied.","container-title":"Journal of Housing and the Built Environment","DOI":"10.1007/s10901-023-10068-4","ISSN":"1573-7772","issue":"1","language":"en","page":"103-131","source":"Springer Link","title":"Wellbeing at Home: A Mediation Analysis of Residential Satisfaction, Comfort, and Home Attachment","title-short":"Wellbeing at Home","volume":"39","author":[{"family":"Wegener","given":"Bernd A."},{"family":"Schmidt","given":"Peter"}],"issued":{"date-parts":[["2024",3,1]]}}}],"schema":"https://github.com/citation-style-language/schema/raw/master/csl-citation.json"} </w:instrText>
      </w:r>
      <w:r w:rsidR="001A77B0" w:rsidRPr="00B71F92">
        <w:rPr>
          <w:bCs/>
        </w:rPr>
        <w:fldChar w:fldCharType="separate"/>
      </w:r>
      <w:r w:rsidR="007656C4" w:rsidRPr="007656C4">
        <w:t>(Windsong, 2010; Clark et al., 2023; Wegener and Schmidt, 2024)</w:t>
      </w:r>
      <w:r w:rsidR="001A77B0" w:rsidRPr="00B71F92">
        <w:rPr>
          <w:bCs/>
        </w:rPr>
        <w:fldChar w:fldCharType="end"/>
      </w:r>
      <w:r w:rsidR="00AF3D23" w:rsidRPr="00B71F92">
        <w:rPr>
          <w:bCs/>
        </w:rPr>
        <w:t xml:space="preserve">. Thus, </w:t>
      </w:r>
      <w:r w:rsidR="00640E34" w:rsidRPr="00B71F92">
        <w:rPr>
          <w:bCs/>
        </w:rPr>
        <w:t xml:space="preserve">a disconnect </w:t>
      </w:r>
      <w:r w:rsidR="00B93069" w:rsidRPr="00B71F92">
        <w:rPr>
          <w:bCs/>
        </w:rPr>
        <w:t xml:space="preserve">between a family’s housing preferences and current housing situation may not always lead to a residential relocation. </w:t>
      </w:r>
      <w:r w:rsidR="00ED25E7" w:rsidRPr="00B71F92">
        <w:rPr>
          <w:bCs/>
        </w:rPr>
        <w:t xml:space="preserve">On the other hand, even if there is no substantial disconnect between housing preferences and </w:t>
      </w:r>
      <w:r w:rsidR="00632CC9" w:rsidRPr="00B71F92">
        <w:rPr>
          <w:bCs/>
        </w:rPr>
        <w:t xml:space="preserve">the current </w:t>
      </w:r>
      <w:r w:rsidR="00ED25E7" w:rsidRPr="00B71F92">
        <w:rPr>
          <w:bCs/>
        </w:rPr>
        <w:t xml:space="preserve">housing </w:t>
      </w:r>
      <w:r w:rsidR="00632CC9" w:rsidRPr="00B71F92">
        <w:rPr>
          <w:bCs/>
        </w:rPr>
        <w:t>situation</w:t>
      </w:r>
      <w:r w:rsidR="00ED25E7" w:rsidRPr="00B71F92">
        <w:rPr>
          <w:bCs/>
        </w:rPr>
        <w:t xml:space="preserve">, </w:t>
      </w:r>
      <w:r w:rsidR="00ED25E7" w:rsidRPr="00B71F92">
        <w:rPr>
          <w:bCs/>
        </w:rPr>
        <w:lastRenderedPageBreak/>
        <w:t xml:space="preserve">a residential relocation may result because of other reasons such as </w:t>
      </w:r>
      <w:r w:rsidR="006C2894" w:rsidRPr="00B71F92">
        <w:rPr>
          <w:bCs/>
        </w:rPr>
        <w:t xml:space="preserve">(1) immediate triggers that force a relocation (such as a job </w:t>
      </w:r>
      <w:r w:rsidR="00E455AF" w:rsidRPr="00B71F92">
        <w:rPr>
          <w:bCs/>
        </w:rPr>
        <w:t>joss</w:t>
      </w:r>
      <w:r w:rsidR="006C2894" w:rsidRPr="00B71F92">
        <w:rPr>
          <w:bCs/>
        </w:rPr>
        <w:t xml:space="preserve"> or eviction), </w:t>
      </w:r>
      <w:r w:rsidR="00E455AF" w:rsidRPr="00B71F92">
        <w:rPr>
          <w:bCs/>
        </w:rPr>
        <w:t xml:space="preserve">(2) similar immediate triggers that </w:t>
      </w:r>
      <w:r w:rsidR="00073839" w:rsidRPr="00B71F92">
        <w:rPr>
          <w:bCs/>
        </w:rPr>
        <w:t xml:space="preserve">prompt a </w:t>
      </w:r>
      <w:r w:rsidR="002C2749" w:rsidRPr="00B71F92">
        <w:rPr>
          <w:bCs/>
        </w:rPr>
        <w:t xml:space="preserve">reactive but more </w:t>
      </w:r>
      <w:r w:rsidR="00073839" w:rsidRPr="00B71F92">
        <w:rPr>
          <w:bCs/>
        </w:rPr>
        <w:t xml:space="preserve">voluntary reevaluation of the </w:t>
      </w:r>
      <w:r w:rsidR="00DF735C" w:rsidRPr="00B71F92">
        <w:rPr>
          <w:bCs/>
        </w:rPr>
        <w:t>family’s</w:t>
      </w:r>
      <w:r w:rsidR="00073839" w:rsidRPr="00B71F92">
        <w:rPr>
          <w:bCs/>
        </w:rPr>
        <w:t xml:space="preserve"> living situation (such as a new job opportunity</w:t>
      </w:r>
      <w:r w:rsidR="00B86782" w:rsidRPr="00B71F92">
        <w:rPr>
          <w:bCs/>
        </w:rPr>
        <w:t xml:space="preserve"> or a broader change in economic conditions making new housing options available), or</w:t>
      </w:r>
      <w:r w:rsidR="00073839" w:rsidRPr="00B71F92">
        <w:rPr>
          <w:bCs/>
        </w:rPr>
        <w:t xml:space="preserve"> </w:t>
      </w:r>
      <w:r w:rsidR="006C2894" w:rsidRPr="00B71F92">
        <w:rPr>
          <w:bCs/>
        </w:rPr>
        <w:t>(</w:t>
      </w:r>
      <w:r w:rsidR="00B86782" w:rsidRPr="00B71F92">
        <w:rPr>
          <w:bCs/>
        </w:rPr>
        <w:t>3</w:t>
      </w:r>
      <w:r w:rsidR="006C2894" w:rsidRPr="00B71F92">
        <w:rPr>
          <w:bCs/>
        </w:rPr>
        <w:t>)</w:t>
      </w:r>
      <w:r w:rsidR="006374C4" w:rsidRPr="00B71F92">
        <w:rPr>
          <w:bCs/>
        </w:rPr>
        <w:t xml:space="preserve"> </w:t>
      </w:r>
      <w:r w:rsidR="002C2749" w:rsidRPr="00B71F92">
        <w:rPr>
          <w:bCs/>
        </w:rPr>
        <w:t xml:space="preserve">proactive </w:t>
      </w:r>
      <w:r w:rsidR="006C2894" w:rsidRPr="00B71F92">
        <w:rPr>
          <w:bCs/>
        </w:rPr>
        <w:t>long-term planning process</w:t>
      </w:r>
      <w:r w:rsidR="006374C4" w:rsidRPr="00B71F92">
        <w:rPr>
          <w:bCs/>
        </w:rPr>
        <w:t>es</w:t>
      </w:r>
      <w:r w:rsidR="006C2894" w:rsidRPr="00B71F92">
        <w:rPr>
          <w:bCs/>
        </w:rPr>
        <w:t xml:space="preserve"> that involve </w:t>
      </w:r>
      <w:r w:rsidR="00FB4F97" w:rsidRPr="00B71F92">
        <w:rPr>
          <w:bCs/>
        </w:rPr>
        <w:t xml:space="preserve">anticipating </w:t>
      </w:r>
      <w:r w:rsidR="00DB052C" w:rsidRPr="00B71F92">
        <w:rPr>
          <w:bCs/>
        </w:rPr>
        <w:t xml:space="preserve">dramatic changes to housing needs at specific future times and planning relocations to meet these needs </w:t>
      </w:r>
      <w:r w:rsidR="006C2894" w:rsidRPr="00B71F92">
        <w:rPr>
          <w:bCs/>
        </w:rPr>
        <w:t xml:space="preserve">(such as planning a move to a larger home </w:t>
      </w:r>
      <w:r w:rsidR="00D07266" w:rsidRPr="00B71F92">
        <w:rPr>
          <w:bCs/>
        </w:rPr>
        <w:t>immediately before or after</w:t>
      </w:r>
      <w:r w:rsidR="006C2894" w:rsidRPr="00B71F92">
        <w:rPr>
          <w:bCs/>
        </w:rPr>
        <w:t xml:space="preserve"> children are born or downsizing after retirement)</w:t>
      </w:r>
      <w:r w:rsidR="007F7251" w:rsidRPr="00B71F92">
        <w:rPr>
          <w:bCs/>
        </w:rPr>
        <w:t xml:space="preserve"> </w:t>
      </w:r>
      <w:r w:rsidR="007F7251" w:rsidRPr="00B71F92">
        <w:rPr>
          <w:bCs/>
        </w:rPr>
        <w:fldChar w:fldCharType="begin"/>
      </w:r>
      <w:r w:rsidR="0068413E">
        <w:rPr>
          <w:bCs/>
        </w:rPr>
        <w:instrText xml:space="preserve"> ADDIN ZOTERO_ITEM CSL_CITATION {"citationID":"PORxwl7o","properties":{"formattedCitation":"(Mulder and Hooimeijer, 1999; Pagani et al., 2021)","plainCitation":"(Mulder and Hooimeijer, 1999; Pagani et al., 2021)","noteIndex":0},"citationItems":[{"id":4135,"uris":["http://zotero.org/users/12832277/items/VNQJK2VJ"],"itemData":{"id":4135,"type":"chapter","abstract":"The life course perspective has proved to be a powerful instrument in developing a general theoretical framework to interpret a variety of phenomena pertaining to residential relocation. The first phenomenon is that relocations are instrumental to goals arising from a specific life course trajectory or “career”. It is important to distinguish between moves triggered by the educational career, the labor career, the family career and the housing career. The second phenomenon is that even those careers that are not the actual trigger for the move, are still pertinent to the relocation decision. These other careers condition the decision by providing the resources for the move and by imposing restrictions on geographical mobility. The third phenomenon is that residential relocation, which has a positive effect on the triggering career, can have a detrimental effect on other careers or on the careers of other household members. The attractiveness of the life course perspective is that it allows for feedback effects between these phenomena, thereby improving the understanding of relocation behavior.","container-title":"Population Issues: An Interdisciplinary Focus","event-place":"Dordrecht","ISBN":"978-94-011-4389-9","language":"en","note":"DOI: 10.1007/978-94-011-4389-9_6","page":"159-186","publisher":"Springer Netherlands","publisher-place":"Dordrecht","source":"Springer Link","title":"Residential Relocations in the Life Course","URL":"https://doi.org/10.1007/978-94-011-4389-9_6","author":[{"family":"Mulder","given":"Clara H."},{"family":"Hooimeijer","given":"Pieter"}],"editor":[{"family":"Wissen","given":"Leo J. G.","non-dropping-particle":"van"},{"family":"Dykstra","given":"Pearl A."}],"accessed":{"date-parts":[["2025",2,12]]},"issued":{"date-parts":[["1999"]]}}},{"id":5159,"uris":["http://zotero.org/users/12832277/items/89VM5VUN"],"itemData":{"id":5159,"type":"article-journal","abstract":"The interaction between residential preferences and dwellings is a complex system whose function thus far remains insufficiently explored. In this paper, we investigate housing functions as orchestrators of households’ residential mobility in the context of Swiss rental housing. We propose a theoretical multi-step model and use survey data from 878 Swiss tenants to inspect the model’s linkages. From the statistical analysis, we firstly observe that tenants’ residential satisfaction is more likely to increase when the gap between ideal housing functions and those actually fulfilled by the current dwelling decreases. Secondly, results show that the effectiveness of an event (e.g. a job opportunity) in triggering the move is significantly related to both residential satisfaction and the functions the dwelling fulfils prior to the trigger. Thirdly, findings show that these trigger events can be grouped into three types: radical change, problem-solving and opportunity. With a medium effect size, a radical change was found to bring about the strongest change in housing functions between past and current dwellings. Lastly, in line with the hypothesis that residential preferences vary over the life course, socio-demographic characteristics and tenancy types are found to be significant explanatory variables for households’ ideal housing functions. By disentangling the complexity of the housing system, the proposed multi-step model can be used to integrate households’ preferences with supply-side constraints in agent-based model simulations, thereby contributing to fostering the provision of quality housing, i.e. dwellings able to meet the needs of current and future occupants.","container-title":"Journal of Housing and the Built Environment","DOI":"10.1007/s10901-021-09874-5","ISSN":"1573-7772","issue":"4","language":"en","page":"1417-1456","source":"Springer Link","title":"Tenants’ Residential Mobility in Switzerland: The Role of Housing Functions","title-short":"Tenants’ Residential Mobility in Switzerland","volume":"36","author":[{"family":"Pagani","given":"Anna"},{"family":"Baur","given":"Ivo"},{"family":"Binder","given":"Claudia R."}],"issued":{"date-parts":[["2021",12,1]]}}}],"schema":"https://github.com/citation-style-language/schema/raw/master/csl-citation.json"} </w:instrText>
      </w:r>
      <w:r w:rsidR="007F7251" w:rsidRPr="00B71F92">
        <w:rPr>
          <w:bCs/>
        </w:rPr>
        <w:fldChar w:fldCharType="separate"/>
      </w:r>
      <w:r w:rsidR="0068413E" w:rsidRPr="0068413E">
        <w:t>(</w:t>
      </w:r>
      <w:r w:rsidR="0068413E">
        <w:t xml:space="preserve">see </w:t>
      </w:r>
      <w:r w:rsidR="0068413E" w:rsidRPr="0068413E">
        <w:t>Mulder and Hooimeijer, 1999; Pagani et al., 2021)</w:t>
      </w:r>
      <w:r w:rsidR="007F7251" w:rsidRPr="00B71F92">
        <w:rPr>
          <w:bCs/>
        </w:rPr>
        <w:fldChar w:fldCharType="end"/>
      </w:r>
      <w:r w:rsidR="00B86782" w:rsidRPr="00B71F92">
        <w:rPr>
          <w:bCs/>
        </w:rPr>
        <w:t xml:space="preserve">. </w:t>
      </w:r>
      <w:r w:rsidR="00ED25E7" w:rsidRPr="00B71F92">
        <w:rPr>
          <w:bCs/>
        </w:rPr>
        <w:t>Of course, the above reasons can also be at play alongside any existing gap between housing preferences and housing conditions.</w:t>
      </w:r>
    </w:p>
    <w:p w14:paraId="5DEE7F17" w14:textId="108F0573" w:rsidR="00392F04" w:rsidRPr="00B71F92" w:rsidRDefault="00632CC9" w:rsidP="008404B6">
      <w:pPr>
        <w:spacing w:after="0" w:line="240" w:lineRule="auto"/>
        <w:ind w:firstLine="720"/>
        <w:jc w:val="both"/>
        <w:rPr>
          <w:bCs/>
        </w:rPr>
      </w:pPr>
      <w:r w:rsidRPr="00B71F92">
        <w:rPr>
          <w:bCs/>
        </w:rPr>
        <w:t>Overall, then</w:t>
      </w:r>
      <w:r w:rsidR="003640D1" w:rsidRPr="00B71F92">
        <w:rPr>
          <w:bCs/>
        </w:rPr>
        <w:t xml:space="preserve">, rather than conceptualizing a residential relocation as resulting </w:t>
      </w:r>
      <w:r w:rsidR="008568DB" w:rsidRPr="00B71F92">
        <w:rPr>
          <w:bCs/>
        </w:rPr>
        <w:t xml:space="preserve">solely </w:t>
      </w:r>
      <w:r w:rsidR="003640D1" w:rsidRPr="00B71F92">
        <w:rPr>
          <w:bCs/>
        </w:rPr>
        <w:t>from an accumulation of</w:t>
      </w:r>
      <w:r w:rsidRPr="00B71F92">
        <w:rPr>
          <w:bCs/>
        </w:rPr>
        <w:t xml:space="preserve"> discord between preferences and the current housing </w:t>
      </w:r>
      <w:r w:rsidR="00E07815" w:rsidRPr="00B71F92">
        <w:rPr>
          <w:bCs/>
        </w:rPr>
        <w:t>situation or</w:t>
      </w:r>
      <w:r w:rsidRPr="00B71F92">
        <w:rPr>
          <w:bCs/>
        </w:rPr>
        <w:t xml:space="preserve"> </w:t>
      </w:r>
      <w:r w:rsidR="003640D1" w:rsidRPr="00B71F92">
        <w:rPr>
          <w:bCs/>
        </w:rPr>
        <w:t>changing needs</w:t>
      </w:r>
      <w:r w:rsidRPr="00B71F92">
        <w:rPr>
          <w:bCs/>
        </w:rPr>
        <w:t>/</w:t>
      </w:r>
      <w:r w:rsidR="003640D1" w:rsidRPr="00B71F92">
        <w:rPr>
          <w:bCs/>
        </w:rPr>
        <w:t xml:space="preserve">preferences (whether motivated by external factors or by changing characteristics of the occupants), it is important to consider the broad set of factors that may interact to </w:t>
      </w:r>
      <w:r w:rsidR="00371391" w:rsidRPr="00B71F92">
        <w:rPr>
          <w:bCs/>
        </w:rPr>
        <w:t>motivate</w:t>
      </w:r>
      <w:r w:rsidR="003640D1" w:rsidRPr="00B71F92">
        <w:rPr>
          <w:bCs/>
        </w:rPr>
        <w:t xml:space="preserve"> a residential relocation. Specifically, </w:t>
      </w:r>
      <w:r w:rsidR="00CF75E6" w:rsidRPr="00B71F92">
        <w:rPr>
          <w:bCs/>
        </w:rPr>
        <w:t xml:space="preserve">we conceptualize the issue of residential mobility using Gidden’s </w:t>
      </w:r>
      <w:r w:rsidR="00CF75E6" w:rsidRPr="00B71F92">
        <w:rPr>
          <w:bCs/>
        </w:rPr>
        <w:fldChar w:fldCharType="begin"/>
      </w:r>
      <w:r w:rsidR="00CF75E6" w:rsidRPr="00B71F92">
        <w:rPr>
          <w:bCs/>
        </w:rPr>
        <w:instrText xml:space="preserve"> ADDIN ZOTERO_ITEM CSL_CITATION {"citationID":"ifXQP53y","properties":{"unsorted":true,"formattedCitation":"(1979, 1984)","plainCitation":"(1979, 1984)","noteIndex":0},"citationItems":[{"id":4086,"uris":["http://zotero.org/users/12832277/items/4C2VZZH3"],"itemData":{"id":4086,"type":"book","abstract":"In this new and brilliantly organized book of essays, Anthony Giddens discusses three main theoretical traditions in social science that cut across the division between Marxist and non-Marxist sociology: interpretive sociology, functionalism, and structuralism.\n            Beginning with a critical examination of the importance of structuralism for contemporary sociology, the author develops a comprehensive account of what he calls \"the theory of structuration.\" One of the main themes is that social theory must recognize, as it has not done hitherto, that all social actors are knowledgeable about the social systems they produce and reproduce in their conduct. In order to grasp the significance of this, he argues, we have to reconsider some of the most basic concepts in sociology.\n            In particular, Giddens argues, it is essential to recognize the significance of time-space relations in social theory. He rejects the distinction between synchrony and diachrony, or statics and dynamics, involved in both structuralism and functionalism, and offers extensive critical commentary on the latter as an approach to sociology.\n            The book, which can be described as a \"non-functionalist manifesto,\" breaks with the three main theoretical traditions in the social sciences today while retaining the significant contributions each contains. In so doing Giddens discusses a range of fundamental problem areas in the social sciences: power and domination, conflict and contradiction, and social transformation. He concludes with an overall appraisal of the key problems in social theory today.","edition":"1","ISBN":"978-1-350-36288-8","license":"http://www.springer.com/tdm","note":"DOI: 10.1007/978-1-349-16161-4","publisher":"Bloomsbury Publishing Plc","source":"DOI.org (Crossref)","title":"Central Problems in Social Theory: Action, Structure and Contradiction in Social Analysis","URL":"https://www.bloomsburycollections.com/monograph?docid=b-9781350362888","author":[{"family":"Giddens","given":"Anthony"}],"accessed":{"date-parts":[["2025",2,2]]},"issued":{"date-parts":[["1979"]]}},"label":"page","suppress-author":true},{"id":4089,"uris":["http://zotero.org/users/12832277/items/9IWAU697"],"itemData":{"id":4089,"type":"book","abstract":"Anthony Giddens has been in the forefront of developments in social theory for the past decade. In \"The Constitution of Society\" he outlines the distinctive position he has evolved during that period and offers a full statement of a major new perspective in social thought, a synthesis and elaboration of ideas touched on in previous works but described here for the first time in an integrated and comprehensive form. A particular feature is Giddens's concern to connect abstract problems of theory to an interpretation of the nature of empirical method in the social sciences. In presenting his own ideas, Giddens mounts a critical attack on some of the more orthodox sociological views. \"The Constitution of Society\" is an invaluable reference book for all those concerned with the basic issues in contemporary social theory.","ISBN":"978-0-520-05292-5","language":"en","note":"Google-Books-ID: x2bf4g9Z6ZwC","number-of-pages":"448","publisher":"University of California Press","source":"Google Books","title":"The Constitution of Society: Outline of the Theory of Structuration","title-short":"The Constitution of Society","author":[{"family":"Giddens","given":"Anthony"}],"issued":{"date-parts":[["1984"]]}},"label":"page","suppress-author":true}],"schema":"https://github.com/citation-style-language/schema/raw/master/csl-citation.json"} </w:instrText>
      </w:r>
      <w:r w:rsidR="00CF75E6" w:rsidRPr="00B71F92">
        <w:rPr>
          <w:bCs/>
        </w:rPr>
        <w:fldChar w:fldCharType="separate"/>
      </w:r>
      <w:r w:rsidR="00CF75E6" w:rsidRPr="00B71F92">
        <w:t>(1979, 1984)</w:t>
      </w:r>
      <w:r w:rsidR="00CF75E6" w:rsidRPr="00B71F92">
        <w:rPr>
          <w:bCs/>
        </w:rPr>
        <w:fldChar w:fldCharType="end"/>
      </w:r>
      <w:r w:rsidR="00CF75E6" w:rsidRPr="00B71F92">
        <w:rPr>
          <w:b/>
        </w:rPr>
        <w:t xml:space="preserve"> </w:t>
      </w:r>
      <w:r w:rsidR="00CF75E6" w:rsidRPr="00B71F92">
        <w:rPr>
          <w:bCs/>
        </w:rPr>
        <w:t>structuration theory, accommodating the interactions between broad institutional factors that influence residential mobility and the needs of individual households which together influence these housing decisions. A key component of structuration theory is a duality where individual actions are influenced by social structures and the social context under which they are made, while</w:t>
      </w:r>
      <w:r w:rsidRPr="00B71F92">
        <w:rPr>
          <w:bCs/>
        </w:rPr>
        <w:t>,</w:t>
      </w:r>
      <w:r w:rsidR="00CF75E6" w:rsidRPr="00B71F92">
        <w:rPr>
          <w:bCs/>
        </w:rPr>
        <w:t xml:space="preserve"> concurrently, individuals display agency through their actions to produce social structures themselves </w:t>
      </w:r>
      <w:r w:rsidR="00CF75E6" w:rsidRPr="00B71F92">
        <w:rPr>
          <w:bCs/>
        </w:rPr>
        <w:fldChar w:fldCharType="begin"/>
      </w:r>
      <w:r w:rsidR="00CF75E6" w:rsidRPr="00B71F92">
        <w:rPr>
          <w:bCs/>
        </w:rPr>
        <w:instrText xml:space="preserve"> ADDIN ZOTERO_ITEM CSL_CITATION {"citationID":"l802Vp9b","properties":{"formattedCitation":"(Giddens, 1984)","plainCitation":"(Giddens, 1984)","noteIndex":0},"citationItems":[{"id":4089,"uris":["http://zotero.org/users/12832277/items/9IWAU697"],"itemData":{"id":4089,"type":"book","abstract":"Anthony Giddens has been in the forefront of developments in social theory for the past decade. In \"The Constitution of Society\" he outlines the distinctive position he has evolved during that period and offers a full statement of a major new perspective in social thought, a synthesis and elaboration of ideas touched on in previous works but described here for the first time in an integrated and comprehensive form. A particular feature is Giddens's concern to connect abstract problems of theory to an interpretation of the nature of empirical method in the social sciences. In presenting his own ideas, Giddens mounts a critical attack on some of the more orthodox sociological views. \"The Constitution of Society\" is an invaluable reference book for all those concerned with the basic issues in contemporary social theory.","ISBN":"978-0-520-05292-5","language":"en","note":"Google-Books-ID: x2bf4g9Z6ZwC","number-of-pages":"448","publisher":"University of California Press","source":"Google Books","title":"The Constitution of Society: Outline of the Theory of Structuration","title-short":"The Constitution of Society","author":[{"family":"Giddens","given":"Anthony"}],"issued":{"date-parts":[["1984"]]}}}],"schema":"https://github.com/citation-style-language/schema/raw/master/csl-citation.json"} </w:instrText>
      </w:r>
      <w:r w:rsidR="00CF75E6" w:rsidRPr="00B71F92">
        <w:rPr>
          <w:bCs/>
        </w:rPr>
        <w:fldChar w:fldCharType="separate"/>
      </w:r>
      <w:r w:rsidR="00CF75E6" w:rsidRPr="00B71F92">
        <w:t>(Giddens, 1984)</w:t>
      </w:r>
      <w:r w:rsidR="00CF75E6" w:rsidRPr="00B71F92">
        <w:rPr>
          <w:bCs/>
        </w:rPr>
        <w:fldChar w:fldCharType="end"/>
      </w:r>
      <w:r w:rsidR="00CF75E6" w:rsidRPr="00B71F92">
        <w:rPr>
          <w:bCs/>
        </w:rPr>
        <w:t xml:space="preserve">. This can be clearly </w:t>
      </w:r>
      <w:r w:rsidR="00751B06" w:rsidRPr="00B71F92">
        <w:rPr>
          <w:bCs/>
        </w:rPr>
        <w:t>observed</w:t>
      </w:r>
      <w:r w:rsidR="00CF75E6" w:rsidRPr="00B71F92">
        <w:rPr>
          <w:bCs/>
        </w:rPr>
        <w:t xml:space="preserve"> in the context of housing choices, where relocation decisions may be driven by structural forces (including changing economic or cultural conditions)</w:t>
      </w:r>
      <w:r w:rsidR="00751B06" w:rsidRPr="00B71F92">
        <w:rPr>
          <w:bCs/>
        </w:rPr>
        <w:t>,</w:t>
      </w:r>
      <w:r w:rsidR="00CF75E6" w:rsidRPr="00B71F92">
        <w:rPr>
          <w:bCs/>
        </w:rPr>
        <w:t xml:space="preserve"> </w:t>
      </w:r>
      <w:r w:rsidR="00366006" w:rsidRPr="00B71F92">
        <w:rPr>
          <w:bCs/>
        </w:rPr>
        <w:t xml:space="preserve">which is one source </w:t>
      </w:r>
      <w:r w:rsidR="00EF1227" w:rsidRPr="00B71F92">
        <w:rPr>
          <w:bCs/>
        </w:rPr>
        <w:t>that motivates</w:t>
      </w:r>
      <w:r w:rsidR="00366006" w:rsidRPr="00B71F92">
        <w:rPr>
          <w:bCs/>
        </w:rPr>
        <w:t xml:space="preserve"> relocations, </w:t>
      </w:r>
      <w:r w:rsidR="00CF75E6" w:rsidRPr="00B71F92">
        <w:rPr>
          <w:bCs/>
        </w:rPr>
        <w:t>but families also display agency by responding to their own changing needs (including in response to life course events or employment changes)</w:t>
      </w:r>
      <w:r w:rsidR="00797DEA" w:rsidRPr="00B71F92">
        <w:rPr>
          <w:bCs/>
        </w:rPr>
        <w:t xml:space="preserve"> or addressing these </w:t>
      </w:r>
      <w:r w:rsidR="00EF1227" w:rsidRPr="00B71F92">
        <w:rPr>
          <w:bCs/>
        </w:rPr>
        <w:t>changing conditions</w:t>
      </w:r>
      <w:r w:rsidR="00797DEA" w:rsidRPr="00B71F92">
        <w:rPr>
          <w:bCs/>
        </w:rPr>
        <w:t xml:space="preserve"> in ways other than relocation </w:t>
      </w:r>
      <w:r w:rsidR="00B27DE4" w:rsidRPr="00B71F92">
        <w:rPr>
          <w:bCs/>
        </w:rPr>
        <w:fldChar w:fldCharType="begin"/>
      </w:r>
      <w:r w:rsidR="00D57387" w:rsidRPr="00B71F92">
        <w:rPr>
          <w:bCs/>
        </w:rPr>
        <w:instrText xml:space="preserve"> ADDIN ZOTERO_ITEM CSL_CITATION {"citationID":"0rYBR86M","properties":{"formattedCitation":"(Duque-Calvache et al., 2021; Waldron, 2024)","plainCitation":"(Duque-Calvache et al., 2021; Waldron, 2024)","noteIndex":0},"citationItems":[{"id":4125,"uris":["http://zotero.org/users/12832277/items/2BNY9ZZY"],"itemData":{"id":4125,"type":"article-journal","abstract":"The movement of individuals across territories has been shown to be a primary vector of COVID-19 transmission. As a result, lockdown policies have been decreed in many countries to stop the spread of the disease. Using information from an online survey conducted in Spain, we found a significant number of residential moves made in response to the lockdown. The current context has created new triggers for residential mobility: economic problems, feelings of fear and loneliness, the search for better housing and situations in which to spend the lockdown, and the need to be cared for and to care for others. This paper analyses the residential changes that occurred in Spain during the 2020 lockdown and the later de-escalation period, focusing on movement triggers, motivations and destinations. The results show how residential mobility changes, but also persists even when restricted, fuelled by the conditions of each social group, both pre-existing and generated by the new situation.","container-title":"European Societies","DOI":"10.1080/14616696.2020.1836386","ISSN":"1461-6696","note":"publisher: Routledge\n_eprint: https://doi.org/10.1080/14616696.2020.1836386","page":"S759-S776","source":"Taylor and Francis+NEJM","title":"Lockdown and Adaptation: Residential Mobility in Spain During the COVID-19 Crisis","volume":"23","author":[{"family":"Duque-Calvache","given":"Ricardo"},{"family":"Torrado","given":"José Manuel"},{"family":"Mesa-Pedrazas","given":"Ángela"}],"issued":{"date-parts":[["2021",2,19]]}}},{"id":4236,"uris":["http://zotero.org/users/12832277/items/9ZDVYBIV"],"itemData":{"id":4236,"type":"article-journal","abstract":"Across advanced economies, a new generation of renters are confronting a suite of social and economic precarities with respect to housing, employment and welfare. Unaffordable rents, insecure tenancies and poor-quality accommodation are emblematic of these contemporary insecurities. However, the experiences of such renters and their responses to housing hardships remain under-explored in the Generation Rent literature. Drawing on a qualitative study (n = 28) of renters from Dublin (Ireland), this paper examines the ways people develop coping strategies to respond to their housing difficulties, or at least minimise their adverse effects. The analysis shows that young renters are far from passive victims. Even though they faced significant pressures regarding housing affordability, security, quality and access, they worked hard to maintain their homes. The findings illustrate how people respond to difficult housing circumstances by adopting a range of expenditure, employment and housing-related responses. It also shows how such experiences impact upon social identity, family relations and psycho-social health.","container-title":"Housing Studies","DOI":"10.1080/02673037.2021.2022606","ISSN":"0267-3037","issue":"1","note":"publisher: Routledge\n_eprint: https://doi.org/10.1080/02673037.2021.2022606","page":"124-145","source":"Taylor and Francis+NEJM","title":"Responding to Housing Precarity: The Coping Strategies of Generation Rent","volume":"39","author":[{"family":"Waldron","given":"Richard"}],"issued":{"date-parts":[["2024",1,2]]}}}],"schema":"https://github.com/citation-style-language/schema/raw/master/csl-citation.json"} </w:instrText>
      </w:r>
      <w:r w:rsidR="00B27DE4" w:rsidRPr="00B71F92">
        <w:rPr>
          <w:bCs/>
        </w:rPr>
        <w:fldChar w:fldCharType="separate"/>
      </w:r>
      <w:r w:rsidR="00D57387" w:rsidRPr="00B71F92">
        <w:t>(Duque-Calvache et al., 2021; Waldron, 2024)</w:t>
      </w:r>
      <w:r w:rsidR="00B27DE4" w:rsidRPr="00B71F92">
        <w:rPr>
          <w:bCs/>
        </w:rPr>
        <w:fldChar w:fldCharType="end"/>
      </w:r>
      <w:r w:rsidR="00366006" w:rsidRPr="00B71F92">
        <w:rPr>
          <w:bCs/>
        </w:rPr>
        <w:t xml:space="preserve">. </w:t>
      </w:r>
      <w:r w:rsidR="009536B1" w:rsidRPr="00B71F92">
        <w:rPr>
          <w:bCs/>
        </w:rPr>
        <w:t xml:space="preserve">Thus, </w:t>
      </w:r>
      <w:r w:rsidR="00BA2CA3" w:rsidRPr="00B71F92">
        <w:rPr>
          <w:bCs/>
        </w:rPr>
        <w:t>rather than conceptualizing relocations as resulting directly from a mismatch between housing preferences and existing housing circumstances</w:t>
      </w:r>
      <w:r w:rsidR="000A16EF" w:rsidRPr="00B71F92">
        <w:rPr>
          <w:bCs/>
        </w:rPr>
        <w:t xml:space="preserve"> or </w:t>
      </w:r>
      <w:r w:rsidR="00C57723" w:rsidRPr="00B71F92">
        <w:rPr>
          <w:bCs/>
        </w:rPr>
        <w:t>simply as a direct response to structural housing conditions</w:t>
      </w:r>
      <w:r w:rsidR="00BA2CA3" w:rsidRPr="00B71F92">
        <w:rPr>
          <w:bCs/>
        </w:rPr>
        <w:t>, structuration theory would suggest that households</w:t>
      </w:r>
      <w:r w:rsidR="001F4C7D" w:rsidRPr="00B71F92">
        <w:rPr>
          <w:bCs/>
        </w:rPr>
        <w:t xml:space="preserve"> navigate their own preferences</w:t>
      </w:r>
      <w:r w:rsidR="00392F04" w:rsidRPr="00B71F92">
        <w:rPr>
          <w:bCs/>
        </w:rPr>
        <w:t xml:space="preserve"> and long-term goals</w:t>
      </w:r>
      <w:r w:rsidR="001F4C7D" w:rsidRPr="00B71F92">
        <w:rPr>
          <w:bCs/>
        </w:rPr>
        <w:t xml:space="preserve"> in the context of continuously changing needs and evolving housing markets </w:t>
      </w:r>
      <w:r w:rsidR="007924C3" w:rsidRPr="00B71F92">
        <w:rPr>
          <w:bCs/>
        </w:rPr>
        <w:t xml:space="preserve">by </w:t>
      </w:r>
      <w:r w:rsidRPr="00B71F92">
        <w:rPr>
          <w:bCs/>
        </w:rPr>
        <w:t>m</w:t>
      </w:r>
      <w:r w:rsidR="00B5324B" w:rsidRPr="00B71F92">
        <w:rPr>
          <w:bCs/>
        </w:rPr>
        <w:t xml:space="preserve">aking specific </w:t>
      </w:r>
      <w:r w:rsidRPr="00B71F92">
        <w:rPr>
          <w:bCs/>
        </w:rPr>
        <w:t xml:space="preserve">housing decisions </w:t>
      </w:r>
      <w:r w:rsidR="001F608F" w:rsidRPr="00B71F92">
        <w:rPr>
          <w:bCs/>
        </w:rPr>
        <w:t>as dictated by</w:t>
      </w:r>
      <w:r w:rsidRPr="00B71F92">
        <w:rPr>
          <w:bCs/>
        </w:rPr>
        <w:t xml:space="preserve"> </w:t>
      </w:r>
      <w:r w:rsidR="00437A5E" w:rsidRPr="00B71F92">
        <w:rPr>
          <w:bCs/>
        </w:rPr>
        <w:t>structural changes or major life events</w:t>
      </w:r>
      <w:r w:rsidR="008D026E" w:rsidRPr="00B71F92">
        <w:rPr>
          <w:bCs/>
        </w:rPr>
        <w:t xml:space="preserve">. </w:t>
      </w:r>
    </w:p>
    <w:p w14:paraId="52BA35BA" w14:textId="70F8B219" w:rsidR="00FB0656" w:rsidRPr="00B71F92" w:rsidRDefault="00632CC9" w:rsidP="00392F04">
      <w:pPr>
        <w:spacing w:after="0" w:line="240" w:lineRule="auto"/>
        <w:ind w:firstLine="720"/>
        <w:jc w:val="both"/>
        <w:rPr>
          <w:bCs/>
        </w:rPr>
      </w:pPr>
      <w:r w:rsidRPr="00B71F92">
        <w:rPr>
          <w:bCs/>
        </w:rPr>
        <w:t xml:space="preserve">From a broader urban landscape standpoint, and </w:t>
      </w:r>
      <w:r w:rsidR="007747C7" w:rsidRPr="00B71F92">
        <w:rPr>
          <w:bCs/>
        </w:rPr>
        <w:t xml:space="preserve">as </w:t>
      </w:r>
      <w:r w:rsidRPr="00B71F92">
        <w:rPr>
          <w:bCs/>
        </w:rPr>
        <w:t xml:space="preserve">also </w:t>
      </w:r>
      <w:r w:rsidR="007747C7" w:rsidRPr="00B71F92">
        <w:rPr>
          <w:bCs/>
        </w:rPr>
        <w:t xml:space="preserve">suggested by structuration theory, </w:t>
      </w:r>
      <w:r w:rsidRPr="00B71F92">
        <w:rPr>
          <w:bCs/>
        </w:rPr>
        <w:t>household</w:t>
      </w:r>
      <w:r w:rsidR="004D59C4" w:rsidRPr="00B71F92">
        <w:rPr>
          <w:bCs/>
        </w:rPr>
        <w:t xml:space="preserve">-level </w:t>
      </w:r>
      <w:r w:rsidRPr="00B71F92">
        <w:rPr>
          <w:bCs/>
        </w:rPr>
        <w:t xml:space="preserve">relocation motivations and </w:t>
      </w:r>
      <w:r w:rsidR="004D59C4" w:rsidRPr="00B71F92">
        <w:rPr>
          <w:bCs/>
        </w:rPr>
        <w:t>decisions</w:t>
      </w:r>
      <w:r w:rsidRPr="00B71F92">
        <w:rPr>
          <w:bCs/>
        </w:rPr>
        <w:t>, as just discussed,</w:t>
      </w:r>
      <w:r w:rsidR="004D59C4" w:rsidRPr="00B71F92">
        <w:rPr>
          <w:bCs/>
        </w:rPr>
        <w:t xml:space="preserve"> themselves influence those of surrounding households, shaping the </w:t>
      </w:r>
      <w:r w:rsidR="007D4707" w:rsidRPr="00B71F92">
        <w:rPr>
          <w:bCs/>
        </w:rPr>
        <w:t xml:space="preserve">economic and social </w:t>
      </w:r>
      <w:r w:rsidR="004D59C4" w:rsidRPr="00B71F92">
        <w:rPr>
          <w:bCs/>
        </w:rPr>
        <w:t>conditions of the local environment and housing market</w:t>
      </w:r>
      <w:r w:rsidR="0067269C" w:rsidRPr="00B71F92">
        <w:rPr>
          <w:bCs/>
        </w:rPr>
        <w:t xml:space="preserve"> </w:t>
      </w:r>
      <w:r w:rsidR="0067269C" w:rsidRPr="00B71F92">
        <w:rPr>
          <w:bCs/>
        </w:rPr>
        <w:fldChar w:fldCharType="begin"/>
      </w:r>
      <w:r w:rsidR="00DA3720">
        <w:rPr>
          <w:bCs/>
        </w:rPr>
        <w:instrText xml:space="preserve"> ADDIN ZOTERO_ITEM CSL_CITATION {"citationID":"0Hhq0N0o","properties":{"formattedCitation":"(Jones and Dantzler, 2021; Sadeghlou and Emami, 2023)","plainCitation":"(Jones and Dantzler, 2021; Sadeghlou and Emami, 2023)","noteIndex":0},"citationItems":[{"id":4133,"uris":["http://zotero.org/users/12832277/items/PJESQRXJ"],"itemData":{"id":4133,"type":"article-journal","abstract":"This paper considers the ways in which neighbourhood perceptions can differentially affect residential mobility, particularly in low-income areas. Given the long history of understanding the relationship between neighbourhood context and residential mobility, this study includes measures of satisfaction, safety, decay and neighbourly agency to understand mobility. Using data from the Making Connections Initiative, this paper uses a unique panel survey across neighbourhoods in 10 US cities undergoing spatial and/or demographic transitions to analyse the extent to which neighbourhood perceptions are associated with residential mobility. By employing a multilevel structural equation model, the study accounts for neighbourhood perceptions, neighbourhood demographics and mobility risk over time. The results show that perceptions of neighbourhood context matter more than the actual neighbourhood setting. These findings highlight the continued importance of subjective rather than objective measures of neighbourhood conditions in understanding residential mobility.","container-title":"Urban Studies","DOI":"10.1177/0042098020916440","ISSN":"0042-0980","issue":"9","language":"en","note":"publisher: SAGE Publications Ltd","page":"1792-1810","source":"SAGE Journals","title":"Neighbourhood Perceptions and Residential Mobility","volume":"58","author":[{"family":"Jones","given":"Antwan"},{"family":"Dantzler","given":"Prentiss"}],"issued":{"date-parts":[["2021",7,1]]}}},{"id":5155,"uris":["http://zotero.org/users/12832277/items/CTPMIKGQ"],"itemData":{"id":5155,"type":"article-journal","abstract":"Despite the sizable literature on residential preferences in recent years, underlying motivational factors have been lacking attention, especially at the value level. Further, traditional questionnaire-based methods fail to explicate stated preferences as the subjective aspect of residential satisfaction; thus, filling these gaps calls for novel research methods. Applying the Means-End Chain theory (MEC), Hierarchical Value Map (HVM) and laddering technique, the current study aimed to grasp how residents prefer various housing attributes to achieve functional and psycho-social consequences and how these consequences are associated with their values. The obtained HVMs identified six key MECs in two levels of the house and neighborhood from the interviews conducted with 60 residents in Gonbad Kavoos, Iran. The findings demonstrated that the respondents attached much significance to the attributes of dwelling size, number of bedrooms, green yard, single-family house, neighborhood management and neighborhood reputation to achieve the values of benevolence, hedonism, achievement, power and security in six key MECs. Plus, the results indicated how social-economic groups differ in choosing the MECs. The article’s findings contribute to understanding the intrinsic motivation of residential preferences and housing choices by addressing the residents’ cognitive structures and meanings. The paper’s empirical findings and some discussions on residential environments can be beneficial for housing designers as well as policymakers. Moreover, the paper discusses the theoretical expansion of residential satisfaction by addressing cultural values.","container-title":"Journal of Housing and the Built Environment","DOI":"10.1007/s10901-023-10017-1","ISSN":"1573-7772","issue":"3","language":"en","page":"1711-1734","source":"Springer Link","title":"Residential Preferences and Satisfaction: A Qualitative Study Using Means-End Chain Theory","volume":"38","author":[{"family":"Sadeghlou","given":"Sheyda"},{"family":"Emami","given":"Ali"}],"issued":{"date-parts":[["2023",9,1]]}}}],"schema":"https://github.com/citation-style-language/schema/raw/master/csl-citation.json"} </w:instrText>
      </w:r>
      <w:r w:rsidR="0067269C" w:rsidRPr="00B71F92">
        <w:rPr>
          <w:bCs/>
        </w:rPr>
        <w:fldChar w:fldCharType="separate"/>
      </w:r>
      <w:r w:rsidR="00DA3720" w:rsidRPr="00DA3720">
        <w:t>(Jones and Dantzler, 2021; Sadeghlou and Emami, 2023)</w:t>
      </w:r>
      <w:r w:rsidR="0067269C" w:rsidRPr="00B71F92">
        <w:rPr>
          <w:bCs/>
        </w:rPr>
        <w:fldChar w:fldCharType="end"/>
      </w:r>
      <w:r w:rsidR="004D59C4" w:rsidRPr="00B71F92">
        <w:rPr>
          <w:bCs/>
        </w:rPr>
        <w:t xml:space="preserve">. </w:t>
      </w:r>
      <w:r w:rsidR="00AB465B" w:rsidRPr="00B71F92">
        <w:rPr>
          <w:bCs/>
        </w:rPr>
        <w:t xml:space="preserve">For instance, a growth in demand for housing in a specific area, due to the aggregate decisions of families choosing to move to an area with specific characteristics, will influence the transportation system by causing increased </w:t>
      </w:r>
      <w:r w:rsidR="00C60172" w:rsidRPr="00B71F92">
        <w:rPr>
          <w:bCs/>
        </w:rPr>
        <w:t xml:space="preserve">travel </w:t>
      </w:r>
      <w:r w:rsidR="00AB465B" w:rsidRPr="00B71F92">
        <w:rPr>
          <w:bCs/>
        </w:rPr>
        <w:t xml:space="preserve">demand </w:t>
      </w:r>
      <w:r w:rsidR="00C60172" w:rsidRPr="00B71F92">
        <w:rPr>
          <w:bCs/>
        </w:rPr>
        <w:t>for trip production</w:t>
      </w:r>
      <w:r w:rsidR="00D71B94" w:rsidRPr="00B71F92">
        <w:rPr>
          <w:bCs/>
        </w:rPr>
        <w:t>s</w:t>
      </w:r>
      <w:r w:rsidR="00C60172" w:rsidRPr="00B71F92">
        <w:rPr>
          <w:bCs/>
        </w:rPr>
        <w:t xml:space="preserve"> from that area</w:t>
      </w:r>
      <w:r w:rsidR="00F94D08" w:rsidRPr="00B71F92">
        <w:rPr>
          <w:bCs/>
        </w:rPr>
        <w:t>. This change will influence traffic patterns and travel times</w:t>
      </w:r>
      <w:r w:rsidR="009523D1" w:rsidRPr="00B71F92">
        <w:rPr>
          <w:bCs/>
        </w:rPr>
        <w:t xml:space="preserve">, affecting the lifestyles of other families in that neighborhood and the surrounding area, and influencing their </w:t>
      </w:r>
      <w:r w:rsidR="00116BBA" w:rsidRPr="00B71F92">
        <w:rPr>
          <w:bCs/>
        </w:rPr>
        <w:t xml:space="preserve">downstream transportation and housing decisions. </w:t>
      </w:r>
      <w:r w:rsidR="00CB553B" w:rsidRPr="00B71F92">
        <w:rPr>
          <w:bCs/>
        </w:rPr>
        <w:t>Th</w:t>
      </w:r>
      <w:r w:rsidR="00A06158" w:rsidRPr="00B71F92">
        <w:rPr>
          <w:bCs/>
        </w:rPr>
        <w:t>ese</w:t>
      </w:r>
      <w:r w:rsidR="00CB553B" w:rsidRPr="00B71F92">
        <w:rPr>
          <w:bCs/>
        </w:rPr>
        <w:t xml:space="preserve"> </w:t>
      </w:r>
      <w:r w:rsidR="00A152BC" w:rsidRPr="00B71F92">
        <w:rPr>
          <w:bCs/>
        </w:rPr>
        <w:t>cyclical changes</w:t>
      </w:r>
      <w:r w:rsidR="00CB553B" w:rsidRPr="00B71F92">
        <w:rPr>
          <w:bCs/>
        </w:rPr>
        <w:t xml:space="preserve"> may </w:t>
      </w:r>
      <w:r w:rsidR="00AE11F4" w:rsidRPr="00B71F92">
        <w:rPr>
          <w:bCs/>
        </w:rPr>
        <w:t>cause</w:t>
      </w:r>
      <w:r w:rsidR="00CB553B" w:rsidRPr="00B71F92">
        <w:rPr>
          <w:bCs/>
        </w:rPr>
        <w:t xml:space="preserve"> a</w:t>
      </w:r>
      <w:r w:rsidR="00A152BC" w:rsidRPr="00B71F92">
        <w:rPr>
          <w:bCs/>
        </w:rPr>
        <w:t>dditional</w:t>
      </w:r>
      <w:r w:rsidR="00CB553B" w:rsidRPr="00B71F92">
        <w:rPr>
          <w:bCs/>
        </w:rPr>
        <w:t xml:space="preserve"> household</w:t>
      </w:r>
      <w:r w:rsidR="00A152BC" w:rsidRPr="00B71F92">
        <w:rPr>
          <w:bCs/>
        </w:rPr>
        <w:t>s</w:t>
      </w:r>
      <w:r w:rsidR="00CB553B" w:rsidRPr="00B71F92">
        <w:rPr>
          <w:bCs/>
        </w:rPr>
        <w:t xml:space="preserve"> to reevaluate their housing circumstances</w:t>
      </w:r>
      <w:r w:rsidR="002C717E" w:rsidRPr="00B71F92">
        <w:rPr>
          <w:bCs/>
        </w:rPr>
        <w:t>;</w:t>
      </w:r>
      <w:r w:rsidR="00CB553B" w:rsidRPr="00B71F92">
        <w:rPr>
          <w:bCs/>
        </w:rPr>
        <w:t xml:space="preserve"> but t</w:t>
      </w:r>
      <w:r w:rsidR="00366006" w:rsidRPr="00B71F92">
        <w:rPr>
          <w:bCs/>
        </w:rPr>
        <w:t xml:space="preserve">he presence of </w:t>
      </w:r>
      <w:r w:rsidR="00AE11F4" w:rsidRPr="00B71F92">
        <w:rPr>
          <w:bCs/>
        </w:rPr>
        <w:t>such conditions</w:t>
      </w:r>
      <w:r w:rsidR="00366006" w:rsidRPr="00B71F92">
        <w:rPr>
          <w:bCs/>
        </w:rPr>
        <w:t xml:space="preserve"> does not necessitate a move, </w:t>
      </w:r>
      <w:r w:rsidR="00E31FAF" w:rsidRPr="00B71F92">
        <w:rPr>
          <w:bCs/>
        </w:rPr>
        <w:t xml:space="preserve">as some households will find various other approaches to </w:t>
      </w:r>
      <w:r w:rsidRPr="00B71F92">
        <w:rPr>
          <w:bCs/>
        </w:rPr>
        <w:t>address/resolve</w:t>
      </w:r>
      <w:r w:rsidR="00E31FAF" w:rsidRPr="00B71F92">
        <w:rPr>
          <w:bCs/>
        </w:rPr>
        <w:t xml:space="preserve"> the effects of these </w:t>
      </w:r>
      <w:r w:rsidR="006A7AC5" w:rsidRPr="00B71F92">
        <w:rPr>
          <w:bCs/>
        </w:rPr>
        <w:t>situations</w:t>
      </w:r>
      <w:r w:rsidR="008E1154" w:rsidRPr="00B71F92">
        <w:rPr>
          <w:bCs/>
        </w:rPr>
        <w:t xml:space="preserve"> </w:t>
      </w:r>
      <w:r w:rsidR="00E773A0" w:rsidRPr="00B71F92">
        <w:rPr>
          <w:bCs/>
        </w:rPr>
        <w:fldChar w:fldCharType="begin"/>
      </w:r>
      <w:r w:rsidR="00E773A0" w:rsidRPr="00B71F92">
        <w:rPr>
          <w:bCs/>
        </w:rPr>
        <w:instrText xml:space="preserve"> ADDIN ZOTERO_ITEM CSL_CITATION {"citationID":"3U6Gavt1","properties":{"formattedCitation":"(Waldron, 2024)","plainCitation":"(Waldron, 2024)","noteIndex":0},"citationItems":[{"id":4236,"uris":["http://zotero.org/users/12832277/items/9ZDVYBIV"],"itemData":{"id":4236,"type":"article-journal","abstract":"Across advanced economies, a new generation of renters are confronting a suite of social and economic precarities with respect to housing, employment and welfare. Unaffordable rents, insecure tenancies and poor-quality accommodation are emblematic of these contemporary insecurities. However, the experiences of such renters and their responses to housing hardships remain under-explored in the Generation Rent literature. Drawing on a qualitative study (n = 28) of renters from Dublin (Ireland), this paper examines the ways people develop coping strategies to respond to their housing difficulties, or at least minimise their adverse effects. The analysis shows that young renters are far from passive victims. Even though they faced significant pressures regarding housing affordability, security, quality and access, they worked hard to maintain their homes. The findings illustrate how people respond to difficult housing circumstances by adopting a range of expenditure, employment and housing-related responses. It also shows how such experiences impact upon social identity, family relations and psycho-social health.","container-title":"Housing Studies","DOI":"10.1080/02673037.2021.2022606","ISSN":"0267-3037","issue":"1","note":"publisher: Routledge\n_eprint: https://doi.org/10.1080/02673037.2021.2022606","page":"124-145","source":"Taylor and Francis+NEJM","title":"Responding to Housing Precarity: The Coping Strategies of Generation Rent","volume":"39","author":[{"family":"Waldron","given":"Richard"}],"issued":{"date-parts":[["2024",1,2]]}}}],"schema":"https://github.com/citation-style-language/schema/raw/master/csl-citation.json"} </w:instrText>
      </w:r>
      <w:r w:rsidR="00E773A0" w:rsidRPr="00B71F92">
        <w:rPr>
          <w:bCs/>
        </w:rPr>
        <w:fldChar w:fldCharType="separate"/>
      </w:r>
      <w:r w:rsidR="00E773A0" w:rsidRPr="00B71F92">
        <w:t>(Waldron, 2024)</w:t>
      </w:r>
      <w:r w:rsidR="00E773A0" w:rsidRPr="00B71F92">
        <w:rPr>
          <w:bCs/>
        </w:rPr>
        <w:fldChar w:fldCharType="end"/>
      </w:r>
      <w:r w:rsidR="00CB553B" w:rsidRPr="00B71F92">
        <w:rPr>
          <w:bCs/>
        </w:rPr>
        <w:t xml:space="preserve">. Instead, </w:t>
      </w:r>
      <w:r w:rsidR="003E2EB7" w:rsidRPr="00B71F92">
        <w:rPr>
          <w:bCs/>
        </w:rPr>
        <w:t>such structural/institutional factors</w:t>
      </w:r>
      <w:r w:rsidR="00E31FAF" w:rsidRPr="00B71F92">
        <w:rPr>
          <w:bCs/>
        </w:rPr>
        <w:t xml:space="preserve"> </w:t>
      </w:r>
      <w:r w:rsidR="00366006" w:rsidRPr="00B71F92">
        <w:rPr>
          <w:bCs/>
        </w:rPr>
        <w:t xml:space="preserve">may contribute alongside other factors as individuals </w:t>
      </w:r>
      <w:r w:rsidR="00DC5A20" w:rsidRPr="00B71F92">
        <w:rPr>
          <w:bCs/>
        </w:rPr>
        <w:t xml:space="preserve">continually evaluate </w:t>
      </w:r>
      <w:r w:rsidR="00366006" w:rsidRPr="00B71F92">
        <w:rPr>
          <w:bCs/>
        </w:rPr>
        <w:t xml:space="preserve">their </w:t>
      </w:r>
      <w:r w:rsidR="004D59C4" w:rsidRPr="00B71F92">
        <w:rPr>
          <w:bCs/>
        </w:rPr>
        <w:t>own</w:t>
      </w:r>
      <w:r w:rsidR="00366006" w:rsidRPr="00B71F92">
        <w:rPr>
          <w:bCs/>
        </w:rPr>
        <w:t xml:space="preserve"> needs </w:t>
      </w:r>
      <w:r w:rsidR="00DC5A20" w:rsidRPr="00B71F92">
        <w:rPr>
          <w:bCs/>
        </w:rPr>
        <w:t xml:space="preserve">within the context of </w:t>
      </w:r>
      <w:r w:rsidRPr="00B71F92">
        <w:rPr>
          <w:bCs/>
        </w:rPr>
        <w:t xml:space="preserve">prevailing </w:t>
      </w:r>
      <w:r w:rsidR="00366006" w:rsidRPr="00B71F92">
        <w:rPr>
          <w:bCs/>
        </w:rPr>
        <w:t>housing market</w:t>
      </w:r>
      <w:r w:rsidR="000E7A24" w:rsidRPr="00B71F92">
        <w:rPr>
          <w:bCs/>
        </w:rPr>
        <w:t xml:space="preserve"> </w:t>
      </w:r>
      <w:r w:rsidRPr="00B71F92">
        <w:rPr>
          <w:bCs/>
        </w:rPr>
        <w:t xml:space="preserve">conditions </w:t>
      </w:r>
      <w:r w:rsidR="000E7A24" w:rsidRPr="00B71F92">
        <w:rPr>
          <w:bCs/>
        </w:rPr>
        <w:t>as both change over time</w:t>
      </w:r>
      <w:r w:rsidR="00366006" w:rsidRPr="00B71F92">
        <w:rPr>
          <w:bCs/>
        </w:rPr>
        <w:t>.</w:t>
      </w:r>
      <w:r w:rsidR="000D41EC" w:rsidRPr="00B71F92">
        <w:rPr>
          <w:bCs/>
        </w:rPr>
        <w:t xml:space="preserve"> For instance, a family may have a long-term plan to </w:t>
      </w:r>
      <w:r w:rsidR="000D41EC" w:rsidRPr="00B71F92">
        <w:rPr>
          <w:bCs/>
        </w:rPr>
        <w:lastRenderedPageBreak/>
        <w:t xml:space="preserve">move from a current apartment to a single-family home when they have children, a proactive relocation process based on their own (anticipated) changing needs </w:t>
      </w:r>
      <w:r w:rsidR="006A7AC5" w:rsidRPr="00B71F92">
        <w:rPr>
          <w:bCs/>
        </w:rPr>
        <w:t xml:space="preserve">and preferences </w:t>
      </w:r>
      <w:r w:rsidR="000D41EC" w:rsidRPr="00B71F92">
        <w:rPr>
          <w:bCs/>
        </w:rPr>
        <w:t xml:space="preserve">over time. However, they may still be influenced, around the time of the intended move, by the conditions of the housing market that may cause them to relocate before their child is born or delay their relocation until later, as they react to these changing conditions over this period. </w:t>
      </w:r>
      <w:r w:rsidR="005539FE" w:rsidRPr="00B71F92">
        <w:rPr>
          <w:bCs/>
        </w:rPr>
        <w:t xml:space="preserve">This framework is depicted in Figure 1, where four major mechanisms are shown that influence the residential relocation decision: (1) proactive planning processes, (2) </w:t>
      </w:r>
      <w:r w:rsidR="00D81893" w:rsidRPr="00B71F92">
        <w:rPr>
          <w:bCs/>
        </w:rPr>
        <w:t xml:space="preserve">disconnects between housing preferences and housing situations, (3) </w:t>
      </w:r>
      <w:r w:rsidR="00F65074" w:rsidRPr="00B71F92">
        <w:rPr>
          <w:bCs/>
        </w:rPr>
        <w:t>triggered reevaluations of housing situations, and (4) forced relocations. Each of these four reasons is classified as proactive or reactive</w:t>
      </w:r>
      <w:r w:rsidR="00726043" w:rsidRPr="00B71F92">
        <w:rPr>
          <w:bCs/>
        </w:rPr>
        <w:t xml:space="preserve"> and </w:t>
      </w:r>
      <w:r w:rsidR="008616AB" w:rsidRPr="00B71F92">
        <w:rPr>
          <w:bCs/>
        </w:rPr>
        <w:t xml:space="preserve">by </w:t>
      </w:r>
      <w:r w:rsidR="00726043" w:rsidRPr="00B71F92">
        <w:rPr>
          <w:bCs/>
        </w:rPr>
        <w:t xml:space="preserve">the extent of the agency that households have when navigating relocations motivated by each reason. </w:t>
      </w:r>
      <w:r w:rsidR="004B107A" w:rsidRPr="00B71F92">
        <w:rPr>
          <w:bCs/>
        </w:rPr>
        <w:t xml:space="preserve">Finally, while it is possible that each of these may alone lead to a relocation (see the black arrows connecting each reason to the residential relocation outcome), the discussion </w:t>
      </w:r>
      <w:r w:rsidR="006D0B75" w:rsidRPr="00B71F92">
        <w:rPr>
          <w:bCs/>
        </w:rPr>
        <w:t xml:space="preserve">of structuration theory </w:t>
      </w:r>
      <w:r w:rsidR="004B107A" w:rsidRPr="00B71F92">
        <w:rPr>
          <w:bCs/>
        </w:rPr>
        <w:t xml:space="preserve">above highlights that </w:t>
      </w:r>
      <w:r w:rsidR="00A800B4" w:rsidRPr="00B71F92">
        <w:rPr>
          <w:bCs/>
        </w:rPr>
        <w:t>households are jointly influenced by multiple mechanisms</w:t>
      </w:r>
      <w:r w:rsidR="006C0CC7" w:rsidRPr="00B71F92">
        <w:rPr>
          <w:bCs/>
        </w:rPr>
        <w:t xml:space="preserve">. </w:t>
      </w:r>
    </w:p>
    <w:p w14:paraId="3505F5DA" w14:textId="19A00086" w:rsidR="00AA01A2" w:rsidRPr="00B71F92" w:rsidRDefault="00C5451F" w:rsidP="008404B6">
      <w:pPr>
        <w:spacing w:after="0" w:line="240" w:lineRule="auto"/>
        <w:ind w:firstLine="720"/>
        <w:jc w:val="both"/>
        <w:rPr>
          <w:bCs/>
        </w:rPr>
      </w:pPr>
      <w:r w:rsidRPr="00B71F92">
        <w:rPr>
          <w:bCs/>
        </w:rPr>
        <w:t>Thus, i</w:t>
      </w:r>
      <w:r w:rsidR="00AA01A2" w:rsidRPr="00B71F92">
        <w:rPr>
          <w:bCs/>
        </w:rPr>
        <w:t xml:space="preserve">n </w:t>
      </w:r>
      <w:r w:rsidR="004D59C4" w:rsidRPr="00B71F92">
        <w:rPr>
          <w:bCs/>
        </w:rPr>
        <w:t>the current</w:t>
      </w:r>
      <w:r w:rsidR="00AA01A2" w:rsidRPr="00B71F92">
        <w:rPr>
          <w:bCs/>
        </w:rPr>
        <w:t xml:space="preserve"> paper, </w:t>
      </w:r>
      <w:r w:rsidRPr="00B71F92">
        <w:rPr>
          <w:bCs/>
        </w:rPr>
        <w:t xml:space="preserve">we </w:t>
      </w:r>
      <w:r w:rsidR="00A72302" w:rsidRPr="00B71F92">
        <w:rPr>
          <w:bCs/>
        </w:rPr>
        <w:t>us</w:t>
      </w:r>
      <w:r w:rsidRPr="00B71F92">
        <w:rPr>
          <w:bCs/>
        </w:rPr>
        <w:t>e</w:t>
      </w:r>
      <w:r w:rsidR="00A72302" w:rsidRPr="00B71F92">
        <w:rPr>
          <w:bCs/>
        </w:rPr>
        <w:t xml:space="preserve"> the framework of structuration theory</w:t>
      </w:r>
      <w:r w:rsidRPr="00B71F92">
        <w:rPr>
          <w:bCs/>
        </w:rPr>
        <w:t xml:space="preserve"> to</w:t>
      </w:r>
      <w:r w:rsidR="00A72302" w:rsidRPr="00B71F92">
        <w:rPr>
          <w:bCs/>
        </w:rPr>
        <w:t xml:space="preserve"> explore residential relocation</w:t>
      </w:r>
      <w:r w:rsidR="0056022A" w:rsidRPr="00B71F92">
        <w:rPr>
          <w:bCs/>
        </w:rPr>
        <w:t xml:space="preserve"> decisions</w:t>
      </w:r>
      <w:r w:rsidR="000C4B10" w:rsidRPr="00B71F92">
        <w:rPr>
          <w:bCs/>
        </w:rPr>
        <w:t xml:space="preserve">, </w:t>
      </w:r>
      <w:r w:rsidR="0056022A" w:rsidRPr="00B71F92">
        <w:rPr>
          <w:bCs/>
        </w:rPr>
        <w:t xml:space="preserve">the range of motivating factors </w:t>
      </w:r>
      <w:r w:rsidR="00FB0656" w:rsidRPr="00B71F92">
        <w:rPr>
          <w:bCs/>
        </w:rPr>
        <w:t>(</w:t>
      </w:r>
      <w:r w:rsidR="0002300A" w:rsidRPr="00B71F92">
        <w:rPr>
          <w:bCs/>
        </w:rPr>
        <w:t>including</w:t>
      </w:r>
      <w:r w:rsidR="00FB0656" w:rsidRPr="00B71F92">
        <w:rPr>
          <w:bCs/>
        </w:rPr>
        <w:t xml:space="preserve"> </w:t>
      </w:r>
      <w:r w:rsidR="0002300A" w:rsidRPr="00B71F92">
        <w:rPr>
          <w:bCs/>
        </w:rPr>
        <w:t xml:space="preserve">those originating internally and externally) </w:t>
      </w:r>
      <w:r w:rsidR="0056022A" w:rsidRPr="00B71F92">
        <w:rPr>
          <w:bCs/>
        </w:rPr>
        <w:t xml:space="preserve">that </w:t>
      </w:r>
      <w:r w:rsidR="000C4B10" w:rsidRPr="00B71F92">
        <w:rPr>
          <w:bCs/>
        </w:rPr>
        <w:t xml:space="preserve">may serve to </w:t>
      </w:r>
      <w:r w:rsidR="00FB0656" w:rsidRPr="00B71F92">
        <w:rPr>
          <w:bCs/>
        </w:rPr>
        <w:t>influence</w:t>
      </w:r>
      <w:r w:rsidR="0056022A" w:rsidRPr="00B71F92">
        <w:rPr>
          <w:bCs/>
        </w:rPr>
        <w:t xml:space="preserve"> relocations</w:t>
      </w:r>
      <w:r w:rsidR="00930436" w:rsidRPr="00B71F92">
        <w:rPr>
          <w:bCs/>
        </w:rPr>
        <w:t>, and the ways that this decision process has changed over the last several years in response to changing conditions in the housing market</w:t>
      </w:r>
      <w:r w:rsidR="00A72302" w:rsidRPr="00B71F92">
        <w:rPr>
          <w:bCs/>
        </w:rPr>
        <w:t>.</w:t>
      </w:r>
      <w:r w:rsidR="0056022A" w:rsidRPr="00B71F92">
        <w:rPr>
          <w:bCs/>
        </w:rPr>
        <w:t xml:space="preserve"> </w:t>
      </w:r>
      <w:r w:rsidR="004D59C4" w:rsidRPr="00B71F92">
        <w:rPr>
          <w:bCs/>
        </w:rPr>
        <w:t>W</w:t>
      </w:r>
      <w:r w:rsidR="003C1B43" w:rsidRPr="00B71F92">
        <w:rPr>
          <w:bCs/>
        </w:rPr>
        <w:t xml:space="preserve">e examine the </w:t>
      </w:r>
      <w:r w:rsidR="002F4AF8" w:rsidRPr="00B71F92">
        <w:rPr>
          <w:bCs/>
        </w:rPr>
        <w:t xml:space="preserve">decision to relocate and specific </w:t>
      </w:r>
      <w:r w:rsidR="00661BB0" w:rsidRPr="00B71F92">
        <w:rPr>
          <w:bCs/>
        </w:rPr>
        <w:t xml:space="preserve">reasons for relocation among different households based on </w:t>
      </w:r>
      <w:r w:rsidR="00374694" w:rsidRPr="00B71F92">
        <w:rPr>
          <w:bCs/>
        </w:rPr>
        <w:t xml:space="preserve">demographic characteristics and life cycle stages. </w:t>
      </w:r>
      <w:r w:rsidR="007510DC" w:rsidRPr="00B71F92">
        <w:rPr>
          <w:bCs/>
        </w:rPr>
        <w:t xml:space="preserve">In recognition </w:t>
      </w:r>
      <w:r w:rsidR="00DE4253" w:rsidRPr="00B71F92">
        <w:rPr>
          <w:bCs/>
        </w:rPr>
        <w:t>of the broad set of preferences and conditions</w:t>
      </w:r>
      <w:r w:rsidR="00291BFD" w:rsidRPr="00B71F92">
        <w:rPr>
          <w:bCs/>
        </w:rPr>
        <w:t xml:space="preserve"> that interact to </w:t>
      </w:r>
      <w:r w:rsidR="00DE4253" w:rsidRPr="00B71F92">
        <w:rPr>
          <w:bCs/>
        </w:rPr>
        <w:t xml:space="preserve">motivate </w:t>
      </w:r>
      <w:r w:rsidR="002F4AF8" w:rsidRPr="00B71F92">
        <w:rPr>
          <w:bCs/>
        </w:rPr>
        <w:t xml:space="preserve">residential </w:t>
      </w:r>
      <w:r w:rsidR="00DE4253" w:rsidRPr="00B71F92">
        <w:rPr>
          <w:bCs/>
        </w:rPr>
        <w:t>relocations through each of the mechanisms described above</w:t>
      </w:r>
      <w:r w:rsidR="00E54294" w:rsidRPr="00B71F92">
        <w:rPr>
          <w:bCs/>
        </w:rPr>
        <w:t xml:space="preserve">, we include a set of </w:t>
      </w:r>
      <w:r w:rsidR="00BE4C9A" w:rsidRPr="00B71F92">
        <w:rPr>
          <w:bCs/>
        </w:rPr>
        <w:t>eleven</w:t>
      </w:r>
      <w:r w:rsidR="00E54294" w:rsidRPr="00B71F92">
        <w:rPr>
          <w:bCs/>
        </w:rPr>
        <w:t xml:space="preserve"> reasons for relocation together in a joint</w:t>
      </w:r>
      <w:r w:rsidR="009D36DE" w:rsidRPr="00B71F92">
        <w:rPr>
          <w:bCs/>
        </w:rPr>
        <w:t xml:space="preserve"> binary </w:t>
      </w:r>
      <w:proofErr w:type="spellStart"/>
      <w:r w:rsidR="009D36DE" w:rsidRPr="00B71F92">
        <w:rPr>
          <w:bCs/>
        </w:rPr>
        <w:t>probit</w:t>
      </w:r>
      <w:proofErr w:type="spellEnd"/>
      <w:r w:rsidR="009D36DE" w:rsidRPr="00B71F92">
        <w:rPr>
          <w:bCs/>
        </w:rPr>
        <w:t xml:space="preserve"> model. </w:t>
      </w:r>
      <w:r w:rsidR="004D59C4" w:rsidRPr="00B71F92">
        <w:rPr>
          <w:bCs/>
        </w:rPr>
        <w:t xml:space="preserve">These include </w:t>
      </w:r>
      <w:r w:rsidR="00DC5A20" w:rsidRPr="00B71F92">
        <w:rPr>
          <w:bCs/>
        </w:rPr>
        <w:t xml:space="preserve">alterations to household composition that influence housing needs, specific changes to housing needs and preferences, triggered reevaluations of housing due to economic and financial changes in the broader housing market or changes to the local neighborhood, and </w:t>
      </w:r>
      <w:r w:rsidR="004D59C4" w:rsidRPr="00B71F92">
        <w:rPr>
          <w:bCs/>
        </w:rPr>
        <w:t>forced relocation</w:t>
      </w:r>
      <w:r w:rsidR="00DC5A20" w:rsidRPr="00B71F92">
        <w:rPr>
          <w:bCs/>
        </w:rPr>
        <w:t>s</w:t>
      </w:r>
      <w:r w:rsidR="00063EAD" w:rsidRPr="00B71F92">
        <w:rPr>
          <w:bCs/>
        </w:rPr>
        <w:t xml:space="preserve">. </w:t>
      </w:r>
      <w:r w:rsidR="009D36DE" w:rsidRPr="00B71F92">
        <w:rPr>
          <w:bCs/>
        </w:rPr>
        <w:t xml:space="preserve">Further, </w:t>
      </w:r>
      <w:r w:rsidR="005749F4" w:rsidRPr="00B71F92">
        <w:rPr>
          <w:bCs/>
        </w:rPr>
        <w:t xml:space="preserve">as these relocation decisions </w:t>
      </w:r>
      <w:r w:rsidR="00987DC8" w:rsidRPr="00B71F92">
        <w:rPr>
          <w:bCs/>
        </w:rPr>
        <w:t xml:space="preserve">are influenced by </w:t>
      </w:r>
      <w:r w:rsidR="00FF15EC" w:rsidRPr="00B71F92">
        <w:rPr>
          <w:bCs/>
        </w:rPr>
        <w:t xml:space="preserve">continuously evolving </w:t>
      </w:r>
      <w:r w:rsidR="007A656A" w:rsidRPr="00B71F92">
        <w:rPr>
          <w:bCs/>
        </w:rPr>
        <w:t xml:space="preserve">socioeconomic conditions, we consider how the motivations for relocation have changed over </w:t>
      </w:r>
      <w:r w:rsidR="00FF15EC" w:rsidRPr="00B71F92">
        <w:rPr>
          <w:bCs/>
        </w:rPr>
        <w:t xml:space="preserve">time. </w:t>
      </w:r>
      <w:r w:rsidR="00BD6BBC" w:rsidRPr="00B71F92">
        <w:rPr>
          <w:bCs/>
        </w:rPr>
        <w:t xml:space="preserve">Using data from the Puget Sound Regional </w:t>
      </w:r>
      <w:r w:rsidR="00AC6277" w:rsidRPr="00B71F92">
        <w:rPr>
          <w:bCs/>
        </w:rPr>
        <w:t>Household Travel</w:t>
      </w:r>
      <w:r w:rsidR="00BD6BBC" w:rsidRPr="00B71F92">
        <w:rPr>
          <w:bCs/>
        </w:rPr>
        <w:t xml:space="preserve"> Survey </w:t>
      </w:r>
      <w:r w:rsidR="001F7EF5" w:rsidRPr="00B71F92">
        <w:rPr>
          <w:bCs/>
        </w:rPr>
        <w:t xml:space="preserve">collected in 2019, 2021, and 2023, we explore the reasons for relocation </w:t>
      </w:r>
      <w:r w:rsidR="00325070" w:rsidRPr="00B71F92">
        <w:rPr>
          <w:bCs/>
        </w:rPr>
        <w:t>among</w:t>
      </w:r>
      <w:r w:rsidR="0026199B" w:rsidRPr="00B71F92">
        <w:rPr>
          <w:bCs/>
        </w:rPr>
        <w:t xml:space="preserve"> those moving in </w:t>
      </w:r>
      <w:r w:rsidR="00AC6277" w:rsidRPr="00B71F92">
        <w:rPr>
          <w:bCs/>
        </w:rPr>
        <w:t>the</w:t>
      </w:r>
      <w:r w:rsidR="0026199B" w:rsidRPr="00B71F92">
        <w:rPr>
          <w:bCs/>
        </w:rPr>
        <w:t xml:space="preserve"> 2-year period </w:t>
      </w:r>
      <w:r w:rsidR="00AC6277" w:rsidRPr="00B71F92">
        <w:rPr>
          <w:bCs/>
        </w:rPr>
        <w:t xml:space="preserve">prior to each survey wave </w:t>
      </w:r>
      <w:r w:rsidR="00292A1D" w:rsidRPr="00B71F92">
        <w:rPr>
          <w:bCs/>
        </w:rPr>
        <w:t xml:space="preserve">and investigate </w:t>
      </w:r>
      <w:r w:rsidR="00D44753" w:rsidRPr="00B71F92">
        <w:rPr>
          <w:bCs/>
        </w:rPr>
        <w:t>how these reasons have evolved</w:t>
      </w:r>
      <w:r w:rsidR="007A4407" w:rsidRPr="00B71F92">
        <w:rPr>
          <w:bCs/>
        </w:rPr>
        <w:t xml:space="preserve"> over time</w:t>
      </w:r>
      <w:r w:rsidR="00D44753" w:rsidRPr="00B71F92">
        <w:rPr>
          <w:bCs/>
        </w:rPr>
        <w:t xml:space="preserve">. </w:t>
      </w:r>
    </w:p>
    <w:p w14:paraId="283F5971" w14:textId="27A36C1A" w:rsidR="00024249" w:rsidRDefault="002E50DA" w:rsidP="008404B6">
      <w:pPr>
        <w:spacing w:after="0" w:line="240" w:lineRule="auto"/>
        <w:ind w:firstLine="720"/>
        <w:jc w:val="both"/>
        <w:rPr>
          <w:bCs/>
        </w:rPr>
      </w:pPr>
      <w:r w:rsidRPr="00B71F92">
        <w:rPr>
          <w:bCs/>
        </w:rPr>
        <w:t xml:space="preserve">The rest of the paper is organized as follows. Section 2 provides an overview of relevant literature regarding the process of residential relocation and the reasons motivating residential moves. Section 3 describes the characteristics of the sample used and the modeling methodology employed. The model estimation </w:t>
      </w:r>
      <w:r w:rsidR="000D3369" w:rsidRPr="00B71F92">
        <w:rPr>
          <w:bCs/>
        </w:rPr>
        <w:t>results,</w:t>
      </w:r>
      <w:r w:rsidRPr="00B71F92">
        <w:rPr>
          <w:bCs/>
        </w:rPr>
        <w:t xml:space="preserve"> and goodness of fit measures</w:t>
      </w:r>
      <w:r w:rsidR="000D3369" w:rsidRPr="00B71F92">
        <w:rPr>
          <w:bCs/>
        </w:rPr>
        <w:t>,</w:t>
      </w:r>
      <w:r w:rsidR="00A23598" w:rsidRPr="00B71F92">
        <w:rPr>
          <w:bCs/>
        </w:rPr>
        <w:t xml:space="preserve"> are presented in Section 4</w:t>
      </w:r>
      <w:r w:rsidRPr="00B71F92">
        <w:rPr>
          <w:bCs/>
        </w:rPr>
        <w:t xml:space="preserve">. </w:t>
      </w:r>
      <w:r w:rsidR="00A23598" w:rsidRPr="00B71F92">
        <w:rPr>
          <w:bCs/>
        </w:rPr>
        <w:t xml:space="preserve">Finally, </w:t>
      </w:r>
      <w:r w:rsidRPr="00B71F92">
        <w:rPr>
          <w:bCs/>
        </w:rPr>
        <w:t xml:space="preserve">Section 5 </w:t>
      </w:r>
      <w:r w:rsidR="00A23598" w:rsidRPr="00B71F92">
        <w:rPr>
          <w:bCs/>
        </w:rPr>
        <w:t xml:space="preserve">presents the method used to quantify </w:t>
      </w:r>
      <w:r w:rsidR="00654D2A" w:rsidRPr="00B71F92">
        <w:rPr>
          <w:bCs/>
        </w:rPr>
        <w:t xml:space="preserve">how the motivations for relocation have changed over time across the last several years and </w:t>
      </w:r>
      <w:r w:rsidRPr="00B71F92">
        <w:rPr>
          <w:bCs/>
        </w:rPr>
        <w:t>discusses the implications of this research</w:t>
      </w:r>
      <w:r w:rsidR="00654D2A" w:rsidRPr="00B71F92">
        <w:rPr>
          <w:bCs/>
        </w:rPr>
        <w:t xml:space="preserve">, while </w:t>
      </w:r>
      <w:r w:rsidRPr="00B71F92">
        <w:rPr>
          <w:bCs/>
        </w:rPr>
        <w:t xml:space="preserve">Section 6 </w:t>
      </w:r>
      <w:r w:rsidR="005F7D76" w:rsidRPr="00B71F92">
        <w:rPr>
          <w:bCs/>
        </w:rPr>
        <w:t xml:space="preserve">concludes the paper with a summary of </w:t>
      </w:r>
      <w:r w:rsidRPr="00B71F92">
        <w:rPr>
          <w:bCs/>
        </w:rPr>
        <w:t>important findings and future research directions.</w:t>
      </w:r>
    </w:p>
    <w:p w14:paraId="1D2D4760" w14:textId="77777777" w:rsidR="008807DE" w:rsidRDefault="008807DE" w:rsidP="008404B6">
      <w:pPr>
        <w:spacing w:after="0" w:line="240" w:lineRule="auto"/>
        <w:ind w:firstLine="720"/>
        <w:jc w:val="both"/>
        <w:rPr>
          <w:bCs/>
        </w:rPr>
      </w:pPr>
    </w:p>
    <w:p w14:paraId="37AB1F55" w14:textId="77777777" w:rsidR="008807DE" w:rsidRPr="00B71F92" w:rsidRDefault="008807DE" w:rsidP="008807DE">
      <w:pPr>
        <w:spacing w:after="0" w:line="240" w:lineRule="auto"/>
        <w:jc w:val="center"/>
        <w:rPr>
          <w:b/>
          <w:bCs/>
        </w:rPr>
      </w:pPr>
      <w:r w:rsidRPr="00B71F92">
        <w:rPr>
          <w:b/>
          <w:bCs/>
          <w:noProof/>
        </w:rPr>
        <w:lastRenderedPageBreak/>
        <w:drawing>
          <wp:inline distT="0" distB="0" distL="0" distR="0" wp14:anchorId="7BC1D532" wp14:editId="561CDBC5">
            <wp:extent cx="5943600" cy="3552298"/>
            <wp:effectExtent l="0" t="0" r="0" b="0"/>
            <wp:docPr id="106873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3622" name="Picture 2"/>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5947214" cy="3554458"/>
                    </a:xfrm>
                    <a:prstGeom prst="rect">
                      <a:avLst/>
                    </a:prstGeom>
                  </pic:spPr>
                </pic:pic>
              </a:graphicData>
            </a:graphic>
          </wp:inline>
        </w:drawing>
      </w:r>
    </w:p>
    <w:p w14:paraId="3ADDD3A6" w14:textId="77777777" w:rsidR="008807DE" w:rsidRPr="00B71F92" w:rsidRDefault="008807DE" w:rsidP="008807DE">
      <w:pPr>
        <w:spacing w:after="0" w:line="240" w:lineRule="auto"/>
        <w:jc w:val="both"/>
        <w:rPr>
          <w:b/>
          <w:bCs/>
        </w:rPr>
      </w:pPr>
    </w:p>
    <w:p w14:paraId="6B0D63FD" w14:textId="0322F0E9" w:rsidR="008807DE" w:rsidRPr="00B71F92" w:rsidRDefault="008807DE" w:rsidP="00D30ADA">
      <w:pPr>
        <w:spacing w:after="0" w:line="240" w:lineRule="auto"/>
        <w:jc w:val="center"/>
        <w:rPr>
          <w:b/>
          <w:bCs/>
        </w:rPr>
      </w:pPr>
      <w:r w:rsidRPr="00B71F92">
        <w:rPr>
          <w:b/>
          <w:bCs/>
        </w:rPr>
        <w:t>Figure 1: Mechanisms for Residential Relocation</w:t>
      </w:r>
    </w:p>
    <w:p w14:paraId="6055B9EE" w14:textId="77777777" w:rsidR="00036417" w:rsidRPr="00B71F92" w:rsidRDefault="00036417" w:rsidP="008404B6">
      <w:pPr>
        <w:spacing w:after="0" w:line="240" w:lineRule="auto"/>
        <w:ind w:firstLine="720"/>
        <w:jc w:val="both"/>
        <w:rPr>
          <w:b/>
        </w:rPr>
      </w:pPr>
    </w:p>
    <w:p w14:paraId="18F81B6D" w14:textId="77777777" w:rsidR="008404B6" w:rsidRPr="00B71F92" w:rsidRDefault="008404B6" w:rsidP="008404B6">
      <w:pPr>
        <w:spacing w:after="0" w:line="240" w:lineRule="auto"/>
        <w:jc w:val="both"/>
        <w:rPr>
          <w:b/>
        </w:rPr>
      </w:pPr>
      <w:r w:rsidRPr="00B71F92">
        <w:rPr>
          <w:b/>
        </w:rPr>
        <w:t xml:space="preserve">2. LITERATURE OVERVIEW </w:t>
      </w:r>
    </w:p>
    <w:p w14:paraId="4FEAA672" w14:textId="19633380" w:rsidR="00942D40" w:rsidRPr="00B71F92" w:rsidRDefault="00942D40" w:rsidP="008404B6">
      <w:pPr>
        <w:spacing w:after="0" w:line="240" w:lineRule="auto"/>
        <w:jc w:val="both"/>
        <w:rPr>
          <w:b/>
        </w:rPr>
      </w:pPr>
      <w:r w:rsidRPr="00B71F92">
        <w:rPr>
          <w:b/>
        </w:rPr>
        <w:t xml:space="preserve">2.1 </w:t>
      </w:r>
      <w:r w:rsidR="00327F28" w:rsidRPr="00B71F92">
        <w:rPr>
          <w:b/>
        </w:rPr>
        <w:t xml:space="preserve">Process of Residential Mobility </w:t>
      </w:r>
    </w:p>
    <w:p w14:paraId="47B9C55C" w14:textId="55241955" w:rsidR="00DC5A20" w:rsidRPr="00B71F92" w:rsidRDefault="00DC5A20" w:rsidP="00850FE1">
      <w:pPr>
        <w:pStyle w:val="ListParagraph"/>
        <w:shd w:val="clear" w:color="auto" w:fill="FFFFFF"/>
        <w:spacing w:after="0" w:line="240" w:lineRule="auto"/>
        <w:ind w:left="0"/>
        <w:jc w:val="both"/>
      </w:pPr>
      <w:r w:rsidRPr="00B71F92">
        <w:t xml:space="preserve">Housing relocations may be motivated by changing preferences over the life course or long-term planning processes. An extensive stream of research has investigated such considerations for a move, aligning with the mechanisms for relocations labeled “Proactive Planning Processes” and “Disconnects Between Preferences and Housing Situations” in Figure 1. These types of moves are generally more proactive, </w:t>
      </w:r>
      <w:r w:rsidR="00125E2E" w:rsidRPr="00B71F92">
        <w:t xml:space="preserve">such as for improved access to work or </w:t>
      </w:r>
      <w:r w:rsidRPr="00B71F92">
        <w:t xml:space="preserve">to amenities or employment opportunities, </w:t>
      </w:r>
      <w:r w:rsidR="00125E2E" w:rsidRPr="00B71F92">
        <w:t xml:space="preserve">upgrading to a higher quality home or a home with more/less space, aligning the characteristics of a family’s dwelling with their changing lifecycle characteristics, </w:t>
      </w:r>
      <w:r w:rsidRPr="00B71F92">
        <w:t xml:space="preserve">and may also be made in response to anticipated changes, such as those in income or finances </w:t>
      </w:r>
      <w:r w:rsidRPr="00B71F92">
        <w:fldChar w:fldCharType="begin"/>
      </w:r>
      <w:r w:rsidRPr="00B71F92">
        <w:instrText xml:space="preserve"> ADDIN ZOTERO_ITEM CSL_CITATION {"citationID":"lpjUb4cL","properties":{"formattedCitation":"(Vidal et al., 2017)","plainCitation":"(Vidal et al., 2017)","noteIndex":0},"citationItems":[{"id":4252,"uris":["http://zotero.org/users/12832277/items/IGCX6UK9"],"itemData":{"id":4252,"type":"article-journal","container-title":"Demography","DOI":"10.1007/s13524-017-0592-0","page":"1305-1330","title":"Fertility Intentions and Residential Relocations","volume":"54","author":[{"family":"Vidal","given":"Sergi"},{"family":"Huinink","given":"Johannes"},{"family":"Feldhaus","given":"Michael"}],"issued":{"date-parts":[["2017"]]}}}],"schema":"https://github.com/citation-style-language/schema/raw/master/csl-citation.json"} </w:instrText>
      </w:r>
      <w:r w:rsidRPr="00B71F92">
        <w:fldChar w:fldCharType="separate"/>
      </w:r>
      <w:r w:rsidRPr="00B71F92">
        <w:t>(Vidal et al., 2017)</w:t>
      </w:r>
      <w:r w:rsidRPr="00B71F92">
        <w:fldChar w:fldCharType="end"/>
      </w:r>
      <w:r w:rsidRPr="00B71F92">
        <w:t xml:space="preserve">. For instance, from a life-course perspective, many authors have examined how relocations can occur in response to the changing needs and preferences of household members in response to major life events </w:t>
      </w:r>
      <w:r w:rsidRPr="00B71F92">
        <w:fldChar w:fldCharType="begin"/>
      </w:r>
      <w:r w:rsidRPr="00B71F92">
        <w:instrText xml:space="preserve"> ADDIN ZOTERO_ITEM CSL_CITATION {"citationID":"TwU59gfK","properties":{"unsorted":true,"formattedCitation":"(Mulder and Hooimeijer, 1999; Clark and Huang, 2003; Orvin and Fatmi, 2022; Fu, 2025)","plainCitation":"(Mulder and Hooimeijer, 1999; Clark and Huang, 2003; Orvin and Fatmi, 2022; Fu, 2025)","noteIndex":0},"citationItems":[{"id":4135,"uris":["http://zotero.org/users/12832277/items/VNQJK2VJ"],"itemData":{"id":4135,"type":"chapter","abstract":"The life course perspective has proved to be a powerful instrument in developing a general theoretical framework to interpret a variety of phenomena pertaining to residential relocation. The first phenomenon is that relocations are instrumental to goals arising from a specific life course trajectory or “career”. It is important to distinguish between moves triggered by the educational career, the labor career, the family career and the housing career. The second phenomenon is that even those careers that are not the actual trigger for the move, are still pertinent to the relocation decision. These other careers condition the decision by providing the resources for the move and by imposing restrictions on geographical mobility. The third phenomenon is that residential relocation, which has a positive effect on the triggering career, can have a detrimental effect on other careers or on the careers of other household members. The attractiveness of the life course perspective is that it allows for feedback effects between these phenomena, thereby improving the understanding of relocation behavior.","container-title":"Population Issues: An Interdisciplinary Focus","event-place":"Dordrecht","ISBN":"978-94-011-4389-9","language":"en","note":"DOI: 10.1007/978-94-011-4389-9_6","page":"159-186","publisher":"Springer Netherlands","publisher-place":"Dordrecht","source":"Springer Link","title":"Residential Relocations in the Life Course","URL":"https://doi.org/10.1007/978-94-011-4389-9_6","author":[{"family":"Mulder","given":"Clara H."},{"family":"Hooimeijer","given":"Pieter"}],"editor":[{"family":"Wissen","given":"Leo J. G.","non-dropping-particle":"van"},{"family":"Dykstra","given":"Pearl A."}],"accessed":{"date-parts":[["2025",2,12]]},"issued":{"date-parts":[["1999"]]}}},{"id":4067,"uris":["http://zotero.org/users/12832277/items/KTXLJDHQ"],"itemData":{"id":4067,"type":"article-journal","abstract":"There is a substantial research literature on residential mobility in general, and the role of housing space in triggering moves in particular. The authors extend that research to mobility in British housing markets, using data from the British Household Panel Survey. They confirm the applicability of the general residential mobility model and also confirm the value both of pooled cross-sectional and of true longitudinal models of residential change. Age, tenure, and room stress (housing-space requirements) are found to be significant predictors of moving. In addition, the life course ‘triggers' of marital-status change and, in some situations, birth of a child play important roles in moving within housing markets in the United Kingdom. The same model, with somewhat lower levels of fit, is also significant for the London region. Variables that measure the desire to move and neighborhood satisfaction also play a role in predicting local moves: those who like their neighborhood are generally less likely to move. The results offer support for the view that residential mobility is a demographically driven process which also reflects the connection with neighborhood contexts.","container-title":"Environment and Planning A: Economy and Space","DOI":"10.1068/a3542","ISSN":"0308-518X","issue":"2","language":"en","note":"publisher: SAGE Publications Ltd","page":"323-339","source":"SAGE Journals","title":"The Life Course and Residential Mobility in British Housing Markets","volume":"35","author":[{"family":"Clark","given":"William A V"},{"family":"Huang","given":"Youqin"}],"issued":{"date-parts":[["2003",2,1]]}}},{"id":4265,"uris":["http://zotero.org/users/12832277/items/VADJQTQI"],"itemData":{"id":4265,"type":"article-journal","abstract":"It is critical to investigate residential mobility decisions to better understand the residential relocation. Mobility is identified as a vital component of the integrated transportation-land use modeling. However, limited studies capture the longer-term temporal changes during the household’s life-course. This study adopts a life history–oriented approach to investigate effects of life-trajectory dynamics on mobility. The advanced hazard-based model captures heterogeneity and accommodates effects of repeated spells along the life-course of households. The model uses data from a retrospective survey conducted in Central Okanagan region of British Columbia, Canada. Parameter estimation results confirm effects of life-cycle events, sociodemographics, and accessibility. For instance, households might be active in housing market following the birth of a child. The model confirms the existence of heterogeneity. For example, urban dwellers might trigger a move following the marriage of a household member; in contrast, suburban dwellers might continue to have a longer duration of stay.","container-title":"Transportation Letters","DOI":"10.1080/19427867.2021.1995585","ISSN":"1942-7867","issue":"10","note":"publisher: Taylor &amp; Francis\n_eprint: https://doi.org/10.1080/19427867.2021.1995585","page":"1100-1109","source":"Taylor and Francis+NEJM","title":"Modeling Residential Mobility Decisions from a Life History–Oriented Perspective","volume":"14","author":[{"family":"Orvin","given":"Muntahith Mehadil"},{"family":"Fatmi","given":"Mahmudur Rahman"}],"issued":{"date-parts":[["2022",11,26]]}}},{"id":4263,"uris":["http://zotero.org/users/12832277/items/QVK5RV4A"],"itemData":{"id":4263,"type":"article-journal","abstract":"Given the dynamic nature of human behavioral decisions over time, a life course approach is adopted to understand the interdependencies among key events in different life domains including residence, occupation, and car ownership. Based on a combination of binomial logit and decision tree, intertwined relationships for all three domains have been confirmed with respect to a quasi-longitudinal dataset. The interactions among inter-domain changes are demonstrated to be complicated, with leading, lagged, and concurrent effects all observed. Residential relocation and car-purchasing behaviors are likely to be performed within the same period, reflecting a concurrent effect, while there is a temporal sequence between major changes in residence and occupation, as well as in occupation and car ownership. The intra-domain continuity investigation by examining the roles played by past experience and future expectation primarily reflects an inhibiting effect on current behavior, indicating people’s inclination for stability. Empirically, identification about these interdependencies enables a better understanding of people’s reactions to changes in personal and family life. The findings are expected to be valuable for policies aiming at integrated urban land-use planning and travel behavior change.","container-title":"Travel Behaviour and Society","DOI":"10.1016/j.tbs.2024.100942","ISSN":"2214-367X","source":"ScienceDirect","title":"Interdependencies Among Changes in Residence, Occupation, and Car Ownership − a Life Course Approach","URL":"https://www.sciencedirect.com/science/article/pii/S2214367X24002059","volume":"39","author":[{"family":"Fu","given":"Xuemei"}],"accessed":{"date-parts":[["2025",3,24]]},"issued":{"date-parts":[["2025",4,1]]}}}],"schema":"https://github.com/citation-style-language/schema/raw/master/csl-citation.json"} </w:instrText>
      </w:r>
      <w:r w:rsidRPr="00B71F92">
        <w:fldChar w:fldCharType="separate"/>
      </w:r>
      <w:r w:rsidRPr="00B71F92">
        <w:t>(Mulder and Hooimeijer, 1999; Clark and Huang, 2003; Orvin and Fatmi, 2022; Fu, 2025)</w:t>
      </w:r>
      <w:r w:rsidRPr="00B71F92">
        <w:fldChar w:fldCharType="end"/>
      </w:r>
      <w:r w:rsidRPr="00B71F92">
        <w:t xml:space="preserve">. Changes in household composition due to births, deaths, or children moving out to form their own households have significant implications in terms of needs for both residential location and dwelling unit characteristics. In particular, a recent or upcoming birth can increase the likelihood that a family will relocate, particularly in an effort to reduce housing costs, improve access to schools, and gain more bedrooms in the home </w:t>
      </w:r>
      <w:r w:rsidRPr="00B71F92">
        <w:fldChar w:fldCharType="begin"/>
      </w:r>
      <w:r w:rsidRPr="00B71F92">
        <w:instrText xml:space="preserve"> ADDIN ZOTERO_ITEM CSL_CITATION {"citationID":"S1TH6MmI","properties":{"unsorted":true,"formattedCitation":"(Vidal et al., 2017; Li, 2019)","plainCitation":"(Vidal et al., 2017; Li, 2019)","noteIndex":0},"citationItems":[{"id":4252,"uris":["http://zotero.org/users/12832277/items/IGCX6UK9"],"itemData":{"id":4252,"type":"article-journal","container-title":"Demography","DOI":"10.1007/s13524-017-0592-0","page":"1305-1330","title":"Fertility Intentions and Residential Relocations","volume":"54","author":[{"family":"Vidal","given":"Sergi"},{"family":"Huinink","given":"Johannes"},{"family":"Feldhaus","given":"Michael"}],"issued":{"date-parts":[["2017"]]}}},{"id":4059,"uris":["http://zotero.org/users/12832277/items/RL63DE3R"],"itemData":{"id":4059,"type":"article-journal","abstract":"This study provides an empirical investigation on the impact of fertility intentions on residential relocation behaviours of partnered women during periods of housing price inflation in Australia. The finding suggests that there is a significant impact of fertility intentions on residential mobility. Couples with strong fertility intentions tend to move from one owner-occupied dwelling to another with more capacity in more affordable local government areas. However, there is substantial heterogeneity around housing market conditions. The translation of fertility intention into relocation was not observed in housing markets with high affordability pressures. This study extends previous research on fertility intention and relocation behaviour by considering how housing market conditions can interfere the translation of fertility intentions into residential moves and the realisation of fertility intentions in births.","container-title":"Population, Space and Place","DOI":"10.1002/psp.2265","ISSN":"1544-8452","issue":"8","language":"en","license":"© 2019 John Wiley &amp; Sons, Ltd.","note":"_eprint: https://onlinelibrary.wiley.com/doi/pdf/10.1002/psp.2265","source":"Wiley Online Library","title":"Fertility Intention-Induced Relocation: The Mediating Role of Housing Markets","URL":"https://onlinelibrary.wiley.com/doi/abs/10.1002/psp.2265","volume":"25","author":[{"family":"Li","given":"Ang"}],"accessed":{"date-parts":[["2025",1,31]]},"issued":{"date-parts":[["2019"]]}}}],"schema":"https://github.com/citation-style-language/schema/raw/master/csl-citation.json"} </w:instrText>
      </w:r>
      <w:r w:rsidRPr="00B71F92">
        <w:fldChar w:fldCharType="separate"/>
      </w:r>
      <w:r w:rsidRPr="00B71F92">
        <w:t>(Vidal et al., 2017; Li, 2019)</w:t>
      </w:r>
      <w:r w:rsidRPr="00B71F92">
        <w:fldChar w:fldCharType="end"/>
      </w:r>
      <w:r w:rsidRPr="00B71F92">
        <w:t xml:space="preserve">. Similarly, changes in employment may lead to a reevaluation of a household’s location choice to realign the residential location with a new workplace location or lead to financial changes (positive or negative) that put pressure on the current housing situation or allow the household to upgrade to a more suitable dwelling unit </w:t>
      </w:r>
      <w:r w:rsidRPr="00B71F92">
        <w:fldChar w:fldCharType="begin"/>
      </w:r>
      <w:r w:rsidRPr="00B71F92">
        <w:instrText xml:space="preserve"> ADDIN ZOTERO_ITEM CSL_CITATION {"citationID":"dAfbOQZY","properties":{"unsorted":true,"formattedCitation":"(Weiss et al., 2021; Ghasri et al., 2023)","plainCitation":"(Weiss et al., 2021; Ghasri et al., 2023)","noteIndex":0},"citationItems":[{"id":4032,"uris":["http://zotero.org/users/12832277/items/ERTP2VKK"],"itemData":{"id":4032,"type":"article-journal","abstract":"The European Union (EU) has undergone significant economic crises in recent years. Therein, young people were amongst the hardest hit groups, with youth unemployment rising as high as 50% in some member states. Particularly high rates of youth unemployment were often observed in rural areas, where labour market supply in relation to demand were notably divergent. One of the core pillars of the EU’s agenda is to tackle the persistent problem of youth unemployment. Since the recent crisis, this has been via the “Youth on the Move” initiative, which involves the promotion of intra- and international mobility of young adults in order to gain access to job opportunities. However, what has received little attention so far is the question of what the general willingness of young adults to move is like, and to what extent this varies, for example, depending upon the area they live in. This paper therefore asks if rural youth differ from youth in urban areas in relation to their willingness to move for a job within their country or to another country. Moreover, what influences the general willingness to be mobile? Based on the Cultural Pathways to Economic Self-Sufficiency and Entrepreneurship (CUPESSE) Survey, which includes data on 18–35-year-olds in a sample of 11 European countries, it is shown that living in a rural area is strongly associated with the willingness to move. Furthermore, it shows that rural youth are more willing to move within the country but less willing to move to another country. Based on the presentation of the various factors, which promote or curb mobility readiness, the results make it clear that the success of EU initiatives depends on the preferences and willingness of the target group in question.","container-title":"Sustainability","DOI":"10.3390/su13137494","ISSN":"2071-1050","issue":"13","language":"en","license":"http://creativecommons.org/licenses/by/3.0/","note":"number: 13\npublisher: Multidisciplinary Digital Publishing Institute","source":"www.mdpi.com","title":"There Is No Place like Home! How Willing Are Young Adults to Move to Find a Job?","URL":"https://www.mdpi.com/2071-1050/13/13/7494","volume":"13","author":[{"family":"Weiss","given":"Julia"},{"family":"Ferrante","given":"Livio"},{"family":"Soler-Porta","given":"Mariano"}],"accessed":{"date-parts":[["2025",1,10]]},"issued":{"date-parts":[["2021",1]]}}},{"id":4069,"uris":["http://zotero.org/users/12832277/items/HTWBFKCX"],"itemData":{"id":4069,"type":"article-journal","abstract":"This study introduces a survey instrument to collect retrospective life-course events, focusing on residential relocation, and it utilizes the survey to evaluate determinants of residential mobility. The survey consists of seven modules collecting information about household structure and household demographics, latest residential relocation, current and previous home, employment, education, vehicle ownership, and travel behavior. The time window of the life-course calendar in the survey is customized according to the latest residential relocation as an anchor point to assist with memory recollection and balance the required input from participants. The survey is used to collect data from a sample of 514 respondents in Sydney, Australia, and another sample of 404 respondents in Chicago, Illinois, in the US. The Cox proportional hazard model is used to analyze residential mobility. The results show primary school commencement is a salient determinant of residential relocation, but its impact is significantly higher in Chicago compared to Sydney.","container-title":"Transportation Letters","DOI":"10.1080/19427867.2022.2038347","ISSN":"1942-7867","issue":"2","note":"publisher: Taylor &amp; Francis\n_eprint: https://doi.org/10.1080/19427867.2022.2038347","page":"129-141","source":"Taylor and Francis+NEJM","title":"Determinants of Residential Mobility: An Adaptive Retrospective Survey Method","volume":"15","author":[{"family":"Ghasri","given":"Milad"},{"family":"Rashidi","given":"Taha"},{"family":"Auld","given":"Joshua"}],"issued":{"date-parts":[["2023",2,7]]}}}],"schema":"https://github.com/citation-style-language/schema/raw/master/csl-citation.json"} </w:instrText>
      </w:r>
      <w:r w:rsidRPr="00B71F92">
        <w:fldChar w:fldCharType="separate"/>
      </w:r>
      <w:r w:rsidRPr="00B71F92">
        <w:t>(Weiss et al., 2021; Ghasri et al., 2023)</w:t>
      </w:r>
      <w:r w:rsidRPr="00B71F92">
        <w:fldChar w:fldCharType="end"/>
      </w:r>
      <w:r w:rsidRPr="00B71F92">
        <w:t xml:space="preserve">. Thus, due to the longer-term nature of these decisions, households moving for these types of reasons may be better suited to </w:t>
      </w:r>
      <w:r w:rsidRPr="00B71F92">
        <w:lastRenderedPageBreak/>
        <w:t>undertake a detailed housing search for their new home, leading to better long-term housing satisfaction and housing stability.</w:t>
      </w:r>
    </w:p>
    <w:p w14:paraId="09A59C95" w14:textId="21FC4F0C" w:rsidR="00185EF8" w:rsidRPr="00B71F92" w:rsidRDefault="00125E2E" w:rsidP="0045124A">
      <w:pPr>
        <w:pStyle w:val="ListParagraph"/>
        <w:shd w:val="clear" w:color="auto" w:fill="FFFFFF"/>
        <w:spacing w:after="0" w:line="240" w:lineRule="auto"/>
        <w:ind w:left="0" w:firstLine="720"/>
        <w:jc w:val="both"/>
      </w:pPr>
      <w:r w:rsidRPr="00B71F92">
        <w:t xml:space="preserve">Earlier studies </w:t>
      </w:r>
      <w:r w:rsidR="00007EE8" w:rsidRPr="00B71F92">
        <w:t>i</w:t>
      </w:r>
      <w:r w:rsidRPr="00B71F92">
        <w:t xml:space="preserve">n the literature on proactive moves, including those listed above, are often undertaken without the consideration of moves motivated by </w:t>
      </w:r>
      <w:r w:rsidR="00557EEF" w:rsidRPr="00B71F92">
        <w:t>a reactive response to an event that forces</w:t>
      </w:r>
      <w:r w:rsidR="00446899" w:rsidRPr="00B71F92">
        <w:t xml:space="preserve"> a move or </w:t>
      </w:r>
      <w:r w:rsidR="00F9107F" w:rsidRPr="00B71F92">
        <w:t xml:space="preserve">an </w:t>
      </w:r>
      <w:r w:rsidR="00446899" w:rsidRPr="00B71F92">
        <w:t xml:space="preserve">immediate reconsideration of a </w:t>
      </w:r>
      <w:r w:rsidR="00F9107F" w:rsidRPr="00B71F92">
        <w:t>household’s current situation</w:t>
      </w:r>
      <w:r w:rsidR="00557EEF" w:rsidRPr="00B71F92">
        <w:t>, such as an eviction, a significant increase in rent, or the loss of a job</w:t>
      </w:r>
      <w:r w:rsidR="00720D3A" w:rsidRPr="00B71F92">
        <w:t xml:space="preserve"> (see the </w:t>
      </w:r>
      <w:r w:rsidR="001221A0" w:rsidRPr="00B71F92">
        <w:t xml:space="preserve">mechanisms for relocation labeled </w:t>
      </w:r>
      <w:r w:rsidRPr="00B71F92">
        <w:t xml:space="preserve">“Triggered Reevaluation of Housing Situations” and </w:t>
      </w:r>
      <w:r w:rsidR="001221A0" w:rsidRPr="00B71F92">
        <w:t>“Forced Relocations” in Figure 1)</w:t>
      </w:r>
      <w:r w:rsidR="00557EEF" w:rsidRPr="00B71F92">
        <w:t xml:space="preserve">. </w:t>
      </w:r>
      <w:r w:rsidRPr="00B71F92">
        <w:t xml:space="preserve">Similarly, the studies that do consider such reactive moves do not typically consider moves motivated by changing preferences over the life course or </w:t>
      </w:r>
      <w:r w:rsidR="005037F6" w:rsidRPr="00B71F92">
        <w:t>longer-term</w:t>
      </w:r>
      <w:r w:rsidRPr="00B71F92">
        <w:t xml:space="preserve"> proactive planning processes. </w:t>
      </w:r>
      <w:r w:rsidR="002F5138" w:rsidRPr="00B71F92">
        <w:t>Instead, s</w:t>
      </w:r>
      <w:r w:rsidR="00B51454" w:rsidRPr="00B71F92">
        <w:t xml:space="preserve">tudies of </w:t>
      </w:r>
      <w:r w:rsidR="00F55E8A" w:rsidRPr="00B71F92">
        <w:t xml:space="preserve">such </w:t>
      </w:r>
      <w:r w:rsidR="00B51454" w:rsidRPr="00B71F92">
        <w:t>reactive moves have generally focused on how external conditions impact individual relocations decisions. Such</w:t>
      </w:r>
      <w:r w:rsidR="0029397C" w:rsidRPr="00B71F92">
        <w:t xml:space="preserve"> external factors </w:t>
      </w:r>
      <w:r w:rsidR="00594C4B" w:rsidRPr="00B71F92">
        <w:t xml:space="preserve">may </w:t>
      </w:r>
      <w:r w:rsidR="0029397C" w:rsidRPr="00B71F92">
        <w:t xml:space="preserve">include evictions </w:t>
      </w:r>
      <w:r w:rsidR="0029397C" w:rsidRPr="00B71F92">
        <w:fldChar w:fldCharType="begin"/>
      </w:r>
      <w:r w:rsidR="0029397C" w:rsidRPr="00B71F92">
        <w:instrText xml:space="preserve"> ADDIN ZOTERO_ITEM CSL_CITATION {"citationID":"3sLs7Z7N","properties":{"formattedCitation":"(Desmond et al., 2015; Summers and Steil, 2024)","plainCitation":"(Desmond et al., 2015; Summers and Steil, 2024)","noteIndex":0},"citationItems":[{"id":4238,"uris":["http://zotero.org/users/12832277/items/5IHCZ7SH"],"itemData":{"id":4238,"type":"article-journal","abstract":"Residential instability often brings about other forms of instability in families, schools, and communities that compromise the life chances of adults and children. Social scientists have found that low-income families move frequently without fully understanding why. Drawing on novel data of more than 1,000 Milwaukee renters, this article explores the relationship between forced relocation and residential instability. It finds that low incomes are associated with higher rates of mobility due to poorer renters’ greater exposure to forced displacement. Not only do higher rates of formal and informal eviction, landlord foreclosure, and building condemnation directly increase the mobility of poorer renters, but forced displacement also increases subsequent unforced mobility. A forced move often compels renters to accept substandard housing, which drives them to soon move again. This article reveals mechanisms of residential mobility among low-income renters, identifies previously undocumented consequences of forced displacement, and develops a more comprehensive model of residential instability and urban inequality.","container-title":"Social Service Review","DOI":"10.1086/681091","ISSN":"0037-7961","issue":"2","note":"publisher: The University of Chicago Press","page":"227-262","source":"journals.uchicago.edu (Atypon)","title":"Forced Relocation and Residential Instability among Urban Renters","volume":"89","author":[{"family":"Desmond","given":"Matthew"},{"family":"Gershenson","given":"Carl"},{"family":"Kiviat","given":"Barbara"}],"issued":{"date-parts":[["2015",6]]}}},{"id":4300,"uris":["http://zotero.org/users/12832277/items/VSHAKUM5"],"itemData":{"id":4300,"type":"article-journal","abstract":"Over the past several years, socio-legal researchers have focused attention on the phenomenon of eviction, particularly in low-income communities and communities of color. One major aspect of the eviction phenomenon has been largely overlooked: how and why certain eviction filings result in forced, legally compelled tenant moves and others do not. Through coding of the legal documents associated with eviction filings and multi-level regression analysis, this article advances the analysis of evictions in two crucial ways. First, it identifies and describes the frequency of the distinct legal procedural pathways that result in forced tenant moves once an eviction case has been filed. Second, it identifies the case, tenancy, neighborhood, and property correlates of forced tenant moves and of distinct procedural pathways to forced tenant moves. The article demonstrates that move-out agreements are the primary procedural pathway by which tenants are forcibly moved, yet they have been largely overlooked in previous eviction research because they are not easily analyzable in administrative datasets. The regression analyses advance the growing work examining the role of landlord characteristics in shaping tenants’ housing stability and break new ground in identifying the characteristics of the different pathways through which tenants are forced out of their homes following eviction filing.","container-title":"Law &amp; Social Inquiry","DOI":"10.1017/lsi.2024.23","ISSN":"0897-6546, 1747-4469","language":"en","page":"1-41","source":"Cambridge University Press","title":"Pathways to Eviction","author":[{"family":"Summers","given":"Nicole"},{"family":"Steil","given":"Justin"}],"issued":{"date-parts":[["2024",10,21]]}}}],"schema":"https://github.com/citation-style-language/schema/raw/master/csl-citation.json"} </w:instrText>
      </w:r>
      <w:r w:rsidR="0029397C" w:rsidRPr="00B71F92">
        <w:fldChar w:fldCharType="separate"/>
      </w:r>
      <w:r w:rsidR="0029397C" w:rsidRPr="00B71F92">
        <w:t>(Desmond et al., 2015; Summers and Steil, 2024)</w:t>
      </w:r>
      <w:r w:rsidR="0029397C" w:rsidRPr="00B71F92">
        <w:fldChar w:fldCharType="end"/>
      </w:r>
      <w:r w:rsidR="00594C4B" w:rsidRPr="00B71F92">
        <w:t xml:space="preserve">, </w:t>
      </w:r>
      <w:r w:rsidR="0029397C" w:rsidRPr="00B71F92">
        <w:t xml:space="preserve">natural disasters </w:t>
      </w:r>
      <w:r w:rsidR="0029397C" w:rsidRPr="00B71F92">
        <w:fldChar w:fldCharType="begin"/>
      </w:r>
      <w:r w:rsidR="0029397C" w:rsidRPr="00B71F92">
        <w:instrText xml:space="preserve"> ADDIN ZOTERO_ITEM CSL_CITATION {"citationID":"pqncVXq0","properties":{"formattedCitation":"(Jansen et al., 2017)","plainCitation":"(Jansen et al., 2017)","noteIndex":0},"citationItems":[{"id":4071,"uris":["http://zotero.org/users/12832277/items/YK24LQSL"],"itemData":{"id":4071,"type":"article-journal","abstract":"The extraction of natural gas in the north of The Netherlands has led to soil subsidence and the occurrence of earthquakes. Residents worry about the safety of their families and the saleability of their dwelling and might want to move. The goal is to examine whether the earthquakes are related to the intention to move. A survey among residents in the area was carried out in 2015. The results show that the intention to move is influenced by age, education, household size, length of residence and attachment to the region. In addition, there is an effect of experience of earthquakes, which is mediated by psychological distress (anxiety, insecurity and concern). We conclude that the way in which residents handle the earthquake experience determines their intention to move, not the experience in itself. This provides opportunities to prevent out-migration by supporting residents and by providing them psychological care and security regarding the value and saleability of their dwellings.","container-title":"Journal of Environmental Psychology","DOI":"10.1016/j.jenvp.2017.09.006","ISSN":"0272-4944","page":"38-49","source":"ScienceDirect","title":"The Impact of Earthquakes on the Intention to Move: Fight or Flight?","volume":"54","author":[{"family":"Jansen","given":"Sylvia J. T."},{"family":"Hoekstra","given":"Joris S. C. M."},{"family":"Boumeester","given":"Harry J. F. M."}],"issued":{"date-parts":[["2017",12,1]]}}}],"schema":"https://github.com/citation-style-language/schema/raw/master/csl-citation.json"} </w:instrText>
      </w:r>
      <w:r w:rsidR="0029397C" w:rsidRPr="00B71F92">
        <w:fldChar w:fldCharType="separate"/>
      </w:r>
      <w:r w:rsidR="0029397C" w:rsidRPr="00B71F92">
        <w:t>(Jansen et al., 2017)</w:t>
      </w:r>
      <w:r w:rsidR="0029397C" w:rsidRPr="00B71F92">
        <w:fldChar w:fldCharType="end"/>
      </w:r>
      <w:r w:rsidR="0029397C" w:rsidRPr="00B71F92">
        <w:t xml:space="preserve">, changing economic conditions that influence incomes or home values </w:t>
      </w:r>
      <w:r w:rsidR="0029397C" w:rsidRPr="00B71F92">
        <w:fldChar w:fldCharType="begin"/>
      </w:r>
      <w:r w:rsidR="0029397C" w:rsidRPr="00B71F92">
        <w:instrText xml:space="preserve"> ADDIN ZOTERO_ITEM CSL_CITATION {"citationID":"n1jd5cJm","properties":{"unsorted":true,"formattedCitation":"(Kan, 1999; Ermisch and Washbrook, 2012)","plainCitation":"(Kan, 1999; Ermisch and Washbrook, 2012)","noteIndex":0},"citationItems":[{"id":4307,"uris":["http://zotero.org/users/12832277/items/D87NY7G3"],"itemData":{"id":4307,"type":"article-journal","abstract":"The purpose of this study is to empirically investigate the process of residential mobility by examining the factors shaping households' mobility expectation and those prompting or deterring the execution of their mobility plan. Based on the PSID data, the results from the random effects discrete choice models reveal that household heterogeneity is significant. Also, while changes in socioeconomic circumstances may prompt a household to plan to move, the mobility plan is likely to be interrupted by unanticipated changes. However, for households who did not plan to move, unanticipated changes in socioeconomic circumstances have significant and positive effects on residential mobility.","container-title":"Journal of Urban Economics","DOI":"10.1006/juec.1998.2082","ISSN":"0094-1190","issue":"1","page":"72-96","source":"ScienceDirect","title":"Expected and Unexpected Residential Mobility","volume":"45","author":[{"family":"Kan","given":"Kamhon"}],"issued":{"date-parts":[["1999",1,1]]}}},{"id":4297,"uris":["http://zotero.org/users/12832277/items/886SVN2Z"],"itemData":{"id":4297,"type":"article-journal","abstract":"The study presents a very simple model in which housing equity can influence mobility, and then estimates parameters that gauge the impact of housing equity, local house prices and other variables associated with household structure and change on residential movement within the UK. The data come from the British Household Panel Study over 1992–2008, which allow us to use within-person variation to identify the parameters. The parameter estimates indicate that estimates based on cross-section variation are seriously biased in our analysis. We check the robustness of our results to errors in measuring equity using an instrumental variable estimator. Our main finding is that an increase in a household's housing equity encourages residential mobility substantially, and a decline discourages it.","container-title":"Scottish Journal of Political Economy","DOI":"10.1111/j.1467-9485.2012.00591.x","ISSN":"1467-9485","issue":"5","language":"en","license":"© 2012 Scottish Economic Society","note":"_eprint: https://onlinelibrary.wiley.com/doi/pdf/10.1111/j.1467-9485.2012.00591.x","page":"483-499","source":"Wiley Online Library","title":"Residential Mobility: Wealth, Demographic and Housing Market Effects","volume":"59","author":[{"family":"Ermisch","given":"John"},{"family":"Washbrook","given":"Elizabeth"}],"issued":{"date-parts":[["2012"]]}}}],"schema":"https://github.com/citation-style-language/schema/raw/master/csl-citation.json"} </w:instrText>
      </w:r>
      <w:r w:rsidR="0029397C" w:rsidRPr="00B71F92">
        <w:fldChar w:fldCharType="separate"/>
      </w:r>
      <w:r w:rsidR="0029397C" w:rsidRPr="00B71F92">
        <w:t>(Kan, 1999; Ermisch and Washbrook, 2012)</w:t>
      </w:r>
      <w:r w:rsidR="0029397C" w:rsidRPr="00B71F92">
        <w:fldChar w:fldCharType="end"/>
      </w:r>
      <w:r w:rsidR="0029397C" w:rsidRPr="00B71F92">
        <w:t>, and social changes to neighborhoods due to events such as the COVID-19 pandemic or</w:t>
      </w:r>
      <w:r w:rsidR="00594C4B" w:rsidRPr="00B71F92">
        <w:t xml:space="preserve"> the</w:t>
      </w:r>
      <w:r w:rsidR="0029397C" w:rsidRPr="00B71F92">
        <w:t xml:space="preserve"> decisions of </w:t>
      </w:r>
      <w:r w:rsidR="00594C4B" w:rsidRPr="00B71F92">
        <w:t xml:space="preserve">other </w:t>
      </w:r>
      <w:r w:rsidR="0029397C" w:rsidRPr="00B71F92">
        <w:t xml:space="preserve">community members </w:t>
      </w:r>
      <w:r w:rsidR="0029397C" w:rsidRPr="00B71F92">
        <w:fldChar w:fldCharType="begin"/>
      </w:r>
      <w:r w:rsidR="0029397C" w:rsidRPr="00B71F92">
        <w:instrText xml:space="preserve"> ADDIN ZOTERO_ITEM CSL_CITATION {"citationID":"wKA88F0s","properties":{"unsorted":true,"formattedCitation":"(Duque-Calvache et al., 2021; Li et al., 2022; Lee and Perkins, 2023)","plainCitation":"(Duque-Calvache et al., 2021; Li et al., 2022; Lee and Perkins, 2023)","noteIndex":0},"citationItems":[{"id":4125,"uris":["http://zotero.org/users/12832277/items/2BNY9ZZY"],"itemData":{"id":4125,"type":"article-journal","abstract":"The movement of individuals across territories has been shown to be a primary vector of COVID-19 transmission. As a result, lockdown policies have been decreed in many countries to stop the spread of the disease. Using information from an online survey conducted in Spain, we found a significant number of residential moves made in response to the lockdown. The current context has created new triggers for residential mobility: economic problems, feelings of fear and loneliness, the search for better housing and situations in which to spend the lockdown, and the need to be cared for and to care for others. This paper analyses the residential changes that occurred in Spain during the 2020 lockdown and the later de-escalation period, focusing on movement triggers, motivations and destinations. The results show how residential mobility changes, but also persists even when restricted, fuelled by the conditions of each social group, both pre-existing and generated by the new situation.","container-title":"European Societies","DOI":"10.1080/14616696.2020.1836386","ISSN":"1461-6696","note":"publisher: Routledge\n_eprint: https://doi.org/10.1080/14616696.2020.1836386","page":"S759-S776","source":"Taylor and Francis+NEJM","title":"Lockdown and Adaptation: Residential Mobility in Spain During the COVID-19 Crisis","volume":"23","author":[{"family":"Duque-Calvache","given":"Ricardo"},{"family":"Torrado","given":"José Manuel"},{"family":"Mesa-Pedrazas","given":"Ángela"}],"issued":{"date-parts":[["2021",2,19]]}}},{"id":1773,"uris":["http://zotero.org/users/12832277/items/KFICHWQD"],"itemData":{"id":1773,"type":"article-journal","container-title":"Journal of the American Planning Association","DOI":"10.1080/01944363.2021.1902842","ISSN":"0194-4363","issue":"1","note":"publisher: Routledge\n_eprint: https://doi.org/10.1080/01944363.2021.1902842","page":"15-29","source":"Taylor and Francis+NEJM","title":"Recent Relocation Patterns Among Older Adults in the United States","volume":"88","author":[{"family":"Li","given":"Shengxiao (Alex)"},{"family":"Hu","given":"Wanyang"},{"family":"Guo","given":"Fuyu"}],"issued":{"date-parts":[["2022",1,2]]}}},{"id":4302,"uris":["http://zotero.org/users/12832277/items/4UTQ7WGE"],"itemData":{"id":4302,"type":"article-journal","abstract":"Gentrification research often starts with the hypothesis that gentrification causes displacement of a neighborhood’s original residents, particularly low-income and vulnerable residents. Recent research based on large-scale quantitative data suggests that the displacement effects of gentrification for low-income residents evident from case studies and qualitative data are modest at the macroscale. We use geocoded microdata from the American Community Survey to investigate the association between gentrification and residential mobility in the 2010s, the time period following the Great Recession. Our large national sample allows us to consider heterogeneity in the association between gentrification and residential mobility, investigating differential association by distinct clusters of metropolitan areas. We find a modest positive significant association between moderate and intense gentrification and residential mobility in our full national sample. The national estimates, however, mask considerable heterogeneity in the association between gentrification and residential mobility in different types of metropolitan areas. College Town and Retirement Destination metros see the largest positive association between gentrification and residential mobility, while Large Coastal and Large Southern/Midwestern metros experience a more modest positive association. We find weak or no significant association in Inland Empire/Texas Border metros. We heed a call for more investigation of heterogeneity in neighborhood processes across different contexts.","container-title":"Social Forces","DOI":"10.1093/sf/soac086","ISSN":"0037-7732","issue":"4","page":"1856-1887","source":"Silverchair","title":"The Geography of Gentrification and Residential Mobility","volume":"101","author":[{"family":"Lee","given":"Hyojung"},{"family":"Perkins","given":"Kristin L"}],"issued":{"date-parts":[["2023",4,1]]}}}],"schema":"https://github.com/citation-style-language/schema/raw/master/csl-citation.json"} </w:instrText>
      </w:r>
      <w:r w:rsidR="0029397C" w:rsidRPr="00B71F92">
        <w:fldChar w:fldCharType="separate"/>
      </w:r>
      <w:r w:rsidR="0029397C" w:rsidRPr="00B71F92">
        <w:t>(Duque-Calvache et al., 2021; Li et al., 2022; Lee and Perkins, 2023)</w:t>
      </w:r>
      <w:r w:rsidR="0029397C" w:rsidRPr="00B71F92">
        <w:fldChar w:fldCharType="end"/>
      </w:r>
      <w:r w:rsidR="0029397C" w:rsidRPr="00B71F92">
        <w:t xml:space="preserve">. </w:t>
      </w:r>
      <w:r w:rsidR="00594C4B" w:rsidRPr="00B71F92">
        <w:t>Some studies have also examined the moderating role of sociodemographic</w:t>
      </w:r>
      <w:r w:rsidR="00310207">
        <w:t xml:space="preserve"> characteristics</w:t>
      </w:r>
      <w:r w:rsidR="00594C4B" w:rsidRPr="00B71F92">
        <w:t xml:space="preserve"> and attitudinal factors on how individual agents respond to these external factors </w:t>
      </w:r>
      <w:r w:rsidR="0029397C" w:rsidRPr="00B71F92">
        <w:fldChar w:fldCharType="begin"/>
      </w:r>
      <w:r w:rsidR="00A50662">
        <w:instrText xml:space="preserve"> ADDIN ZOTERO_ITEM CSL_CITATION {"citationID":"OUBJNs3X","properties":{"formattedCitation":"(Perera and Lee, 2021; Yadav et al., 2025)","plainCitation":"(Perera and Lee, 2021; Yadav et al., 2025)","noteIndex":0},"citationItems":[{"id":4013,"uris":["http://zotero.org/users/12832277/items/SQ74T6YH"],"itemData":{"id":4013,"type":"article-journal","abstract":"Housing affordability in the 21st-century requires a new way of understanding the concept. The concept is currently framed around household spending on housing costs. In the 21stcentury, households' aspirations and housing outcomes of local residential environments are increasingly influenced by external labour and capital drivers at a range of scales (regional, national, global). Under such context, this paper suggests the concept of housing affordability should be advanced to understood with a relational view of the world. The relational view, underpinned by Giddens's Theory of Structuration, has the scope to capture how households' housing costs, linked to aspirations and housing outcomes across scales, making this more relevant to the 21stcentury. Empirical evidence to demonstrate this has been drawn from a large-scale housing development project in the West Midlands of England. Increasing understanding of the concept helps formulate policies and planning practices for improving mechanisms to deliver better housing outcomes in an affordable and sustainable manner.","container-title":"Journal of Urban Management","DOI":"10.1016/j.jum.2021.08.004","ISSN":"2226-5856","issue":"4","page":"314-324","source":"ScienceDirect","title":"A Relational Lens to Understand Housing Affordability in the 21st Century","volume":"10","author":[{"family":"Perera","given":"Upuli"},{"family":"Lee","given":"Peter"}],"issued":{"date-parts":[["2021",12,1]]}}},{"id":5151,"uris":["http://zotero.org/users/12832277/items/3AAIJF4J"],"itemData":{"id":5151,"type":"article-journal","abstract":"Disadvantaged areas may prompt or force older people to relocate due to a lack of services, the presence of crime, and area unattractiveness, but knowledge in this area is insufficient. The aim was to investigate whether older adults living in different types of disadvantaged areas in Sweden were considering moving away from the area, and to explore similarities and differences in underlying residential reasoning among older adults from urban or rural areas. Interviews (N = 41) and survey data (N = 460) from adults 65 years and older (231 men; 244 women) living in deprived urban areas and depopulated rural areas in Sweden were used. Data were analyzed statistically or with thematic qualitative analysis. The majority had no intention of moving away from the area, and residents in rural areas were generally more prone to stay than those in urban areas. Reasons motivating both staying and moving were related to area features and services, attachment and belonging, social relationships, and the home. Considerations such as disagreements between spouses, weighing pros and cons, and potential turning points showed the complexity of the reasoning process. This study challenges the common belief that area characteristics are the main reasons for older adults to move. Older adults in depopulated rural areas prefer to stay, while living in disadvantaged areas can be a potentially vulnerable situation. Crime and social disorder can trigger uncertainty and a desire to move. More research is needed to explore how older adults cope with living in disadvantaged areas and identify the resources they need.","container-title":"Journal of Housing and the Built Environment","DOI":"10.1007/s10901-025-10190-5","ISSN":"1573-7772","journalAbbreviation":"J Hous and the Built Environ","language":"en","source":"Springer Link","title":"Staying or Moving? Residential Reasoning Among Older Adults Living in Rural and Urban Disadvantaged Areas","URL":"https://doi.org/10.1007/s10901-025-10190-5","author":[{"family":"Yadav","given":"Agata"},{"family":"Taei","given":"Afsaneh"},{"family":"Jönson","given":"Håkan"},{"family":"Iwarsson","given":"Susanne"},{"family":"Granbom","given":"Marianne"}],"accessed":{"date-parts":[["2025",8,1]]},"issued":{"date-parts":[["2025",3,15]]}}}],"schema":"https://github.com/citation-style-language/schema/raw/master/csl-citation.json"} </w:instrText>
      </w:r>
      <w:r w:rsidR="0029397C" w:rsidRPr="00B71F92">
        <w:fldChar w:fldCharType="separate"/>
      </w:r>
      <w:r w:rsidR="00A50662" w:rsidRPr="00A50662">
        <w:t>(</w:t>
      </w:r>
      <w:r w:rsidR="00A50662">
        <w:t xml:space="preserve">see </w:t>
      </w:r>
      <w:r w:rsidR="00A50662" w:rsidRPr="00A50662">
        <w:t>Perera and Lee, 2021; Yadav et al., 2025)</w:t>
      </w:r>
      <w:r w:rsidR="0029397C" w:rsidRPr="00B71F92">
        <w:fldChar w:fldCharType="end"/>
      </w:r>
      <w:r w:rsidR="0029397C" w:rsidRPr="00B71F92">
        <w:t xml:space="preserve">. Similarly, </w:t>
      </w:r>
      <w:r w:rsidR="00594C4B" w:rsidRPr="00B71F92">
        <w:t xml:space="preserve">the </w:t>
      </w:r>
      <w:r w:rsidR="0029397C" w:rsidRPr="00B71F92">
        <w:t xml:space="preserve">experience of </w:t>
      </w:r>
      <w:r w:rsidR="00CE0E74" w:rsidRPr="00B71F92">
        <w:t xml:space="preserve">major events such as the COVID-19 </w:t>
      </w:r>
      <w:r w:rsidR="0029397C" w:rsidRPr="00B71F92">
        <w:t xml:space="preserve">pandemic and </w:t>
      </w:r>
      <w:r w:rsidR="006443F5" w:rsidRPr="00B71F92">
        <w:t xml:space="preserve">the </w:t>
      </w:r>
      <w:r w:rsidR="0029397C" w:rsidRPr="00B71F92">
        <w:t xml:space="preserve">effects </w:t>
      </w:r>
      <w:r w:rsidR="006443F5" w:rsidRPr="00B71F92">
        <w:t xml:space="preserve">of these events </w:t>
      </w:r>
      <w:r w:rsidR="0029397C" w:rsidRPr="00B71F92">
        <w:t xml:space="preserve">on housing perceptions </w:t>
      </w:r>
      <w:r w:rsidR="00594C4B" w:rsidRPr="00B71F92">
        <w:t xml:space="preserve">also </w:t>
      </w:r>
      <w:r w:rsidR="0029397C" w:rsidRPr="00B71F92">
        <w:t>var</w:t>
      </w:r>
      <w:r w:rsidR="00CE0E74" w:rsidRPr="00B71F92">
        <w:t>ies</w:t>
      </w:r>
      <w:r w:rsidR="0029397C" w:rsidRPr="00B71F92">
        <w:t xml:space="preserve"> significantly across the population </w:t>
      </w:r>
      <w:r w:rsidR="0029397C" w:rsidRPr="00B71F92">
        <w:fldChar w:fldCharType="begin"/>
      </w:r>
      <w:r w:rsidR="0029397C" w:rsidRPr="00B71F92">
        <w:instrText xml:space="preserve"> ADDIN ZOTERO_ITEM CSL_CITATION {"citationID":"dYHjPrVh","properties":{"unsorted":true,"formattedCitation":"(Whitaker, 2021; Duque-Calvache et al., 2021; Robbennolt et al., 2024a)","plainCitation":"(Whitaker, 2021; Duque-Calvache et al., 2021; Robbennolt et al., 2024a)","dontUpdate":true,"noteIndex":0},"citationItems":[{"id":1893,"uris":["http://zotero.org/users/12832277/items/75XKNMPA"],"itemData":{"id":1893,"type":"article-journal","abstract":"In 2020, several media stories reported that residents were leaving urban neighborhood because they feared contracting COVID-19. However, people’s taking flight from urban areas is only part of the reason dense neighborhoods were left with fewer residents.","container-title":"Cleveland Fed District Data Brief","DOI":"10.26509/frbc-ddb-20210205","issue":"20210205","language":"en","note":"publisher: Federal Reserve Bank of Cleveland","source":"www.clevelandfed.org","title":"Did the COVID-19 Pandemic Cause an Urban Exodus?","URL":"https://www.clevelandfed.org/publications/cleveland-fed-district-data-brief/2021/cfddb-20210205-did-the-covid-19-pandemic-cause-an-urban-exodus","author":[{"family":"Whitaker","given":"Stephan D."}],"accessed":{"date-parts":[["2024",1,15]]},"issued":{"date-parts":[["2021",2,5]]}}},{"id":4125,"uris":["http://zotero.org/users/12832277/items/2BNY9ZZY"],"itemData":{"id":4125,"type":"article-journal","abstract":"The movement of individuals across territories has been shown to be a primary vector of COVID-19 transmission. As a result, lockdown policies have been decreed in many countries to stop the spread of the disease. Using information from an online survey conducted in Spain, we found a significant number of residential moves made in response to the lockdown. The current context has created new triggers for residential mobility: economic problems, feelings of fear and loneliness, the search for better housing and situations in which to spend the lockdown, and the need to be cared for and to care for others. This paper analyses the residential changes that occurred in Spain during the 2020 lockdown and the later de-escalation period, focusing on movement triggers, motivations and destinations. The results show how residential mobility changes, but also persists even when restricted, fuelled by the conditions of each social group, both pre-existing and generated by the new situation.","container-title":"European Societies","DOI":"10.1080/14616696.2020.1836386","ISSN":"1461-6696","note":"publisher: Routledge\n_eprint: https://doi.org/10.1080/14616696.2020.1836386","page":"S759-S776","source":"Taylor and Francis+NEJM","title":"Lockdown and Adaptation: Residential Mobility in Spain During the COVID-19 Crisis","volume":"23","author":[{"family":"Duque-Calvache","given":"Ricardo"},{"family":"Torrado","given":"José Manuel"},{"family":"Mesa-Pedrazas","given":"Ángela"}],"issued":{"date-parts":[["2021",2,19]]}}},{"id":3778,"uris":["http://zotero.org/users/12832277/items/DVANDTJ7"],"itemData":{"id":3778,"type":"article-journal","container-title":"Technical paper, Department of Civil, Architectural and Environmental Engineering, The University of Texas at Austin","title":"A Rank-Based Model of Residential Location Preferences Before and After the COVID-19 Pandemic","author":[{"family":"Robbennolt","given":"Dale"},{"family":"Haddad","given":"Angela"},{"family":"Bhat","given":"Chandra R."}],"issued":{"date-parts":[["2024",7]]}}}],"schema":"https://github.com/citation-style-language/schema/raw/master/csl-citation.json"} </w:instrText>
      </w:r>
      <w:r w:rsidR="0029397C" w:rsidRPr="00B71F92">
        <w:fldChar w:fldCharType="separate"/>
      </w:r>
      <w:r w:rsidR="0029397C" w:rsidRPr="00B71F92">
        <w:t>(see, for example, Whitaker, 2021; Duque-Calvache et al., 2021; Robbennolt et al., 2024a)</w:t>
      </w:r>
      <w:r w:rsidR="0029397C" w:rsidRPr="00B71F92">
        <w:fldChar w:fldCharType="end"/>
      </w:r>
      <w:r w:rsidR="0029397C" w:rsidRPr="00B71F92">
        <w:t xml:space="preserve">. </w:t>
      </w:r>
      <w:r w:rsidR="00185EF8" w:rsidRPr="00B71F92">
        <w:t xml:space="preserve">In general, though, any reactive move tends to be relatively sudden and unexpected, often giving residents little time to pursue a comprehensive search for their next home </w:t>
      </w:r>
      <w:r w:rsidR="00185EF8" w:rsidRPr="00B71F92">
        <w:fldChar w:fldCharType="begin"/>
      </w:r>
      <w:r w:rsidR="00185EF8" w:rsidRPr="00B71F92">
        <w:instrText xml:space="preserve"> ADDIN ZOTERO_ITEM CSL_CITATION {"citationID":"bsmIqd1Q","properties":{"formattedCitation":"(Desmond et al., 2015)","plainCitation":"(Desmond et al., 2015)","noteIndex":0},"citationItems":[{"id":4238,"uris":["http://zotero.org/users/12832277/items/5IHCZ7SH"],"itemData":{"id":4238,"type":"article-journal","abstract":"Residential instability often brings about other forms of instability in families, schools, and communities that compromise the life chances of adults and children. Social scientists have found that low-income families move frequently without fully understanding why. Drawing on novel data of more than 1,000 Milwaukee renters, this article explores the relationship between forced relocation and residential instability. It finds that low incomes are associated with higher rates of mobility due to poorer renters’ greater exposure to forced displacement. Not only do higher rates of formal and informal eviction, landlord foreclosure, and building condemnation directly increase the mobility of poorer renters, but forced displacement also increases subsequent unforced mobility. A forced move often compels renters to accept substandard housing, which drives them to soon move again. This article reveals mechanisms of residential mobility among low-income renters, identifies previously undocumented consequences of forced displacement, and develops a more comprehensive model of residential instability and urban inequality.","container-title":"Social Service Review","DOI":"10.1086/681091","ISSN":"0037-7961","issue":"2","note":"publisher: The University of Chicago Press","page":"227-262","source":"journals.uchicago.edu (Atypon)","title":"Forced Relocation and Residential Instability among Urban Renters","volume":"89","author":[{"family":"Desmond","given":"Matthew"},{"family":"Gershenson","given":"Carl"},{"family":"Kiviat","given":"Barbara"}],"issued":{"date-parts":[["2015",6]]}}}],"schema":"https://github.com/citation-style-language/schema/raw/master/csl-citation.json"} </w:instrText>
      </w:r>
      <w:r w:rsidR="00185EF8" w:rsidRPr="00B71F92">
        <w:fldChar w:fldCharType="separate"/>
      </w:r>
      <w:r w:rsidR="00185EF8" w:rsidRPr="00B71F92">
        <w:t>(Desmond et al., 2015)</w:t>
      </w:r>
      <w:r w:rsidR="00185EF8" w:rsidRPr="00B71F92">
        <w:fldChar w:fldCharType="end"/>
      </w:r>
      <w:r w:rsidR="00185EF8" w:rsidRPr="00B71F92">
        <w:t xml:space="preserve">. Thus, individuals relocating due to reactive reasons, particularly forced relocations, may quickly select an alternative from a narrow set of options that may not satisfy all their preferred characteristics in terms of dwelling unit characteristics or location </w:t>
      </w:r>
      <w:r w:rsidR="00185EF8" w:rsidRPr="00B71F92">
        <w:fldChar w:fldCharType="begin"/>
      </w:r>
      <w:r w:rsidR="00185EF8" w:rsidRPr="00B71F92">
        <w:instrText xml:space="preserve"> ADDIN ZOTERO_ITEM CSL_CITATION {"citationID":"McOEGNbt","properties":{"formattedCitation":"(Evans, 2020; Saini and Pandit, 2025)","plainCitation":"(Evans, 2020; Saini and Pandit, 2025)","noteIndex":0},"citationItems":[{"id":4240,"uris":["http://zotero.org/users/12832277/items/EEJ2PTPS"],"itemData":{"id":4240,"type":"article-journal","abstract":"Involuntary housing displacement is a stress-inducing life event that can cause and exacerbate both psychological and material hardship. Forced moves may invoke a disattainment process, whereby displaced movers move into lower quality housing and neighborhoods, placing them in a precarious housing position. Employing propensity score analyses, this study uses data from the recent mover module of the American Housing Survey to match recent movers whose moves were voluntary to recent movers whose moves were forced. Results show that moves caused by displacement compared to voluntary moves generally lead to worse housing and neighborhood outcomes. However, these results are dependent on the type of displacement experienced. Movers forced to leave their homes due to eviction move into worse housing and neighborhoods while forced moves caused by private action and foreclosure do not. Meanwhile, forced moves caused by natural hazards or government action result in worse housing, but not neighborhoods.","container-title":"Journal of urban affairs","DOI":"10.1080/07352166.2020.1730697","ISSN":"0735-2166","issue":"2","note":"PMID: 34916734\nPMCID: PMC8673713","page":"1214-1234","source":"PubMed Central","title":"The Unequal Housing and Neighborhood Outcomes of Displaced Movers","volume":"43","author":[{"family":"Evans","given":"Megan"}],"issued":{"date-parts":[["2020"]]}}},{"id":4054,"uris":["http://zotero.org/users/12832277/items/LY2DR2VM"],"itemData":{"id":4054,"type":"article-journal","abstract":"When a household decides to move from the current location, it takes bundle of decisions such as when to move, where to search, and others. We hypothise that these decisions are interlinked and may result in different decision-making trajectories. This heterogeneity in decision-making may exist due to the influence of different triggers, associated urgency, and household's attributes on spatial decisions (search criteria and search type: tenure or typology), choice of information source, search duration, and search extent which may result in varied choice set for different households. The paper aims to establish a need to determine these decision trajectories by quantitatively exploring the variation across decision dimensions. A retrospective revealed preference survey was conducted in Rajarhat Newtown and Rajarhat Gopalpur in India resulting in 272 households’ samples. The findings support the hypothesis and also suggests that variation in trigger and urgency results in the variation of search duration from 1 day to 2 years whereas variation in household's attributes reveals the selection of different search criteria and search type. The study bears an important implication on land use and transportation integration (LUTI) models by providing an alternative approach to consider dependency across decision stages dimensions of relocation process to develop the choice set formation, and location choice model.","collection-title":"World Conference on Transport Research - WCTR 2023 Montreal 17-21 July 2023","container-title":"Transportation Research Procedia","DOI":"10.1016/j.trpro.2024.12.063","ISSN":"2352-1465","page":"604-619","source":"ScienceDirect","title":"A Quantitative Exploration of Linkages Across the Decision Stages of Residential Relocation Process","volume":"82","author":[{"family":"Saini","given":"Preety"},{"family":"Pandit","given":"Debapratim"}],"issued":{"date-parts":[["2025",1,1]]}}}],"schema":"https://github.com/citation-style-language/schema/raw/master/csl-citation.json"} </w:instrText>
      </w:r>
      <w:r w:rsidR="00185EF8" w:rsidRPr="00B71F92">
        <w:fldChar w:fldCharType="separate"/>
      </w:r>
      <w:r w:rsidR="00185EF8" w:rsidRPr="00B71F92">
        <w:t>(Evans, 2020; Saini and Pandit, 2025)</w:t>
      </w:r>
      <w:r w:rsidR="00185EF8" w:rsidRPr="00B71F92">
        <w:fldChar w:fldCharType="end"/>
      </w:r>
      <w:r w:rsidR="00185EF8" w:rsidRPr="00B71F92">
        <w:t xml:space="preserve">. </w:t>
      </w:r>
    </w:p>
    <w:p w14:paraId="005A4A6E" w14:textId="1BF09F05" w:rsidR="000C62AE" w:rsidRPr="00B71F92" w:rsidRDefault="0040781D" w:rsidP="00942D40">
      <w:pPr>
        <w:spacing w:after="0" w:line="240" w:lineRule="auto"/>
        <w:ind w:firstLine="720"/>
        <w:jc w:val="both"/>
      </w:pPr>
      <w:r w:rsidRPr="00B71F92">
        <w:t xml:space="preserve">The above overview highlights the presence of two streams of research on housing relocations, one on relatively </w:t>
      </w:r>
      <w:r w:rsidR="002F5138" w:rsidRPr="00B71F92">
        <w:t xml:space="preserve">proactive moves </w:t>
      </w:r>
      <w:r w:rsidRPr="00B71F92">
        <w:t xml:space="preserve">and another on </w:t>
      </w:r>
      <w:r w:rsidR="002F5138" w:rsidRPr="00B71F92">
        <w:t>relatively reactive moves</w:t>
      </w:r>
      <w:r w:rsidRPr="00B71F92">
        <w:t xml:space="preserve">. </w:t>
      </w:r>
      <w:r w:rsidR="00466262" w:rsidRPr="00B71F92">
        <w:t>However,</w:t>
      </w:r>
      <w:r w:rsidRPr="00B71F92">
        <w:t xml:space="preserve"> the proactive </w:t>
      </w:r>
      <w:r w:rsidR="002F5138" w:rsidRPr="00B71F92">
        <w:t xml:space="preserve">and reactive </w:t>
      </w:r>
      <w:r w:rsidRPr="00B71F92">
        <w:t>motivations, as encompassed in the four relocation mechanisms of Figure 1,</w:t>
      </w:r>
      <w:r w:rsidR="00466262" w:rsidRPr="00B71F92">
        <w:t xml:space="preserve"> are closely linked</w:t>
      </w:r>
      <w:r w:rsidRPr="00B71F92">
        <w:t xml:space="preserve"> so that, for example, </w:t>
      </w:r>
      <w:r w:rsidR="00466262" w:rsidRPr="00B71F92">
        <w:t xml:space="preserve">a family experiencing a disconnect between their housing preferences and housing situation may </w:t>
      </w:r>
      <w:r w:rsidRPr="00B71F92">
        <w:t xml:space="preserve">not move until there is also </w:t>
      </w:r>
      <w:r w:rsidR="0034149A" w:rsidRPr="00B71F92">
        <w:t>a change (or planned change) in their financial situation or to</w:t>
      </w:r>
      <w:r w:rsidR="002F5138" w:rsidRPr="00B71F92">
        <w:t xml:space="preserve"> external housing market forces</w:t>
      </w:r>
      <w:r w:rsidR="0034149A" w:rsidRPr="00B71F92">
        <w:t xml:space="preserve"> </w:t>
      </w:r>
      <w:r w:rsidR="0034149A" w:rsidRPr="00B71F92">
        <w:fldChar w:fldCharType="begin"/>
      </w:r>
      <w:r w:rsidR="000C2680" w:rsidRPr="00B71F92">
        <w:instrText xml:space="preserve"> ADDIN ZOTERO_ITEM CSL_CITATION {"citationID":"9Rwwq0iP","properties":{"formattedCitation":"(Clark, 2013)","plainCitation":"(Clark, 2013)","noteIndex":0},"citationItems":[{"id":4065,"uris":["http://zotero.org/users/12832277/items/I7CR67N2"],"itemData":{"id":4065,"type":"article-journal","abstract":"We know that life course events, especially divorce and separation, trigger residential moves, but we know less about how these and other life course events intersect with how far people move and the relationship with labour market change. This research uses data from the Household, Income and Labour Dynamics Survey in Australia to model a set of life course events and their intersection with the distance of move. I examine essentially positive events, marriage and new births and not so positive events, separation and divorce, and the unexpected events of widowhood and job loss, and their outcomes in the housing market. For the decision to move, the models partly parallel other studies of life course events and their role in the mobility decision, but the results provide enriched results about how age and life course events intersect. The analysis shows in greater detail how age acts as a proxy for complicated life course intersections with moving. The disruption of divorce and separation, as expected, increases the probability of moving but with different effects over distance. Households move in response to these life events but they are much less likely to change metropolitan locations, which reflects the embedded nature of family change and location. Overall, the research enriches previous studies of age-related links to migration and mobility.","container-title":"Journal of Population Research","DOI":"10.1007/s12546-013-9116-y","ISSN":"1835-9469","issue":"4","language":"en","page":"319-334","source":"Springer Link","title":"Life Course Events and Residential Change: Unpacking Age Effects on the Probability of Moving","volume":"30","author":[{"family":"Clark","given":"William A. V."}],"issued":{"date-parts":[["2013",12,1]]}}}],"schema":"https://github.com/citation-style-language/schema/raw/master/csl-citation.json"} </w:instrText>
      </w:r>
      <w:r w:rsidR="0034149A" w:rsidRPr="00B71F92">
        <w:fldChar w:fldCharType="separate"/>
      </w:r>
      <w:r w:rsidR="000C2680" w:rsidRPr="00B71F92">
        <w:t>(Clark, 2013)</w:t>
      </w:r>
      <w:r w:rsidR="0034149A" w:rsidRPr="00B71F92">
        <w:fldChar w:fldCharType="end"/>
      </w:r>
      <w:r w:rsidR="0034149A" w:rsidRPr="00B71F92">
        <w:t xml:space="preserve">. This process is a form of a habit discontinuity process, where </w:t>
      </w:r>
      <w:r w:rsidR="007F0C86" w:rsidRPr="00B71F92">
        <w:t xml:space="preserve">status-quo </w:t>
      </w:r>
      <w:r w:rsidR="0034149A" w:rsidRPr="00B71F92">
        <w:t xml:space="preserve">habits are unlikely to be spontaneously reevaluated, and are instead considered only when a context change makes new information particularly salient </w:t>
      </w:r>
      <w:r w:rsidR="0034149A" w:rsidRPr="00B71F92">
        <w:fldChar w:fldCharType="begin"/>
      </w:r>
      <w:r w:rsidR="008D1314" w:rsidRPr="00B71F92">
        <w:instrText xml:space="preserve"> ADDIN ZOTERO_ITEM CSL_CITATION {"citationID":"NUnQGUQW","properties":{"unsorted":true,"formattedCitation":"(Verplanken et al., 2008; Tao et al., 2023)","plainCitation":"(Verplanken et al., 2008; Tao et al., 2023)","dontUpdate":true,"noteIndex":0},"citationItems":[{"id":4246,"uris":["http://zotero.org/users/12832277/items/34BYT2BX"],"itemData":{"id":4246,"type":"article-journal","abstract":"The habit discontinuity hypothesis states that when a context change disrupts individuals’ habits, a window opens in which behavior is more likely to be deliberately considered. The self-activation hypothesis states that when values incorporated in the self-concept are activated, these are more likely to guide behavior. Combining these two hypotheses, it was predicted that context change enhances the likelihood that important values are considered and guide behavior. This prediction was tested in the domain of travel mode choices among university employees who had recently moved versus had not recently moved residence. As was anticipated, participants who had recently moved and were environmentally concerned used the car less frequently for commuting to work. This was found not only when compared to those who were low on environmental concern (which would be a trivial finding), but also to those who were environmentally concerned but had not recently moved. The effects were controlled for a range of background variables. The results support the notion that context change can activate important values that guide the process of negotiating sustainable behaviors.","container-title":"Journal of Environmental Psychology","DOI":"10.1016/j.jenvp.2007.10.005","ISSN":"0272-4944","issue":"2","page":"121-127","source":"ScienceDirect","title":"Context Change and Travel Mode Choice: Combining the Habit Discontinuity and Self-Activation Hypotheses","volume":"28","author":[{"family":"Verplanken","given":"Bas"},{"family":"Walker","given":"Ian"},{"family":"Davis","given":"Adrian"},{"family":"Jurasek","given":"Michaela"}],"issued":{"date-parts":[["2008",6,1]]}}},{"id":4249,"uris":["http://zotero.org/users/12832277/items/4TLSQFIY"],"itemData":{"id":4249,"type":"article-journal","abstract":"Residential self-selection studies argue that pre-existing travel-related attitude overshadows the role of changes in residential built environment in (re)shaping travel behaviours. Our study contributes to this self-selection argument by including family- and job-related life events as another self-selection source, and accounting for the reverse causality from built environment to travel attitude as opposed to the attitude-induced self-selection. Using a two-wave sample of 1,038 Dutch residents before and after the relocation, we developed structural equation models to investigate longitudinal relationships between changes in residential built environment and job-housing distances, the occurrence of life events, and changes in commuting mode choices and preferences pre-post relocation. Results supported residential self-selection arising from pre-existing preferences for car and public transport commuting, while residents lowered the active commuting preference after moving to a more suburban neighbourhood. Life events concurrent with residential relocation, such as childbirth and job changes, also underlay greater demand for car use.","container-title":"Transportation Research Part D: Transport and Environment","DOI":"10.1016/j.trd.2023.103772","ISSN":"1361-9209","page":"103772","source":"ScienceDirect","title":"Residential Relocation as a Key Event in Commuting Mode Shift","volume":"119","author":[{"family":"Tao","given":"Yinhua"},{"family":"Petrović","given":"Ana"},{"family":"Ham","given":"Maarten","non-dropping-particle":"van"},{"family":"Fu","given":"Xingxing"}],"issued":{"date-parts":[["2023",6,1]]}}}],"schema":"https://github.com/citation-style-language/schema/raw/master/csl-citation.json"} </w:instrText>
      </w:r>
      <w:r w:rsidR="0034149A" w:rsidRPr="00B71F92">
        <w:fldChar w:fldCharType="separate"/>
      </w:r>
      <w:r w:rsidR="0034149A" w:rsidRPr="00B71F92">
        <w:t>(</w:t>
      </w:r>
      <w:r w:rsidR="00DD6F0A" w:rsidRPr="00B71F92">
        <w:t xml:space="preserve">see </w:t>
      </w:r>
      <w:r w:rsidR="0034149A" w:rsidRPr="00B71F92">
        <w:t>Verplanken et al., 2008; Tao et al., 2023)</w:t>
      </w:r>
      <w:r w:rsidR="0034149A" w:rsidRPr="00B71F92">
        <w:fldChar w:fldCharType="end"/>
      </w:r>
      <w:r w:rsidR="0034149A" w:rsidRPr="00B71F92">
        <w:t xml:space="preserve">. In </w:t>
      </w:r>
      <w:r w:rsidR="007F0C86" w:rsidRPr="00B71F92">
        <w:t xml:space="preserve">the context of housing decisions, </w:t>
      </w:r>
      <w:r w:rsidR="0034149A" w:rsidRPr="00B71F92">
        <w:t xml:space="preserve">there is evidence that </w:t>
      </w:r>
      <w:r w:rsidR="007F0C86" w:rsidRPr="00B71F92">
        <w:t xml:space="preserve">households typically </w:t>
      </w:r>
      <w:r w:rsidR="0034149A" w:rsidRPr="00B71F92">
        <w:t xml:space="preserve">employ a broad range of strategies </w:t>
      </w:r>
      <w:r w:rsidR="007F0C86" w:rsidRPr="00B71F92">
        <w:t xml:space="preserve">(such as altering non-housing expenditure patterns if housing costs rise; see, for example, </w:t>
      </w:r>
      <w:r w:rsidR="00A046EE" w:rsidRPr="00B71F92">
        <w:fldChar w:fldCharType="begin"/>
      </w:r>
      <w:r w:rsidR="00ED365A">
        <w:instrText xml:space="preserve"> ADDIN ZOTERO_ITEM CSL_CITATION {"citationID":"WpUjLHpv","properties":{"formattedCitation":"(Waldron, 2024)","plainCitation":"(Waldron, 2024)","dontUpdate":true,"noteIndex":0},"citationItems":[{"id":4236,"uris":["http://zotero.org/users/12832277/items/9ZDVYBIV"],"itemData":{"id":4236,"type":"article-journal","abstract":"Across advanced economies, a new generation of renters are confronting a suite of social and economic precarities with respect to housing, employment and welfare. Unaffordable rents, insecure tenancies and poor-quality accommodation are emblematic of these contemporary insecurities. However, the experiences of such renters and their responses to housing hardships remain under-explored in the Generation Rent literature. Drawing on a qualitative study (n = 28) of renters from Dublin (Ireland), this paper examines the ways people develop coping strategies to respond to their housing difficulties, or at least minimise their adverse effects. The analysis shows that young renters are far from passive victims. Even though they faced significant pressures regarding housing affordability, security, quality and access, they worked hard to maintain their homes. The findings illustrate how people respond to difficult housing circumstances by adopting a range of expenditure, employment and housing-related responses. It also shows how such experiences impact upon social identity, family relations and psycho-social health.","container-title":"Housing Studies","DOI":"10.1080/02673037.2021.2022606","ISSN":"0267-3037","issue":"1","note":"publisher: Routledge\n_eprint: https://doi.org/10.1080/02673037.2021.2022606","page":"124-145","source":"Taylor and Francis+NEJM","title":"Responding to Housing Precarity: The Coping Strategies of Generation Rent","volume":"39","author":[{"family":"Waldron","given":"Richard"}],"issued":{"date-parts":[["2024",1,2]]}}}],"schema":"https://github.com/citation-style-language/schema/raw/master/csl-citation.json"} </w:instrText>
      </w:r>
      <w:r w:rsidR="00A046EE" w:rsidRPr="00B71F92">
        <w:fldChar w:fldCharType="separate"/>
      </w:r>
      <w:r w:rsidR="00A046EE" w:rsidRPr="00B71F92">
        <w:t>Waldron, 2024)</w:t>
      </w:r>
      <w:r w:rsidR="00A046EE" w:rsidRPr="00B71F92">
        <w:fldChar w:fldCharType="end"/>
      </w:r>
      <w:r w:rsidR="007F0C86" w:rsidRPr="00B71F92">
        <w:t xml:space="preserve"> </w:t>
      </w:r>
      <w:r w:rsidR="0034149A" w:rsidRPr="00B71F92">
        <w:t>to avoid relocation</w:t>
      </w:r>
      <w:r w:rsidR="007F0C86" w:rsidRPr="00B71F92">
        <w:t xml:space="preserve"> unless there is another relocation trigger (for example, a new workplace) that also comes into play.</w:t>
      </w:r>
      <w:r w:rsidR="0034149A" w:rsidRPr="00B71F92">
        <w:t xml:space="preserve"> </w:t>
      </w:r>
      <w:r w:rsidR="00E54704" w:rsidRPr="00B71F92">
        <w:t xml:space="preserve">These strategies demonstrate the agency that households can employ to respond to changing housing needs </w:t>
      </w:r>
      <w:r w:rsidR="00D108BC" w:rsidRPr="00B71F92">
        <w:t xml:space="preserve">as well as the close connection between </w:t>
      </w:r>
      <w:r w:rsidR="00430279" w:rsidRPr="00B71F92">
        <w:t xml:space="preserve">multiple motivations for relocating </w:t>
      </w:r>
      <w:r w:rsidR="00A151B3" w:rsidRPr="00B71F92">
        <w:t xml:space="preserve">that may combine to </w:t>
      </w:r>
      <w:r w:rsidR="007F0C86" w:rsidRPr="00B71F92">
        <w:t xml:space="preserve">prompt </w:t>
      </w:r>
      <w:r w:rsidR="00A151B3" w:rsidRPr="00B71F92">
        <w:t xml:space="preserve">a move. </w:t>
      </w:r>
      <w:r w:rsidR="001C0095" w:rsidRPr="00B71F92">
        <w:t>Further, residential mobility itself is not necessarily either a beneficial or harmful process. Many studies have demonstrated tha</w:t>
      </w:r>
      <w:r w:rsidR="002F5138" w:rsidRPr="00B71F92">
        <w:t xml:space="preserve">t high levels of residential mobility may be due to households actively pursuing better employment opportunities or better housing conditions, leading to more beneficial upward social mobility prospects </w:t>
      </w:r>
      <w:r w:rsidR="002F5138" w:rsidRPr="00B71F92">
        <w:fldChar w:fldCharType="begin"/>
      </w:r>
      <w:r w:rsidR="002F5138" w:rsidRPr="00B71F92">
        <w:instrText xml:space="preserve"> ADDIN ZOTERO_ITEM CSL_CITATION {"citationID":"sTN8zeUv","properties":{"formattedCitation":"(Lawrence et al., 2015)","plainCitation":"(Lawrence et al., 2015)","noteIndex":0},"citationItems":[{"id":4243,"uris":["http://zotero.org/users/12832277/items/6YG3K6XQ"],"itemData":{"id":4243,"type":"article-journal","abstract":"BACKGROUND\nUnderstanding residential mobility in early childhood is important for contextualizing influences on child health and well-being.\n\nOBJECTIVE\nThis study describes individual, household, and neighborhood characteristics associated with residential mobility for children aged 0–5.\n\nMETHODS\nWe examined longitudinal data from the Early Childhood Longitudinal Study-Birth Cohort (ECLS-B), a nationally representative sample of children born in 2001. Frequencies describe the prevalence of characteristics for four waves of data and adjusted Wald tests compared means.\n\nRESULTS\nMoving was common for these families with young children, as nearly three-quarters of children moved at least once. Movers transitioned to neighborhoods with residents of higher socioeconomic status but experienced no improved household socioeconomic position relative to non-movers.\n\nCONCLUSION\nBoth the high prevalence and unique implications of early childhood residential mobility suggest the need for further research.","container-title":"Demographic research","ISSN":"1435-9871","note":"PMID: 26819568\nPMCID: PMC4724801","page":"939-950","source":"PubMed Central","title":"Residential Mobility in Early Childhood: Household and Neighborhood Characteristics of Movers and Non-Movers","volume":"33","author":[{"family":"Lawrence","given":"Elizabeth"},{"family":"Root","given":"Elisabeth Dowling"},{"family":"Mollborn","given":"Stefanie"}],"issued":{"date-parts":[["2015",10]]}}}],"schema":"https://github.com/citation-style-language/schema/raw/master/csl-citation.json"} </w:instrText>
      </w:r>
      <w:r w:rsidR="002F5138" w:rsidRPr="00B71F92">
        <w:fldChar w:fldCharType="separate"/>
      </w:r>
      <w:r w:rsidR="002F5138" w:rsidRPr="00B71F92">
        <w:t>(Lawrence et al., 2015)</w:t>
      </w:r>
      <w:r w:rsidR="002F5138" w:rsidRPr="00B71F92">
        <w:fldChar w:fldCharType="end"/>
      </w:r>
      <w:r w:rsidR="002F5138" w:rsidRPr="00B71F92">
        <w:t xml:space="preserve">. Conversely, </w:t>
      </w:r>
      <w:r w:rsidR="001C0095" w:rsidRPr="00B71F92">
        <w:t xml:space="preserve">individuals with high levels of residential mobility due to evictions or forced displacement face a variety of challenges directly relating to housing </w:t>
      </w:r>
      <w:r w:rsidR="001C0095" w:rsidRPr="00B71F92">
        <w:lastRenderedPageBreak/>
        <w:t>instability</w:t>
      </w:r>
      <w:r w:rsidR="002F5138" w:rsidRPr="00B71F92">
        <w:t xml:space="preserve">, which </w:t>
      </w:r>
      <w:r w:rsidR="001C0095" w:rsidRPr="00B71F92">
        <w:t>can lead to worse future housing outcomes, precarious employment situations, and a wide range of adverse physical and mental health outcomes</w:t>
      </w:r>
      <w:r w:rsidR="001C0095" w:rsidRPr="00B71F92">
        <w:rPr>
          <w:b/>
          <w:bCs/>
        </w:rPr>
        <w:t xml:space="preserve"> </w:t>
      </w:r>
      <w:r w:rsidR="001C0095" w:rsidRPr="00B71F92">
        <w:rPr>
          <w:b/>
          <w:bCs/>
        </w:rPr>
        <w:fldChar w:fldCharType="begin"/>
      </w:r>
      <w:r w:rsidR="001C0095" w:rsidRPr="00B71F92">
        <w:rPr>
          <w:b/>
          <w:bCs/>
        </w:rPr>
        <w:instrText xml:space="preserve"> ADDIN ZOTERO_ITEM CSL_CITATION {"citationID":"Dk7wIym3","properties":{"formattedCitation":"(Desmond et al., 2015; Swope and Hern\\uc0\\u225{}ndez, 2019)","plainCitation":"(Desmond et al., 2015; Swope and Hernández, 2019)","noteIndex":0},"citationItems":[{"id":4238,"uris":["http://zotero.org/users/12832277/items/5IHCZ7SH"],"itemData":{"id":4238,"type":"article-journal","abstract":"Residential instability often brings about other forms of instability in families, schools, and communities that compromise the life chances of adults and children. Social scientists have found that low-income families move frequently without fully understanding why. Drawing on novel data of more than 1,000 Milwaukee renters, this article explores the relationship between forced relocation and residential instability. It finds that low incomes are associated with higher rates of mobility due to poorer renters’ greater exposure to forced displacement. Not only do higher rates of formal and informal eviction, landlord foreclosure, and building condemnation directly increase the mobility of poorer renters, but forced displacement also increases subsequent unforced mobility. A forced move often compels renters to accept substandard housing, which drives them to soon move again. This article reveals mechanisms of residential mobility among low-income renters, identifies previously undocumented consequences of forced displacement, and develops a more comprehensive model of residential instability and urban inequality.","container-title":"Social Service Review","DOI":"10.1086/681091","ISSN":"0037-7961","issue":"2","note":"publisher: The University of Chicago Press","page":"227-262","source":"journals.uchicago.edu (Atypon)","title":"Forced Relocation and Residential Instability among Urban Renters","volume":"89","author":[{"family":"Desmond","given":"Matthew"},{"family":"Gershenson","given":"Carl"},{"family":"Kiviat","given":"Barbara"}],"issued":{"date-parts":[["2015",6]]}}},{"id":4079,"uris":["http://zotero.org/users/12832277/items/VD37N5MV"],"itemData":{"id":4079,"type":"article-journal","abstract":"Housing is a major pathway through which health disparities emerge and are sustained over time. However, no existing unified conceptual model has comprehensively elucidated the relationship between housing and health equity with attention to the full range of harmful exposures, their cumulative burden and their historical production. We synthesized literature from a diverse array of disciplines to explore the varied aspects of the relationship between housing and health and developed an original conceptual model highlighting these complexities. This holistic conceptual model of the impact of housing on health disparities illustrates how structural inequalities shape unequal distribution of access to health-promoting housing factors, which span four pillars: 1) cost (housing affordability); 2) conditions (housing quality); 3) consistency (residential stability); and 4) context (neighborhood opportunity). We further demonstrate that these four pillars can lead to cumulative burden by interacting with one another and with other structurally-rooted inequalities to produce and reify health disparities. We conclude by offering a comprehensive vision for healthy housing that situates housing's impact on health through a historical and social justice lens, which can help to better design policies and interventions that use housing to promote health equity.","container-title":"Social Science &amp; Medicine","DOI":"10.1016/j.socscimed.2019.112571","ISSN":"0277-9536","source":"ScienceDirect","title":"Housing as a Determinant of Health Equity: A Conceptual Model","URL":"https://www.sciencedirect.com/science/article/pii/S0277953619305659","volume":"243","author":[{"family":"Swope","given":"Carolyn B."},{"family":"Hernández","given":"Diana"}],"accessed":{"date-parts":[["2025",2,2]]},"issued":{"date-parts":[["2019",12,1]]}}}],"schema":"https://github.com/citation-style-language/schema/raw/master/csl-citation.json"} </w:instrText>
      </w:r>
      <w:r w:rsidR="001C0095" w:rsidRPr="00B71F92">
        <w:rPr>
          <w:b/>
          <w:bCs/>
        </w:rPr>
        <w:fldChar w:fldCharType="separate"/>
      </w:r>
      <w:r w:rsidR="001C0095" w:rsidRPr="00B71F92">
        <w:t>(Desmond et al., 2015; Swope and Hernández, 2019)</w:t>
      </w:r>
      <w:r w:rsidR="001C0095" w:rsidRPr="00B71F92">
        <w:rPr>
          <w:b/>
          <w:bCs/>
        </w:rPr>
        <w:fldChar w:fldCharType="end"/>
      </w:r>
      <w:r w:rsidR="001C0095" w:rsidRPr="00B71F92">
        <w:t xml:space="preserve">. </w:t>
      </w:r>
      <w:r w:rsidR="004918AE" w:rsidRPr="00B71F92">
        <w:t xml:space="preserve">Thus, considering </w:t>
      </w:r>
      <w:r w:rsidR="007C11D7" w:rsidRPr="00B71F92">
        <w:t xml:space="preserve">residential mobility </w:t>
      </w:r>
      <w:r w:rsidR="00942D40" w:rsidRPr="00B71F92">
        <w:t xml:space="preserve">or isolating any specific motivation for relocation </w:t>
      </w:r>
      <w:r w:rsidR="00484B41" w:rsidRPr="00B71F92">
        <w:t xml:space="preserve">is insufficient to </w:t>
      </w:r>
      <w:r w:rsidR="007C11D7" w:rsidRPr="00B71F92">
        <w:t xml:space="preserve">characterize these broader impacts on housing and well-being outcomes without considering the </w:t>
      </w:r>
      <w:r w:rsidR="00942D40" w:rsidRPr="00B71F92">
        <w:t xml:space="preserve">combination of </w:t>
      </w:r>
      <w:r w:rsidR="007C11D7" w:rsidRPr="00B71F92">
        <w:t xml:space="preserve">specific reasons </w:t>
      </w:r>
      <w:r w:rsidR="00942D40" w:rsidRPr="00B71F92">
        <w:t>that motivate</w:t>
      </w:r>
      <w:r w:rsidR="007C11D7" w:rsidRPr="00B71F92">
        <w:t xml:space="preserve"> </w:t>
      </w:r>
      <w:r w:rsidR="00942D40" w:rsidRPr="00B71F92">
        <w:t>a</w:t>
      </w:r>
      <w:r w:rsidR="007C11D7" w:rsidRPr="00B71F92">
        <w:t xml:space="preserve"> relocation. </w:t>
      </w:r>
    </w:p>
    <w:p w14:paraId="6C6EE76E" w14:textId="77777777" w:rsidR="000C62AE" w:rsidRPr="00B71F92" w:rsidRDefault="000C62AE" w:rsidP="00AF0AFB">
      <w:pPr>
        <w:pStyle w:val="ListParagraph"/>
        <w:shd w:val="clear" w:color="auto" w:fill="FFFFFF"/>
        <w:spacing w:after="0" w:line="240" w:lineRule="auto"/>
        <w:ind w:left="0" w:firstLine="720"/>
        <w:jc w:val="both"/>
      </w:pPr>
    </w:p>
    <w:p w14:paraId="0F9B099F" w14:textId="6C7D108C" w:rsidR="008404B6" w:rsidRPr="00B71F92" w:rsidRDefault="008404B6" w:rsidP="008404B6">
      <w:pPr>
        <w:shd w:val="clear" w:color="auto" w:fill="FFFFFF"/>
        <w:spacing w:after="0" w:line="240" w:lineRule="auto"/>
        <w:jc w:val="both"/>
        <w:rPr>
          <w:b/>
          <w:bCs/>
        </w:rPr>
      </w:pPr>
      <w:r w:rsidRPr="00B71F92">
        <w:rPr>
          <w:b/>
          <w:bCs/>
        </w:rPr>
        <w:t>2.</w:t>
      </w:r>
      <w:r w:rsidR="00327F28" w:rsidRPr="00B71F92">
        <w:rPr>
          <w:b/>
          <w:bCs/>
        </w:rPr>
        <w:t>2</w:t>
      </w:r>
      <w:r w:rsidRPr="00B71F92">
        <w:rPr>
          <w:b/>
          <w:bCs/>
        </w:rPr>
        <w:t xml:space="preserve"> Study in Context</w:t>
      </w:r>
    </w:p>
    <w:p w14:paraId="64AFF014" w14:textId="2A1372AC" w:rsidR="00E267D6" w:rsidRPr="00B71F92" w:rsidRDefault="00E267D6" w:rsidP="008404B6">
      <w:pPr>
        <w:shd w:val="clear" w:color="auto" w:fill="FFFFFF"/>
        <w:spacing w:after="0" w:line="240" w:lineRule="auto"/>
        <w:jc w:val="both"/>
        <w:rPr>
          <w:bCs/>
        </w:rPr>
      </w:pPr>
      <w:r w:rsidRPr="00B71F92">
        <w:t xml:space="preserve">In the current paper, we build upon the existing literature in several ways. </w:t>
      </w:r>
      <w:r w:rsidRPr="00B71F92">
        <w:rPr>
          <w:u w:val="single"/>
        </w:rPr>
        <w:t>First</w:t>
      </w:r>
      <w:r w:rsidRPr="00B71F92">
        <w:t xml:space="preserve">, we examine </w:t>
      </w:r>
      <w:r w:rsidRPr="00B71F92">
        <w:rPr>
          <w:bCs/>
        </w:rPr>
        <w:t xml:space="preserve">the range of factors that may serve to </w:t>
      </w:r>
      <w:r w:rsidR="00E97201" w:rsidRPr="00B71F92">
        <w:rPr>
          <w:bCs/>
        </w:rPr>
        <w:t>motivate</w:t>
      </w:r>
      <w:r w:rsidRPr="00B71F92">
        <w:rPr>
          <w:bCs/>
        </w:rPr>
        <w:t xml:space="preserve"> residential relocations as well as heterogeneity across households in these motivations for relocation. In doing so, we identify population subgroups that are more likely to be motivated to relocate </w:t>
      </w:r>
      <w:r w:rsidR="00A421C2" w:rsidRPr="00B71F92">
        <w:rPr>
          <w:bCs/>
        </w:rPr>
        <w:t xml:space="preserve">for </w:t>
      </w:r>
      <w:r w:rsidR="00903BDA" w:rsidRPr="00B71F92">
        <w:rPr>
          <w:bCs/>
        </w:rPr>
        <w:t xml:space="preserve">different reasons, classifying these motivations </w:t>
      </w:r>
      <w:r w:rsidR="00FE277B" w:rsidRPr="00B71F92">
        <w:rPr>
          <w:bCs/>
        </w:rPr>
        <w:t xml:space="preserve">based on the </w:t>
      </w:r>
      <w:r w:rsidR="002901BD" w:rsidRPr="00B71F92">
        <w:rPr>
          <w:bCs/>
        </w:rPr>
        <w:t xml:space="preserve">four identified mechanisms for relocation: </w:t>
      </w:r>
      <w:r w:rsidR="00E125D1" w:rsidRPr="00B71F92">
        <w:rPr>
          <w:bCs/>
        </w:rPr>
        <w:t>proactive planning processes, disconnects between housing preferences and housing situations, triggered reevaluations of housing situations, and forced relocations</w:t>
      </w:r>
      <w:r w:rsidRPr="00B71F92">
        <w:rPr>
          <w:bCs/>
        </w:rPr>
        <w:t xml:space="preserve">. In recognition of the fact that a multitude of factors may, at once, play a role in any individual relocation occurrence, we allow respondents to choose multiple reasons for relocation and model these reasons jointly. </w:t>
      </w:r>
      <w:r w:rsidRPr="00B71F92">
        <w:rPr>
          <w:bCs/>
          <w:u w:val="single"/>
        </w:rPr>
        <w:t>Second</w:t>
      </w:r>
      <w:r w:rsidRPr="00B71F92">
        <w:rPr>
          <w:bCs/>
        </w:rPr>
        <w:t xml:space="preserve">, we conceptualize the relocation process in terms of Gidden’s </w:t>
      </w:r>
      <w:r w:rsidRPr="00B71F92">
        <w:rPr>
          <w:bCs/>
        </w:rPr>
        <w:fldChar w:fldCharType="begin"/>
      </w:r>
      <w:r w:rsidR="006D534D" w:rsidRPr="00B71F92">
        <w:rPr>
          <w:bCs/>
        </w:rPr>
        <w:instrText xml:space="preserve"> ADDIN ZOTERO_ITEM CSL_CITATION {"citationID":"oGYZGHjy","properties":{"unsorted":true,"formattedCitation":"(1979, 1984)","plainCitation":"(1979, 1984)","noteIndex":0},"citationItems":[{"id":4086,"uris":["http://zotero.org/users/12832277/items/4C2VZZH3"],"itemData":{"id":4086,"type":"book","abstract":"In this new and brilliantly organized book of essays, Anthony Giddens discusses three main theoretical traditions in social science that cut across the division between Marxist and non-Marxist sociology: interpretive sociology, functionalism, and structuralism.\n            Beginning with a critical examination of the importance of structuralism for contemporary sociology, the author develops a comprehensive account of what he calls \"the theory of structuration.\" One of the main themes is that social theory must recognize, as it has not done hitherto, that all social actors are knowledgeable about the social systems they produce and reproduce in their conduct. In order to grasp the significance of this, he argues, we have to reconsider some of the most basic concepts in sociology.\n            In particular, Giddens argues, it is essential to recognize the significance of time-space relations in social theory. He rejects the distinction between synchrony and diachrony, or statics and dynamics, involved in both structuralism and functionalism, and offers extensive critical commentary on the latter as an approach to sociology.\n            The book, which can be described as a \"non-functionalist manifesto,\" breaks with the three main theoretical traditions in the social sciences today while retaining the significant contributions each contains. In so doing Giddens discusses a range of fundamental problem areas in the social sciences: power and domination, conflict and contradiction, and social transformation. He concludes with an overall appraisal of the key problems in social theory today.","edition":"1","ISBN":"978-1-350-36288-8","license":"http://www.springer.com/tdm","note":"DOI: 10.1007/978-1-349-16161-4","publisher":"Bloomsbury Publishing Plc","source":"DOI.org (Crossref)","title":"Central Problems in Social Theory: Action, Structure and Contradiction in Social Analysis","URL":"https://www.bloomsburycollections.com/monograph?docid=b-9781350362888","author":[{"family":"Giddens","given":"Anthony"}],"accessed":{"date-parts":[["2025",2,2]]},"issued":{"date-parts":[["1979"]]}},"label":"page","suppress-author":true},{"id":4089,"uris":["http://zotero.org/users/12832277/items/9IWAU697"],"itemData":{"id":4089,"type":"book","abstract":"Anthony Giddens has been in the forefront of developments in social theory for the past decade. In \"The Constitution of Society\" he outlines the distinctive position he has evolved during that period and offers a full statement of a major new perspective in social thought, a synthesis and elaboration of ideas touched on in previous works but described here for the first time in an integrated and comprehensive form. A particular feature is Giddens's concern to connect abstract problems of theory to an interpretation of the nature of empirical method in the social sciences. In presenting his own ideas, Giddens mounts a critical attack on some of the more orthodox sociological views. \"The Constitution of Society\" is an invaluable reference book for all those concerned with the basic issues in contemporary social theory.","ISBN":"978-0-520-05292-5","language":"en","note":"Google-Books-ID: x2bf4g9Z6ZwC","number-of-pages":"448","publisher":"University of California Press","source":"Google Books","title":"The Constitution of Society: Outline of the Theory of Structuration","title-short":"The Constitution of Society","author":[{"family":"Giddens","given":"Anthony"}],"issued":{"date-parts":[["1984"]]}},"label":"page","suppress-author":true}],"schema":"https://github.com/citation-style-language/schema/raw/master/csl-citation.json"} </w:instrText>
      </w:r>
      <w:r w:rsidRPr="00B71F92">
        <w:rPr>
          <w:bCs/>
        </w:rPr>
        <w:fldChar w:fldCharType="separate"/>
      </w:r>
      <w:r w:rsidRPr="00B71F92">
        <w:t>(1979, 1984)</w:t>
      </w:r>
      <w:r w:rsidRPr="00B71F92">
        <w:rPr>
          <w:bCs/>
        </w:rPr>
        <w:fldChar w:fldCharType="end"/>
      </w:r>
      <w:r w:rsidRPr="00B71F92">
        <w:rPr>
          <w:b/>
        </w:rPr>
        <w:t xml:space="preserve"> </w:t>
      </w:r>
      <w:r w:rsidRPr="00B71F92">
        <w:rPr>
          <w:bCs/>
        </w:rPr>
        <w:t xml:space="preserve">structuration theory as discussed above. Although structuration theory has been applied </w:t>
      </w:r>
      <w:r w:rsidR="006D534D" w:rsidRPr="00B71F92">
        <w:rPr>
          <w:bCs/>
        </w:rPr>
        <w:t xml:space="preserve">broadly in sociological and information systems research </w:t>
      </w:r>
      <w:r w:rsidR="006D534D" w:rsidRPr="00B71F92">
        <w:rPr>
          <w:b/>
        </w:rPr>
        <w:fldChar w:fldCharType="begin"/>
      </w:r>
      <w:r w:rsidR="00B43322" w:rsidRPr="00B71F92">
        <w:rPr>
          <w:b/>
        </w:rPr>
        <w:instrText xml:space="preserve"> ADDIN ZOTERO_ITEM CSL_CITATION {"citationID":"lXjCUQer","properties":{"formattedCitation":"(Jones and Karsten, 2008; Khando et al., 2022)","plainCitation":"(Jones and Karsten, 2008; Khando et al., 2022)","noteIndex":0},"citationItems":[{"id":3968,"uris":["http://zotero.org/users/12832277/items/43IU44CJ"],"itemData":{"id":3968,"type":"article-journal","abstract":"The work of the contemporary British sociologist Anthony Giddens, and in particular his structuration theory, has been widely cited by Information Systems researchers. This paper presents a critical review of the work of Giddens and its application in the Information Systems field. Following a brief overview of Giddens's work as a whole, some key aspects of structuration theory are described, and their implications for Information Systems research discussed. We then identify 331 Information Systems articles published between 1983 and 2004 that have drawn on Giddens's work and analyze their use of structuration theory. Based on this analysis a number of features of structurational research in the Information Systems field and its relationship to Giddens's ideas are discussed. These findings offer insight on Information Systems researchers' use of social theory in general and suggest that there may be significant opportunities for the Information Systems field in pursuing structurational research that engages sympathetically, yet critically, with Giddens's work.","container-title":"MIS Quarterly","DOI":"10.2307/25148831","ISSN":"0276-7783","issue":"1","note":"publisher: Management Information Systems Research Center, University of Minnesota","page":"127-157","source":"JSTOR","title":"Giddens's Structuration Theory and Information Systems Research","volume":"32","author":[{"family":"Jones","given":"Matthew R."},{"family":"Karsten","given":"Helena"}],"issued":{"date-parts":[["2008"]]}}},{"id":4336,"uris":["http://zotero.org/users/12832277/items/9VK5RU4R"],"itemData":{"id":4336,"type":"paper-conference","abstract":"Structuration Theory (ST) is increasingly used in the field of Information Systems (IS) and has been widely cited by IS researchers. However, despite the widespread use of ST in IS research, there is a lack of systematic literature reviews on the application of ST in the IS research domain. The purpose of this study is, therefore, to review how ST has been applied in IS research focusing more on the core ST concepts applied in the studies. A systematic review of 33 empirical IS papers published in the last seven years (2015–2021) informs that ST has been used as a theoretical lens by applying general and selective structural concepts. It is also found that a good number of studies have applied ST in combination with other theories to complement as well as to extend the theoretical perspectives. Most studies empirically applied the IS specific version of ST, the Adaptive Structuration Theory (AST), to analyse the IS phenomena. This review also presents the six most used core ST concepts in the reviewed papers. Overall, the paper contributes to offering a better understanding about the application of ST in the IS as a social practice and provides the state-of-the-art insights on the structural concepts used in the empirical IS research.","container-title":"The Role of Digital Technologies in Shaping the Post-Pandemic World","DOI":"10.1007/978-3-031-15342-6_26","event-place":"Cham","ISBN":"978-3-031-15342-6","language":"en","page":"327-339","publisher":"Springer International Publishing","publisher-place":"Cham","source":"Springer Link","title":"The Use of Structuration Theory in Empirical Information Systems Research: A Systematic Literature Review","author":[{"family":"Khando","given":"Khando"},{"family":"Islam","given":"M. Sirajul"},{"family":"Gao","given":"Shang"}],"editor":[{"family":"Papagiannidis","given":"Savvas"},{"family":"Alamanos","given":"Eleftherios"},{"family":"Gupta","given":"Suraksha"},{"family":"Dwivedi","given":"Yogesh K."},{"family":"Mäntymäki","given":"Matti"},{"family":"Pappas","given":"Ilias O."}],"issued":{"date-parts":[["2022"]]}}}],"schema":"https://github.com/citation-style-language/schema/raw/master/csl-citation.json"} </w:instrText>
      </w:r>
      <w:r w:rsidR="006D534D" w:rsidRPr="00B71F92">
        <w:rPr>
          <w:b/>
        </w:rPr>
        <w:fldChar w:fldCharType="separate"/>
      </w:r>
      <w:r w:rsidR="00B43322" w:rsidRPr="00B71F92">
        <w:t>(Jones and Karsten, 2008; Khando et al., 2022)</w:t>
      </w:r>
      <w:r w:rsidR="006D534D" w:rsidRPr="00B71F92">
        <w:rPr>
          <w:b/>
        </w:rPr>
        <w:fldChar w:fldCharType="end"/>
      </w:r>
      <w:r w:rsidR="006D534D" w:rsidRPr="00B71F92">
        <w:rPr>
          <w:bCs/>
        </w:rPr>
        <w:t>, it has rarely been applied in the context of</w:t>
      </w:r>
      <w:r w:rsidRPr="00B71F92">
        <w:rPr>
          <w:bCs/>
        </w:rPr>
        <w:t xml:space="preserve"> the housing choice process, </w:t>
      </w:r>
      <w:r w:rsidR="006D534D" w:rsidRPr="00B71F92">
        <w:rPr>
          <w:bCs/>
        </w:rPr>
        <w:t>and</w:t>
      </w:r>
      <w:r w:rsidRPr="00B71F92">
        <w:rPr>
          <w:bCs/>
        </w:rPr>
        <w:t xml:space="preserve"> only in the context of specific types of constrained </w:t>
      </w:r>
      <w:r w:rsidR="00570DF7" w:rsidRPr="00B71F92">
        <w:rPr>
          <w:bCs/>
        </w:rPr>
        <w:t xml:space="preserve">reactive </w:t>
      </w:r>
      <w:r w:rsidRPr="00B71F92">
        <w:rPr>
          <w:bCs/>
        </w:rPr>
        <w:t>relocations and for specific population segments</w:t>
      </w:r>
      <w:r w:rsidR="00570DF7" w:rsidRPr="00B71F92">
        <w:rPr>
          <w:bCs/>
        </w:rPr>
        <w:t xml:space="preserve"> </w:t>
      </w:r>
      <w:r w:rsidR="00E50CDA" w:rsidRPr="00B71F92">
        <w:rPr>
          <w:b/>
        </w:rPr>
        <w:fldChar w:fldCharType="begin"/>
      </w:r>
      <w:r w:rsidR="009605BB" w:rsidRPr="00B71F92">
        <w:rPr>
          <w:b/>
        </w:rPr>
        <w:instrText xml:space="preserve"> ADDIN ZOTERO_ITEM CSL_CITATION {"citationID":"u63yZbvO","properties":{"unsorted":true,"formattedCitation":"(Sarre, 1986; Fleischer, 2007; Perera and Lee, 2021; Lu and Burgess, 2023)","plainCitation":"(Sarre, 1986; Fleischer, 2007; Perera and Lee, 2021; Lu and Burgess, 2023)","dontUpdate":true,"noteIndex":0},"citationItems":[{"id":4011,"uris":["http://zotero.org/users/12832277/items/3SXUQA46"],"itemData":{"id":4011,"type":"article-journal","abstract":"The paper argues that the theory of structuration can help to resolve some problems in explaining ethnic housing and segregation. First, it reviews some of the existing literature on ethnic housing, arguing that the polarisation between ‘choice’ and ‘constraint’ interpretations needs to be replaced by a more integrated view. Then it argues that the theory of structuration provides a promising way of pursuing such integration, though it is necessary to develop appropriate methodologies if research is to put structurationist views into practice. These methods will probably draw on realism. Finally, the paper presents a brief sketch of the findings of a research project into ethnic housing in Bedford, arguing that it can be explained only by a wide variety of factors, involving major structures as well as significant agency, and shows that choice and constraint have adjusted together and changed over time.","container-title":"Housing Studies","DOI":"10.1080/02673038608720566","ISSN":"0267-3037","issue":"2","note":"publisher: Routledge\n_eprint: https://doi.org/10.1080/02673038608720566","page":"71-86","source":"Taylor and Francis+NEJM","title":"Choice and Constraint in Ethnic Minority Housing: A Structurationist View","volume":"1","author":[{"family":"Sarre","given":"Philip"}],"issued":{"date-parts":[["1986",4,1]]}}},{"id":509,"uris":["http://zotero.org/users/12832277/items/YY3IMIFG"],"itemData":{"id":509,"type":"article-journal","abstract":"The introduction of land prices and a real estate market in the reform period have led to residential differentiations in previously largely homogenous Chinese cities. Based on qualitative data from 14 months of ethnographic fieldwork in an upscale Beijing suburb, in this paper I draw attention to the agency of urban residents in this process. I argue that housing choices in China today are deeply embedded in and related to a larger socio-cultural and spatial reconfiguration of Chinese society. The new urban middle class has developed specific ideas about their living environment and life-style. They aspire to have green space, better air quality, and spaciousness, among other physical characteristics, but also privacy and exclusivity in their new places of residence. I show that residential compounds have become the basis for identity and lifestyle formation, crucial in the process of social differentiation, which in turn underline and reinforce growing disparities in Chinese society. Over and above the outcome of economic restructuring and political decision making, residential differentiation in China today is a social practice that marks urban professionals' status and supports their new modern, urban identities. In addition, this social practice also has an impact on Beijing's suburbanization process.","container-title":"City &amp; Society","DOI":"10.1525/city.2007.19.2.287","ISSN":"1548-744X","issue":"2","language":"en","note":"_eprint: https://onlinelibrary.wiley.com/doi/pdf/10.1525/city.2007.19.2.287","page":"287-311","source":"Wiley Online Library","title":"“To Choose a House Means to Choose a Lifestyle.” The Consumption of Housing and Class-Structuration in Urban China","volume":"19","author":[{"family":"Fleischer","given":"Friederike"}],"issued":{"date-parts":[["2007"]]}}},{"id":4013,"uris":["http://zotero.org/users/12832277/items/SQ74T6YH"],"itemData":{"id":4013,"type":"article-journal","abstract":"Housing affordability in the 21st-century requires a new way of understanding the concept. The concept is currently framed around household spending on housing costs. In the 21stcentury, households' aspirations and housing outcomes of local residential environments are increasingly influenced by external labour and capital drivers at a range of scales (regional, national, global). Under such context, this paper suggests the concept of housing affordability should be advanced to understood with a relational view of the world. The relational view, underpinned by Giddens's Theory of Structuration, has the scope to capture how households' housing costs, linked to aspirations and housing outcomes across scales, making this more relevant to the 21stcentury. Empirical evidence to demonstrate this has been drawn from a large-scale housing development project in the West Midlands of England. Increasing understanding of the concept helps formulate policies and planning practices for improving mechanisms to deliver better housing outcomes in an affordable and sustainable manner.","container-title":"Journal of Urban Management","DOI":"10.1016/j.jum.2021.08.004","ISSN":"2226-5856","issue":"4","page":"314-324","source":"ScienceDirect","title":"A Relational Lens to Understand Housing Affordability in the 21st Century","volume":"10","author":[{"family":"Perera","given":"Upuli"},{"family":"Lee","given":"Peter"}],"issued":{"date-parts":[["2021",12,1]]}}},{"id":4017,"uris":["http://zotero.org/users/12832277/items/UDHWXMGI"],"itemData":{"id":4017,"type":"article-journal","abstract":"Aligned with industrial restructuring and upgrading in China, many cities have issued favourable ‘talent’ policies, including ‘talent housing’ policies, to attract and absorb highly skilled rural-to-urban migrants. One such policy has been for local governments to offer Affordable Rental Housing (ARH) for talents and their families. While the migration motives and labour market positions of highly skilled migrants are well-understood, significantly less attention has been paid to their housing circumstances. This paper explores the housing strategies of highly skilled newcomers in accessing subsidised housing in Shanghai (from rural-to-urban migrants’ perspective). The qualitative data was drawn from 62 in-depth interviews with migrants and analysed thematically using NVivo.This study extends existing theories by demonstrating that highly skilled migrants adopt multi-layered and multi-phased coping strategies. In their pursuit of desired housing outcomes, migrant applicants initiated multi-layered strategies, seeking information from diverse sources and evaluating their prospects. However, findings reveal that the actual institutional policy landscape sometimes conflicts with the proclaimed talent-oriented target, resulting in unexpected structural barriers and constraints. Consequently, highly skilled migrants are compelled to employ additional and ad hoc solutions, often deemed unsatisfactory and compromising. The paper then illustrates how coping becomes multi-phased as migrants grapple with these additional structural barriers, which their initial coping strategies alone cannot sufficiently address. By introducing the innovative concept of ‘coping with coping’, this paper enriches existing coping strategies and structuration theories, offering valuable insights for policymakers and government authorities.","container-title":"Transactions in Planning and Urban Research","DOI":"10.1177/27541223231210820","ISSN":"2754-1223","issue":"4","language":"en","note":"publisher: SAGE Publications","page":"478-501","source":"SAGE Journals","title":"Housing for Talents: Highly Skilled Migrants’ Strategies for Accessing Affordable Rental Housing","volume":"2","author":[{"family":"Lu","given":"Qianyu"},{"family":"Burgess","given":"Gemma"}],"issued":{"date-parts":[["2023",12,1]]}}}],"schema":"https://github.com/citation-style-language/schema/raw/master/csl-citation.json"} </w:instrText>
      </w:r>
      <w:r w:rsidR="00E50CDA" w:rsidRPr="00B71F92">
        <w:rPr>
          <w:b/>
        </w:rPr>
        <w:fldChar w:fldCharType="separate"/>
      </w:r>
      <w:r w:rsidR="00E50CDA" w:rsidRPr="00B71F92">
        <w:t>(see Sarre, 1986; Fleischer, 2007; Perera and Lee, 2021; Lu and Burgess, 2023)</w:t>
      </w:r>
      <w:r w:rsidR="00E50CDA" w:rsidRPr="00B71F92">
        <w:rPr>
          <w:b/>
        </w:rPr>
        <w:fldChar w:fldCharType="end"/>
      </w:r>
      <w:r w:rsidRPr="00B71F92">
        <w:rPr>
          <w:bCs/>
        </w:rPr>
        <w:t xml:space="preserve">. We apply this theory more broadly, as even families who </w:t>
      </w:r>
      <w:r w:rsidR="00570DF7" w:rsidRPr="00B71F92">
        <w:rPr>
          <w:bCs/>
        </w:rPr>
        <w:t xml:space="preserve">make relocation decisions </w:t>
      </w:r>
      <w:r w:rsidR="006F2B02" w:rsidRPr="00B71F92">
        <w:rPr>
          <w:bCs/>
        </w:rPr>
        <w:t xml:space="preserve">according to proactive planning processes </w:t>
      </w:r>
      <w:r w:rsidR="00570DF7" w:rsidRPr="00B71F92">
        <w:rPr>
          <w:bCs/>
        </w:rPr>
        <w:t>follow a similar process of</w:t>
      </w:r>
      <w:r w:rsidR="00735928" w:rsidRPr="00B71F92">
        <w:rPr>
          <w:bCs/>
        </w:rPr>
        <w:t xml:space="preserve"> adapting their actions to the evolving social and economic context</w:t>
      </w:r>
      <w:r w:rsidR="00CA26DE" w:rsidRPr="00B71F92">
        <w:rPr>
          <w:bCs/>
        </w:rPr>
        <w:t xml:space="preserve">. </w:t>
      </w:r>
      <w:r w:rsidR="00CA26DE" w:rsidRPr="00B71F92">
        <w:rPr>
          <w:bCs/>
          <w:u w:val="single"/>
        </w:rPr>
        <w:t>Third</w:t>
      </w:r>
      <w:r w:rsidR="00CA26DE" w:rsidRPr="00B71F92">
        <w:rPr>
          <w:bCs/>
        </w:rPr>
        <w:t xml:space="preserve">, given that these structural </w:t>
      </w:r>
      <w:r w:rsidR="006F2B02" w:rsidRPr="00B71F92">
        <w:rPr>
          <w:bCs/>
        </w:rPr>
        <w:t>conditions</w:t>
      </w:r>
      <w:r w:rsidR="00CA26DE" w:rsidRPr="00B71F92">
        <w:rPr>
          <w:bCs/>
        </w:rPr>
        <w:t xml:space="preserve"> change rapidly over time, we examine how the factors that lead to relocations have changed over </w:t>
      </w:r>
      <w:r w:rsidR="00497DB1" w:rsidRPr="00B71F92">
        <w:rPr>
          <w:bCs/>
        </w:rPr>
        <w:t>the last several years</w:t>
      </w:r>
      <w:r w:rsidR="00CA26DE" w:rsidRPr="00B71F92">
        <w:rPr>
          <w:bCs/>
        </w:rPr>
        <w:t xml:space="preserve">. Using data from the Puget Sound Regional </w:t>
      </w:r>
      <w:r w:rsidR="00BB2B2E" w:rsidRPr="00B71F92">
        <w:rPr>
          <w:bCs/>
        </w:rPr>
        <w:t>Household Travel</w:t>
      </w:r>
      <w:r w:rsidR="00CA26DE" w:rsidRPr="00B71F92">
        <w:rPr>
          <w:bCs/>
        </w:rPr>
        <w:t xml:space="preserve"> Survey collected in 2019, 2021, and 2023, we explore the reasons for relocation among those moving in </w:t>
      </w:r>
      <w:r w:rsidR="00BB2B2E" w:rsidRPr="00B71F92">
        <w:rPr>
          <w:bCs/>
        </w:rPr>
        <w:t>the</w:t>
      </w:r>
      <w:r w:rsidR="00CA26DE" w:rsidRPr="00B71F92">
        <w:rPr>
          <w:bCs/>
        </w:rPr>
        <w:t xml:space="preserve"> 2-year period</w:t>
      </w:r>
      <w:r w:rsidR="00BB2B2E" w:rsidRPr="00B71F92">
        <w:rPr>
          <w:bCs/>
        </w:rPr>
        <w:t xml:space="preserve"> prior to each survey wave</w:t>
      </w:r>
      <w:r w:rsidR="00CA26DE" w:rsidRPr="00B71F92">
        <w:rPr>
          <w:bCs/>
        </w:rPr>
        <w:t xml:space="preserve">, connecting the changes in the reasons for relocation to evolving economic and social conditions that structurally impacted the housing market in the Puget Sound Region during this period. In doing so, we can identify how </w:t>
      </w:r>
      <w:r w:rsidR="00497DB1" w:rsidRPr="00B71F92">
        <w:rPr>
          <w:bCs/>
        </w:rPr>
        <w:t>individuals</w:t>
      </w:r>
      <w:r w:rsidR="00CA26DE" w:rsidRPr="00B71F92">
        <w:rPr>
          <w:bCs/>
        </w:rPr>
        <w:t xml:space="preserve"> intentionally time their relocations based on their own evolving needs and in response to these changing conditions. </w:t>
      </w:r>
      <w:r w:rsidR="00CA26DE" w:rsidRPr="00B71F92">
        <w:rPr>
          <w:bCs/>
          <w:u w:val="single"/>
        </w:rPr>
        <w:t>Finally</w:t>
      </w:r>
      <w:r w:rsidR="00CA26DE" w:rsidRPr="00B71F92">
        <w:rPr>
          <w:bCs/>
        </w:rPr>
        <w:t xml:space="preserve">, we </w:t>
      </w:r>
      <w:r w:rsidR="00490267" w:rsidRPr="00B71F92">
        <w:rPr>
          <w:bCs/>
        </w:rPr>
        <w:t xml:space="preserve">jointly model the binary decision to relocate (at all) in the </w:t>
      </w:r>
      <w:r w:rsidR="00497DB1" w:rsidRPr="00B71F92">
        <w:rPr>
          <w:bCs/>
        </w:rPr>
        <w:t>two-year</w:t>
      </w:r>
      <w:r w:rsidR="00490267" w:rsidRPr="00B71F92">
        <w:rPr>
          <w:bCs/>
        </w:rPr>
        <w:t xml:space="preserve"> period before each survey with the set of reasons for relocation</w:t>
      </w:r>
      <w:r w:rsidR="00ED6FB2" w:rsidRPr="00B71F92">
        <w:rPr>
          <w:bCs/>
        </w:rPr>
        <w:t xml:space="preserve"> (note that the reasons for relocation are collected only from those who actually relocated)</w:t>
      </w:r>
      <w:r w:rsidR="00490267" w:rsidRPr="00B71F92">
        <w:rPr>
          <w:bCs/>
        </w:rPr>
        <w:t xml:space="preserve">. This joint modeling approach accommodates unobserved correlation effects that occur between the overall relocation decision and each specific reason for relocation, allowing us to </w:t>
      </w:r>
      <w:r w:rsidR="00ED6FB2" w:rsidRPr="00B71F92">
        <w:rPr>
          <w:bCs/>
        </w:rPr>
        <w:t xml:space="preserve">appropriately </w:t>
      </w:r>
      <w:r w:rsidR="00490267" w:rsidRPr="00B71F92">
        <w:rPr>
          <w:bCs/>
        </w:rPr>
        <w:t>generalize th</w:t>
      </w:r>
      <w:r w:rsidR="00ED6FB2" w:rsidRPr="00B71F92">
        <w:rPr>
          <w:bCs/>
        </w:rPr>
        <w:t xml:space="preserve">e potential considerations for a move </w:t>
      </w:r>
      <w:r w:rsidR="00490267" w:rsidRPr="00B71F92">
        <w:rPr>
          <w:bCs/>
        </w:rPr>
        <w:t xml:space="preserve">to the broader population rather than solely those who </w:t>
      </w:r>
      <w:r w:rsidR="00ED6FB2" w:rsidRPr="00B71F92">
        <w:rPr>
          <w:bCs/>
        </w:rPr>
        <w:t xml:space="preserve">actually </w:t>
      </w:r>
      <w:r w:rsidR="00490267" w:rsidRPr="00B71F92">
        <w:rPr>
          <w:bCs/>
        </w:rPr>
        <w:t xml:space="preserve">relocated in each </w:t>
      </w:r>
      <w:r w:rsidR="00556163">
        <w:rPr>
          <w:bCs/>
        </w:rPr>
        <w:t>period</w:t>
      </w:r>
      <w:r w:rsidR="00490267" w:rsidRPr="00B71F92">
        <w:rPr>
          <w:bCs/>
        </w:rPr>
        <w:t xml:space="preserve">. </w:t>
      </w:r>
      <w:r w:rsidR="00307044" w:rsidRPr="00B71F92">
        <w:rPr>
          <w:bCs/>
        </w:rPr>
        <w:t>Thus</w:t>
      </w:r>
      <w:r w:rsidR="00490267" w:rsidRPr="00B71F92">
        <w:rPr>
          <w:bCs/>
        </w:rPr>
        <w:t xml:space="preserve">, </w:t>
      </w:r>
      <w:r w:rsidR="00307044" w:rsidRPr="00B71F92">
        <w:rPr>
          <w:bCs/>
        </w:rPr>
        <w:t xml:space="preserve">consider the case </w:t>
      </w:r>
      <w:r w:rsidR="00CC3AE7" w:rsidRPr="00B71F92">
        <w:rPr>
          <w:bCs/>
        </w:rPr>
        <w:t xml:space="preserve">that </w:t>
      </w:r>
      <w:r w:rsidR="00307044" w:rsidRPr="00B71F92">
        <w:rPr>
          <w:bCs/>
        </w:rPr>
        <w:t>a combative</w:t>
      </w:r>
      <w:r w:rsidR="00CC3AE7" w:rsidRPr="00B71F92">
        <w:rPr>
          <w:bCs/>
        </w:rPr>
        <w:t xml:space="preserve">, disagreeable, and </w:t>
      </w:r>
      <w:r w:rsidR="00307044" w:rsidRPr="00B71F92">
        <w:rPr>
          <w:bCs/>
        </w:rPr>
        <w:t>aggressive attitude is an unobserved factor associated with individuals</w:t>
      </w:r>
      <w:r w:rsidR="00861014" w:rsidRPr="00B71F92">
        <w:rPr>
          <w:bCs/>
        </w:rPr>
        <w:t>/households</w:t>
      </w:r>
      <w:r w:rsidR="00307044" w:rsidRPr="00B71F92">
        <w:rPr>
          <w:bCs/>
        </w:rPr>
        <w:t>. Such a</w:t>
      </w:r>
      <w:r w:rsidR="00CC3AE7" w:rsidRPr="00B71F92">
        <w:rPr>
          <w:bCs/>
        </w:rPr>
        <w:t xml:space="preserve">n attitude </w:t>
      </w:r>
      <w:r w:rsidR="00307044" w:rsidRPr="00B71F92">
        <w:rPr>
          <w:bCs/>
        </w:rPr>
        <w:t xml:space="preserve">may lead to a higher chance of a housing move </w:t>
      </w:r>
      <w:r w:rsidR="00307044" w:rsidRPr="00B71F92">
        <w:rPr>
          <w:bCs/>
          <w:u w:val="single"/>
        </w:rPr>
        <w:t>because</w:t>
      </w:r>
      <w:r w:rsidR="00307044" w:rsidRPr="00B71F92">
        <w:rPr>
          <w:bCs/>
        </w:rPr>
        <w:t xml:space="preserve"> of being forced to move out</w:t>
      </w:r>
      <w:r w:rsidR="00ED6FB2" w:rsidRPr="00B71F92">
        <w:rPr>
          <w:bCs/>
        </w:rPr>
        <w:t xml:space="preserve"> (due to behavior inconsistent with societal norms)</w:t>
      </w:r>
      <w:r w:rsidR="00CC3AE7" w:rsidRPr="00B71F92">
        <w:rPr>
          <w:bCs/>
        </w:rPr>
        <w:t>. This would manifest itself in the form of a positive correlation in the error terms underlying the move decision and the “forced to move out” decision</w:t>
      </w:r>
      <w:r w:rsidR="006C741A" w:rsidRPr="00B71F92">
        <w:rPr>
          <w:bCs/>
        </w:rPr>
        <w:t xml:space="preserve"> (as we found in our empirical analysis)</w:t>
      </w:r>
      <w:r w:rsidR="00307044" w:rsidRPr="00B71F92">
        <w:rPr>
          <w:bCs/>
        </w:rPr>
        <w:t xml:space="preserve">. </w:t>
      </w:r>
      <w:r w:rsidR="00ED6FB2" w:rsidRPr="00B71F92">
        <w:rPr>
          <w:bCs/>
        </w:rPr>
        <w:t>The net result is that</w:t>
      </w:r>
      <w:r w:rsidR="00861014" w:rsidRPr="00B71F92">
        <w:rPr>
          <w:bCs/>
        </w:rPr>
        <w:t xml:space="preserve"> a random individual/household in the overall population (of movers as well as non-movers)</w:t>
      </w:r>
      <w:r w:rsidR="00CC3AE7" w:rsidRPr="00B71F92">
        <w:rPr>
          <w:bCs/>
        </w:rPr>
        <w:t xml:space="preserve"> would be</w:t>
      </w:r>
      <w:r w:rsidR="00861014" w:rsidRPr="00B71F92">
        <w:rPr>
          <w:bCs/>
        </w:rPr>
        <w:t xml:space="preserve"> </w:t>
      </w:r>
      <w:r w:rsidR="00CC3AE7" w:rsidRPr="00B71F92">
        <w:rPr>
          <w:bCs/>
        </w:rPr>
        <w:t xml:space="preserve">less </w:t>
      </w:r>
      <w:r w:rsidR="00861014" w:rsidRPr="00B71F92">
        <w:rPr>
          <w:bCs/>
        </w:rPr>
        <w:t>combative/</w:t>
      </w:r>
      <w:r w:rsidR="00CC3AE7" w:rsidRPr="00B71F92">
        <w:rPr>
          <w:bCs/>
        </w:rPr>
        <w:t>disagreeable/</w:t>
      </w:r>
      <w:r w:rsidR="00861014" w:rsidRPr="00B71F92">
        <w:rPr>
          <w:bCs/>
        </w:rPr>
        <w:t>aggressive than an individual/household</w:t>
      </w:r>
      <w:r w:rsidR="00ED6FB2" w:rsidRPr="00B71F92">
        <w:rPr>
          <w:bCs/>
        </w:rPr>
        <w:t xml:space="preserve"> in the pool of actual movers, </w:t>
      </w:r>
      <w:r w:rsidR="00861014" w:rsidRPr="00B71F92">
        <w:rPr>
          <w:bCs/>
        </w:rPr>
        <w:t xml:space="preserve">and thus less likely to have to move </w:t>
      </w:r>
      <w:r w:rsidR="00861014" w:rsidRPr="00B71F92">
        <w:rPr>
          <w:bCs/>
          <w:u w:val="single"/>
        </w:rPr>
        <w:t>because</w:t>
      </w:r>
      <w:r w:rsidR="00861014" w:rsidRPr="00B71F92">
        <w:rPr>
          <w:bCs/>
        </w:rPr>
        <w:t xml:space="preserve"> of </w:t>
      </w:r>
      <w:r w:rsidR="00E54B75" w:rsidRPr="00B71F92">
        <w:rPr>
          <w:bCs/>
        </w:rPr>
        <w:t xml:space="preserve">the threat of </w:t>
      </w:r>
      <w:r w:rsidR="00861014" w:rsidRPr="00B71F92">
        <w:rPr>
          <w:bCs/>
        </w:rPr>
        <w:t>being forced to move out. By explicitly recognizing (controlling for) the presence of such</w:t>
      </w:r>
      <w:r w:rsidR="00CC3AE7" w:rsidRPr="00B71F92">
        <w:rPr>
          <w:bCs/>
        </w:rPr>
        <w:t xml:space="preserve"> a possible correlation in error </w:t>
      </w:r>
      <w:r w:rsidR="00CC3AE7" w:rsidRPr="00B71F92">
        <w:rPr>
          <w:bCs/>
        </w:rPr>
        <w:lastRenderedPageBreak/>
        <w:t xml:space="preserve">terms </w:t>
      </w:r>
      <w:r w:rsidR="00861014" w:rsidRPr="00B71F92">
        <w:rPr>
          <w:bCs/>
        </w:rPr>
        <w:t xml:space="preserve">influencing both the move and the </w:t>
      </w:r>
      <w:r w:rsidR="00CC3AE7" w:rsidRPr="00B71F92">
        <w:rPr>
          <w:bCs/>
        </w:rPr>
        <w:t>“</w:t>
      </w:r>
      <w:r w:rsidR="00861014" w:rsidRPr="00B71F92">
        <w:rPr>
          <w:bCs/>
        </w:rPr>
        <w:t>reason for</w:t>
      </w:r>
      <w:r w:rsidR="00D84DF4" w:rsidRPr="00B71F92">
        <w:rPr>
          <w:bCs/>
        </w:rPr>
        <w:t xml:space="preserve"> considering a</w:t>
      </w:r>
      <w:r w:rsidR="00861014" w:rsidRPr="00B71F92">
        <w:rPr>
          <w:bCs/>
        </w:rPr>
        <w:t xml:space="preserve"> move</w:t>
      </w:r>
      <w:r w:rsidR="00CC3AE7" w:rsidRPr="00B71F92">
        <w:rPr>
          <w:bCs/>
        </w:rPr>
        <w:t>”</w:t>
      </w:r>
      <w:r w:rsidR="00861014" w:rsidRPr="00B71F92">
        <w:rPr>
          <w:bCs/>
        </w:rPr>
        <w:t xml:space="preserve"> outcomes, we are better able to capture the</w:t>
      </w:r>
      <w:r w:rsidR="000D51F1" w:rsidRPr="00B71F92">
        <w:rPr>
          <w:bCs/>
        </w:rPr>
        <w:t xml:space="preserve"> “true” underlying </w:t>
      </w:r>
      <w:r w:rsidR="00C256D2" w:rsidRPr="00B71F92">
        <w:rPr>
          <w:bCs/>
        </w:rPr>
        <w:t xml:space="preserve">motivations for </w:t>
      </w:r>
      <w:r w:rsidR="000D51F1" w:rsidRPr="00B71F92">
        <w:rPr>
          <w:bCs/>
        </w:rPr>
        <w:t xml:space="preserve">considering a </w:t>
      </w:r>
      <w:r w:rsidR="00C256D2" w:rsidRPr="00B71F92">
        <w:rPr>
          <w:bCs/>
        </w:rPr>
        <w:t xml:space="preserve">relocation </w:t>
      </w:r>
      <w:r w:rsidR="000D51F1" w:rsidRPr="00B71F92">
        <w:rPr>
          <w:bCs/>
        </w:rPr>
        <w:t xml:space="preserve">as </w:t>
      </w:r>
      <w:r w:rsidR="00C256D2" w:rsidRPr="00B71F92">
        <w:rPr>
          <w:bCs/>
        </w:rPr>
        <w:t>experienced by the entire population.</w:t>
      </w:r>
      <w:r w:rsidR="006C741A" w:rsidRPr="00B71F92">
        <w:rPr>
          <w:bCs/>
        </w:rPr>
        <w:t xml:space="preserve"> </w:t>
      </w:r>
      <w:r w:rsidR="00C256D2" w:rsidRPr="00B71F92">
        <w:rPr>
          <w:bCs/>
        </w:rPr>
        <w:t xml:space="preserve">This is particularly important in the case of relocation decisions where, as discussed above, many households may experience </w:t>
      </w:r>
      <w:r w:rsidR="00ED47E1" w:rsidRPr="00B71F92">
        <w:rPr>
          <w:bCs/>
        </w:rPr>
        <w:t xml:space="preserve">a significant disconnect between their housing preferences and existing housing </w:t>
      </w:r>
      <w:r w:rsidR="0013101A" w:rsidRPr="00B71F92">
        <w:rPr>
          <w:bCs/>
        </w:rPr>
        <w:t>circumstances</w:t>
      </w:r>
      <w:r w:rsidR="00ED47E1" w:rsidRPr="00B71F92">
        <w:rPr>
          <w:bCs/>
        </w:rPr>
        <w:t xml:space="preserve"> without relocating and may delay relocations </w:t>
      </w:r>
      <w:r w:rsidR="0013101A" w:rsidRPr="00B71F92">
        <w:rPr>
          <w:bCs/>
        </w:rPr>
        <w:t>to navigate their changing needs and expectations about changing market conditions</w:t>
      </w:r>
      <w:r w:rsidR="00C256D2" w:rsidRPr="00B71F92">
        <w:rPr>
          <w:bCs/>
        </w:rPr>
        <w:t xml:space="preserve">. Thus, being able to determine who may be experiencing housing challenges relating to a specific motivating reason </w:t>
      </w:r>
      <w:r w:rsidR="006C741A" w:rsidRPr="00B71F92">
        <w:rPr>
          <w:bCs/>
        </w:rPr>
        <w:t xml:space="preserve">(regardless of whether they </w:t>
      </w:r>
      <w:r w:rsidR="00C256D2" w:rsidRPr="00B71F92">
        <w:rPr>
          <w:bCs/>
        </w:rPr>
        <w:t xml:space="preserve">actually </w:t>
      </w:r>
      <w:r w:rsidR="006C741A" w:rsidRPr="00B71F92">
        <w:rPr>
          <w:bCs/>
        </w:rPr>
        <w:t xml:space="preserve">end up </w:t>
      </w:r>
      <w:r w:rsidR="00C256D2" w:rsidRPr="00B71F92">
        <w:rPr>
          <w:bCs/>
        </w:rPr>
        <w:t>relocat</w:t>
      </w:r>
      <w:r w:rsidR="006C741A" w:rsidRPr="00B71F92">
        <w:rPr>
          <w:bCs/>
        </w:rPr>
        <w:t xml:space="preserve">ing or not) </w:t>
      </w:r>
      <w:r w:rsidR="00C256D2" w:rsidRPr="00B71F92">
        <w:rPr>
          <w:bCs/>
        </w:rPr>
        <w:t xml:space="preserve">is particularly valuable. </w:t>
      </w:r>
    </w:p>
    <w:p w14:paraId="4E789997" w14:textId="77777777" w:rsidR="00C256D2" w:rsidRPr="00B71F92" w:rsidRDefault="00C256D2" w:rsidP="008404B6">
      <w:pPr>
        <w:shd w:val="clear" w:color="auto" w:fill="FFFFFF"/>
        <w:spacing w:after="0" w:line="240" w:lineRule="auto"/>
        <w:jc w:val="both"/>
        <w:rPr>
          <w:bCs/>
        </w:rPr>
      </w:pPr>
    </w:p>
    <w:p w14:paraId="14888207" w14:textId="60E75760" w:rsidR="008404B6" w:rsidRPr="00B71F92" w:rsidRDefault="008404B6" w:rsidP="008404B6">
      <w:pPr>
        <w:spacing w:after="0" w:line="240" w:lineRule="auto"/>
        <w:jc w:val="both"/>
        <w:rPr>
          <w:b/>
          <w:bCs/>
        </w:rPr>
      </w:pPr>
      <w:r w:rsidRPr="00B71F92">
        <w:rPr>
          <w:b/>
        </w:rPr>
        <w:t>3. METHODOLOGY</w:t>
      </w:r>
      <w:r w:rsidRPr="00B71F92">
        <w:rPr>
          <w:b/>
          <w:bCs/>
        </w:rPr>
        <w:t xml:space="preserve"> </w:t>
      </w:r>
    </w:p>
    <w:p w14:paraId="53F0FDFD" w14:textId="77777777" w:rsidR="008404B6" w:rsidRPr="00B71F92" w:rsidRDefault="008404B6" w:rsidP="008404B6">
      <w:pPr>
        <w:shd w:val="clear" w:color="auto" w:fill="FFFFFF"/>
        <w:spacing w:after="0" w:line="240" w:lineRule="auto"/>
        <w:jc w:val="both"/>
        <w:rPr>
          <w:b/>
          <w:bCs/>
        </w:rPr>
      </w:pPr>
      <w:r w:rsidRPr="00B71F92">
        <w:rPr>
          <w:b/>
          <w:bCs/>
        </w:rPr>
        <w:t xml:space="preserve">3.1 Data Description </w:t>
      </w:r>
    </w:p>
    <w:p w14:paraId="007B15E3" w14:textId="2317D55E" w:rsidR="0083225D" w:rsidRPr="00B71F92" w:rsidRDefault="008F299A" w:rsidP="008F299A">
      <w:pPr>
        <w:shd w:val="clear" w:color="auto" w:fill="FFFFFF"/>
        <w:spacing w:after="0" w:line="240" w:lineRule="auto"/>
        <w:jc w:val="both"/>
      </w:pPr>
      <w:r w:rsidRPr="00B71F92">
        <w:t>The data used for this study are drawn from three waves of the Puget Sound Regional Household Travel Survey</w:t>
      </w:r>
      <w:r w:rsidR="000E5E33" w:rsidRPr="00B71F92">
        <w:t xml:space="preserve"> </w:t>
      </w:r>
      <w:r w:rsidR="000E5E33" w:rsidRPr="00B71F92">
        <w:fldChar w:fldCharType="begin"/>
      </w:r>
      <w:r w:rsidR="000E5E33" w:rsidRPr="00B71F92">
        <w:instrText xml:space="preserve"> ADDIN ZOTERO_ITEM CSL_CITATION {"citationID":"lrtDY5nB","properties":{"formattedCitation":"(Puget Sound Regional Council, 2024)","plainCitation":"(Puget Sound Regional Council, 2024)","noteIndex":0},"citationItems":[{"id":4267,"uris":["http://zotero.org/users/12832277/items/Z7TDMKDV"],"itemData":{"id":4267,"type":"dataset","language":"en","source":"Zotero","title":"2023 Puget Sound Regional Travel Study","author":[{"family":"Puget Sound Regional Council","given":""}],"issued":{"date-parts":[["2024",3,18]]}}}],"schema":"https://github.com/citation-style-language/schema/raw/master/csl-citation.json"} </w:instrText>
      </w:r>
      <w:r w:rsidR="000E5E33" w:rsidRPr="00B71F92">
        <w:fldChar w:fldCharType="separate"/>
      </w:r>
      <w:r w:rsidR="000E5E33" w:rsidRPr="00B71F92">
        <w:t>(Puget Sound Regional Council, 2024)</w:t>
      </w:r>
      <w:r w:rsidR="000E5E33" w:rsidRPr="00B71F92">
        <w:fldChar w:fldCharType="end"/>
      </w:r>
      <w:r w:rsidRPr="00B71F92">
        <w:t>. The three waves of data collection occurred from April through June 2019, April through June 2021, and March through June 2023.</w:t>
      </w:r>
      <w:r w:rsidR="00786851" w:rsidRPr="00B71F92">
        <w:t xml:space="preserve"> </w:t>
      </w:r>
      <w:r w:rsidRPr="00B71F92">
        <w:t xml:space="preserve">The study area was the Puget Sound (Greater Seattle, Washington) region, encompassing the King, Kitsap, Pierce, and Snohomish counties, a region including 82 cities and towns with a total population of over 1.5 million households. In each wave, an address-based sampling approach was used to select a new sample of households, and mailed invitations were sent to households in the study region inviting them to participate online or via phone call. In each wave, the sampling frame was stratified to </w:t>
      </w:r>
      <w:r w:rsidR="0083225D" w:rsidRPr="00B71F92">
        <w:t xml:space="preserve">oversample individuals living in census blocks with more racial and ethnic minorities and low-income individuals. </w:t>
      </w:r>
      <w:r w:rsidR="002A4F8D" w:rsidRPr="00B71F92">
        <w:t xml:space="preserve">Also important to note is that the three </w:t>
      </w:r>
      <w:r w:rsidR="008D30F9" w:rsidRPr="00B71F92">
        <w:t xml:space="preserve">survey </w:t>
      </w:r>
      <w:r w:rsidR="002A4F8D" w:rsidRPr="00B71F92">
        <w:t xml:space="preserve">waves do not represent information </w:t>
      </w:r>
      <w:r w:rsidR="008D30F9" w:rsidRPr="00B71F92">
        <w:t xml:space="preserve">obtained from </w:t>
      </w:r>
      <w:r w:rsidR="002A4F8D" w:rsidRPr="00B71F92">
        <w:t xml:space="preserve">a panel of households </w:t>
      </w:r>
      <w:r w:rsidR="008D30F9" w:rsidRPr="00B71F92">
        <w:t>that are repeatedly sampled</w:t>
      </w:r>
      <w:r w:rsidR="002A4F8D" w:rsidRPr="00B71F92">
        <w:t xml:space="preserve">; rather the three waves represent </w:t>
      </w:r>
      <w:r w:rsidR="008D30F9" w:rsidRPr="00B71F92">
        <w:t xml:space="preserve">information collected from </w:t>
      </w:r>
      <w:r w:rsidR="002A4F8D" w:rsidRPr="00B71F92">
        <w:t xml:space="preserve">independent cross-sectional samples of households </w:t>
      </w:r>
      <w:r w:rsidR="008D30F9" w:rsidRPr="00B71F92">
        <w:t>a</w:t>
      </w:r>
      <w:r w:rsidR="002A4F8D" w:rsidRPr="00B71F92">
        <w:t xml:space="preserve">t three different points in time </w:t>
      </w:r>
      <w:r w:rsidR="00B03C9D" w:rsidRPr="00B71F92">
        <w:fldChar w:fldCharType="begin"/>
      </w:r>
      <w:r w:rsidR="009849D5" w:rsidRPr="00B71F92">
        <w:instrText xml:space="preserve"> ADDIN ZOTERO_ITEM CSL_CITATION {"citationID":"wIe9dtTr","properties":{"formattedCitation":"(RSG, 2024)","plainCitation":"(RSG, 2024)","dontUpdate":true,"noteIndex":0},"citationItems":[{"id":4269,"uris":["http://zotero.org/users/12832277/items/ASFM2YWG"],"itemData":{"id":4269,"type":"report","number":"Final Report","publisher":"Puget Sound Regional Council","title":"2023 Puget Sound Regional Travel Survey","URL":"https://www.psrc.org/sites/default/files/2024-05/2023-Puget-Sound-Regional-Travel-Study-Final-Report.pdf","author":[{"family":"RSG","given":""}],"issued":{"date-parts":[["2024",3,18]]}}}],"schema":"https://github.com/citation-style-language/schema/raw/master/csl-citation.json"} </w:instrText>
      </w:r>
      <w:r w:rsidR="00B03C9D" w:rsidRPr="00B71F92">
        <w:fldChar w:fldCharType="separate"/>
      </w:r>
      <w:r w:rsidR="00B03C9D" w:rsidRPr="00B71F92">
        <w:t>(</w:t>
      </w:r>
      <w:r w:rsidR="00642251" w:rsidRPr="00B71F92">
        <w:t xml:space="preserve">see </w:t>
      </w:r>
      <w:r w:rsidR="00B03C9D" w:rsidRPr="00B71F92">
        <w:t>RSG, 2024</w:t>
      </w:r>
      <w:r w:rsidR="00642251" w:rsidRPr="00B71F92">
        <w:t xml:space="preserve"> for additional details of the survey administration procedure</w:t>
      </w:r>
      <w:r w:rsidR="00B03C9D" w:rsidRPr="00B71F92">
        <w:t>)</w:t>
      </w:r>
      <w:r w:rsidR="00B03C9D" w:rsidRPr="00B71F92">
        <w:fldChar w:fldCharType="end"/>
      </w:r>
      <w:r w:rsidR="005F1973" w:rsidRPr="00B71F92">
        <w:t>.</w:t>
      </w:r>
    </w:p>
    <w:p w14:paraId="00AE90A6" w14:textId="4E91ECC4" w:rsidR="002602E5" w:rsidRPr="00B71F92" w:rsidRDefault="0083225D" w:rsidP="008F299A">
      <w:pPr>
        <w:shd w:val="clear" w:color="auto" w:fill="FFFFFF"/>
        <w:spacing w:after="0" w:line="240" w:lineRule="auto"/>
        <w:jc w:val="both"/>
        <w:rPr>
          <w:b/>
          <w:bCs/>
        </w:rPr>
      </w:pPr>
      <w:r w:rsidRPr="00B71F92">
        <w:tab/>
        <w:t xml:space="preserve">As one component of the survey, a reference adult from the household was asked how long the family had lived in their current residence. Then, for those individuals whose previous home was in Washington state, they were asked to select from a list of factors, which were important in their decision to move away from their previous residence. </w:t>
      </w:r>
      <w:r w:rsidR="003A552A" w:rsidRPr="00B71F92">
        <w:t xml:space="preserve">As discussed in more detail in the following sections, we </w:t>
      </w:r>
      <w:r w:rsidR="00FA135F" w:rsidRPr="00B71F92">
        <w:t xml:space="preserve">combine the data from the three waves of collection and consider (a) if an individual </w:t>
      </w:r>
      <w:r w:rsidR="007E7135" w:rsidRPr="00B71F92">
        <w:t>moved</w:t>
      </w:r>
      <w:r w:rsidR="00FA135F" w:rsidRPr="00B71F92">
        <w:t xml:space="preserve"> within two years of the survey date, and (b) if they moved within two years, what </w:t>
      </w:r>
      <w:r w:rsidR="00354A1E" w:rsidRPr="00B71F92">
        <w:t>their</w:t>
      </w:r>
      <w:r w:rsidR="00FA135F" w:rsidRPr="00B71F92">
        <w:t xml:space="preserve"> motivation was for moving. </w:t>
      </w:r>
      <w:r w:rsidR="007E7135" w:rsidRPr="00B71F92">
        <w:t xml:space="preserve">Across the three survey waves, this segments the </w:t>
      </w:r>
      <w:r w:rsidR="009F24D5" w:rsidRPr="00B71F92">
        <w:t>sample</w:t>
      </w:r>
      <w:r w:rsidR="007E7135" w:rsidRPr="00B71F92">
        <w:t xml:space="preserve"> into three periods, the segment from the first survey wave moving between April </w:t>
      </w:r>
      <w:r w:rsidR="00561B2A" w:rsidRPr="00B71F92">
        <w:t>2017 – June 2019</w:t>
      </w:r>
      <w:r w:rsidR="009F24D5" w:rsidRPr="00B71F92">
        <w:t xml:space="preserve"> (3,044 respondents)</w:t>
      </w:r>
      <w:r w:rsidR="00561B2A" w:rsidRPr="00B71F92">
        <w:t>, the segment from the second survey wave moving between April 2019 – June 2021</w:t>
      </w:r>
      <w:r w:rsidR="009F24D5" w:rsidRPr="00B71F92">
        <w:t xml:space="preserve"> (2,793 respondents)</w:t>
      </w:r>
      <w:r w:rsidR="0051013A" w:rsidRPr="00B71F92">
        <w:t>, and the segment from the third wave moving between March 2021 – June 2023</w:t>
      </w:r>
      <w:r w:rsidR="00127195" w:rsidRPr="00B71F92">
        <w:t xml:space="preserve"> (3,566 respondents). </w:t>
      </w:r>
      <w:r w:rsidR="0051013A" w:rsidRPr="00B71F92">
        <w:t xml:space="preserve"> </w:t>
      </w:r>
      <w:r w:rsidR="00127195" w:rsidRPr="00B71F92">
        <w:t>Fo</w:t>
      </w:r>
      <w:r w:rsidR="0051013A" w:rsidRPr="00B71F92">
        <w:t xml:space="preserve">r </w:t>
      </w:r>
      <w:r w:rsidR="00FD3D13" w:rsidRPr="00B71F92">
        <w:t xml:space="preserve">ease, </w:t>
      </w:r>
      <w:r w:rsidR="002A4F8D" w:rsidRPr="00B71F92">
        <w:t xml:space="preserve">in the rest of this paper, </w:t>
      </w:r>
      <w:r w:rsidR="00FD3D13" w:rsidRPr="00B71F92">
        <w:t>we refer to these three periods</w:t>
      </w:r>
      <w:r w:rsidR="002A4F8D" w:rsidRPr="00B71F92">
        <w:t xml:space="preserve"> (</w:t>
      </w:r>
      <w:r w:rsidR="00FD3D13" w:rsidRPr="00B71F92">
        <w:t xml:space="preserve">based on the </w:t>
      </w:r>
      <w:r w:rsidR="00B5195D" w:rsidRPr="00B71F92">
        <w:t>survey date that represents the end of each period</w:t>
      </w:r>
      <w:r w:rsidR="002A4F8D" w:rsidRPr="00B71F92">
        <w:t>)</w:t>
      </w:r>
      <w:r w:rsidR="00B5195D" w:rsidRPr="00B71F92">
        <w:t xml:space="preserve"> </w:t>
      </w:r>
      <w:r w:rsidR="00FD3D13" w:rsidRPr="00B71F92">
        <w:t>as the 2019 period, the 2021 period, and the 2023 period.</w:t>
      </w:r>
      <w:r w:rsidR="00B5195D" w:rsidRPr="00B71F92">
        <w:t xml:space="preserve"> </w:t>
      </w:r>
      <w:r w:rsidRPr="00B71F92">
        <w:t>Respondents were allowed to select all the reasons that applied from the following list</w:t>
      </w:r>
      <w:r w:rsidR="002602E5" w:rsidRPr="00B71F92">
        <w:t xml:space="preserve"> (classified into four categories based on the framework depicted in Figure 1)</w:t>
      </w:r>
      <w:r w:rsidRPr="00B71F92">
        <w:t>:</w:t>
      </w:r>
      <w:r w:rsidR="00426C12" w:rsidRPr="00B71F92">
        <w:t xml:space="preserve"> </w:t>
      </w:r>
    </w:p>
    <w:p w14:paraId="625EBFB8" w14:textId="00AF500D" w:rsidR="002602E5" w:rsidRPr="00B71F92" w:rsidRDefault="00247383" w:rsidP="00D30ADA">
      <w:pPr>
        <w:shd w:val="clear" w:color="auto" w:fill="FFFFFF"/>
        <w:spacing w:before="120" w:after="0" w:line="240" w:lineRule="auto"/>
        <w:jc w:val="both"/>
        <w:rPr>
          <w:u w:val="single"/>
        </w:rPr>
      </w:pPr>
      <w:r w:rsidRPr="00B71F92">
        <w:rPr>
          <w:u w:val="single"/>
        </w:rPr>
        <w:t xml:space="preserve">Proactive </w:t>
      </w:r>
      <w:r w:rsidR="00913081" w:rsidRPr="00B71F92">
        <w:rPr>
          <w:u w:val="single"/>
        </w:rPr>
        <w:t>p</w:t>
      </w:r>
      <w:r w:rsidRPr="00B71F92">
        <w:rPr>
          <w:u w:val="single"/>
        </w:rPr>
        <w:t xml:space="preserve">lanning </w:t>
      </w:r>
      <w:r w:rsidR="00913081" w:rsidRPr="00B71F92">
        <w:rPr>
          <w:u w:val="single"/>
        </w:rPr>
        <w:t>p</w:t>
      </w:r>
      <w:r w:rsidRPr="00B71F92">
        <w:rPr>
          <w:u w:val="single"/>
        </w:rPr>
        <w:t>rocesses</w:t>
      </w:r>
    </w:p>
    <w:p w14:paraId="0AA96A7E" w14:textId="77777777" w:rsidR="00832AAF" w:rsidRPr="00B71F92" w:rsidRDefault="00832AAF" w:rsidP="00832AAF">
      <w:pPr>
        <w:pStyle w:val="ListParagraph"/>
        <w:numPr>
          <w:ilvl w:val="0"/>
          <w:numId w:val="16"/>
        </w:numPr>
        <w:shd w:val="clear" w:color="auto" w:fill="FFFFFF"/>
        <w:spacing w:after="0" w:line="240" w:lineRule="auto"/>
        <w:jc w:val="both"/>
      </w:pPr>
      <w:r w:rsidRPr="00B71F92">
        <w:t>To have better access to work (</w:t>
      </w:r>
      <w:proofErr w:type="gramStart"/>
      <w:r w:rsidRPr="00B71F92">
        <w:t>e.g.</w:t>
      </w:r>
      <w:proofErr w:type="gramEnd"/>
      <w:r w:rsidRPr="00B71F92">
        <w:t xml:space="preserve"> better commute or take new job)</w:t>
      </w:r>
    </w:p>
    <w:p w14:paraId="0D4C0358" w14:textId="77777777" w:rsidR="00DD5530" w:rsidRPr="00B71F92" w:rsidRDefault="00DD5530" w:rsidP="00DD5530">
      <w:pPr>
        <w:pStyle w:val="ListParagraph"/>
        <w:numPr>
          <w:ilvl w:val="0"/>
          <w:numId w:val="16"/>
        </w:numPr>
        <w:shd w:val="clear" w:color="auto" w:fill="FFFFFF"/>
        <w:spacing w:after="0" w:line="240" w:lineRule="auto"/>
        <w:jc w:val="both"/>
      </w:pPr>
      <w:r w:rsidRPr="00B71F92">
        <w:t>To upgrade to a better-quality home or to stop renting and buy a home</w:t>
      </w:r>
    </w:p>
    <w:p w14:paraId="4412B843" w14:textId="592EAE51" w:rsidR="00247383" w:rsidRPr="00B71F92" w:rsidRDefault="00DD5530" w:rsidP="008F299A">
      <w:pPr>
        <w:pStyle w:val="ListParagraph"/>
        <w:numPr>
          <w:ilvl w:val="0"/>
          <w:numId w:val="16"/>
        </w:numPr>
        <w:shd w:val="clear" w:color="auto" w:fill="FFFFFF"/>
        <w:spacing w:after="0" w:line="240" w:lineRule="auto"/>
        <w:jc w:val="both"/>
      </w:pPr>
      <w:r w:rsidRPr="00B71F92">
        <w:t>Change in who you live with (e.g., move out on your own, getting married/divorced)</w:t>
      </w:r>
    </w:p>
    <w:p w14:paraId="67760379" w14:textId="472E2752" w:rsidR="00247383" w:rsidRPr="00B71F92" w:rsidRDefault="00247383" w:rsidP="00D30ADA">
      <w:pPr>
        <w:shd w:val="clear" w:color="auto" w:fill="FFFFFF"/>
        <w:spacing w:before="120" w:after="0" w:line="240" w:lineRule="auto"/>
        <w:jc w:val="both"/>
        <w:rPr>
          <w:u w:val="single"/>
        </w:rPr>
      </w:pPr>
      <w:r w:rsidRPr="00B71F92">
        <w:rPr>
          <w:u w:val="single"/>
        </w:rPr>
        <w:t>Disconnects betwee</w:t>
      </w:r>
      <w:r w:rsidR="00913081" w:rsidRPr="00B71F92">
        <w:rPr>
          <w:u w:val="single"/>
        </w:rPr>
        <w:t>n preferences and housing situations</w:t>
      </w:r>
    </w:p>
    <w:p w14:paraId="523D7961" w14:textId="77777777" w:rsidR="00046F5E" w:rsidRPr="00B71F92" w:rsidRDefault="00046F5E" w:rsidP="00046F5E">
      <w:pPr>
        <w:pStyle w:val="ListParagraph"/>
        <w:numPr>
          <w:ilvl w:val="0"/>
          <w:numId w:val="16"/>
        </w:numPr>
        <w:shd w:val="clear" w:color="auto" w:fill="FFFFFF"/>
        <w:spacing w:after="0" w:line="240" w:lineRule="auto"/>
        <w:jc w:val="both"/>
      </w:pPr>
      <w:r w:rsidRPr="00B71F92">
        <w:t>Needed more space</w:t>
      </w:r>
    </w:p>
    <w:p w14:paraId="1B665190" w14:textId="77777777" w:rsidR="00046F5E" w:rsidRPr="00B71F92" w:rsidRDefault="00046F5E" w:rsidP="00046F5E">
      <w:pPr>
        <w:pStyle w:val="ListParagraph"/>
        <w:numPr>
          <w:ilvl w:val="0"/>
          <w:numId w:val="16"/>
        </w:numPr>
        <w:shd w:val="clear" w:color="auto" w:fill="FFFFFF"/>
        <w:spacing w:after="0" w:line="240" w:lineRule="auto"/>
        <w:jc w:val="both"/>
      </w:pPr>
      <w:r w:rsidRPr="00B71F92">
        <w:t>Needed less space</w:t>
      </w:r>
    </w:p>
    <w:p w14:paraId="5F7E5897" w14:textId="77777777" w:rsidR="00046F5E" w:rsidRPr="00B71F92" w:rsidRDefault="00046F5E" w:rsidP="00046F5E">
      <w:pPr>
        <w:pStyle w:val="ListParagraph"/>
        <w:numPr>
          <w:ilvl w:val="0"/>
          <w:numId w:val="16"/>
        </w:numPr>
        <w:shd w:val="clear" w:color="auto" w:fill="FFFFFF"/>
        <w:spacing w:after="0" w:line="240" w:lineRule="auto"/>
        <w:jc w:val="both"/>
      </w:pPr>
      <w:r w:rsidRPr="00B71F92">
        <w:lastRenderedPageBreak/>
        <w:t xml:space="preserve">To have better access to recreation, restaurants, shops, and other amenities </w:t>
      </w:r>
      <w:r w:rsidRPr="00B71F92">
        <w:rPr>
          <w:i/>
          <w:iCs/>
        </w:rPr>
        <w:t>[Asked only in 2023]</w:t>
      </w:r>
    </w:p>
    <w:p w14:paraId="3ECAD94A" w14:textId="659F485D" w:rsidR="00913081" w:rsidRPr="00B71F92" w:rsidRDefault="00046F5E" w:rsidP="008F299A">
      <w:pPr>
        <w:pStyle w:val="ListParagraph"/>
        <w:numPr>
          <w:ilvl w:val="0"/>
          <w:numId w:val="16"/>
        </w:numPr>
        <w:shd w:val="clear" w:color="auto" w:fill="FFFFFF"/>
        <w:spacing w:after="0" w:line="240" w:lineRule="auto"/>
        <w:jc w:val="both"/>
      </w:pPr>
      <w:r w:rsidRPr="00B71F92">
        <w:t>Concerns about safety or crime</w:t>
      </w:r>
    </w:p>
    <w:p w14:paraId="74DA940F" w14:textId="7B62FFB6" w:rsidR="00913081" w:rsidRPr="00B71F92" w:rsidRDefault="00913081" w:rsidP="00D30ADA">
      <w:pPr>
        <w:shd w:val="clear" w:color="auto" w:fill="FFFFFF"/>
        <w:spacing w:before="120" w:after="0" w:line="240" w:lineRule="auto"/>
        <w:jc w:val="both"/>
        <w:rPr>
          <w:u w:val="single"/>
        </w:rPr>
      </w:pPr>
      <w:r w:rsidRPr="00B71F92">
        <w:rPr>
          <w:u w:val="single"/>
        </w:rPr>
        <w:t>Triggered reevaluations of housing situations</w:t>
      </w:r>
    </w:p>
    <w:p w14:paraId="3FF75EAE" w14:textId="77777777" w:rsidR="00D33951" w:rsidRPr="00B71F92" w:rsidRDefault="00D33951" w:rsidP="000955BB">
      <w:pPr>
        <w:pStyle w:val="ListParagraph"/>
        <w:numPr>
          <w:ilvl w:val="0"/>
          <w:numId w:val="16"/>
        </w:numPr>
        <w:shd w:val="clear" w:color="auto" w:fill="FFFFFF"/>
        <w:spacing w:after="0" w:line="240" w:lineRule="auto"/>
        <w:jc w:val="both"/>
      </w:pPr>
      <w:r w:rsidRPr="00B71F92">
        <w:t>Increase in housing costs, could no longer afford previous place</w:t>
      </w:r>
    </w:p>
    <w:p w14:paraId="0FF818AC" w14:textId="77777777" w:rsidR="00D33951" w:rsidRPr="00B71F92" w:rsidRDefault="00D33951" w:rsidP="00D33951">
      <w:pPr>
        <w:pStyle w:val="ListParagraph"/>
        <w:numPr>
          <w:ilvl w:val="0"/>
          <w:numId w:val="16"/>
        </w:numPr>
        <w:shd w:val="clear" w:color="auto" w:fill="FFFFFF"/>
        <w:spacing w:before="120" w:after="120" w:line="240" w:lineRule="auto"/>
        <w:jc w:val="both"/>
      </w:pPr>
      <w:r w:rsidRPr="00B71F92">
        <w:t>Change in income or finances, could no longer afford previous place</w:t>
      </w:r>
    </w:p>
    <w:p w14:paraId="28F3D95E" w14:textId="221296D9" w:rsidR="00913081" w:rsidRPr="00B71F92" w:rsidRDefault="00046F5E" w:rsidP="00D30ADA">
      <w:pPr>
        <w:pStyle w:val="ListParagraph"/>
        <w:numPr>
          <w:ilvl w:val="0"/>
          <w:numId w:val="16"/>
        </w:numPr>
        <w:shd w:val="clear" w:color="auto" w:fill="FFFFFF"/>
        <w:spacing w:after="0" w:line="240" w:lineRule="auto"/>
        <w:jc w:val="both"/>
      </w:pPr>
      <w:r w:rsidRPr="00B71F92">
        <w:t>Friends, family, or cultural community left or were leaving the area</w:t>
      </w:r>
    </w:p>
    <w:p w14:paraId="07F21D2A" w14:textId="57381EB7" w:rsidR="00913081" w:rsidRPr="00B71F92" w:rsidRDefault="00913081" w:rsidP="00D30ADA">
      <w:pPr>
        <w:shd w:val="clear" w:color="auto" w:fill="FFFFFF"/>
        <w:spacing w:before="120" w:after="0" w:line="240" w:lineRule="auto"/>
        <w:jc w:val="both"/>
        <w:rPr>
          <w:u w:val="single"/>
        </w:rPr>
      </w:pPr>
      <w:r w:rsidRPr="00B71F92">
        <w:rPr>
          <w:u w:val="single"/>
        </w:rPr>
        <w:t xml:space="preserve">Forced relocations </w:t>
      </w:r>
    </w:p>
    <w:p w14:paraId="7F225CFA" w14:textId="77777777" w:rsidR="006B34BD" w:rsidRPr="00B71F92" w:rsidRDefault="006B34BD" w:rsidP="00D30ADA">
      <w:pPr>
        <w:pStyle w:val="ListParagraph"/>
        <w:numPr>
          <w:ilvl w:val="0"/>
          <w:numId w:val="16"/>
        </w:numPr>
        <w:shd w:val="clear" w:color="auto" w:fill="FFFFFF"/>
        <w:spacing w:after="120" w:line="240" w:lineRule="auto"/>
        <w:jc w:val="both"/>
      </w:pPr>
      <w:r w:rsidRPr="00B71F92">
        <w:t>Forced to move out (e.g., building demolished or renovated, asked to leave by landlord, foreclosure)</w:t>
      </w:r>
    </w:p>
    <w:p w14:paraId="661294EA" w14:textId="7A4F8C8D" w:rsidR="00195292" w:rsidRPr="00B71F92" w:rsidRDefault="00E0609E" w:rsidP="008404B6">
      <w:pPr>
        <w:shd w:val="clear" w:color="auto" w:fill="FFFFFF"/>
        <w:spacing w:after="0" w:line="240" w:lineRule="auto"/>
        <w:jc w:val="both"/>
      </w:pPr>
      <w:r w:rsidRPr="00B71F92">
        <w:t xml:space="preserve">In addition to the eleven reasons listed above, </w:t>
      </w:r>
      <w:r w:rsidR="00F80E31" w:rsidRPr="00B71F92">
        <w:t>participants were allowed to select three additional reasons for relocation</w:t>
      </w:r>
      <w:r w:rsidR="00C225AC" w:rsidRPr="00B71F92">
        <w:t>,</w:t>
      </w:r>
      <w:r w:rsidR="00F80E31" w:rsidRPr="00B71F92">
        <w:t xml:space="preserve"> which were removed. </w:t>
      </w:r>
      <w:r w:rsidR="004B06A0" w:rsidRPr="00B71F92">
        <w:t xml:space="preserve">In particular, </w:t>
      </w:r>
      <w:r w:rsidR="00C225AC" w:rsidRPr="00B71F92">
        <w:t xml:space="preserve">because </w:t>
      </w:r>
      <w:r w:rsidR="000760B1" w:rsidRPr="00B71F92">
        <w:t xml:space="preserve">only a few respondents selected </w:t>
      </w:r>
      <w:r w:rsidR="00B5568B" w:rsidRPr="00B71F92">
        <w:t xml:space="preserve">“Access to a different K-12 school,” “COVID-19 removed need to live in previous residence (e.g., no longer need to attend work or school in-person)” </w:t>
      </w:r>
      <w:r w:rsidR="00B5568B" w:rsidRPr="00B71F92">
        <w:rPr>
          <w:i/>
          <w:iCs/>
        </w:rPr>
        <w:t>[Asked only in 2021 and 2023]</w:t>
      </w:r>
      <w:r w:rsidR="00B5568B" w:rsidRPr="00B71F92">
        <w:t xml:space="preserve">, or “Concerns about COVID-19 health risks” </w:t>
      </w:r>
      <w:r w:rsidR="00B5568B" w:rsidRPr="00B71F92">
        <w:rPr>
          <w:i/>
          <w:iCs/>
        </w:rPr>
        <w:t>[Asked only in 2021]</w:t>
      </w:r>
      <w:r w:rsidR="00665274" w:rsidRPr="00B71F92">
        <w:rPr>
          <w:i/>
          <w:iCs/>
        </w:rPr>
        <w:t xml:space="preserve"> </w:t>
      </w:r>
      <w:r w:rsidR="00665274" w:rsidRPr="00B71F92">
        <w:t xml:space="preserve">they were removed from consideration </w:t>
      </w:r>
      <w:r w:rsidR="000760B1" w:rsidRPr="00B71F92">
        <w:t>(</w:t>
      </w:r>
      <w:r w:rsidR="00F9492C" w:rsidRPr="00B71F92">
        <w:t>fewer than</w:t>
      </w:r>
      <w:r w:rsidR="004B06A0" w:rsidRPr="00B71F92">
        <w:t xml:space="preserve"> 2</w:t>
      </w:r>
      <w:r w:rsidR="00D26143" w:rsidRPr="00B71F92">
        <w:t>5</w:t>
      </w:r>
      <w:r w:rsidR="004B06A0" w:rsidRPr="00B71F92">
        <w:t xml:space="preserve"> </w:t>
      </w:r>
      <w:r w:rsidR="000760B1" w:rsidRPr="00B71F92">
        <w:t>participants</w:t>
      </w:r>
      <w:r w:rsidR="00E61637" w:rsidRPr="00B71F92">
        <w:t xml:space="preserve"> out of those who relocated within two years of their respective survey date selected each of these options in any wave</w:t>
      </w:r>
      <w:r w:rsidR="000760B1" w:rsidRPr="00B71F92">
        <w:t xml:space="preserve">). </w:t>
      </w:r>
      <w:r w:rsidR="00273165" w:rsidRPr="00B71F92">
        <w:t>Additionally</w:t>
      </w:r>
      <w:r w:rsidR="000760B1" w:rsidRPr="00B71F92">
        <w:t xml:space="preserve">, </w:t>
      </w:r>
      <w:r w:rsidR="00302065" w:rsidRPr="00B71F92">
        <w:t xml:space="preserve">92 </w:t>
      </w:r>
      <w:r w:rsidR="000760B1" w:rsidRPr="00B71F92">
        <w:t xml:space="preserve">respondents </w:t>
      </w:r>
      <w:r w:rsidR="00302065" w:rsidRPr="00B71F92">
        <w:t xml:space="preserve">(across all three waves) </w:t>
      </w:r>
      <w:r w:rsidR="000760B1" w:rsidRPr="00B71F92">
        <w:t xml:space="preserve">who </w:t>
      </w:r>
      <w:r w:rsidR="009C4618" w:rsidRPr="00B71F92">
        <w:t xml:space="preserve">only </w:t>
      </w:r>
      <w:r w:rsidR="000760B1" w:rsidRPr="00B71F92">
        <w:t xml:space="preserve">selected “Other reason” were provided the option to </w:t>
      </w:r>
      <w:r w:rsidR="0003578B" w:rsidRPr="00B71F92">
        <w:t>specify</w:t>
      </w:r>
      <w:r w:rsidR="000760B1" w:rsidRPr="00B71F92">
        <w:t xml:space="preserve"> their own reason in a write-in field. </w:t>
      </w:r>
      <w:r w:rsidR="00302065" w:rsidRPr="00B71F92">
        <w:t xml:space="preserve">Of the 92, 50 respondents provided reasons that </w:t>
      </w:r>
      <w:r w:rsidR="000760B1" w:rsidRPr="00B71F92">
        <w:t xml:space="preserve">overlapped substantially with </w:t>
      </w:r>
      <w:r w:rsidR="00302065" w:rsidRPr="00B71F92">
        <w:t xml:space="preserve">one of </w:t>
      </w:r>
      <w:r w:rsidR="000760B1" w:rsidRPr="00B71F92">
        <w:t xml:space="preserve">the </w:t>
      </w:r>
      <w:r w:rsidR="00302065" w:rsidRPr="00B71F92">
        <w:t xml:space="preserve">11 itemized </w:t>
      </w:r>
      <w:r w:rsidR="004B06A0" w:rsidRPr="00B71F92">
        <w:t>reasons</w:t>
      </w:r>
      <w:r w:rsidR="00302065" w:rsidRPr="00B71F92">
        <w:t xml:space="preserve"> listed </w:t>
      </w:r>
      <w:r w:rsidR="00FB01B1" w:rsidRPr="00B71F92">
        <w:t>above and</w:t>
      </w:r>
      <w:r w:rsidR="00302065" w:rsidRPr="00B71F92">
        <w:t xml:space="preserve"> </w:t>
      </w:r>
      <w:r w:rsidR="000760B1" w:rsidRPr="00B71F92">
        <w:t xml:space="preserve">were </w:t>
      </w:r>
      <w:r w:rsidR="00302065" w:rsidRPr="00B71F92">
        <w:t xml:space="preserve">appropriately </w:t>
      </w:r>
      <w:r w:rsidR="000760B1" w:rsidRPr="00B71F92">
        <w:t>coded</w:t>
      </w:r>
      <w:r w:rsidR="00302065" w:rsidRPr="00B71F92">
        <w:t xml:space="preserve"> back. The</w:t>
      </w:r>
      <w:r w:rsidR="000760B1" w:rsidRPr="00B71F92">
        <w:t xml:space="preserve"> remaining 40 provided reasons </w:t>
      </w:r>
      <w:r w:rsidR="00945A17" w:rsidRPr="00B71F92">
        <w:t xml:space="preserve">that did not overlap with </w:t>
      </w:r>
      <w:r w:rsidR="00302065" w:rsidRPr="00B71F92">
        <w:t xml:space="preserve">our itemized reasons </w:t>
      </w:r>
      <w:r w:rsidR="000760B1" w:rsidRPr="00B71F92">
        <w:t xml:space="preserve">and were removed. </w:t>
      </w:r>
      <w:r w:rsidR="00195292" w:rsidRPr="00B71F92">
        <w:tab/>
      </w:r>
      <w:r w:rsidR="00C333CD" w:rsidRPr="00B71F92">
        <w:t xml:space="preserve"> </w:t>
      </w:r>
    </w:p>
    <w:p w14:paraId="7BB0343B" w14:textId="59A2E583" w:rsidR="007D5903" w:rsidRPr="00B71F92" w:rsidRDefault="007D5903" w:rsidP="008404B6">
      <w:pPr>
        <w:shd w:val="clear" w:color="auto" w:fill="FFFFFF"/>
        <w:spacing w:after="0" w:line="240" w:lineRule="auto"/>
        <w:jc w:val="both"/>
      </w:pPr>
    </w:p>
    <w:p w14:paraId="20D386C0" w14:textId="77777777" w:rsidR="00FD6C4D" w:rsidRPr="00B71F92" w:rsidRDefault="00FD6C4D" w:rsidP="00FD6C4D">
      <w:pPr>
        <w:shd w:val="clear" w:color="auto" w:fill="FFFFFF"/>
        <w:spacing w:after="0" w:line="240" w:lineRule="auto"/>
        <w:jc w:val="both"/>
        <w:rPr>
          <w:b/>
          <w:bCs/>
          <w:i/>
          <w:iCs/>
        </w:rPr>
      </w:pPr>
      <w:r w:rsidRPr="00B71F92">
        <w:rPr>
          <w:b/>
          <w:bCs/>
          <w:i/>
          <w:iCs/>
        </w:rPr>
        <w:t>3.1.1 Endogenous Outcomes</w:t>
      </w:r>
    </w:p>
    <w:p w14:paraId="41DF9ED4" w14:textId="0E6B0B19" w:rsidR="007E3F01" w:rsidRPr="00B71F92" w:rsidRDefault="00A25955" w:rsidP="00FD6C4D">
      <w:pPr>
        <w:shd w:val="clear" w:color="auto" w:fill="FFFFFF"/>
        <w:spacing w:after="0" w:line="240" w:lineRule="auto"/>
        <w:jc w:val="both"/>
      </w:pPr>
      <w:r w:rsidRPr="00B71F92">
        <w:t xml:space="preserve">Table 1 presents the share of individuals in each of the three periods who moved within two years of the survey date, along with the motivating reasons for relocation among those who moved. </w:t>
      </w:r>
      <w:r w:rsidR="00933417" w:rsidRPr="00B71F92">
        <w:t xml:space="preserve">Overall, the share of individuals choosing to relocate in each two-year period has declined slightly over the </w:t>
      </w:r>
      <w:r w:rsidR="009944FC" w:rsidRPr="00B71F92">
        <w:t xml:space="preserve">three waves, from 21.1% </w:t>
      </w:r>
      <w:r w:rsidR="00643CD4" w:rsidRPr="00B71F92">
        <w:t>(64</w:t>
      </w:r>
      <w:r w:rsidR="007D34DE" w:rsidRPr="00B71F92">
        <w:t>3</w:t>
      </w:r>
      <w:r w:rsidR="00643CD4" w:rsidRPr="00B71F92">
        <w:t xml:space="preserve"> of 3</w:t>
      </w:r>
      <w:r w:rsidR="00507BD3" w:rsidRPr="00B71F92">
        <w:t>,</w:t>
      </w:r>
      <w:r w:rsidR="00643CD4" w:rsidRPr="00B71F92">
        <w:t>044 respondents relocated) in the 2019 period to 19.9% (55</w:t>
      </w:r>
      <w:r w:rsidR="007D34DE" w:rsidRPr="00B71F92">
        <w:t>5</w:t>
      </w:r>
      <w:r w:rsidR="00643CD4" w:rsidRPr="00B71F92">
        <w:t xml:space="preserve"> of 2</w:t>
      </w:r>
      <w:r w:rsidR="00507BD3" w:rsidRPr="00B71F92">
        <w:t>,</w:t>
      </w:r>
      <w:r w:rsidR="00643CD4" w:rsidRPr="00B71F92">
        <w:t xml:space="preserve">793 relocated) in the 2021 period </w:t>
      </w:r>
      <w:r w:rsidR="009944FC" w:rsidRPr="00B71F92">
        <w:t xml:space="preserve">to 17.6% </w:t>
      </w:r>
      <w:r w:rsidR="00643CD4" w:rsidRPr="00B71F92">
        <w:t>(628 of 3</w:t>
      </w:r>
      <w:r w:rsidR="00507BD3" w:rsidRPr="00B71F92">
        <w:t>,</w:t>
      </w:r>
      <w:r w:rsidR="00643CD4" w:rsidRPr="00B71F92">
        <w:t xml:space="preserve">566 relocated) </w:t>
      </w:r>
      <w:r w:rsidR="009944FC" w:rsidRPr="00B71F92">
        <w:t>in the 2023 period.</w:t>
      </w:r>
      <w:r w:rsidR="00643CD4" w:rsidRPr="00B71F92">
        <w:t xml:space="preserve"> The overall percentage of those who relocated across all three waves is 19.4% (1</w:t>
      </w:r>
      <w:r w:rsidR="00507BD3" w:rsidRPr="00B71F92">
        <w:t>,</w:t>
      </w:r>
      <w:r w:rsidR="00643CD4" w:rsidRPr="00B71F92">
        <w:t>826 of 9</w:t>
      </w:r>
      <w:r w:rsidR="00507BD3" w:rsidRPr="00B71F92">
        <w:t>,</w:t>
      </w:r>
      <w:r w:rsidR="00643CD4" w:rsidRPr="00B71F92">
        <w:t xml:space="preserve">403 respondents). </w:t>
      </w:r>
    </w:p>
    <w:p w14:paraId="38A5E1BD" w14:textId="3A9A6766" w:rsidR="002A4E1E" w:rsidRPr="00B71F92" w:rsidRDefault="00073BE2" w:rsidP="00FD6C4D">
      <w:pPr>
        <w:shd w:val="clear" w:color="auto" w:fill="FFFFFF"/>
        <w:spacing w:after="0" w:line="240" w:lineRule="auto"/>
        <w:jc w:val="both"/>
      </w:pPr>
      <w:r w:rsidRPr="00B71F92">
        <w:tab/>
      </w:r>
      <w:r w:rsidR="00AC24C5" w:rsidRPr="00B71F92">
        <w:t>The results for the reasons for relocation are shown in the lower section of Table 1</w:t>
      </w:r>
      <w:r w:rsidR="009E4047" w:rsidRPr="00B71F92">
        <w:t xml:space="preserve">, shown </w:t>
      </w:r>
      <w:r w:rsidR="008454BD" w:rsidRPr="00B71F92">
        <w:t>by</w:t>
      </w:r>
      <w:r w:rsidR="009E4047" w:rsidRPr="00B71F92">
        <w:t xml:space="preserve"> the </w:t>
      </w:r>
      <w:r w:rsidR="008454BD" w:rsidRPr="00B71F92">
        <w:t>percentage</w:t>
      </w:r>
      <w:r w:rsidR="009E4047" w:rsidRPr="00B71F92">
        <w:t xml:space="preserve"> of respondents selecting each reason out of those who </w:t>
      </w:r>
      <w:r w:rsidR="008454BD" w:rsidRPr="00B71F92">
        <w:t>relocated</w:t>
      </w:r>
      <w:r w:rsidR="009E4047" w:rsidRPr="00B71F92">
        <w:t xml:space="preserve"> within two years</w:t>
      </w:r>
      <w:r w:rsidR="000C3C4D" w:rsidRPr="00B71F92">
        <w:t xml:space="preserve"> (n</w:t>
      </w:r>
      <w:r w:rsidR="004820C5" w:rsidRPr="00B71F92">
        <w:t xml:space="preserve">ote that since each respondent was allowed to select as many reasons as applied, </w:t>
      </w:r>
      <w:r w:rsidR="008454BD" w:rsidRPr="00B71F92">
        <w:t>the entries in the table add up to more than 100%</w:t>
      </w:r>
      <w:r w:rsidR="000C3C4D" w:rsidRPr="00B71F92">
        <w:t>)</w:t>
      </w:r>
      <w:r w:rsidR="008454BD" w:rsidRPr="00B71F92">
        <w:t xml:space="preserve">. </w:t>
      </w:r>
      <w:r w:rsidR="00990C2E" w:rsidRPr="00B71F92">
        <w:t xml:space="preserve">As </w:t>
      </w:r>
      <w:r w:rsidR="00797124" w:rsidRPr="00B71F92">
        <w:t xml:space="preserve">may be </w:t>
      </w:r>
      <w:r w:rsidR="00007EE8" w:rsidRPr="00B71F92">
        <w:t>observed</w:t>
      </w:r>
      <w:r w:rsidR="00797124" w:rsidRPr="00B71F92">
        <w:t xml:space="preserve"> from</w:t>
      </w:r>
      <w:r w:rsidR="00990C2E" w:rsidRPr="00B71F92">
        <w:t xml:space="preserve"> the table, the most common reasons for relocation across the three waves are “</w:t>
      </w:r>
      <w:r w:rsidR="00682575" w:rsidRPr="00B71F92">
        <w:t>Needed more space” and “To upgrade to a better-quality home or to stop renting and buy a home</w:t>
      </w:r>
      <w:r w:rsidR="00041415" w:rsidRPr="00B71F92">
        <w:t>,</w:t>
      </w:r>
      <w:r w:rsidR="00682575" w:rsidRPr="00B71F92">
        <w:t>”</w:t>
      </w:r>
      <w:r w:rsidR="00041415" w:rsidRPr="00B71F92">
        <w:t xml:space="preserve"> each of which was selected by more than 30% of relocating respondents in each wave. </w:t>
      </w:r>
      <w:r w:rsidR="00094242" w:rsidRPr="00B71F92">
        <w:t>Another commonly selected reason was “</w:t>
      </w:r>
      <w:r w:rsidR="002C0593" w:rsidRPr="00B71F92">
        <w:t>Change in who you live with (e.g., move out on your own, getting married/divorced)</w:t>
      </w:r>
      <w:r w:rsidR="00094242" w:rsidRPr="00B71F92">
        <w:t xml:space="preserve">,” although, this reason seemed to be less common in the 2021 period. </w:t>
      </w:r>
      <w:r w:rsidR="00672317" w:rsidRPr="00B71F92">
        <w:t xml:space="preserve">Conversely, </w:t>
      </w:r>
      <w:r w:rsidR="003253B6" w:rsidRPr="00B71F92">
        <w:t>it seems relatively uncommon that individuals move due to the reasons “</w:t>
      </w:r>
      <w:r w:rsidR="00D17BE1" w:rsidRPr="00B71F92">
        <w:t>Change in income or finances, could no longer afford previous place</w:t>
      </w:r>
      <w:r w:rsidR="003253B6" w:rsidRPr="00B71F92">
        <w:t>,”</w:t>
      </w:r>
      <w:r w:rsidR="00682575" w:rsidRPr="00B71F92">
        <w:t xml:space="preserve"> </w:t>
      </w:r>
      <w:r w:rsidR="004B1566" w:rsidRPr="00B71F92">
        <w:t xml:space="preserve">“Friends, family, or cultural community </w:t>
      </w:r>
      <w:r w:rsidR="00D17BE1" w:rsidRPr="00B71F92">
        <w:t xml:space="preserve">left or </w:t>
      </w:r>
      <w:r w:rsidR="004B1566" w:rsidRPr="00B71F92">
        <w:t>were leaving the area,” “Needed less space,” or “</w:t>
      </w:r>
      <w:r w:rsidR="00BD4471" w:rsidRPr="00B71F92">
        <w:t xml:space="preserve">Forced to move out (e.g., building demolished or renovated, asked to leave by landlord, foreclosure),” each of which was selected by less than 10% of relocating respondents in each period. </w:t>
      </w:r>
      <w:r w:rsidR="0053610C" w:rsidRPr="00B71F92">
        <w:t xml:space="preserve">These aggregate statistics also reveal some interesting changes over the course of this six-year period. </w:t>
      </w:r>
      <w:r w:rsidR="00C657BC" w:rsidRPr="00B71F92">
        <w:t xml:space="preserve">Overall, it seems that many of the changes that occurred between the 2019 period </w:t>
      </w:r>
      <w:r w:rsidR="00C17949" w:rsidRPr="00B71F92">
        <w:t>and</w:t>
      </w:r>
      <w:r w:rsidR="00C657BC" w:rsidRPr="00B71F92">
        <w:t xml:space="preserve"> </w:t>
      </w:r>
      <w:r w:rsidR="00C657BC" w:rsidRPr="00B71F92">
        <w:lastRenderedPageBreak/>
        <w:t xml:space="preserve">the 2021 period have reverted somewhat </w:t>
      </w:r>
      <w:r w:rsidR="00791C8D" w:rsidRPr="00B71F92">
        <w:t xml:space="preserve">towards the original </w:t>
      </w:r>
      <w:r w:rsidR="00A31813" w:rsidRPr="00B71F92">
        <w:t xml:space="preserve">2019 </w:t>
      </w:r>
      <w:r w:rsidR="00791C8D" w:rsidRPr="00B71F92">
        <w:t>levels in the 2023 period. For instance, t</w:t>
      </w:r>
      <w:r w:rsidR="00972397" w:rsidRPr="00B71F92">
        <w:t xml:space="preserve">he share of respondents moving because they “Needed more space” grew significantly during the 2021 period, although it dropped off somewhat in the 2023 period. </w:t>
      </w:r>
      <w:r w:rsidR="00C83C3E" w:rsidRPr="00B71F92">
        <w:t xml:space="preserve">Similarly, the number of respondents moving because “Friends, family, or cultural community </w:t>
      </w:r>
      <w:r w:rsidR="00D17BE1" w:rsidRPr="00B71F92">
        <w:t xml:space="preserve">left or </w:t>
      </w:r>
      <w:r w:rsidR="00C83C3E" w:rsidRPr="00B71F92">
        <w:t xml:space="preserve">were leaving the area” was higher during the 2021 period </w:t>
      </w:r>
      <w:r w:rsidR="00791C8D" w:rsidRPr="00B71F92">
        <w:t>than</w:t>
      </w:r>
      <w:r w:rsidR="00C83C3E" w:rsidRPr="00B71F92">
        <w:t xml:space="preserve"> either</w:t>
      </w:r>
      <w:r w:rsidR="00791C8D" w:rsidRPr="00B71F92">
        <w:t xml:space="preserve"> of the</w:t>
      </w:r>
      <w:r w:rsidR="00C83C3E" w:rsidRPr="00B71F92">
        <w:t xml:space="preserve"> other period</w:t>
      </w:r>
      <w:r w:rsidR="00791C8D" w:rsidRPr="00B71F92">
        <w:t>s</w:t>
      </w:r>
      <w:r w:rsidR="00C83C3E" w:rsidRPr="00B71F92">
        <w:t xml:space="preserve">. </w:t>
      </w:r>
      <w:r w:rsidR="00C64A40" w:rsidRPr="00B71F92">
        <w:t xml:space="preserve">In contrast, the prevalence of </w:t>
      </w:r>
      <w:r w:rsidR="00364780" w:rsidRPr="00B71F92">
        <w:t>being</w:t>
      </w:r>
      <w:r w:rsidR="001D65C8" w:rsidRPr="00B71F92">
        <w:t xml:space="preserve"> “Forced to move out (e.g., building demolished or renovated, asked to leave by landlord, foreclosure)” </w:t>
      </w:r>
      <w:r w:rsidR="00364780" w:rsidRPr="00B71F92">
        <w:t>was relatively stable between the 2019 period and 2021 period, but declined significantly in the</w:t>
      </w:r>
      <w:r w:rsidR="00C17949" w:rsidRPr="00B71F92">
        <w:t xml:space="preserve"> 2023 period</w:t>
      </w:r>
      <w:r w:rsidR="00364780" w:rsidRPr="00B71F92">
        <w:t xml:space="preserve"> (see the last row of Table 1)</w:t>
      </w:r>
      <w:r w:rsidR="00C17949" w:rsidRPr="00B71F92">
        <w:t xml:space="preserve">. </w:t>
      </w:r>
    </w:p>
    <w:p w14:paraId="5FEFAB05" w14:textId="77777777" w:rsidR="00FD6C4D" w:rsidRPr="00B71F92" w:rsidRDefault="00FD6C4D" w:rsidP="008404B6">
      <w:pPr>
        <w:shd w:val="clear" w:color="auto" w:fill="FFFFFF"/>
        <w:spacing w:after="0" w:line="240" w:lineRule="auto"/>
        <w:jc w:val="both"/>
        <w:rPr>
          <w:b/>
          <w:bCs/>
          <w:i/>
          <w:iCs/>
          <w:highlight w:val="yellow"/>
        </w:rPr>
      </w:pPr>
    </w:p>
    <w:p w14:paraId="48DE665A" w14:textId="5E4EE53B" w:rsidR="008404B6" w:rsidRPr="00D30ADA" w:rsidRDefault="008404B6" w:rsidP="008404B6">
      <w:pPr>
        <w:shd w:val="clear" w:color="auto" w:fill="FFFFFF"/>
        <w:spacing w:after="0" w:line="240" w:lineRule="auto"/>
        <w:jc w:val="both"/>
        <w:rPr>
          <w:b/>
          <w:bCs/>
          <w:i/>
          <w:iCs/>
        </w:rPr>
      </w:pPr>
      <w:r w:rsidRPr="00D30ADA">
        <w:rPr>
          <w:b/>
          <w:bCs/>
          <w:i/>
          <w:iCs/>
        </w:rPr>
        <w:t>3.1.</w:t>
      </w:r>
      <w:r w:rsidR="00FD6C4D" w:rsidRPr="00D30ADA">
        <w:rPr>
          <w:b/>
          <w:bCs/>
          <w:i/>
          <w:iCs/>
        </w:rPr>
        <w:t>2</w:t>
      </w:r>
      <w:r w:rsidRPr="00D30ADA">
        <w:rPr>
          <w:b/>
          <w:bCs/>
          <w:i/>
          <w:iCs/>
        </w:rPr>
        <w:t xml:space="preserve"> Exogenous Variables </w:t>
      </w:r>
    </w:p>
    <w:p w14:paraId="2CDCA1BD" w14:textId="77777777" w:rsidR="008807DE" w:rsidRDefault="0096258C" w:rsidP="008404B6">
      <w:pPr>
        <w:shd w:val="clear" w:color="auto" w:fill="FFFFFF"/>
        <w:spacing w:after="0" w:line="240" w:lineRule="auto"/>
        <w:jc w:val="both"/>
        <w:sectPr w:rsidR="008807DE" w:rsidSect="00A83E59">
          <w:footerReference w:type="default" r:id="rId10"/>
          <w:pgSz w:w="12240" w:h="15840"/>
          <w:pgMar w:top="1440" w:right="1440" w:bottom="1440" w:left="1440" w:header="720" w:footer="720" w:gutter="0"/>
          <w:pgNumType w:start="1"/>
          <w:cols w:space="720"/>
          <w:docGrid w:linePitch="360"/>
        </w:sectPr>
      </w:pPr>
      <w:r w:rsidRPr="00B71F92">
        <w:t xml:space="preserve">For each survey wave, </w:t>
      </w:r>
      <w:r w:rsidR="000F303A" w:rsidRPr="00B71F92">
        <w:t xml:space="preserve">Table 2 provides the </w:t>
      </w:r>
      <w:r w:rsidR="0007024E" w:rsidRPr="00B71F92">
        <w:t xml:space="preserve">distribution of </w:t>
      </w:r>
      <w:r w:rsidR="000F303A" w:rsidRPr="00B71F92">
        <w:t xml:space="preserve">household characteristics </w:t>
      </w:r>
      <w:r w:rsidR="0007024E" w:rsidRPr="00B71F92">
        <w:t>for respondents in the sample</w:t>
      </w:r>
      <w:r w:rsidR="00EE0721" w:rsidRPr="00B71F92">
        <w:t xml:space="preserve"> compared with </w:t>
      </w:r>
      <w:r w:rsidR="0007024E" w:rsidRPr="00B71F92">
        <w:t xml:space="preserve">estimates from the American Community Survey </w:t>
      </w:r>
      <w:r w:rsidR="003D26CE" w:rsidRPr="00B71F92">
        <w:t xml:space="preserve">(ACS) </w:t>
      </w:r>
      <w:r w:rsidR="006650FF" w:rsidRPr="00B71F92">
        <w:t xml:space="preserve">1-year estimates for corresponding years. </w:t>
      </w:r>
      <w:r w:rsidR="009D5697" w:rsidRPr="00B71F92">
        <w:t>The variables are grouped in three categories: (1) Lifecycle and Household Composition</w:t>
      </w:r>
      <w:r w:rsidR="002F5138" w:rsidRPr="00B71F92">
        <w:t xml:space="preserve"> variables</w:t>
      </w:r>
      <w:r w:rsidR="009D5697" w:rsidRPr="00B71F92">
        <w:t xml:space="preserve">, (2) Employment-Related and Education </w:t>
      </w:r>
      <w:r w:rsidR="00AC0678" w:rsidRPr="00B71F92">
        <w:t>v</w:t>
      </w:r>
      <w:r w:rsidR="009D5697" w:rsidRPr="00B71F92">
        <w:t>ariables, and (3) Race and Ethnicity</w:t>
      </w:r>
      <w:r w:rsidR="002F5138" w:rsidRPr="00B71F92">
        <w:t xml:space="preserve"> variables</w:t>
      </w:r>
      <w:r w:rsidR="009D5697" w:rsidRPr="00B71F92">
        <w:t xml:space="preserve">. </w:t>
      </w:r>
      <w:r w:rsidR="004D0453" w:rsidRPr="00B71F92">
        <w:t>For</w:t>
      </w:r>
      <w:r w:rsidR="00AB30B8" w:rsidRPr="00B71F92">
        <w:t xml:space="preserve"> household lifecycle variables</w:t>
      </w:r>
      <w:r w:rsidR="002F5138" w:rsidRPr="00B71F92">
        <w:t>,</w:t>
      </w:r>
      <w:r w:rsidR="00AB30B8" w:rsidRPr="00B71F92">
        <w:t xml:space="preserve"> the ACS does not provide comparable household lifecycle estimates. For these lifecycle variables</w:t>
      </w:r>
      <w:r w:rsidR="009D5697" w:rsidRPr="00B71F92">
        <w:t>,</w:t>
      </w:r>
      <w:r w:rsidR="00AB30B8" w:rsidRPr="00B71F92">
        <w:t xml:space="preserve"> we group households based on the age of adults in the household, </w:t>
      </w:r>
      <w:r w:rsidR="00353525" w:rsidRPr="00B71F92">
        <w:t xml:space="preserve">labeling households with adults aged 18-44 as “young households,” those with adults aged 45-64 as “middle-aged households,” </w:t>
      </w:r>
      <w:r w:rsidR="00971BA6" w:rsidRPr="00B71F92">
        <w:t xml:space="preserve">and </w:t>
      </w:r>
      <w:r w:rsidR="00353525" w:rsidRPr="00B71F92">
        <w:t xml:space="preserve">those with adults aged 65+ as “older households.” For households </w:t>
      </w:r>
      <w:r w:rsidR="00B8335D" w:rsidRPr="00B71F92">
        <w:t xml:space="preserve">with adults falling into multiple age categories, </w:t>
      </w:r>
      <w:r w:rsidR="00971BA6" w:rsidRPr="00B71F92">
        <w:t>those with adult children</w:t>
      </w:r>
      <w:r w:rsidR="006D488E" w:rsidRPr="00B71F92">
        <w:t xml:space="preserve">, grandchildren, or adults living with parents or grandparents were labeled as extended/multigenerational, while those with </w:t>
      </w:r>
      <w:r w:rsidR="00E2026E" w:rsidRPr="00B71F92">
        <w:t xml:space="preserve">partners or roommates across two lifecycle categories were grouped into the older </w:t>
      </w:r>
      <w:r w:rsidR="00AF364D" w:rsidRPr="00B71F92">
        <w:t xml:space="preserve">category </w:t>
      </w:r>
      <w:r w:rsidR="002329AD" w:rsidRPr="00B71F92">
        <w:fldChar w:fldCharType="begin"/>
      </w:r>
      <w:r w:rsidR="00F775BC" w:rsidRPr="00B71F92">
        <w:instrText xml:space="preserve"> ADDIN ZOTERO_ITEM CSL_CITATION {"citationID":"iz0T3SWA","properties":{"formattedCitation":"(Du and Kamakura, 2006)","plainCitation":"(Du and Kamakura, 2006)","dontUpdate":true,"noteIndex":0},"citationItems":[{"id":4740,"uris":["http://zotero.org/users/12832277/items/PAPWMJDL"],"itemData":{"id":4740,"type":"article-journal","abstract":"Household life cycle has been widely used as a determinant of consumer behavior and a basis for market segmentation. However, there is considerable disagreement about how life stages should be defined and how households progress through these stages. Existing studies use a priori definitions, which are tested on a cross-sectional survey of households collected at a single point in time and thus cannot reveal the real dynamics of the household life cycle. The Panel Study of Income Dynamics provides longitudinal data on household composition in the United States for a period of 34 years; the authors use this to identify empirically the most typical stages and paths that U.S. households have followed since 1968. They develop a hidden Markov model in which the stages of the household life cycle are taken as latent, unobservable states that are uncovered from the manifest household demographic profiles over the 34 years, assuming that households evolve through these latent stages following a first-order Markov process. The authors apply their results to classify members of another panel (Consumer Expenditure Survey) into life stages, which enables them to study the impact of the household life cycle on households' budgetary allocations, providing a comprehensive analysis of lifestyles (through expenditure patterns) over the household life cycle.","container-title":"Journal of Marketing Research","DOI":"10.1509/jmkr.43.1.121","ISSN":"0022-2437","issue":"1","language":"EN","note":"publisher: SAGE Publications Inc","page":"121-132","source":"SAGE Journals","title":"Household Life Cycles and Lifestyles in the United States","volume":"43","author":[{"family":"Du","given":"Rex Y."},{"family":"Kamakura","given":"Wagner A."}],"issued":{"date-parts":[["2006",2,1]]}}}],"schema":"https://github.com/citation-style-language/schema/raw/master/csl-citation.json"} </w:instrText>
      </w:r>
      <w:r w:rsidR="002329AD" w:rsidRPr="00B71F92">
        <w:fldChar w:fldCharType="separate"/>
      </w:r>
      <w:r w:rsidR="002329AD" w:rsidRPr="00B71F92">
        <w:t>(</w:t>
      </w:r>
      <w:r w:rsidR="00823173" w:rsidRPr="00B71F92">
        <w:t xml:space="preserve">see </w:t>
      </w:r>
      <w:r w:rsidR="002329AD" w:rsidRPr="00B71F92">
        <w:t>Du and Kamakura, 2006</w:t>
      </w:r>
      <w:r w:rsidR="00823173" w:rsidRPr="00B71F92">
        <w:t xml:space="preserve"> for an extended discussion of </w:t>
      </w:r>
      <w:r w:rsidR="003D387B" w:rsidRPr="00B71F92">
        <w:t>this type of</w:t>
      </w:r>
      <w:r w:rsidR="00823173" w:rsidRPr="00B71F92">
        <w:t xml:space="preserve"> lifecycle</w:t>
      </w:r>
      <w:r w:rsidR="003D387B" w:rsidRPr="00B71F92">
        <w:t xml:space="preserve"> grouping</w:t>
      </w:r>
      <w:r w:rsidR="002329AD" w:rsidRPr="00B71F92">
        <w:t>)</w:t>
      </w:r>
      <w:r w:rsidR="002329AD" w:rsidRPr="00B71F92">
        <w:fldChar w:fldCharType="end"/>
      </w:r>
      <w:r w:rsidR="002329AD" w:rsidRPr="00B71F92">
        <w:t xml:space="preserve">. </w:t>
      </w:r>
      <w:r w:rsidR="00602F7A" w:rsidRPr="00B71F92">
        <w:t>In terms of household composition as it relates to the number of adults</w:t>
      </w:r>
      <w:r w:rsidR="000C61FA" w:rsidRPr="00B71F92">
        <w:t xml:space="preserve"> by gender</w:t>
      </w:r>
      <w:r w:rsidR="00602F7A" w:rsidRPr="00B71F92">
        <w:t xml:space="preserve"> in the household, </w:t>
      </w:r>
      <w:r w:rsidR="000C61FA" w:rsidRPr="00B71F92">
        <w:t xml:space="preserve">the sample and corresponding ACS estimates are quite close, except in 2021 when there is a clear overrepresentation of the “other” category of households. </w:t>
      </w:r>
      <w:r w:rsidR="00B67B4A" w:rsidRPr="00B71F92">
        <w:t xml:space="preserve">This may be because </w:t>
      </w:r>
      <w:r w:rsidR="00843AB3" w:rsidRPr="00B71F92">
        <w:t xml:space="preserve">larger households, relative to smaller households, may have been relatively more </w:t>
      </w:r>
      <w:r w:rsidR="003539C9" w:rsidRPr="00B71F92">
        <w:t xml:space="preserve">present in the home and available to participate in online surveys during the pandemic </w:t>
      </w:r>
      <w:r w:rsidR="00911D48" w:rsidRPr="00B71F92">
        <w:fldChar w:fldCharType="begin"/>
      </w:r>
      <w:r w:rsidR="00911D48" w:rsidRPr="00B71F92">
        <w:instrText xml:space="preserve"> ADDIN ZOTERO_ITEM CSL_CITATION {"citationID":"Pp1uC3oF","properties":{"formattedCitation":"(Rothbaum and Bee, 2021)","plainCitation":"(Rothbaum and Bee, 2021)","noteIndex":0},"citationItems":[{"id":4903,"uris":["http://zotero.org/users/12832277/items/I2ZQN5EX"],"itemData":{"id":4903,"type":"report","publisher":"U.S. Census Bureau","source":"Google Scholar","title":"Coronavirus Infects Surveys, Too: Survey Nonresponse Bias and the Coronavirus Pandemic","URL":"http://www.census.gov/content/dam/Census/library/working-papers/2020/demo/sehsd-wp2020-10.pdf","author":[{"family":"Rothbaum","given":"Jonathan"},{"family":"Bee","given":"Adam"}],"accessed":{"date-parts":[["2025",7,17]]},"issued":{"date-parts":[["2021"]]}}}],"schema":"https://github.com/citation-style-language/schema/raw/master/csl-citation.json"} </w:instrText>
      </w:r>
      <w:r w:rsidR="00911D48" w:rsidRPr="00B71F92">
        <w:fldChar w:fldCharType="separate"/>
      </w:r>
      <w:r w:rsidR="00911D48" w:rsidRPr="00B71F92">
        <w:t>(Rothbaum and Bee, 2021)</w:t>
      </w:r>
      <w:r w:rsidR="00911D48" w:rsidRPr="00B71F92">
        <w:fldChar w:fldCharType="end"/>
      </w:r>
      <w:r w:rsidR="007C1D2C" w:rsidRPr="00B71F92">
        <w:t xml:space="preserve">. </w:t>
      </w:r>
      <w:r w:rsidR="000C61FA" w:rsidRPr="00B71F92">
        <w:t xml:space="preserve">In terms of household composition as it relates to </w:t>
      </w:r>
      <w:r w:rsidR="006974C1" w:rsidRPr="00B71F92">
        <w:t xml:space="preserve">the presence of children, the ACS only reports the </w:t>
      </w:r>
      <w:r w:rsidR="00925C02" w:rsidRPr="00B71F92">
        <w:t>presence</w:t>
      </w:r>
      <w:r w:rsidR="006974C1" w:rsidRPr="00B71F92">
        <w:t xml:space="preserve"> of children in the household without distinguishing further based on age. </w:t>
      </w:r>
      <w:r w:rsidR="00925C02" w:rsidRPr="00B71F92">
        <w:t xml:space="preserve">However, at this level, the survey tends to underrepresent households with children compared with the ACS, particularly in the 2023 wave. </w:t>
      </w:r>
      <w:r w:rsidR="00F6095B" w:rsidRPr="00B71F92">
        <w:t>Further</w:t>
      </w:r>
      <w:r w:rsidR="000B56C8" w:rsidRPr="00B71F92">
        <w:t>, while employment statistics in the ACS are only available at the person level rather than the household level, the sam</w:t>
      </w:r>
      <w:r w:rsidR="008F134E" w:rsidRPr="00B71F92">
        <w:t>ple exhibits an overrepresentation of low-income households</w:t>
      </w:r>
      <w:r w:rsidR="00F6095B" w:rsidRPr="00B71F92">
        <w:t xml:space="preserve"> and</w:t>
      </w:r>
      <w:r w:rsidR="008F134E" w:rsidRPr="00B71F92">
        <w:t xml:space="preserve"> households</w:t>
      </w:r>
      <w:r w:rsidR="00F6095B" w:rsidRPr="00B71F92">
        <w:t xml:space="preserve"> with </w:t>
      </w:r>
      <w:r w:rsidR="005972AF" w:rsidRPr="00B71F92">
        <w:t xml:space="preserve">the highest level of educational attainment by any household member being a graduate degree, </w:t>
      </w:r>
      <w:r w:rsidR="00F6095B" w:rsidRPr="00B71F92">
        <w:t>and an underrepresentation of high-income households and households with lower levels of educational attainment across all three waves</w:t>
      </w:r>
      <w:r w:rsidR="009E7B12" w:rsidRPr="00B71F92">
        <w:t xml:space="preserve"> (note that the educational attainment variable in Table 2, which is also used in our model estimation, refers to the highest education attainment across all individuals in the respondent’s household)</w:t>
      </w:r>
      <w:r w:rsidR="00F6095B" w:rsidRPr="00B71F92">
        <w:t xml:space="preserve">. </w:t>
      </w:r>
      <w:r w:rsidR="00CD7962" w:rsidRPr="00B71F92">
        <w:t xml:space="preserve">Finally, there seems to be an overrepresentation of families </w:t>
      </w:r>
      <w:r w:rsidR="00FF01AB" w:rsidRPr="00B71F92">
        <w:t xml:space="preserve">from “Other” racial groups (compared with those identifying as solely white, </w:t>
      </w:r>
      <w:r w:rsidR="00181D2F" w:rsidRPr="00B71F92">
        <w:t>B</w:t>
      </w:r>
      <w:r w:rsidR="00FF01AB" w:rsidRPr="00B71F92">
        <w:t>lack, or Asian)</w:t>
      </w:r>
      <w:r w:rsidR="00CD7962" w:rsidRPr="00B71F92">
        <w:t xml:space="preserve">, particularly in the 2021 wave, and Hispanic individuals are underrepresented in the 2019 and 2021 waves while being overrepresented in the 2023 wave. </w:t>
      </w:r>
      <w:r w:rsidR="00A26AF1" w:rsidRPr="00B71F92">
        <w:t xml:space="preserve">Despite these </w:t>
      </w:r>
      <w:r w:rsidR="00E55CB1" w:rsidRPr="00B71F92">
        <w:t>di</w:t>
      </w:r>
      <w:r w:rsidR="00A31813" w:rsidRPr="00B71F92">
        <w:t>fferences</w:t>
      </w:r>
      <w:r w:rsidR="00E55CB1" w:rsidRPr="00B71F92">
        <w:t xml:space="preserve"> between the current data and the ACS </w:t>
      </w:r>
      <w:r w:rsidR="005136BB" w:rsidRPr="00B71F92">
        <w:t>estimates</w:t>
      </w:r>
      <w:r w:rsidR="00E55CB1" w:rsidRPr="00B71F92">
        <w:t xml:space="preserve">, </w:t>
      </w:r>
      <w:r w:rsidR="005136BB" w:rsidRPr="00B71F92">
        <w:t xml:space="preserve">weighting is unnecessary for the individual-level analysis undertaken </w:t>
      </w:r>
      <w:r w:rsidR="00A31813" w:rsidRPr="00B71F92">
        <w:t>in</w:t>
      </w:r>
      <w:r w:rsidR="005136BB" w:rsidRPr="00B71F92">
        <w:t xml:space="preserve"> this study, as the </w:t>
      </w:r>
      <w:r w:rsidR="00C55AC7" w:rsidRPr="00B71F92">
        <w:t>sample was not collected from an endogenous sampling scheme</w:t>
      </w:r>
      <w:r w:rsidR="008D1314" w:rsidRPr="00B71F92">
        <w:t xml:space="preserve"> and has substantial variation in each of the exogenous variables included </w:t>
      </w:r>
      <w:r w:rsidR="008D1314" w:rsidRPr="00B71F92">
        <w:fldChar w:fldCharType="begin"/>
      </w:r>
      <w:r w:rsidR="00A12387" w:rsidRPr="00B71F92">
        <w:instrText xml:space="preserve"> ADDIN ZOTERO_ITEM CSL_CITATION {"citationID":"hHzJ4nUT","properties":{"unsorted":true,"formattedCitation":"(Solon et al., 2015; Robbennolt et al., 2025)","plainCitation":"(Solon et al., 2015; Robbennolt et al., 2025)","noteIndex":0},"citationItems":[{"id":721,"uris":["http://zotero.org/users/12832277/items/68L8HU9K"],"itemData":{"id":721,"type":"article-journal","abstract":"When estimating population descriptive statistics, weighting is called for if needed to make the analysis sample representative of the target population. With regard to research directed instead at estimating causal effects, we discuss three distinct weighting motives: (1) to achieve precise estimates by correcting for heteroskedasticity; (2) to achieve consistent estimates by correcting for endogenous sampling; and (3) to identify average partial effects in the presence of unmodeled heterogeneity of effects. In each case, we find that the motive sometimes does not apply in situations where practitioners often assume it does.","container-title":"Journal of Human Resources","DOI":"10.3368/jhr.50.2.301","ISSN":"0022-166X, 1548-8004","issue":"2","language":"en","license":"© 2015 by the Board of Regents of the University of Wisconsin System","note":"publisher: University of Wisconsin Press\nsection: Symposium on Empirical Methods","page":"301-316","source":"jhr.uwpress.org","title":"What Are We Weighting For?","volume":"50","author":[{"family":"Solon","given":"Gary"},{"family":"Haider","given":"Steven J."},{"family":"Wooldridge","given":"Jeffrey M."}],"issued":{"date-parts":[["2015",3,31]]}}},{"id":4729,"uris":["http://zotero.org/users/12832277/items/YTMK2AMV"],"itemData":{"id":4729,"type":"article-journal","container-title":"Technical paper, Department of Civil, Architectural and Environmental Engineering, The University of Texas at Austin","title":"Data Collection, Weighting, and Modeling Techniques to Estimate Unbiased Population Parameters","author":[{"family":"Robbennolt","given":"Dale"},{"family":"Pendyala","given":"Ram M."},{"family":"Bhat","given":"Chandra R."}],"issued":{"date-parts":[["2025",6]]}}}],"schema":"https://github.com/citation-style-language/schema/raw/master/csl-citation.json"} </w:instrText>
      </w:r>
      <w:r w:rsidR="008D1314" w:rsidRPr="00B71F92">
        <w:fldChar w:fldCharType="separate"/>
      </w:r>
      <w:r w:rsidR="00A12387" w:rsidRPr="00B71F92">
        <w:t>(Solon et al., 2015; Robbennolt et al., 2025)</w:t>
      </w:r>
      <w:r w:rsidR="008D1314" w:rsidRPr="00B71F92">
        <w:fldChar w:fldCharType="end"/>
      </w:r>
      <w:r w:rsidR="008D1314" w:rsidRPr="00B71F92">
        <w:t>.</w:t>
      </w:r>
    </w:p>
    <w:p w14:paraId="3DD74556" w14:textId="52EE0BF6" w:rsidR="008807DE" w:rsidRPr="002F5607" w:rsidRDefault="008807DE" w:rsidP="002F5607">
      <w:pPr>
        <w:spacing w:after="120" w:line="240" w:lineRule="auto"/>
        <w:jc w:val="both"/>
        <w:rPr>
          <w:b/>
          <w:bCs/>
        </w:rPr>
      </w:pPr>
      <w:r w:rsidRPr="00B71F92">
        <w:rPr>
          <w:b/>
          <w:bCs/>
        </w:rPr>
        <w:lastRenderedPageBreak/>
        <w:t>Table 1: Descriptive Statistics of Outcomes (Total N=9,403)</w:t>
      </w:r>
    </w:p>
    <w:tbl>
      <w:tblPr>
        <w:tblW w:w="12860" w:type="dxa"/>
        <w:jc w:val="center"/>
        <w:tblCellMar>
          <w:left w:w="58" w:type="dxa"/>
          <w:right w:w="58" w:type="dxa"/>
        </w:tblCellMar>
        <w:tblLook w:val="04A0" w:firstRow="1" w:lastRow="0" w:firstColumn="1" w:lastColumn="0" w:noHBand="0" w:noVBand="1"/>
      </w:tblPr>
      <w:tblGrid>
        <w:gridCol w:w="8540"/>
        <w:gridCol w:w="1080"/>
        <w:gridCol w:w="1080"/>
        <w:gridCol w:w="1080"/>
        <w:gridCol w:w="1080"/>
      </w:tblGrid>
      <w:tr w:rsidR="008807DE" w:rsidRPr="00B71F92" w14:paraId="1FFDDAE2" w14:textId="77777777" w:rsidTr="002F5607">
        <w:trPr>
          <w:trHeight w:val="330"/>
          <w:jc w:val="center"/>
        </w:trPr>
        <w:tc>
          <w:tcPr>
            <w:tcW w:w="8540" w:type="dxa"/>
            <w:tcBorders>
              <w:top w:val="single" w:sz="8" w:space="0" w:color="auto"/>
              <w:left w:val="single" w:sz="8" w:space="0" w:color="auto"/>
              <w:bottom w:val="single" w:sz="8" w:space="0" w:color="auto"/>
              <w:right w:val="single" w:sz="8" w:space="0" w:color="auto"/>
            </w:tcBorders>
            <w:noWrap/>
            <w:vAlign w:val="center"/>
            <w:hideMark/>
          </w:tcPr>
          <w:p w14:paraId="068BC086"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Relocation Occurred During 2-Year Period</w:t>
            </w:r>
          </w:p>
        </w:tc>
        <w:tc>
          <w:tcPr>
            <w:tcW w:w="1080" w:type="dxa"/>
            <w:tcBorders>
              <w:top w:val="single" w:sz="8" w:space="0" w:color="auto"/>
              <w:left w:val="nil"/>
              <w:bottom w:val="single" w:sz="8" w:space="0" w:color="auto"/>
              <w:right w:val="nil"/>
            </w:tcBorders>
            <w:noWrap/>
            <w:vAlign w:val="bottom"/>
            <w:hideMark/>
          </w:tcPr>
          <w:p w14:paraId="3A6584B6"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2019 Period</w:t>
            </w:r>
          </w:p>
          <w:p w14:paraId="63A0FE26"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(N=3,094)</w:t>
            </w:r>
          </w:p>
        </w:tc>
        <w:tc>
          <w:tcPr>
            <w:tcW w:w="1080" w:type="dxa"/>
            <w:tcBorders>
              <w:top w:val="single" w:sz="8" w:space="0" w:color="auto"/>
              <w:left w:val="nil"/>
              <w:bottom w:val="single" w:sz="8" w:space="0" w:color="auto"/>
              <w:right w:val="nil"/>
            </w:tcBorders>
            <w:noWrap/>
            <w:vAlign w:val="bottom"/>
            <w:hideMark/>
          </w:tcPr>
          <w:p w14:paraId="3242F550"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2021 Period</w:t>
            </w:r>
          </w:p>
          <w:p w14:paraId="4DC9BB0E"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(N=2,793)</w:t>
            </w:r>
          </w:p>
        </w:tc>
        <w:tc>
          <w:tcPr>
            <w:tcW w:w="1080" w:type="dxa"/>
            <w:tcBorders>
              <w:top w:val="single" w:sz="8" w:space="0" w:color="auto"/>
              <w:left w:val="nil"/>
              <w:bottom w:val="single" w:sz="8" w:space="0" w:color="auto"/>
              <w:right w:val="single" w:sz="8" w:space="0" w:color="auto"/>
            </w:tcBorders>
            <w:noWrap/>
            <w:vAlign w:val="bottom"/>
            <w:hideMark/>
          </w:tcPr>
          <w:p w14:paraId="4F19DC61"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2023 Period</w:t>
            </w:r>
          </w:p>
          <w:p w14:paraId="2E285C57"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(N=3,566)</w:t>
            </w:r>
          </w:p>
        </w:tc>
        <w:tc>
          <w:tcPr>
            <w:tcW w:w="1080" w:type="dxa"/>
            <w:tcBorders>
              <w:top w:val="single" w:sz="8" w:space="0" w:color="auto"/>
              <w:left w:val="nil"/>
              <w:bottom w:val="single" w:sz="8" w:space="0" w:color="auto"/>
              <w:right w:val="single" w:sz="8" w:space="0" w:color="auto"/>
            </w:tcBorders>
            <w:vAlign w:val="center"/>
          </w:tcPr>
          <w:p w14:paraId="5D6B4D0C"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Overall</w:t>
            </w:r>
          </w:p>
          <w:p w14:paraId="78779E39"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(N=9,403)</w:t>
            </w:r>
          </w:p>
        </w:tc>
      </w:tr>
      <w:tr w:rsidR="008807DE" w:rsidRPr="00B71F92" w14:paraId="6301343C" w14:textId="77777777" w:rsidTr="002F5607">
        <w:trPr>
          <w:trHeight w:val="315"/>
          <w:jc w:val="center"/>
        </w:trPr>
        <w:tc>
          <w:tcPr>
            <w:tcW w:w="8540" w:type="dxa"/>
            <w:tcBorders>
              <w:top w:val="nil"/>
              <w:left w:val="single" w:sz="8" w:space="0" w:color="auto"/>
              <w:bottom w:val="nil"/>
              <w:right w:val="single" w:sz="8" w:space="0" w:color="auto"/>
            </w:tcBorders>
            <w:noWrap/>
            <w:vAlign w:val="center"/>
            <w:hideMark/>
          </w:tcPr>
          <w:p w14:paraId="68C2D269"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Yes</w:t>
            </w:r>
          </w:p>
        </w:tc>
        <w:tc>
          <w:tcPr>
            <w:tcW w:w="1080" w:type="dxa"/>
            <w:tcBorders>
              <w:top w:val="nil"/>
              <w:left w:val="nil"/>
              <w:bottom w:val="nil"/>
              <w:right w:val="nil"/>
            </w:tcBorders>
            <w:noWrap/>
            <w:vAlign w:val="center"/>
            <w:hideMark/>
          </w:tcPr>
          <w:p w14:paraId="150EFCD5"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21.1</w:t>
            </w:r>
          </w:p>
        </w:tc>
        <w:tc>
          <w:tcPr>
            <w:tcW w:w="1080" w:type="dxa"/>
            <w:tcBorders>
              <w:top w:val="nil"/>
              <w:left w:val="nil"/>
              <w:bottom w:val="nil"/>
              <w:right w:val="nil"/>
            </w:tcBorders>
            <w:noWrap/>
            <w:vAlign w:val="center"/>
            <w:hideMark/>
          </w:tcPr>
          <w:p w14:paraId="7B06466D"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19.9</w:t>
            </w:r>
          </w:p>
        </w:tc>
        <w:tc>
          <w:tcPr>
            <w:tcW w:w="1080" w:type="dxa"/>
            <w:tcBorders>
              <w:top w:val="nil"/>
              <w:left w:val="nil"/>
              <w:bottom w:val="nil"/>
              <w:right w:val="single" w:sz="8" w:space="0" w:color="auto"/>
            </w:tcBorders>
            <w:noWrap/>
            <w:vAlign w:val="center"/>
            <w:hideMark/>
          </w:tcPr>
          <w:p w14:paraId="3AC8B5A4"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17.6</w:t>
            </w:r>
          </w:p>
        </w:tc>
        <w:tc>
          <w:tcPr>
            <w:tcW w:w="1080" w:type="dxa"/>
            <w:tcBorders>
              <w:top w:val="nil"/>
              <w:left w:val="nil"/>
              <w:bottom w:val="nil"/>
              <w:right w:val="single" w:sz="8" w:space="0" w:color="auto"/>
            </w:tcBorders>
          </w:tcPr>
          <w:p w14:paraId="40ED19BD"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19.4</w:t>
            </w:r>
          </w:p>
        </w:tc>
      </w:tr>
      <w:tr w:rsidR="008807DE" w:rsidRPr="00B71F92" w14:paraId="4A575226" w14:textId="77777777" w:rsidTr="002F5607">
        <w:trPr>
          <w:trHeight w:val="330"/>
          <w:jc w:val="center"/>
        </w:trPr>
        <w:tc>
          <w:tcPr>
            <w:tcW w:w="8540" w:type="dxa"/>
            <w:tcBorders>
              <w:top w:val="nil"/>
              <w:left w:val="single" w:sz="8" w:space="0" w:color="auto"/>
              <w:bottom w:val="single" w:sz="8" w:space="0" w:color="auto"/>
              <w:right w:val="single" w:sz="8" w:space="0" w:color="auto"/>
            </w:tcBorders>
            <w:noWrap/>
            <w:vAlign w:val="center"/>
            <w:hideMark/>
          </w:tcPr>
          <w:p w14:paraId="403DD410"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No</w:t>
            </w:r>
          </w:p>
        </w:tc>
        <w:tc>
          <w:tcPr>
            <w:tcW w:w="1080" w:type="dxa"/>
            <w:tcBorders>
              <w:top w:val="nil"/>
              <w:left w:val="nil"/>
              <w:bottom w:val="single" w:sz="8" w:space="0" w:color="auto"/>
              <w:right w:val="nil"/>
            </w:tcBorders>
            <w:noWrap/>
            <w:vAlign w:val="center"/>
            <w:hideMark/>
          </w:tcPr>
          <w:p w14:paraId="1EFD43BB"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78.9</w:t>
            </w:r>
          </w:p>
        </w:tc>
        <w:tc>
          <w:tcPr>
            <w:tcW w:w="1080" w:type="dxa"/>
            <w:tcBorders>
              <w:top w:val="nil"/>
              <w:left w:val="nil"/>
              <w:bottom w:val="single" w:sz="8" w:space="0" w:color="auto"/>
              <w:right w:val="nil"/>
            </w:tcBorders>
            <w:noWrap/>
            <w:vAlign w:val="center"/>
            <w:hideMark/>
          </w:tcPr>
          <w:p w14:paraId="751C0F35"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80.1</w:t>
            </w:r>
          </w:p>
        </w:tc>
        <w:tc>
          <w:tcPr>
            <w:tcW w:w="1080" w:type="dxa"/>
            <w:tcBorders>
              <w:top w:val="nil"/>
              <w:left w:val="nil"/>
              <w:bottom w:val="single" w:sz="8" w:space="0" w:color="auto"/>
              <w:right w:val="single" w:sz="8" w:space="0" w:color="auto"/>
            </w:tcBorders>
            <w:noWrap/>
            <w:vAlign w:val="center"/>
            <w:hideMark/>
          </w:tcPr>
          <w:p w14:paraId="50805FE3"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82.4</w:t>
            </w:r>
          </w:p>
        </w:tc>
        <w:tc>
          <w:tcPr>
            <w:tcW w:w="1080" w:type="dxa"/>
            <w:tcBorders>
              <w:top w:val="nil"/>
              <w:left w:val="nil"/>
              <w:bottom w:val="single" w:sz="8" w:space="0" w:color="auto"/>
              <w:right w:val="single" w:sz="8" w:space="0" w:color="auto"/>
            </w:tcBorders>
          </w:tcPr>
          <w:p w14:paraId="67EB5636"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rFonts w:eastAsia="Times New Roman"/>
                <w:color w:val="000000"/>
                <w:sz w:val="20"/>
                <w:szCs w:val="20"/>
              </w:rPr>
              <w:t>80.6</w:t>
            </w:r>
          </w:p>
        </w:tc>
      </w:tr>
      <w:tr w:rsidR="008807DE" w:rsidRPr="00B71F92" w14:paraId="433C01ED" w14:textId="77777777" w:rsidTr="002F5607">
        <w:trPr>
          <w:trHeight w:val="330"/>
          <w:jc w:val="center"/>
        </w:trPr>
        <w:tc>
          <w:tcPr>
            <w:tcW w:w="8540" w:type="dxa"/>
            <w:tcBorders>
              <w:top w:val="nil"/>
              <w:left w:val="single" w:sz="8" w:space="0" w:color="auto"/>
              <w:bottom w:val="single" w:sz="8" w:space="0" w:color="auto"/>
              <w:right w:val="single" w:sz="8" w:space="0" w:color="auto"/>
            </w:tcBorders>
            <w:noWrap/>
            <w:vAlign w:val="center"/>
            <w:hideMark/>
          </w:tcPr>
          <w:p w14:paraId="12F7514D"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Reasons for Relocation (among those who relocated)</w:t>
            </w:r>
          </w:p>
        </w:tc>
        <w:tc>
          <w:tcPr>
            <w:tcW w:w="1080" w:type="dxa"/>
            <w:tcBorders>
              <w:top w:val="nil"/>
              <w:left w:val="nil"/>
              <w:bottom w:val="single" w:sz="8" w:space="0" w:color="auto"/>
              <w:right w:val="nil"/>
            </w:tcBorders>
            <w:noWrap/>
            <w:vAlign w:val="bottom"/>
            <w:hideMark/>
          </w:tcPr>
          <w:p w14:paraId="34F6B41D"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2019 Period</w:t>
            </w:r>
          </w:p>
        </w:tc>
        <w:tc>
          <w:tcPr>
            <w:tcW w:w="1080" w:type="dxa"/>
            <w:tcBorders>
              <w:top w:val="nil"/>
              <w:left w:val="nil"/>
              <w:bottom w:val="single" w:sz="8" w:space="0" w:color="auto"/>
              <w:right w:val="nil"/>
            </w:tcBorders>
            <w:noWrap/>
            <w:vAlign w:val="bottom"/>
            <w:hideMark/>
          </w:tcPr>
          <w:p w14:paraId="77689EC3"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2021 Period</w:t>
            </w:r>
          </w:p>
        </w:tc>
        <w:tc>
          <w:tcPr>
            <w:tcW w:w="1080" w:type="dxa"/>
            <w:tcBorders>
              <w:top w:val="nil"/>
              <w:left w:val="nil"/>
              <w:bottom w:val="single" w:sz="8" w:space="0" w:color="auto"/>
              <w:right w:val="single" w:sz="8" w:space="0" w:color="auto"/>
            </w:tcBorders>
            <w:noWrap/>
            <w:vAlign w:val="bottom"/>
            <w:hideMark/>
          </w:tcPr>
          <w:p w14:paraId="039FA411"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2023 Period</w:t>
            </w:r>
          </w:p>
        </w:tc>
        <w:tc>
          <w:tcPr>
            <w:tcW w:w="1080" w:type="dxa"/>
            <w:tcBorders>
              <w:top w:val="nil"/>
              <w:left w:val="nil"/>
              <w:bottom w:val="single" w:sz="8" w:space="0" w:color="auto"/>
              <w:right w:val="single" w:sz="8" w:space="0" w:color="auto"/>
            </w:tcBorders>
            <w:vAlign w:val="center"/>
          </w:tcPr>
          <w:p w14:paraId="1E65D228" w14:textId="77777777" w:rsidR="008807DE" w:rsidRPr="00B71F92" w:rsidRDefault="008807DE" w:rsidP="008C0804">
            <w:pPr>
              <w:tabs>
                <w:tab w:val="decimal" w:pos="309"/>
              </w:tabs>
              <w:spacing w:after="0" w:line="240" w:lineRule="auto"/>
              <w:jc w:val="center"/>
              <w:rPr>
                <w:rFonts w:eastAsia="Times New Roman"/>
                <w:b/>
                <w:bCs/>
                <w:color w:val="000000"/>
                <w:sz w:val="20"/>
                <w:szCs w:val="20"/>
              </w:rPr>
            </w:pPr>
            <w:r w:rsidRPr="00B71F92">
              <w:rPr>
                <w:rFonts w:eastAsia="Times New Roman"/>
                <w:b/>
                <w:bCs/>
                <w:color w:val="000000"/>
                <w:sz w:val="20"/>
                <w:szCs w:val="20"/>
              </w:rPr>
              <w:t>Overall</w:t>
            </w:r>
          </w:p>
        </w:tc>
      </w:tr>
      <w:tr w:rsidR="008807DE" w:rsidRPr="00B71F92" w14:paraId="7C0977CF" w14:textId="77777777" w:rsidTr="002F5607">
        <w:trPr>
          <w:trHeight w:val="315"/>
          <w:jc w:val="center"/>
        </w:trPr>
        <w:tc>
          <w:tcPr>
            <w:tcW w:w="8540" w:type="dxa"/>
            <w:tcBorders>
              <w:top w:val="nil"/>
              <w:left w:val="single" w:sz="8" w:space="0" w:color="auto"/>
              <w:bottom w:val="nil"/>
              <w:right w:val="single" w:sz="8" w:space="0" w:color="auto"/>
            </w:tcBorders>
            <w:noWrap/>
          </w:tcPr>
          <w:p w14:paraId="7022C02E" w14:textId="77777777" w:rsidR="008807DE" w:rsidRPr="00B71F92" w:rsidRDefault="008807DE" w:rsidP="008C0804">
            <w:pPr>
              <w:spacing w:after="0" w:line="240" w:lineRule="auto"/>
              <w:rPr>
                <w:rFonts w:eastAsia="Times New Roman"/>
                <w:b/>
                <w:bCs/>
                <w:color w:val="000000"/>
                <w:sz w:val="20"/>
                <w:szCs w:val="20"/>
              </w:rPr>
            </w:pPr>
            <w:r w:rsidRPr="00B71F92">
              <w:rPr>
                <w:b/>
                <w:bCs/>
                <w:sz w:val="20"/>
                <w:szCs w:val="20"/>
              </w:rPr>
              <w:t xml:space="preserve">Proactive planning processes </w:t>
            </w:r>
          </w:p>
        </w:tc>
        <w:tc>
          <w:tcPr>
            <w:tcW w:w="1080" w:type="dxa"/>
            <w:tcBorders>
              <w:top w:val="nil"/>
              <w:left w:val="nil"/>
              <w:bottom w:val="nil"/>
              <w:right w:val="nil"/>
            </w:tcBorders>
            <w:noWrap/>
          </w:tcPr>
          <w:p w14:paraId="003391D0"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nil"/>
            </w:tcBorders>
            <w:noWrap/>
          </w:tcPr>
          <w:p w14:paraId="556D77A8"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single" w:sz="8" w:space="0" w:color="auto"/>
            </w:tcBorders>
            <w:noWrap/>
          </w:tcPr>
          <w:p w14:paraId="6394507B"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single" w:sz="8" w:space="0" w:color="auto"/>
            </w:tcBorders>
          </w:tcPr>
          <w:p w14:paraId="4BE06EDA"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r>
      <w:tr w:rsidR="008807DE" w:rsidRPr="00B71F92" w14:paraId="6E8BCCB8" w14:textId="77777777" w:rsidTr="002F5607">
        <w:trPr>
          <w:trHeight w:val="315"/>
          <w:jc w:val="center"/>
        </w:trPr>
        <w:tc>
          <w:tcPr>
            <w:tcW w:w="8540" w:type="dxa"/>
            <w:tcBorders>
              <w:top w:val="nil"/>
              <w:left w:val="single" w:sz="8" w:space="0" w:color="auto"/>
              <w:bottom w:val="nil"/>
              <w:right w:val="single" w:sz="8" w:space="0" w:color="auto"/>
            </w:tcBorders>
            <w:noWrap/>
          </w:tcPr>
          <w:p w14:paraId="12463F81" w14:textId="77777777" w:rsidR="008807DE" w:rsidRPr="00B71F92" w:rsidRDefault="008807DE" w:rsidP="008C0804">
            <w:pPr>
              <w:spacing w:after="0" w:line="240" w:lineRule="auto"/>
              <w:rPr>
                <w:rFonts w:eastAsia="Times New Roman"/>
                <w:color w:val="000000"/>
                <w:sz w:val="20"/>
                <w:szCs w:val="20"/>
              </w:rPr>
            </w:pPr>
            <w:r w:rsidRPr="00B71F92">
              <w:rPr>
                <w:sz w:val="20"/>
                <w:szCs w:val="20"/>
              </w:rPr>
              <w:t xml:space="preserve">    To have better access to work (</w:t>
            </w:r>
            <w:proofErr w:type="gramStart"/>
            <w:r w:rsidRPr="00B71F92">
              <w:rPr>
                <w:sz w:val="20"/>
                <w:szCs w:val="20"/>
              </w:rPr>
              <w:t>e.g.</w:t>
            </w:r>
            <w:proofErr w:type="gramEnd"/>
            <w:r w:rsidRPr="00B71F92">
              <w:rPr>
                <w:sz w:val="20"/>
                <w:szCs w:val="20"/>
              </w:rPr>
              <w:t xml:space="preserve"> better commute or take new job)</w:t>
            </w:r>
          </w:p>
        </w:tc>
        <w:tc>
          <w:tcPr>
            <w:tcW w:w="1080" w:type="dxa"/>
            <w:tcBorders>
              <w:top w:val="nil"/>
              <w:left w:val="nil"/>
              <w:bottom w:val="nil"/>
              <w:right w:val="nil"/>
            </w:tcBorders>
            <w:noWrap/>
          </w:tcPr>
          <w:p w14:paraId="2BFF02B8"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26.7</w:t>
            </w:r>
          </w:p>
        </w:tc>
        <w:tc>
          <w:tcPr>
            <w:tcW w:w="1080" w:type="dxa"/>
            <w:tcBorders>
              <w:top w:val="nil"/>
              <w:left w:val="nil"/>
              <w:bottom w:val="nil"/>
              <w:right w:val="nil"/>
            </w:tcBorders>
            <w:noWrap/>
          </w:tcPr>
          <w:p w14:paraId="711811ED"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18.4</w:t>
            </w:r>
          </w:p>
        </w:tc>
        <w:tc>
          <w:tcPr>
            <w:tcW w:w="1080" w:type="dxa"/>
            <w:tcBorders>
              <w:top w:val="nil"/>
              <w:left w:val="nil"/>
              <w:bottom w:val="nil"/>
              <w:right w:val="single" w:sz="8" w:space="0" w:color="auto"/>
            </w:tcBorders>
            <w:noWrap/>
          </w:tcPr>
          <w:p w14:paraId="43749D12"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20.5</w:t>
            </w:r>
          </w:p>
        </w:tc>
        <w:tc>
          <w:tcPr>
            <w:tcW w:w="1080" w:type="dxa"/>
            <w:tcBorders>
              <w:top w:val="nil"/>
              <w:left w:val="nil"/>
              <w:bottom w:val="nil"/>
              <w:right w:val="single" w:sz="8" w:space="0" w:color="auto"/>
            </w:tcBorders>
          </w:tcPr>
          <w:p w14:paraId="6BBA8BA3" w14:textId="77777777" w:rsidR="008807DE" w:rsidRPr="00B71F92" w:rsidRDefault="008807DE" w:rsidP="008C0804">
            <w:pPr>
              <w:tabs>
                <w:tab w:val="decimal" w:pos="309"/>
              </w:tabs>
              <w:spacing w:after="0" w:line="240" w:lineRule="auto"/>
              <w:jc w:val="center"/>
              <w:rPr>
                <w:sz w:val="20"/>
                <w:szCs w:val="20"/>
              </w:rPr>
            </w:pPr>
            <w:r w:rsidRPr="00B71F92">
              <w:rPr>
                <w:sz w:val="20"/>
                <w:szCs w:val="20"/>
              </w:rPr>
              <w:t>22.1</w:t>
            </w:r>
          </w:p>
        </w:tc>
      </w:tr>
      <w:tr w:rsidR="008807DE" w:rsidRPr="00B71F92" w14:paraId="668264BA" w14:textId="77777777" w:rsidTr="002F5607">
        <w:trPr>
          <w:trHeight w:val="315"/>
          <w:jc w:val="center"/>
        </w:trPr>
        <w:tc>
          <w:tcPr>
            <w:tcW w:w="8540" w:type="dxa"/>
            <w:tcBorders>
              <w:top w:val="nil"/>
              <w:left w:val="single" w:sz="8" w:space="0" w:color="auto"/>
              <w:bottom w:val="nil"/>
              <w:right w:val="single" w:sz="8" w:space="0" w:color="auto"/>
            </w:tcBorders>
            <w:noWrap/>
          </w:tcPr>
          <w:p w14:paraId="0439AD40" w14:textId="77777777" w:rsidR="008807DE" w:rsidRPr="00B71F92" w:rsidRDefault="008807DE" w:rsidP="008C0804">
            <w:pPr>
              <w:spacing w:after="0" w:line="240" w:lineRule="auto"/>
              <w:rPr>
                <w:rFonts w:eastAsia="Times New Roman"/>
                <w:color w:val="000000"/>
                <w:sz w:val="20"/>
                <w:szCs w:val="20"/>
              </w:rPr>
            </w:pPr>
            <w:r w:rsidRPr="00B71F92">
              <w:rPr>
                <w:sz w:val="20"/>
                <w:szCs w:val="20"/>
              </w:rPr>
              <w:t xml:space="preserve">    To upgrade to a better-quality home or to stop renting and buy a home</w:t>
            </w:r>
          </w:p>
        </w:tc>
        <w:tc>
          <w:tcPr>
            <w:tcW w:w="1080" w:type="dxa"/>
            <w:tcBorders>
              <w:top w:val="nil"/>
              <w:left w:val="nil"/>
              <w:bottom w:val="nil"/>
              <w:right w:val="nil"/>
            </w:tcBorders>
            <w:noWrap/>
          </w:tcPr>
          <w:p w14:paraId="33B83436"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35.6</w:t>
            </w:r>
          </w:p>
        </w:tc>
        <w:tc>
          <w:tcPr>
            <w:tcW w:w="1080" w:type="dxa"/>
            <w:tcBorders>
              <w:top w:val="nil"/>
              <w:left w:val="nil"/>
              <w:bottom w:val="nil"/>
              <w:right w:val="nil"/>
            </w:tcBorders>
            <w:noWrap/>
          </w:tcPr>
          <w:p w14:paraId="3CB7CBCA"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30.1</w:t>
            </w:r>
          </w:p>
        </w:tc>
        <w:tc>
          <w:tcPr>
            <w:tcW w:w="1080" w:type="dxa"/>
            <w:tcBorders>
              <w:top w:val="nil"/>
              <w:left w:val="nil"/>
              <w:bottom w:val="nil"/>
              <w:right w:val="single" w:sz="8" w:space="0" w:color="auto"/>
            </w:tcBorders>
            <w:noWrap/>
          </w:tcPr>
          <w:p w14:paraId="7211EBDB"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31.1</w:t>
            </w:r>
          </w:p>
        </w:tc>
        <w:tc>
          <w:tcPr>
            <w:tcW w:w="1080" w:type="dxa"/>
            <w:tcBorders>
              <w:top w:val="nil"/>
              <w:left w:val="nil"/>
              <w:bottom w:val="nil"/>
              <w:right w:val="single" w:sz="8" w:space="0" w:color="auto"/>
            </w:tcBorders>
          </w:tcPr>
          <w:p w14:paraId="34922AD8"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32.4</w:t>
            </w:r>
          </w:p>
        </w:tc>
      </w:tr>
      <w:tr w:rsidR="008807DE" w:rsidRPr="00B71F92" w14:paraId="39A3FD7A" w14:textId="77777777" w:rsidTr="002F5607">
        <w:trPr>
          <w:trHeight w:val="315"/>
          <w:jc w:val="center"/>
        </w:trPr>
        <w:tc>
          <w:tcPr>
            <w:tcW w:w="8540" w:type="dxa"/>
            <w:tcBorders>
              <w:top w:val="nil"/>
              <w:left w:val="single" w:sz="8" w:space="0" w:color="auto"/>
              <w:bottom w:val="nil"/>
              <w:right w:val="single" w:sz="8" w:space="0" w:color="auto"/>
            </w:tcBorders>
            <w:noWrap/>
          </w:tcPr>
          <w:p w14:paraId="335F1F9E" w14:textId="77777777" w:rsidR="008807DE" w:rsidRPr="00B71F92" w:rsidRDefault="008807DE" w:rsidP="008C0804">
            <w:pPr>
              <w:spacing w:after="0" w:line="240" w:lineRule="auto"/>
              <w:rPr>
                <w:rFonts w:eastAsia="Times New Roman"/>
                <w:b/>
                <w:bCs/>
                <w:color w:val="000000"/>
                <w:sz w:val="20"/>
                <w:szCs w:val="20"/>
              </w:rPr>
            </w:pPr>
            <w:r w:rsidRPr="00B71F92">
              <w:rPr>
                <w:sz w:val="20"/>
                <w:szCs w:val="20"/>
              </w:rPr>
              <w:t xml:space="preserve">    Change in who you live with (e.g., move out on your own, getting married/divorced)</w:t>
            </w:r>
          </w:p>
        </w:tc>
        <w:tc>
          <w:tcPr>
            <w:tcW w:w="1080" w:type="dxa"/>
            <w:tcBorders>
              <w:top w:val="nil"/>
              <w:left w:val="nil"/>
              <w:bottom w:val="nil"/>
              <w:right w:val="nil"/>
            </w:tcBorders>
            <w:noWrap/>
          </w:tcPr>
          <w:p w14:paraId="634CC763"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31.7</w:t>
            </w:r>
          </w:p>
        </w:tc>
        <w:tc>
          <w:tcPr>
            <w:tcW w:w="1080" w:type="dxa"/>
            <w:tcBorders>
              <w:top w:val="nil"/>
              <w:left w:val="nil"/>
              <w:bottom w:val="nil"/>
              <w:right w:val="nil"/>
            </w:tcBorders>
            <w:noWrap/>
          </w:tcPr>
          <w:p w14:paraId="138A1CC0"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25.8</w:t>
            </w:r>
          </w:p>
        </w:tc>
        <w:tc>
          <w:tcPr>
            <w:tcW w:w="1080" w:type="dxa"/>
            <w:tcBorders>
              <w:top w:val="nil"/>
              <w:left w:val="nil"/>
              <w:bottom w:val="nil"/>
              <w:right w:val="single" w:sz="8" w:space="0" w:color="auto"/>
            </w:tcBorders>
            <w:noWrap/>
          </w:tcPr>
          <w:p w14:paraId="347DA7ED"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31.8</w:t>
            </w:r>
          </w:p>
        </w:tc>
        <w:tc>
          <w:tcPr>
            <w:tcW w:w="1080" w:type="dxa"/>
            <w:tcBorders>
              <w:top w:val="nil"/>
              <w:left w:val="nil"/>
              <w:bottom w:val="nil"/>
              <w:right w:val="single" w:sz="8" w:space="0" w:color="auto"/>
            </w:tcBorders>
          </w:tcPr>
          <w:p w14:paraId="539FEF16" w14:textId="77777777" w:rsidR="008807DE" w:rsidRPr="00B71F92" w:rsidRDefault="008807DE" w:rsidP="008C0804">
            <w:pPr>
              <w:tabs>
                <w:tab w:val="decimal" w:pos="309"/>
              </w:tabs>
              <w:spacing w:after="0" w:line="240" w:lineRule="auto"/>
              <w:jc w:val="center"/>
              <w:rPr>
                <w:sz w:val="20"/>
                <w:szCs w:val="20"/>
              </w:rPr>
            </w:pPr>
            <w:r w:rsidRPr="00B71F92">
              <w:rPr>
                <w:sz w:val="20"/>
                <w:szCs w:val="20"/>
              </w:rPr>
              <w:t>30.0</w:t>
            </w:r>
          </w:p>
        </w:tc>
      </w:tr>
      <w:tr w:rsidR="008807DE" w:rsidRPr="00B71F92" w14:paraId="58B5CE7E" w14:textId="77777777" w:rsidTr="002F5607">
        <w:trPr>
          <w:trHeight w:val="315"/>
          <w:jc w:val="center"/>
        </w:trPr>
        <w:tc>
          <w:tcPr>
            <w:tcW w:w="8540" w:type="dxa"/>
            <w:tcBorders>
              <w:top w:val="nil"/>
              <w:left w:val="single" w:sz="8" w:space="0" w:color="auto"/>
              <w:bottom w:val="nil"/>
              <w:right w:val="single" w:sz="8" w:space="0" w:color="auto"/>
            </w:tcBorders>
            <w:noWrap/>
          </w:tcPr>
          <w:p w14:paraId="63400D08" w14:textId="77777777" w:rsidR="008807DE" w:rsidRPr="00B71F92" w:rsidRDefault="008807DE" w:rsidP="008C0804">
            <w:pPr>
              <w:spacing w:after="0" w:line="240" w:lineRule="auto"/>
              <w:rPr>
                <w:rFonts w:eastAsia="Times New Roman"/>
                <w:b/>
                <w:bCs/>
                <w:color w:val="000000"/>
                <w:sz w:val="20"/>
                <w:szCs w:val="20"/>
              </w:rPr>
            </w:pPr>
            <w:r w:rsidRPr="00B71F92">
              <w:rPr>
                <w:b/>
                <w:bCs/>
                <w:sz w:val="20"/>
                <w:szCs w:val="20"/>
              </w:rPr>
              <w:t>Disconnects between preferences and housing situations</w:t>
            </w:r>
          </w:p>
        </w:tc>
        <w:tc>
          <w:tcPr>
            <w:tcW w:w="1080" w:type="dxa"/>
            <w:tcBorders>
              <w:top w:val="nil"/>
              <w:left w:val="nil"/>
              <w:bottom w:val="nil"/>
              <w:right w:val="nil"/>
            </w:tcBorders>
            <w:noWrap/>
          </w:tcPr>
          <w:p w14:paraId="2B40D256"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nil"/>
            </w:tcBorders>
            <w:noWrap/>
          </w:tcPr>
          <w:p w14:paraId="70D1EC54"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single" w:sz="8" w:space="0" w:color="auto"/>
            </w:tcBorders>
            <w:noWrap/>
          </w:tcPr>
          <w:p w14:paraId="40645078"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single" w:sz="8" w:space="0" w:color="auto"/>
            </w:tcBorders>
          </w:tcPr>
          <w:p w14:paraId="636FF278"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r>
      <w:tr w:rsidR="008807DE" w:rsidRPr="00B71F92" w14:paraId="0D12C936" w14:textId="77777777" w:rsidTr="002F5607">
        <w:trPr>
          <w:trHeight w:val="315"/>
          <w:jc w:val="center"/>
        </w:trPr>
        <w:tc>
          <w:tcPr>
            <w:tcW w:w="8540" w:type="dxa"/>
            <w:tcBorders>
              <w:top w:val="nil"/>
              <w:left w:val="single" w:sz="8" w:space="0" w:color="auto"/>
              <w:bottom w:val="nil"/>
              <w:right w:val="single" w:sz="8" w:space="0" w:color="auto"/>
            </w:tcBorders>
            <w:noWrap/>
          </w:tcPr>
          <w:p w14:paraId="51BF9D00" w14:textId="77777777" w:rsidR="008807DE" w:rsidRPr="00B71F92" w:rsidRDefault="008807DE" w:rsidP="008C0804">
            <w:pPr>
              <w:spacing w:after="0" w:line="240" w:lineRule="auto"/>
              <w:rPr>
                <w:rFonts w:eastAsia="Times New Roman"/>
                <w:color w:val="000000"/>
                <w:sz w:val="20"/>
                <w:szCs w:val="20"/>
              </w:rPr>
            </w:pPr>
            <w:r w:rsidRPr="00B71F92">
              <w:rPr>
                <w:sz w:val="20"/>
                <w:szCs w:val="20"/>
              </w:rPr>
              <w:t xml:space="preserve">    Needed more space</w:t>
            </w:r>
          </w:p>
        </w:tc>
        <w:tc>
          <w:tcPr>
            <w:tcW w:w="1080" w:type="dxa"/>
            <w:tcBorders>
              <w:top w:val="nil"/>
              <w:left w:val="nil"/>
              <w:bottom w:val="nil"/>
              <w:right w:val="nil"/>
            </w:tcBorders>
            <w:noWrap/>
          </w:tcPr>
          <w:p w14:paraId="3EF6F20D"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30.5</w:t>
            </w:r>
          </w:p>
        </w:tc>
        <w:tc>
          <w:tcPr>
            <w:tcW w:w="1080" w:type="dxa"/>
            <w:tcBorders>
              <w:top w:val="nil"/>
              <w:left w:val="nil"/>
              <w:bottom w:val="nil"/>
              <w:right w:val="nil"/>
            </w:tcBorders>
            <w:noWrap/>
          </w:tcPr>
          <w:p w14:paraId="22B0A987"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41.1</w:t>
            </w:r>
          </w:p>
        </w:tc>
        <w:tc>
          <w:tcPr>
            <w:tcW w:w="1080" w:type="dxa"/>
            <w:tcBorders>
              <w:top w:val="nil"/>
              <w:left w:val="nil"/>
              <w:bottom w:val="nil"/>
              <w:right w:val="single" w:sz="8" w:space="0" w:color="auto"/>
            </w:tcBorders>
            <w:noWrap/>
          </w:tcPr>
          <w:p w14:paraId="6E645A7C"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35.4</w:t>
            </w:r>
          </w:p>
        </w:tc>
        <w:tc>
          <w:tcPr>
            <w:tcW w:w="1080" w:type="dxa"/>
            <w:tcBorders>
              <w:top w:val="nil"/>
              <w:left w:val="nil"/>
              <w:bottom w:val="nil"/>
              <w:right w:val="single" w:sz="8" w:space="0" w:color="auto"/>
            </w:tcBorders>
          </w:tcPr>
          <w:p w14:paraId="1AF03AF7"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35.4</w:t>
            </w:r>
          </w:p>
        </w:tc>
      </w:tr>
      <w:tr w:rsidR="008807DE" w:rsidRPr="00B71F92" w14:paraId="7AACBE6B" w14:textId="77777777" w:rsidTr="002F5607">
        <w:trPr>
          <w:trHeight w:val="315"/>
          <w:jc w:val="center"/>
        </w:trPr>
        <w:tc>
          <w:tcPr>
            <w:tcW w:w="8540" w:type="dxa"/>
            <w:tcBorders>
              <w:top w:val="nil"/>
              <w:left w:val="single" w:sz="8" w:space="0" w:color="auto"/>
              <w:bottom w:val="nil"/>
              <w:right w:val="single" w:sz="8" w:space="0" w:color="auto"/>
            </w:tcBorders>
            <w:noWrap/>
          </w:tcPr>
          <w:p w14:paraId="24BDC7EE" w14:textId="77777777" w:rsidR="008807DE" w:rsidRPr="00B71F92" w:rsidRDefault="008807DE" w:rsidP="008C0804">
            <w:pPr>
              <w:spacing w:after="0" w:line="240" w:lineRule="auto"/>
              <w:rPr>
                <w:rFonts w:eastAsia="Times New Roman"/>
                <w:color w:val="000000"/>
                <w:sz w:val="20"/>
                <w:szCs w:val="20"/>
              </w:rPr>
            </w:pPr>
            <w:r w:rsidRPr="00B71F92">
              <w:rPr>
                <w:sz w:val="20"/>
                <w:szCs w:val="20"/>
              </w:rPr>
              <w:t xml:space="preserve">    Needed less space</w:t>
            </w:r>
          </w:p>
        </w:tc>
        <w:tc>
          <w:tcPr>
            <w:tcW w:w="1080" w:type="dxa"/>
            <w:tcBorders>
              <w:top w:val="nil"/>
              <w:left w:val="nil"/>
              <w:bottom w:val="nil"/>
              <w:right w:val="nil"/>
            </w:tcBorders>
            <w:noWrap/>
          </w:tcPr>
          <w:p w14:paraId="1FABA87D"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7.5</w:t>
            </w:r>
          </w:p>
        </w:tc>
        <w:tc>
          <w:tcPr>
            <w:tcW w:w="1080" w:type="dxa"/>
            <w:tcBorders>
              <w:top w:val="nil"/>
              <w:left w:val="nil"/>
              <w:bottom w:val="nil"/>
              <w:right w:val="nil"/>
            </w:tcBorders>
            <w:noWrap/>
          </w:tcPr>
          <w:p w14:paraId="176B91A3"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5.4</w:t>
            </w:r>
          </w:p>
        </w:tc>
        <w:tc>
          <w:tcPr>
            <w:tcW w:w="1080" w:type="dxa"/>
            <w:tcBorders>
              <w:top w:val="nil"/>
              <w:left w:val="nil"/>
              <w:bottom w:val="nil"/>
              <w:right w:val="single" w:sz="8" w:space="0" w:color="auto"/>
            </w:tcBorders>
            <w:noWrap/>
          </w:tcPr>
          <w:p w14:paraId="14BEE5F8"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7.2</w:t>
            </w:r>
          </w:p>
        </w:tc>
        <w:tc>
          <w:tcPr>
            <w:tcW w:w="1080" w:type="dxa"/>
            <w:tcBorders>
              <w:top w:val="nil"/>
              <w:left w:val="nil"/>
              <w:bottom w:val="nil"/>
              <w:right w:val="single" w:sz="8" w:space="0" w:color="auto"/>
            </w:tcBorders>
          </w:tcPr>
          <w:p w14:paraId="7A892711"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6.7</w:t>
            </w:r>
          </w:p>
        </w:tc>
      </w:tr>
      <w:tr w:rsidR="008807DE" w:rsidRPr="00B71F92" w14:paraId="0DBA7727" w14:textId="77777777" w:rsidTr="002F5607">
        <w:trPr>
          <w:trHeight w:val="315"/>
          <w:jc w:val="center"/>
        </w:trPr>
        <w:tc>
          <w:tcPr>
            <w:tcW w:w="8540" w:type="dxa"/>
            <w:tcBorders>
              <w:top w:val="nil"/>
              <w:left w:val="single" w:sz="8" w:space="0" w:color="auto"/>
              <w:bottom w:val="nil"/>
              <w:right w:val="single" w:sz="8" w:space="0" w:color="auto"/>
            </w:tcBorders>
            <w:noWrap/>
          </w:tcPr>
          <w:p w14:paraId="501209D4" w14:textId="77777777" w:rsidR="008807DE" w:rsidRPr="00B71F92" w:rsidRDefault="008807DE" w:rsidP="008C0804">
            <w:pPr>
              <w:spacing w:after="0" w:line="240" w:lineRule="auto"/>
              <w:rPr>
                <w:rFonts w:eastAsia="Times New Roman"/>
                <w:color w:val="000000"/>
                <w:sz w:val="20"/>
                <w:szCs w:val="20"/>
              </w:rPr>
            </w:pPr>
            <w:r w:rsidRPr="00B71F92">
              <w:rPr>
                <w:sz w:val="20"/>
                <w:szCs w:val="20"/>
              </w:rPr>
              <w:t xml:space="preserve">    To have better access to recreation, restaurants, shops, and other amenities*</w:t>
            </w:r>
          </w:p>
        </w:tc>
        <w:tc>
          <w:tcPr>
            <w:tcW w:w="1080" w:type="dxa"/>
            <w:tcBorders>
              <w:top w:val="nil"/>
              <w:left w:val="nil"/>
              <w:bottom w:val="nil"/>
              <w:right w:val="nil"/>
            </w:tcBorders>
            <w:noWrap/>
          </w:tcPr>
          <w:p w14:paraId="5F0FE6B3"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w:t>
            </w:r>
          </w:p>
        </w:tc>
        <w:tc>
          <w:tcPr>
            <w:tcW w:w="1080" w:type="dxa"/>
            <w:tcBorders>
              <w:top w:val="nil"/>
              <w:left w:val="nil"/>
              <w:bottom w:val="nil"/>
              <w:right w:val="nil"/>
            </w:tcBorders>
            <w:noWrap/>
          </w:tcPr>
          <w:p w14:paraId="00125552"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w:t>
            </w:r>
          </w:p>
        </w:tc>
        <w:tc>
          <w:tcPr>
            <w:tcW w:w="1080" w:type="dxa"/>
            <w:tcBorders>
              <w:top w:val="nil"/>
              <w:left w:val="nil"/>
              <w:bottom w:val="nil"/>
              <w:right w:val="single" w:sz="8" w:space="0" w:color="auto"/>
            </w:tcBorders>
            <w:noWrap/>
          </w:tcPr>
          <w:p w14:paraId="5A5FDAAB"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19.4</w:t>
            </w:r>
          </w:p>
        </w:tc>
        <w:tc>
          <w:tcPr>
            <w:tcW w:w="1080" w:type="dxa"/>
            <w:tcBorders>
              <w:top w:val="nil"/>
              <w:left w:val="nil"/>
              <w:bottom w:val="nil"/>
              <w:right w:val="single" w:sz="8" w:space="0" w:color="auto"/>
            </w:tcBorders>
          </w:tcPr>
          <w:p w14:paraId="2A54AE96"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6.7</w:t>
            </w:r>
          </w:p>
        </w:tc>
      </w:tr>
      <w:tr w:rsidR="008807DE" w:rsidRPr="00B71F92" w14:paraId="18D87302" w14:textId="77777777" w:rsidTr="002F5607">
        <w:trPr>
          <w:trHeight w:val="315"/>
          <w:jc w:val="center"/>
        </w:trPr>
        <w:tc>
          <w:tcPr>
            <w:tcW w:w="8540" w:type="dxa"/>
            <w:tcBorders>
              <w:top w:val="nil"/>
              <w:left w:val="single" w:sz="8" w:space="0" w:color="auto"/>
              <w:bottom w:val="nil"/>
              <w:right w:val="single" w:sz="8" w:space="0" w:color="auto"/>
            </w:tcBorders>
            <w:noWrap/>
          </w:tcPr>
          <w:p w14:paraId="4579D1A8" w14:textId="77777777" w:rsidR="008807DE" w:rsidRPr="00B71F92" w:rsidRDefault="008807DE" w:rsidP="008C0804">
            <w:pPr>
              <w:spacing w:after="0" w:line="240" w:lineRule="auto"/>
              <w:rPr>
                <w:rFonts w:eastAsia="Times New Roman"/>
                <w:b/>
                <w:bCs/>
                <w:color w:val="000000"/>
                <w:sz w:val="20"/>
                <w:szCs w:val="20"/>
              </w:rPr>
            </w:pPr>
            <w:r w:rsidRPr="00B71F92">
              <w:rPr>
                <w:sz w:val="20"/>
                <w:szCs w:val="20"/>
              </w:rPr>
              <w:t xml:space="preserve">    Concerns about safety or crime</w:t>
            </w:r>
          </w:p>
        </w:tc>
        <w:tc>
          <w:tcPr>
            <w:tcW w:w="1080" w:type="dxa"/>
            <w:tcBorders>
              <w:top w:val="nil"/>
              <w:left w:val="nil"/>
              <w:bottom w:val="nil"/>
              <w:right w:val="nil"/>
            </w:tcBorders>
            <w:noWrap/>
          </w:tcPr>
          <w:p w14:paraId="6D6D069A"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12.1</w:t>
            </w:r>
          </w:p>
        </w:tc>
        <w:tc>
          <w:tcPr>
            <w:tcW w:w="1080" w:type="dxa"/>
            <w:tcBorders>
              <w:top w:val="nil"/>
              <w:left w:val="nil"/>
              <w:bottom w:val="nil"/>
              <w:right w:val="nil"/>
            </w:tcBorders>
            <w:noWrap/>
          </w:tcPr>
          <w:p w14:paraId="0AA3235B"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14.8</w:t>
            </w:r>
          </w:p>
        </w:tc>
        <w:tc>
          <w:tcPr>
            <w:tcW w:w="1080" w:type="dxa"/>
            <w:tcBorders>
              <w:top w:val="nil"/>
              <w:left w:val="nil"/>
              <w:bottom w:val="nil"/>
              <w:right w:val="single" w:sz="8" w:space="0" w:color="auto"/>
            </w:tcBorders>
            <w:noWrap/>
          </w:tcPr>
          <w:p w14:paraId="2F9012A1"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11.0</w:t>
            </w:r>
          </w:p>
        </w:tc>
        <w:tc>
          <w:tcPr>
            <w:tcW w:w="1080" w:type="dxa"/>
            <w:tcBorders>
              <w:top w:val="nil"/>
              <w:left w:val="nil"/>
              <w:bottom w:val="nil"/>
              <w:right w:val="single" w:sz="8" w:space="0" w:color="auto"/>
            </w:tcBorders>
          </w:tcPr>
          <w:p w14:paraId="452789A6"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12.5</w:t>
            </w:r>
          </w:p>
        </w:tc>
      </w:tr>
      <w:tr w:rsidR="008807DE" w:rsidRPr="00B71F92" w14:paraId="03E9BD9F" w14:textId="77777777" w:rsidTr="002F5607">
        <w:trPr>
          <w:trHeight w:val="315"/>
          <w:jc w:val="center"/>
        </w:trPr>
        <w:tc>
          <w:tcPr>
            <w:tcW w:w="8540" w:type="dxa"/>
            <w:tcBorders>
              <w:top w:val="nil"/>
              <w:left w:val="single" w:sz="8" w:space="0" w:color="auto"/>
              <w:bottom w:val="nil"/>
              <w:right w:val="single" w:sz="8" w:space="0" w:color="auto"/>
            </w:tcBorders>
            <w:noWrap/>
          </w:tcPr>
          <w:p w14:paraId="42C0D510" w14:textId="77777777" w:rsidR="008807DE" w:rsidRPr="00B71F92" w:rsidRDefault="008807DE" w:rsidP="008C0804">
            <w:pPr>
              <w:spacing w:after="0" w:line="240" w:lineRule="auto"/>
              <w:rPr>
                <w:rFonts w:eastAsia="Times New Roman"/>
                <w:b/>
                <w:bCs/>
                <w:color w:val="000000"/>
                <w:sz w:val="20"/>
                <w:szCs w:val="20"/>
              </w:rPr>
            </w:pPr>
            <w:r w:rsidRPr="00B71F92">
              <w:rPr>
                <w:b/>
                <w:bCs/>
                <w:sz w:val="20"/>
                <w:szCs w:val="20"/>
              </w:rPr>
              <w:t>Triggered reevaluations of housing situations</w:t>
            </w:r>
          </w:p>
        </w:tc>
        <w:tc>
          <w:tcPr>
            <w:tcW w:w="1080" w:type="dxa"/>
            <w:tcBorders>
              <w:top w:val="nil"/>
              <w:left w:val="nil"/>
              <w:bottom w:val="nil"/>
              <w:right w:val="nil"/>
            </w:tcBorders>
            <w:noWrap/>
          </w:tcPr>
          <w:p w14:paraId="7ABAAFA2"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nil"/>
            </w:tcBorders>
            <w:noWrap/>
          </w:tcPr>
          <w:p w14:paraId="66F0DE79"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single" w:sz="8" w:space="0" w:color="auto"/>
            </w:tcBorders>
            <w:noWrap/>
          </w:tcPr>
          <w:p w14:paraId="4193B547"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bottom w:val="nil"/>
              <w:right w:val="single" w:sz="8" w:space="0" w:color="auto"/>
            </w:tcBorders>
          </w:tcPr>
          <w:p w14:paraId="5A9E3F28"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r>
      <w:tr w:rsidR="008807DE" w:rsidRPr="00B71F92" w14:paraId="6EAD0927" w14:textId="77777777" w:rsidTr="002F5607">
        <w:trPr>
          <w:trHeight w:val="315"/>
          <w:jc w:val="center"/>
        </w:trPr>
        <w:tc>
          <w:tcPr>
            <w:tcW w:w="8540" w:type="dxa"/>
            <w:tcBorders>
              <w:top w:val="nil"/>
              <w:left w:val="single" w:sz="8" w:space="0" w:color="auto"/>
              <w:bottom w:val="nil"/>
              <w:right w:val="single" w:sz="8" w:space="0" w:color="auto"/>
            </w:tcBorders>
            <w:noWrap/>
          </w:tcPr>
          <w:p w14:paraId="391C394E" w14:textId="77777777" w:rsidR="008807DE" w:rsidRPr="00B71F92" w:rsidRDefault="008807DE" w:rsidP="008C0804">
            <w:pPr>
              <w:spacing w:after="0" w:line="240" w:lineRule="auto"/>
              <w:rPr>
                <w:rFonts w:eastAsia="Times New Roman"/>
                <w:color w:val="000000"/>
                <w:sz w:val="20"/>
                <w:szCs w:val="20"/>
              </w:rPr>
            </w:pPr>
            <w:r w:rsidRPr="00B71F92">
              <w:rPr>
                <w:sz w:val="20"/>
                <w:szCs w:val="20"/>
              </w:rPr>
              <w:t xml:space="preserve">    Increase in housing costs, could no longer afford previous place</w:t>
            </w:r>
          </w:p>
        </w:tc>
        <w:tc>
          <w:tcPr>
            <w:tcW w:w="1080" w:type="dxa"/>
            <w:tcBorders>
              <w:top w:val="nil"/>
              <w:left w:val="nil"/>
              <w:bottom w:val="nil"/>
              <w:right w:val="nil"/>
            </w:tcBorders>
            <w:noWrap/>
          </w:tcPr>
          <w:p w14:paraId="0ACF3630"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17.9</w:t>
            </w:r>
          </w:p>
        </w:tc>
        <w:tc>
          <w:tcPr>
            <w:tcW w:w="1080" w:type="dxa"/>
            <w:tcBorders>
              <w:top w:val="nil"/>
              <w:left w:val="nil"/>
              <w:bottom w:val="nil"/>
              <w:right w:val="nil"/>
            </w:tcBorders>
            <w:noWrap/>
          </w:tcPr>
          <w:p w14:paraId="4A5E828A"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15.7</w:t>
            </w:r>
          </w:p>
        </w:tc>
        <w:tc>
          <w:tcPr>
            <w:tcW w:w="1080" w:type="dxa"/>
            <w:tcBorders>
              <w:top w:val="nil"/>
              <w:left w:val="nil"/>
              <w:bottom w:val="nil"/>
              <w:right w:val="single" w:sz="8" w:space="0" w:color="auto"/>
            </w:tcBorders>
            <w:noWrap/>
          </w:tcPr>
          <w:p w14:paraId="26C2BD54"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21.2</w:t>
            </w:r>
          </w:p>
        </w:tc>
        <w:tc>
          <w:tcPr>
            <w:tcW w:w="1080" w:type="dxa"/>
            <w:tcBorders>
              <w:top w:val="nil"/>
              <w:left w:val="nil"/>
              <w:bottom w:val="nil"/>
              <w:right w:val="single" w:sz="8" w:space="0" w:color="auto"/>
            </w:tcBorders>
          </w:tcPr>
          <w:p w14:paraId="17E60726" w14:textId="77777777" w:rsidR="008807DE" w:rsidRPr="00B71F92" w:rsidRDefault="008807DE" w:rsidP="008C0804">
            <w:pPr>
              <w:tabs>
                <w:tab w:val="decimal" w:pos="309"/>
              </w:tabs>
              <w:spacing w:after="0" w:line="240" w:lineRule="auto"/>
              <w:jc w:val="center"/>
              <w:rPr>
                <w:sz w:val="20"/>
                <w:szCs w:val="20"/>
              </w:rPr>
            </w:pPr>
            <w:r w:rsidRPr="00B71F92">
              <w:rPr>
                <w:sz w:val="20"/>
                <w:szCs w:val="20"/>
              </w:rPr>
              <w:t>18.3</w:t>
            </w:r>
          </w:p>
        </w:tc>
      </w:tr>
      <w:tr w:rsidR="008807DE" w:rsidRPr="00B71F92" w14:paraId="62D03192" w14:textId="77777777" w:rsidTr="002F5607">
        <w:trPr>
          <w:trHeight w:val="315"/>
          <w:jc w:val="center"/>
        </w:trPr>
        <w:tc>
          <w:tcPr>
            <w:tcW w:w="8540" w:type="dxa"/>
            <w:tcBorders>
              <w:top w:val="nil"/>
              <w:left w:val="single" w:sz="8" w:space="0" w:color="auto"/>
              <w:bottom w:val="nil"/>
              <w:right w:val="single" w:sz="8" w:space="0" w:color="auto"/>
            </w:tcBorders>
            <w:noWrap/>
          </w:tcPr>
          <w:p w14:paraId="7F4520E3" w14:textId="77777777" w:rsidR="008807DE" w:rsidRPr="00B71F92" w:rsidRDefault="008807DE" w:rsidP="008C0804">
            <w:pPr>
              <w:spacing w:after="0" w:line="240" w:lineRule="auto"/>
              <w:rPr>
                <w:rFonts w:eastAsia="Times New Roman"/>
                <w:b/>
                <w:bCs/>
                <w:color w:val="000000"/>
                <w:sz w:val="20"/>
                <w:szCs w:val="20"/>
              </w:rPr>
            </w:pPr>
            <w:r w:rsidRPr="00B71F92">
              <w:rPr>
                <w:sz w:val="20"/>
                <w:szCs w:val="20"/>
              </w:rPr>
              <w:t xml:space="preserve">    Change in income or finances, could no longer afford previous place</w:t>
            </w:r>
          </w:p>
        </w:tc>
        <w:tc>
          <w:tcPr>
            <w:tcW w:w="1080" w:type="dxa"/>
            <w:tcBorders>
              <w:top w:val="nil"/>
              <w:left w:val="nil"/>
              <w:bottom w:val="nil"/>
              <w:right w:val="nil"/>
            </w:tcBorders>
            <w:noWrap/>
          </w:tcPr>
          <w:p w14:paraId="1A0BB142"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5.0</w:t>
            </w:r>
          </w:p>
        </w:tc>
        <w:tc>
          <w:tcPr>
            <w:tcW w:w="1080" w:type="dxa"/>
            <w:tcBorders>
              <w:top w:val="nil"/>
              <w:left w:val="nil"/>
              <w:bottom w:val="nil"/>
              <w:right w:val="nil"/>
            </w:tcBorders>
            <w:noWrap/>
          </w:tcPr>
          <w:p w14:paraId="4D9BF024"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5.9</w:t>
            </w:r>
          </w:p>
        </w:tc>
        <w:tc>
          <w:tcPr>
            <w:tcW w:w="1080" w:type="dxa"/>
            <w:tcBorders>
              <w:top w:val="nil"/>
              <w:left w:val="nil"/>
              <w:bottom w:val="nil"/>
              <w:right w:val="single" w:sz="8" w:space="0" w:color="auto"/>
            </w:tcBorders>
            <w:noWrap/>
          </w:tcPr>
          <w:p w14:paraId="725873A3"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5.4</w:t>
            </w:r>
          </w:p>
        </w:tc>
        <w:tc>
          <w:tcPr>
            <w:tcW w:w="1080" w:type="dxa"/>
            <w:tcBorders>
              <w:top w:val="nil"/>
              <w:left w:val="nil"/>
              <w:bottom w:val="nil"/>
              <w:right w:val="single" w:sz="8" w:space="0" w:color="auto"/>
            </w:tcBorders>
          </w:tcPr>
          <w:p w14:paraId="465916E5"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5.4</w:t>
            </w:r>
          </w:p>
        </w:tc>
      </w:tr>
      <w:tr w:rsidR="008807DE" w:rsidRPr="00B71F92" w14:paraId="506FEF6A" w14:textId="77777777" w:rsidTr="002F5607">
        <w:trPr>
          <w:trHeight w:val="315"/>
          <w:jc w:val="center"/>
        </w:trPr>
        <w:tc>
          <w:tcPr>
            <w:tcW w:w="8540" w:type="dxa"/>
            <w:tcBorders>
              <w:top w:val="nil"/>
              <w:left w:val="single" w:sz="8" w:space="0" w:color="auto"/>
              <w:bottom w:val="nil"/>
              <w:right w:val="single" w:sz="8" w:space="0" w:color="auto"/>
            </w:tcBorders>
            <w:noWrap/>
          </w:tcPr>
          <w:p w14:paraId="680A9AD5" w14:textId="77777777" w:rsidR="008807DE" w:rsidRPr="00B71F92" w:rsidRDefault="008807DE" w:rsidP="008C0804">
            <w:pPr>
              <w:spacing w:after="0" w:line="240" w:lineRule="auto"/>
              <w:rPr>
                <w:rFonts w:eastAsia="Times New Roman"/>
                <w:color w:val="000000"/>
                <w:sz w:val="20"/>
                <w:szCs w:val="20"/>
              </w:rPr>
            </w:pPr>
            <w:r w:rsidRPr="00B71F92">
              <w:rPr>
                <w:sz w:val="20"/>
                <w:szCs w:val="20"/>
              </w:rPr>
              <w:t xml:space="preserve">    Friends, family, or cultural community left or were leaving the area</w:t>
            </w:r>
          </w:p>
        </w:tc>
        <w:tc>
          <w:tcPr>
            <w:tcW w:w="1080" w:type="dxa"/>
            <w:tcBorders>
              <w:top w:val="nil"/>
              <w:left w:val="nil"/>
              <w:bottom w:val="nil"/>
              <w:right w:val="nil"/>
            </w:tcBorders>
            <w:noWrap/>
          </w:tcPr>
          <w:p w14:paraId="79E2D3B0"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6.4</w:t>
            </w:r>
          </w:p>
        </w:tc>
        <w:tc>
          <w:tcPr>
            <w:tcW w:w="1080" w:type="dxa"/>
            <w:tcBorders>
              <w:top w:val="nil"/>
              <w:left w:val="nil"/>
              <w:bottom w:val="nil"/>
              <w:right w:val="nil"/>
            </w:tcBorders>
            <w:noWrap/>
          </w:tcPr>
          <w:p w14:paraId="0DDFFFE0"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8.3</w:t>
            </w:r>
          </w:p>
        </w:tc>
        <w:tc>
          <w:tcPr>
            <w:tcW w:w="1080" w:type="dxa"/>
            <w:tcBorders>
              <w:top w:val="nil"/>
              <w:left w:val="nil"/>
              <w:bottom w:val="nil"/>
              <w:right w:val="single" w:sz="8" w:space="0" w:color="auto"/>
            </w:tcBorders>
            <w:noWrap/>
          </w:tcPr>
          <w:p w14:paraId="6567EE71"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5.6</w:t>
            </w:r>
          </w:p>
        </w:tc>
        <w:tc>
          <w:tcPr>
            <w:tcW w:w="1080" w:type="dxa"/>
            <w:tcBorders>
              <w:top w:val="nil"/>
              <w:left w:val="nil"/>
              <w:bottom w:val="nil"/>
              <w:right w:val="single" w:sz="8" w:space="0" w:color="auto"/>
            </w:tcBorders>
          </w:tcPr>
          <w:p w14:paraId="5F335C7C"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6.7</w:t>
            </w:r>
          </w:p>
        </w:tc>
      </w:tr>
      <w:tr w:rsidR="008807DE" w:rsidRPr="00B71F92" w14:paraId="4408D303" w14:textId="77777777" w:rsidTr="002F5607">
        <w:trPr>
          <w:trHeight w:val="330"/>
          <w:jc w:val="center"/>
        </w:trPr>
        <w:tc>
          <w:tcPr>
            <w:tcW w:w="8540" w:type="dxa"/>
            <w:tcBorders>
              <w:top w:val="nil"/>
              <w:left w:val="single" w:sz="8" w:space="0" w:color="auto"/>
              <w:right w:val="single" w:sz="8" w:space="0" w:color="auto"/>
            </w:tcBorders>
            <w:noWrap/>
          </w:tcPr>
          <w:p w14:paraId="7140A4B3" w14:textId="77777777" w:rsidR="008807DE" w:rsidRPr="00B71F92" w:rsidRDefault="008807DE" w:rsidP="008C0804">
            <w:pPr>
              <w:spacing w:after="0" w:line="240" w:lineRule="auto"/>
              <w:rPr>
                <w:rFonts w:eastAsia="Times New Roman"/>
                <w:b/>
                <w:bCs/>
                <w:color w:val="000000"/>
                <w:sz w:val="20"/>
                <w:szCs w:val="20"/>
              </w:rPr>
            </w:pPr>
            <w:r w:rsidRPr="00B71F92">
              <w:rPr>
                <w:b/>
                <w:bCs/>
                <w:sz w:val="20"/>
                <w:szCs w:val="20"/>
              </w:rPr>
              <w:t>Forced relocations</w:t>
            </w:r>
          </w:p>
        </w:tc>
        <w:tc>
          <w:tcPr>
            <w:tcW w:w="1080" w:type="dxa"/>
            <w:tcBorders>
              <w:top w:val="nil"/>
              <w:left w:val="nil"/>
              <w:right w:val="nil"/>
            </w:tcBorders>
            <w:noWrap/>
          </w:tcPr>
          <w:p w14:paraId="57FB5625"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right w:val="nil"/>
            </w:tcBorders>
            <w:noWrap/>
          </w:tcPr>
          <w:p w14:paraId="6024B1AA"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right w:val="single" w:sz="8" w:space="0" w:color="auto"/>
            </w:tcBorders>
            <w:noWrap/>
          </w:tcPr>
          <w:p w14:paraId="7AC0B9FF"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nil"/>
              <w:left w:val="nil"/>
              <w:right w:val="single" w:sz="8" w:space="0" w:color="auto"/>
            </w:tcBorders>
          </w:tcPr>
          <w:p w14:paraId="4EAC5369"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r>
      <w:tr w:rsidR="008807DE" w:rsidRPr="00B71F92" w14:paraId="42FAEA44" w14:textId="77777777" w:rsidTr="002F5607">
        <w:trPr>
          <w:trHeight w:val="330"/>
          <w:jc w:val="center"/>
        </w:trPr>
        <w:tc>
          <w:tcPr>
            <w:tcW w:w="8540" w:type="dxa"/>
            <w:tcBorders>
              <w:top w:val="nil"/>
              <w:left w:val="single" w:sz="8" w:space="0" w:color="auto"/>
              <w:bottom w:val="single" w:sz="8" w:space="0" w:color="auto"/>
              <w:right w:val="single" w:sz="8" w:space="0" w:color="auto"/>
            </w:tcBorders>
            <w:noWrap/>
          </w:tcPr>
          <w:p w14:paraId="2193FB33" w14:textId="77777777" w:rsidR="008807DE" w:rsidRPr="00B71F92" w:rsidRDefault="008807DE" w:rsidP="008C0804">
            <w:pPr>
              <w:spacing w:after="0" w:line="240" w:lineRule="auto"/>
              <w:rPr>
                <w:rFonts w:eastAsia="Times New Roman"/>
                <w:color w:val="000000"/>
                <w:sz w:val="20"/>
                <w:szCs w:val="20"/>
                <w:vertAlign w:val="superscript"/>
              </w:rPr>
            </w:pPr>
            <w:r w:rsidRPr="00B71F92">
              <w:rPr>
                <w:sz w:val="20"/>
                <w:szCs w:val="20"/>
              </w:rPr>
              <w:t xml:space="preserve">    Forced to move out (e.g., building demolished or renovated, asked to leave by landlord, foreclosure)</w:t>
            </w:r>
          </w:p>
        </w:tc>
        <w:tc>
          <w:tcPr>
            <w:tcW w:w="1080" w:type="dxa"/>
            <w:tcBorders>
              <w:top w:val="nil"/>
              <w:left w:val="nil"/>
              <w:bottom w:val="single" w:sz="8" w:space="0" w:color="auto"/>
              <w:right w:val="nil"/>
            </w:tcBorders>
            <w:noWrap/>
          </w:tcPr>
          <w:p w14:paraId="45189697"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8.6</w:t>
            </w:r>
          </w:p>
        </w:tc>
        <w:tc>
          <w:tcPr>
            <w:tcW w:w="1080" w:type="dxa"/>
            <w:tcBorders>
              <w:top w:val="nil"/>
              <w:left w:val="nil"/>
              <w:bottom w:val="single" w:sz="8" w:space="0" w:color="auto"/>
              <w:right w:val="nil"/>
            </w:tcBorders>
            <w:noWrap/>
          </w:tcPr>
          <w:p w14:paraId="5B55E822"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8.5</w:t>
            </w:r>
          </w:p>
        </w:tc>
        <w:tc>
          <w:tcPr>
            <w:tcW w:w="1080" w:type="dxa"/>
            <w:tcBorders>
              <w:top w:val="nil"/>
              <w:left w:val="nil"/>
              <w:bottom w:val="single" w:sz="8" w:space="0" w:color="auto"/>
              <w:right w:val="single" w:sz="8" w:space="0" w:color="auto"/>
            </w:tcBorders>
            <w:noWrap/>
          </w:tcPr>
          <w:p w14:paraId="09B752EC" w14:textId="77777777" w:rsidR="008807DE" w:rsidRPr="00B71F92" w:rsidRDefault="008807DE" w:rsidP="008C0804">
            <w:pPr>
              <w:tabs>
                <w:tab w:val="decimal" w:pos="309"/>
              </w:tabs>
              <w:spacing w:after="0" w:line="240" w:lineRule="auto"/>
              <w:jc w:val="center"/>
              <w:rPr>
                <w:rFonts w:eastAsia="Times New Roman"/>
                <w:color w:val="000000"/>
                <w:sz w:val="20"/>
                <w:szCs w:val="20"/>
              </w:rPr>
            </w:pPr>
            <w:r w:rsidRPr="00B71F92">
              <w:rPr>
                <w:sz w:val="20"/>
                <w:szCs w:val="20"/>
              </w:rPr>
              <w:t>5.6</w:t>
            </w:r>
          </w:p>
        </w:tc>
        <w:tc>
          <w:tcPr>
            <w:tcW w:w="1080" w:type="dxa"/>
            <w:tcBorders>
              <w:top w:val="nil"/>
              <w:left w:val="nil"/>
              <w:bottom w:val="single" w:sz="8" w:space="0" w:color="auto"/>
              <w:right w:val="single" w:sz="8" w:space="0" w:color="auto"/>
            </w:tcBorders>
          </w:tcPr>
          <w:p w14:paraId="58F4D0CB" w14:textId="77777777" w:rsidR="008807DE" w:rsidRPr="00B71F92" w:rsidRDefault="008807DE" w:rsidP="008C0804">
            <w:pPr>
              <w:tabs>
                <w:tab w:val="decimal" w:pos="309"/>
              </w:tabs>
              <w:spacing w:after="0" w:line="240" w:lineRule="auto"/>
              <w:jc w:val="center"/>
              <w:rPr>
                <w:sz w:val="20"/>
                <w:szCs w:val="20"/>
              </w:rPr>
            </w:pPr>
            <w:r w:rsidRPr="00B71F92">
              <w:rPr>
                <w:sz w:val="20"/>
                <w:szCs w:val="20"/>
              </w:rPr>
              <w:t>7.5</w:t>
            </w:r>
          </w:p>
        </w:tc>
      </w:tr>
      <w:tr w:rsidR="008807DE" w:rsidRPr="00B71F92" w14:paraId="3528EEAD" w14:textId="77777777" w:rsidTr="002F5607">
        <w:trPr>
          <w:trHeight w:val="330"/>
          <w:jc w:val="center"/>
        </w:trPr>
        <w:tc>
          <w:tcPr>
            <w:tcW w:w="8540" w:type="dxa"/>
            <w:tcBorders>
              <w:top w:val="single" w:sz="8" w:space="0" w:color="auto"/>
            </w:tcBorders>
            <w:noWrap/>
            <w:vAlign w:val="center"/>
          </w:tcPr>
          <w:p w14:paraId="2EFA0979" w14:textId="77777777" w:rsidR="008807DE" w:rsidRPr="00B71F92" w:rsidRDefault="008807DE" w:rsidP="008C0804">
            <w:pPr>
              <w:spacing w:after="0" w:line="240" w:lineRule="auto"/>
              <w:jc w:val="both"/>
              <w:rPr>
                <w:b/>
                <w:bCs/>
                <w:sz w:val="20"/>
                <w:szCs w:val="20"/>
              </w:rPr>
            </w:pPr>
            <w:r w:rsidRPr="00B71F92">
              <w:rPr>
                <w:b/>
                <w:bCs/>
                <w:sz w:val="20"/>
                <w:szCs w:val="20"/>
                <w:vertAlign w:val="superscript"/>
              </w:rPr>
              <w:t>*</w:t>
            </w:r>
            <w:r w:rsidRPr="00B71F92">
              <w:rPr>
                <w:sz w:val="20"/>
                <w:szCs w:val="20"/>
              </w:rPr>
              <w:t>Only available in the 2023 period</w:t>
            </w:r>
          </w:p>
        </w:tc>
        <w:tc>
          <w:tcPr>
            <w:tcW w:w="1080" w:type="dxa"/>
            <w:tcBorders>
              <w:top w:val="single" w:sz="8" w:space="0" w:color="auto"/>
            </w:tcBorders>
            <w:noWrap/>
            <w:vAlign w:val="center"/>
          </w:tcPr>
          <w:p w14:paraId="494A2778"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single" w:sz="8" w:space="0" w:color="auto"/>
            </w:tcBorders>
            <w:noWrap/>
            <w:vAlign w:val="center"/>
          </w:tcPr>
          <w:p w14:paraId="3CD90F7E"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single" w:sz="8" w:space="0" w:color="auto"/>
            </w:tcBorders>
            <w:noWrap/>
            <w:vAlign w:val="center"/>
          </w:tcPr>
          <w:p w14:paraId="6E343A00" w14:textId="77777777" w:rsidR="008807DE" w:rsidRPr="00B71F92" w:rsidRDefault="008807DE" w:rsidP="008C0804">
            <w:pPr>
              <w:tabs>
                <w:tab w:val="decimal" w:pos="309"/>
              </w:tabs>
              <w:spacing w:after="0" w:line="240" w:lineRule="auto"/>
              <w:jc w:val="center"/>
              <w:rPr>
                <w:rFonts w:eastAsia="Times New Roman"/>
                <w:color w:val="000000"/>
                <w:sz w:val="20"/>
                <w:szCs w:val="20"/>
              </w:rPr>
            </w:pPr>
          </w:p>
        </w:tc>
        <w:tc>
          <w:tcPr>
            <w:tcW w:w="1080" w:type="dxa"/>
            <w:tcBorders>
              <w:top w:val="single" w:sz="8" w:space="0" w:color="auto"/>
            </w:tcBorders>
            <w:vAlign w:val="center"/>
          </w:tcPr>
          <w:p w14:paraId="64A1FB0C" w14:textId="77777777" w:rsidR="008807DE" w:rsidRPr="00B71F92" w:rsidRDefault="008807DE" w:rsidP="008C0804">
            <w:pPr>
              <w:tabs>
                <w:tab w:val="decimal" w:pos="309"/>
              </w:tabs>
              <w:spacing w:after="0" w:line="240" w:lineRule="auto"/>
              <w:jc w:val="center"/>
              <w:rPr>
                <w:sz w:val="20"/>
                <w:szCs w:val="20"/>
              </w:rPr>
            </w:pPr>
          </w:p>
        </w:tc>
      </w:tr>
    </w:tbl>
    <w:p w14:paraId="7EFC17E2" w14:textId="77777777" w:rsidR="008807DE" w:rsidRDefault="008807DE" w:rsidP="008404B6">
      <w:pPr>
        <w:shd w:val="clear" w:color="auto" w:fill="FFFFFF"/>
        <w:spacing w:after="0" w:line="240" w:lineRule="auto"/>
        <w:jc w:val="both"/>
        <w:sectPr w:rsidR="008807DE" w:rsidSect="00697EAB">
          <w:pgSz w:w="15840" w:h="12240" w:orient="landscape"/>
          <w:pgMar w:top="1440" w:right="1440" w:bottom="1440" w:left="1440" w:header="720" w:footer="720" w:gutter="0"/>
          <w:cols w:space="720"/>
          <w:docGrid w:linePitch="360"/>
        </w:sectPr>
      </w:pPr>
    </w:p>
    <w:p w14:paraId="7D2567E2" w14:textId="264175FE" w:rsidR="008807DE" w:rsidRPr="002F5607" w:rsidRDefault="008807DE" w:rsidP="002F5607">
      <w:pPr>
        <w:spacing w:after="120" w:line="240" w:lineRule="auto"/>
        <w:jc w:val="both"/>
        <w:rPr>
          <w:b/>
          <w:bCs/>
        </w:rPr>
      </w:pPr>
      <w:r w:rsidRPr="00B71F92">
        <w:rPr>
          <w:b/>
          <w:bCs/>
        </w:rPr>
        <w:lastRenderedPageBreak/>
        <w:t>Table 2: Descriptive Statistics of Exogenous Variables by Period</w:t>
      </w:r>
    </w:p>
    <w:tbl>
      <w:tblPr>
        <w:tblW w:w="89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05"/>
        <w:gridCol w:w="945"/>
        <w:gridCol w:w="606"/>
        <w:gridCol w:w="990"/>
        <w:gridCol w:w="606"/>
        <w:gridCol w:w="816"/>
        <w:gridCol w:w="669"/>
      </w:tblGrid>
      <w:tr w:rsidR="008807DE" w:rsidRPr="00B71F92" w14:paraId="01DD76F6" w14:textId="77777777" w:rsidTr="008C0804">
        <w:trPr>
          <w:trHeight w:val="144"/>
        </w:trPr>
        <w:tc>
          <w:tcPr>
            <w:tcW w:w="4305" w:type="dxa"/>
            <w:vMerge w:val="restart"/>
            <w:tcBorders>
              <w:top w:val="single" w:sz="12" w:space="0" w:color="auto"/>
              <w:right w:val="single" w:sz="12" w:space="0" w:color="auto"/>
            </w:tcBorders>
            <w:noWrap/>
            <w:vAlign w:val="center"/>
            <w:hideMark/>
          </w:tcPr>
          <w:p w14:paraId="1F0F32D4" w14:textId="77777777" w:rsidR="008807DE" w:rsidRPr="00B71F92" w:rsidRDefault="008807DE" w:rsidP="008C0804">
            <w:pPr>
              <w:spacing w:after="0" w:line="240" w:lineRule="auto"/>
              <w:jc w:val="center"/>
              <w:rPr>
                <w:rFonts w:eastAsia="Times New Roman"/>
                <w:b/>
                <w:bCs/>
                <w:sz w:val="20"/>
                <w:szCs w:val="20"/>
              </w:rPr>
            </w:pPr>
            <w:r w:rsidRPr="00B71F92">
              <w:rPr>
                <w:rFonts w:eastAsia="Times New Roman"/>
                <w:b/>
                <w:bCs/>
                <w:sz w:val="20"/>
                <w:szCs w:val="20"/>
              </w:rPr>
              <w:t>Variable</w:t>
            </w:r>
          </w:p>
        </w:tc>
        <w:tc>
          <w:tcPr>
            <w:tcW w:w="1530" w:type="dxa"/>
            <w:gridSpan w:val="2"/>
            <w:tcBorders>
              <w:top w:val="single" w:sz="12" w:space="0" w:color="auto"/>
              <w:left w:val="single" w:sz="12" w:space="0" w:color="auto"/>
              <w:bottom w:val="single" w:sz="12" w:space="0" w:color="auto"/>
              <w:right w:val="single" w:sz="12" w:space="0" w:color="auto"/>
            </w:tcBorders>
            <w:noWrap/>
            <w:vAlign w:val="bottom"/>
            <w:hideMark/>
          </w:tcPr>
          <w:p w14:paraId="251DADE2" w14:textId="77777777" w:rsidR="008807DE" w:rsidRPr="00B71F92" w:rsidRDefault="008807DE" w:rsidP="008C0804">
            <w:pPr>
              <w:spacing w:after="0" w:line="240" w:lineRule="auto"/>
              <w:jc w:val="center"/>
              <w:rPr>
                <w:rFonts w:eastAsia="Times New Roman"/>
                <w:b/>
                <w:bCs/>
                <w:color w:val="000000"/>
                <w:sz w:val="20"/>
                <w:szCs w:val="20"/>
              </w:rPr>
            </w:pPr>
            <w:r w:rsidRPr="00B71F92">
              <w:rPr>
                <w:rFonts w:eastAsia="Times New Roman"/>
                <w:b/>
                <w:bCs/>
                <w:color w:val="000000"/>
                <w:sz w:val="20"/>
                <w:szCs w:val="20"/>
              </w:rPr>
              <w:t>2019 Period</w:t>
            </w:r>
          </w:p>
        </w:tc>
        <w:tc>
          <w:tcPr>
            <w:tcW w:w="1596" w:type="dxa"/>
            <w:gridSpan w:val="2"/>
            <w:tcBorders>
              <w:top w:val="single" w:sz="12" w:space="0" w:color="auto"/>
              <w:left w:val="single" w:sz="12" w:space="0" w:color="auto"/>
              <w:bottom w:val="single" w:sz="12" w:space="0" w:color="auto"/>
              <w:right w:val="single" w:sz="12" w:space="0" w:color="auto"/>
            </w:tcBorders>
            <w:noWrap/>
            <w:vAlign w:val="bottom"/>
            <w:hideMark/>
          </w:tcPr>
          <w:p w14:paraId="7EA479C9" w14:textId="77777777" w:rsidR="008807DE" w:rsidRPr="00B71F92" w:rsidRDefault="008807DE" w:rsidP="008C0804">
            <w:pPr>
              <w:spacing w:after="0" w:line="240" w:lineRule="auto"/>
              <w:jc w:val="center"/>
              <w:rPr>
                <w:rFonts w:eastAsia="Times New Roman"/>
                <w:b/>
                <w:bCs/>
                <w:color w:val="000000"/>
                <w:sz w:val="20"/>
                <w:szCs w:val="20"/>
              </w:rPr>
            </w:pPr>
            <w:r w:rsidRPr="00B71F92">
              <w:rPr>
                <w:rFonts w:eastAsia="Times New Roman"/>
                <w:b/>
                <w:bCs/>
                <w:color w:val="000000"/>
                <w:sz w:val="20"/>
                <w:szCs w:val="20"/>
              </w:rPr>
              <w:t>2021 Period</w:t>
            </w:r>
          </w:p>
        </w:tc>
        <w:tc>
          <w:tcPr>
            <w:tcW w:w="1485" w:type="dxa"/>
            <w:gridSpan w:val="2"/>
            <w:tcBorders>
              <w:top w:val="single" w:sz="12" w:space="0" w:color="auto"/>
              <w:left w:val="single" w:sz="12" w:space="0" w:color="auto"/>
              <w:bottom w:val="single" w:sz="12" w:space="0" w:color="auto"/>
            </w:tcBorders>
            <w:noWrap/>
            <w:vAlign w:val="bottom"/>
            <w:hideMark/>
          </w:tcPr>
          <w:p w14:paraId="06E10730" w14:textId="77777777" w:rsidR="008807DE" w:rsidRPr="00B71F92" w:rsidRDefault="008807DE" w:rsidP="008C0804">
            <w:pPr>
              <w:spacing w:after="0" w:line="240" w:lineRule="auto"/>
              <w:jc w:val="center"/>
              <w:rPr>
                <w:rFonts w:eastAsia="Times New Roman"/>
                <w:b/>
                <w:bCs/>
                <w:color w:val="000000"/>
                <w:sz w:val="20"/>
                <w:szCs w:val="20"/>
              </w:rPr>
            </w:pPr>
            <w:r w:rsidRPr="00B71F92">
              <w:rPr>
                <w:rFonts w:eastAsia="Times New Roman"/>
                <w:b/>
                <w:bCs/>
                <w:color w:val="000000"/>
                <w:sz w:val="20"/>
                <w:szCs w:val="20"/>
              </w:rPr>
              <w:t>2023 Period</w:t>
            </w:r>
          </w:p>
        </w:tc>
      </w:tr>
      <w:tr w:rsidR="008807DE" w:rsidRPr="00B71F92" w14:paraId="73D433DC" w14:textId="77777777" w:rsidTr="008C0804">
        <w:trPr>
          <w:trHeight w:val="144"/>
        </w:trPr>
        <w:tc>
          <w:tcPr>
            <w:tcW w:w="4305" w:type="dxa"/>
            <w:vMerge/>
            <w:tcBorders>
              <w:bottom w:val="single" w:sz="12" w:space="0" w:color="auto"/>
              <w:right w:val="single" w:sz="12" w:space="0" w:color="auto"/>
            </w:tcBorders>
            <w:noWrap/>
            <w:vAlign w:val="center"/>
            <w:hideMark/>
          </w:tcPr>
          <w:p w14:paraId="28296986" w14:textId="77777777" w:rsidR="008807DE" w:rsidRPr="00B71F92" w:rsidRDefault="008807DE" w:rsidP="008C0804">
            <w:pPr>
              <w:spacing w:after="0" w:line="240" w:lineRule="auto"/>
              <w:rPr>
                <w:rFonts w:eastAsia="Times New Roman"/>
                <w:b/>
                <w:bCs/>
                <w:color w:val="000000"/>
                <w:sz w:val="20"/>
                <w:szCs w:val="20"/>
              </w:rPr>
            </w:pPr>
          </w:p>
        </w:tc>
        <w:tc>
          <w:tcPr>
            <w:tcW w:w="945" w:type="dxa"/>
            <w:tcBorders>
              <w:top w:val="single" w:sz="12" w:space="0" w:color="auto"/>
              <w:left w:val="single" w:sz="12" w:space="0" w:color="auto"/>
              <w:bottom w:val="single" w:sz="12" w:space="0" w:color="auto"/>
            </w:tcBorders>
            <w:noWrap/>
            <w:vAlign w:val="center"/>
            <w:hideMark/>
          </w:tcPr>
          <w:p w14:paraId="57C20F53" w14:textId="77777777" w:rsidR="008807DE" w:rsidRPr="00B71F92" w:rsidRDefault="008807DE" w:rsidP="008C0804">
            <w:pPr>
              <w:spacing w:after="0" w:line="240" w:lineRule="auto"/>
              <w:jc w:val="center"/>
              <w:rPr>
                <w:rFonts w:eastAsia="Times New Roman"/>
                <w:color w:val="000000"/>
                <w:sz w:val="20"/>
                <w:szCs w:val="20"/>
              </w:rPr>
            </w:pPr>
            <w:r w:rsidRPr="00B71F92">
              <w:rPr>
                <w:rFonts w:eastAsia="Times New Roman"/>
                <w:color w:val="000000"/>
                <w:sz w:val="20"/>
                <w:szCs w:val="20"/>
              </w:rPr>
              <w:t>Sample</w:t>
            </w:r>
          </w:p>
        </w:tc>
        <w:tc>
          <w:tcPr>
            <w:tcW w:w="585" w:type="dxa"/>
            <w:tcBorders>
              <w:top w:val="single" w:sz="12" w:space="0" w:color="auto"/>
              <w:bottom w:val="single" w:sz="12" w:space="0" w:color="auto"/>
              <w:right w:val="single" w:sz="12" w:space="0" w:color="auto"/>
            </w:tcBorders>
            <w:noWrap/>
            <w:vAlign w:val="center"/>
            <w:hideMark/>
          </w:tcPr>
          <w:p w14:paraId="4AD2C53C" w14:textId="77777777" w:rsidR="008807DE" w:rsidRPr="00B71F92" w:rsidRDefault="008807DE" w:rsidP="008C0804">
            <w:pPr>
              <w:spacing w:after="0" w:line="240" w:lineRule="auto"/>
              <w:jc w:val="center"/>
              <w:rPr>
                <w:rFonts w:eastAsia="Times New Roman"/>
                <w:color w:val="000000"/>
                <w:sz w:val="20"/>
                <w:szCs w:val="20"/>
              </w:rPr>
            </w:pPr>
            <w:r w:rsidRPr="00B71F92">
              <w:rPr>
                <w:rFonts w:eastAsia="Times New Roman"/>
                <w:color w:val="000000"/>
                <w:sz w:val="20"/>
                <w:szCs w:val="20"/>
              </w:rPr>
              <w:t>ACS</w:t>
            </w:r>
          </w:p>
        </w:tc>
        <w:tc>
          <w:tcPr>
            <w:tcW w:w="990" w:type="dxa"/>
            <w:tcBorders>
              <w:top w:val="single" w:sz="12" w:space="0" w:color="auto"/>
              <w:left w:val="single" w:sz="12" w:space="0" w:color="auto"/>
              <w:bottom w:val="single" w:sz="12" w:space="0" w:color="auto"/>
            </w:tcBorders>
            <w:noWrap/>
            <w:vAlign w:val="center"/>
            <w:hideMark/>
          </w:tcPr>
          <w:p w14:paraId="12E55FB9" w14:textId="77777777" w:rsidR="008807DE" w:rsidRPr="00B71F92" w:rsidRDefault="008807DE" w:rsidP="008C0804">
            <w:pPr>
              <w:spacing w:after="0" w:line="240" w:lineRule="auto"/>
              <w:jc w:val="center"/>
              <w:rPr>
                <w:rFonts w:eastAsia="Times New Roman"/>
                <w:color w:val="000000"/>
                <w:sz w:val="20"/>
                <w:szCs w:val="20"/>
              </w:rPr>
            </w:pPr>
            <w:r w:rsidRPr="00B71F92">
              <w:rPr>
                <w:rFonts w:eastAsia="Times New Roman"/>
                <w:color w:val="000000"/>
                <w:sz w:val="20"/>
                <w:szCs w:val="20"/>
              </w:rPr>
              <w:t>Sample</w:t>
            </w:r>
          </w:p>
        </w:tc>
        <w:tc>
          <w:tcPr>
            <w:tcW w:w="606" w:type="dxa"/>
            <w:tcBorders>
              <w:top w:val="single" w:sz="12" w:space="0" w:color="auto"/>
              <w:bottom w:val="single" w:sz="12" w:space="0" w:color="auto"/>
              <w:right w:val="single" w:sz="12" w:space="0" w:color="auto"/>
            </w:tcBorders>
            <w:noWrap/>
            <w:vAlign w:val="center"/>
            <w:hideMark/>
          </w:tcPr>
          <w:p w14:paraId="0495F648" w14:textId="77777777" w:rsidR="008807DE" w:rsidRPr="00B71F92" w:rsidRDefault="008807DE" w:rsidP="008C0804">
            <w:pPr>
              <w:spacing w:after="0" w:line="240" w:lineRule="auto"/>
              <w:jc w:val="center"/>
              <w:rPr>
                <w:rFonts w:eastAsia="Times New Roman"/>
                <w:color w:val="000000"/>
                <w:sz w:val="20"/>
                <w:szCs w:val="20"/>
              </w:rPr>
            </w:pPr>
            <w:r w:rsidRPr="00B71F92">
              <w:rPr>
                <w:rFonts w:eastAsia="Times New Roman"/>
                <w:color w:val="000000"/>
                <w:sz w:val="20"/>
                <w:szCs w:val="20"/>
              </w:rPr>
              <w:t>ACS</w:t>
            </w:r>
          </w:p>
        </w:tc>
        <w:tc>
          <w:tcPr>
            <w:tcW w:w="816" w:type="dxa"/>
            <w:tcBorders>
              <w:top w:val="single" w:sz="12" w:space="0" w:color="auto"/>
              <w:left w:val="single" w:sz="12" w:space="0" w:color="auto"/>
              <w:bottom w:val="single" w:sz="12" w:space="0" w:color="auto"/>
            </w:tcBorders>
            <w:noWrap/>
            <w:vAlign w:val="center"/>
            <w:hideMark/>
          </w:tcPr>
          <w:p w14:paraId="0815D2DE" w14:textId="77777777" w:rsidR="008807DE" w:rsidRPr="00B71F92" w:rsidRDefault="008807DE" w:rsidP="008C0804">
            <w:pPr>
              <w:spacing w:after="0" w:line="240" w:lineRule="auto"/>
              <w:jc w:val="center"/>
              <w:rPr>
                <w:rFonts w:eastAsia="Times New Roman"/>
                <w:color w:val="000000"/>
                <w:sz w:val="20"/>
                <w:szCs w:val="20"/>
              </w:rPr>
            </w:pPr>
            <w:r w:rsidRPr="00B71F92">
              <w:rPr>
                <w:rFonts w:eastAsia="Times New Roman"/>
                <w:color w:val="000000"/>
                <w:sz w:val="20"/>
                <w:szCs w:val="20"/>
              </w:rPr>
              <w:t>Sample</w:t>
            </w:r>
          </w:p>
        </w:tc>
        <w:tc>
          <w:tcPr>
            <w:tcW w:w="669" w:type="dxa"/>
            <w:tcBorders>
              <w:top w:val="single" w:sz="12" w:space="0" w:color="auto"/>
              <w:bottom w:val="single" w:sz="12" w:space="0" w:color="auto"/>
            </w:tcBorders>
            <w:noWrap/>
            <w:vAlign w:val="center"/>
            <w:hideMark/>
          </w:tcPr>
          <w:p w14:paraId="484756A8" w14:textId="77777777" w:rsidR="008807DE" w:rsidRPr="00B71F92" w:rsidRDefault="008807DE" w:rsidP="008C0804">
            <w:pPr>
              <w:spacing w:after="0" w:line="240" w:lineRule="auto"/>
              <w:jc w:val="center"/>
              <w:rPr>
                <w:rFonts w:eastAsia="Times New Roman"/>
                <w:color w:val="000000"/>
                <w:sz w:val="20"/>
                <w:szCs w:val="20"/>
              </w:rPr>
            </w:pPr>
            <w:r w:rsidRPr="00B71F92">
              <w:rPr>
                <w:rFonts w:eastAsia="Times New Roman"/>
                <w:color w:val="000000"/>
                <w:sz w:val="20"/>
                <w:szCs w:val="20"/>
              </w:rPr>
              <w:t>ACS</w:t>
            </w:r>
          </w:p>
        </w:tc>
      </w:tr>
      <w:tr w:rsidR="008807DE" w:rsidRPr="00B71F92" w14:paraId="73485DDB" w14:textId="77777777" w:rsidTr="008C0804">
        <w:trPr>
          <w:trHeight w:val="144"/>
        </w:trPr>
        <w:tc>
          <w:tcPr>
            <w:tcW w:w="8937" w:type="dxa"/>
            <w:gridSpan w:val="7"/>
            <w:tcBorders>
              <w:top w:val="single" w:sz="12" w:space="0" w:color="auto"/>
              <w:bottom w:val="single" w:sz="4" w:space="0" w:color="auto"/>
            </w:tcBorders>
            <w:noWrap/>
            <w:vAlign w:val="center"/>
          </w:tcPr>
          <w:p w14:paraId="2ED66E0B" w14:textId="77777777" w:rsidR="008807DE" w:rsidRPr="00B71F92" w:rsidRDefault="008807DE" w:rsidP="008C0804">
            <w:pPr>
              <w:spacing w:after="0" w:line="240" w:lineRule="auto"/>
              <w:rPr>
                <w:rFonts w:eastAsia="Times New Roman"/>
                <w:b/>
                <w:bCs/>
                <w:i/>
                <w:iCs/>
                <w:color w:val="000000"/>
                <w:sz w:val="20"/>
                <w:szCs w:val="20"/>
              </w:rPr>
            </w:pPr>
            <w:r w:rsidRPr="00B71F92">
              <w:rPr>
                <w:rFonts w:eastAsia="Times New Roman"/>
                <w:b/>
                <w:bCs/>
                <w:i/>
                <w:iCs/>
                <w:color w:val="000000"/>
                <w:sz w:val="20"/>
                <w:szCs w:val="20"/>
              </w:rPr>
              <w:t>Lifecycle and Household Composition Variables</w:t>
            </w:r>
          </w:p>
        </w:tc>
      </w:tr>
      <w:tr w:rsidR="008807DE" w:rsidRPr="00B71F92" w14:paraId="7579B103" w14:textId="77777777" w:rsidTr="008C0804">
        <w:trPr>
          <w:trHeight w:val="144"/>
        </w:trPr>
        <w:tc>
          <w:tcPr>
            <w:tcW w:w="4305" w:type="dxa"/>
            <w:tcBorders>
              <w:top w:val="single" w:sz="4" w:space="0" w:color="auto"/>
              <w:right w:val="single" w:sz="12" w:space="0" w:color="auto"/>
            </w:tcBorders>
            <w:noWrap/>
            <w:vAlign w:val="center"/>
          </w:tcPr>
          <w:p w14:paraId="3A458DCD"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Lifecycle</w:t>
            </w:r>
          </w:p>
        </w:tc>
        <w:tc>
          <w:tcPr>
            <w:tcW w:w="945" w:type="dxa"/>
            <w:tcBorders>
              <w:top w:val="single" w:sz="4" w:space="0" w:color="auto"/>
              <w:left w:val="single" w:sz="12" w:space="0" w:color="auto"/>
            </w:tcBorders>
            <w:noWrap/>
            <w:vAlign w:val="center"/>
          </w:tcPr>
          <w:p w14:paraId="195DB30A" w14:textId="77777777" w:rsidR="008807DE" w:rsidRPr="00B71F92" w:rsidRDefault="008807DE" w:rsidP="008C0804">
            <w:pPr>
              <w:spacing w:after="0" w:line="240" w:lineRule="auto"/>
              <w:jc w:val="center"/>
              <w:rPr>
                <w:rFonts w:eastAsia="Times New Roman"/>
                <w:color w:val="000000"/>
                <w:sz w:val="20"/>
                <w:szCs w:val="20"/>
              </w:rPr>
            </w:pPr>
          </w:p>
        </w:tc>
        <w:tc>
          <w:tcPr>
            <w:tcW w:w="585" w:type="dxa"/>
            <w:tcBorders>
              <w:top w:val="single" w:sz="4" w:space="0" w:color="auto"/>
              <w:right w:val="single" w:sz="12" w:space="0" w:color="auto"/>
            </w:tcBorders>
            <w:noWrap/>
            <w:vAlign w:val="center"/>
          </w:tcPr>
          <w:p w14:paraId="3AAA37A3" w14:textId="77777777" w:rsidR="008807DE" w:rsidRPr="00B71F92" w:rsidRDefault="008807DE" w:rsidP="008C0804">
            <w:pPr>
              <w:spacing w:after="0" w:line="240" w:lineRule="auto"/>
              <w:jc w:val="center"/>
              <w:rPr>
                <w:rFonts w:eastAsia="Times New Roman"/>
                <w:color w:val="000000"/>
                <w:sz w:val="20"/>
                <w:szCs w:val="20"/>
              </w:rPr>
            </w:pPr>
          </w:p>
        </w:tc>
        <w:tc>
          <w:tcPr>
            <w:tcW w:w="990" w:type="dxa"/>
            <w:tcBorders>
              <w:top w:val="single" w:sz="4" w:space="0" w:color="auto"/>
              <w:left w:val="single" w:sz="12" w:space="0" w:color="auto"/>
            </w:tcBorders>
            <w:noWrap/>
            <w:vAlign w:val="center"/>
          </w:tcPr>
          <w:p w14:paraId="2F253A1D" w14:textId="77777777" w:rsidR="008807DE" w:rsidRPr="00B71F92" w:rsidRDefault="008807DE" w:rsidP="008C0804">
            <w:pPr>
              <w:spacing w:after="0" w:line="240" w:lineRule="auto"/>
              <w:jc w:val="center"/>
              <w:rPr>
                <w:rFonts w:eastAsia="Times New Roman"/>
                <w:color w:val="000000"/>
                <w:sz w:val="20"/>
                <w:szCs w:val="20"/>
              </w:rPr>
            </w:pPr>
          </w:p>
        </w:tc>
        <w:tc>
          <w:tcPr>
            <w:tcW w:w="606" w:type="dxa"/>
            <w:tcBorders>
              <w:top w:val="single" w:sz="4" w:space="0" w:color="auto"/>
              <w:right w:val="single" w:sz="12" w:space="0" w:color="auto"/>
            </w:tcBorders>
            <w:noWrap/>
            <w:vAlign w:val="center"/>
          </w:tcPr>
          <w:p w14:paraId="42333277" w14:textId="77777777" w:rsidR="008807DE" w:rsidRPr="00B71F92" w:rsidRDefault="008807DE" w:rsidP="008C0804">
            <w:pPr>
              <w:spacing w:after="0" w:line="240" w:lineRule="auto"/>
              <w:jc w:val="center"/>
              <w:rPr>
                <w:rFonts w:eastAsia="Times New Roman"/>
                <w:color w:val="000000"/>
                <w:sz w:val="20"/>
                <w:szCs w:val="20"/>
              </w:rPr>
            </w:pPr>
          </w:p>
        </w:tc>
        <w:tc>
          <w:tcPr>
            <w:tcW w:w="816" w:type="dxa"/>
            <w:tcBorders>
              <w:top w:val="single" w:sz="4" w:space="0" w:color="auto"/>
              <w:left w:val="single" w:sz="12" w:space="0" w:color="auto"/>
            </w:tcBorders>
            <w:noWrap/>
            <w:vAlign w:val="center"/>
          </w:tcPr>
          <w:p w14:paraId="4123E775" w14:textId="77777777" w:rsidR="008807DE" w:rsidRPr="00B71F92" w:rsidRDefault="008807DE" w:rsidP="008C0804">
            <w:pPr>
              <w:spacing w:after="0" w:line="240" w:lineRule="auto"/>
              <w:jc w:val="center"/>
              <w:rPr>
                <w:rFonts w:eastAsia="Times New Roman"/>
                <w:color w:val="000000"/>
                <w:sz w:val="20"/>
                <w:szCs w:val="20"/>
              </w:rPr>
            </w:pPr>
          </w:p>
        </w:tc>
        <w:tc>
          <w:tcPr>
            <w:tcW w:w="669" w:type="dxa"/>
            <w:tcBorders>
              <w:top w:val="single" w:sz="4" w:space="0" w:color="auto"/>
            </w:tcBorders>
            <w:noWrap/>
            <w:vAlign w:val="center"/>
          </w:tcPr>
          <w:p w14:paraId="19734062" w14:textId="77777777" w:rsidR="008807DE" w:rsidRPr="00B71F92" w:rsidRDefault="008807DE" w:rsidP="008C0804">
            <w:pPr>
              <w:spacing w:after="0" w:line="240" w:lineRule="auto"/>
              <w:jc w:val="center"/>
              <w:rPr>
                <w:rFonts w:eastAsia="Times New Roman"/>
                <w:color w:val="000000"/>
                <w:sz w:val="20"/>
                <w:szCs w:val="20"/>
              </w:rPr>
            </w:pPr>
          </w:p>
        </w:tc>
      </w:tr>
      <w:tr w:rsidR="008807DE" w:rsidRPr="00B71F92" w14:paraId="42990A45" w14:textId="77777777" w:rsidTr="008C0804">
        <w:trPr>
          <w:trHeight w:val="144"/>
        </w:trPr>
        <w:tc>
          <w:tcPr>
            <w:tcW w:w="4305" w:type="dxa"/>
            <w:tcBorders>
              <w:right w:val="single" w:sz="12" w:space="0" w:color="auto"/>
            </w:tcBorders>
            <w:noWrap/>
            <w:vAlign w:val="center"/>
          </w:tcPr>
          <w:p w14:paraId="5888AFE2"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Young (Adults 18-44)</w:t>
            </w:r>
          </w:p>
        </w:tc>
        <w:tc>
          <w:tcPr>
            <w:tcW w:w="945" w:type="dxa"/>
            <w:tcBorders>
              <w:left w:val="single" w:sz="12" w:space="0" w:color="auto"/>
            </w:tcBorders>
            <w:noWrap/>
            <w:vAlign w:val="center"/>
          </w:tcPr>
          <w:p w14:paraId="0ED04B3E"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47.0</w:t>
            </w:r>
          </w:p>
        </w:tc>
        <w:tc>
          <w:tcPr>
            <w:tcW w:w="585" w:type="dxa"/>
            <w:tcBorders>
              <w:right w:val="single" w:sz="12" w:space="0" w:color="auto"/>
            </w:tcBorders>
            <w:noWrap/>
            <w:vAlign w:val="center"/>
          </w:tcPr>
          <w:p w14:paraId="67E350B4"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169BF8A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34.6</w:t>
            </w:r>
          </w:p>
        </w:tc>
        <w:tc>
          <w:tcPr>
            <w:tcW w:w="606" w:type="dxa"/>
            <w:tcBorders>
              <w:right w:val="single" w:sz="12" w:space="0" w:color="auto"/>
            </w:tcBorders>
            <w:noWrap/>
            <w:vAlign w:val="center"/>
          </w:tcPr>
          <w:p w14:paraId="789F3B1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0FABD1EE"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41.1</w:t>
            </w:r>
          </w:p>
        </w:tc>
        <w:tc>
          <w:tcPr>
            <w:tcW w:w="669" w:type="dxa"/>
            <w:noWrap/>
            <w:vAlign w:val="center"/>
          </w:tcPr>
          <w:p w14:paraId="4DA15DD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030BB3AC" w14:textId="77777777" w:rsidTr="008C0804">
        <w:trPr>
          <w:trHeight w:val="144"/>
        </w:trPr>
        <w:tc>
          <w:tcPr>
            <w:tcW w:w="4305" w:type="dxa"/>
            <w:tcBorders>
              <w:right w:val="single" w:sz="12" w:space="0" w:color="auto"/>
            </w:tcBorders>
            <w:noWrap/>
            <w:vAlign w:val="center"/>
          </w:tcPr>
          <w:p w14:paraId="042BCFC3"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Middle-aged (Adults 45-64)</w:t>
            </w:r>
          </w:p>
        </w:tc>
        <w:tc>
          <w:tcPr>
            <w:tcW w:w="945" w:type="dxa"/>
            <w:tcBorders>
              <w:left w:val="single" w:sz="12" w:space="0" w:color="auto"/>
            </w:tcBorders>
            <w:noWrap/>
            <w:vAlign w:val="center"/>
          </w:tcPr>
          <w:p w14:paraId="1FCE256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24.0</w:t>
            </w:r>
          </w:p>
        </w:tc>
        <w:tc>
          <w:tcPr>
            <w:tcW w:w="585" w:type="dxa"/>
            <w:tcBorders>
              <w:right w:val="single" w:sz="12" w:space="0" w:color="auto"/>
            </w:tcBorders>
            <w:noWrap/>
            <w:vAlign w:val="center"/>
          </w:tcPr>
          <w:p w14:paraId="427D0D9F"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5280719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20.6</w:t>
            </w:r>
          </w:p>
        </w:tc>
        <w:tc>
          <w:tcPr>
            <w:tcW w:w="606" w:type="dxa"/>
            <w:tcBorders>
              <w:right w:val="single" w:sz="12" w:space="0" w:color="auto"/>
            </w:tcBorders>
            <w:noWrap/>
            <w:vAlign w:val="center"/>
          </w:tcPr>
          <w:p w14:paraId="2493809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49B99BB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23.2</w:t>
            </w:r>
          </w:p>
        </w:tc>
        <w:tc>
          <w:tcPr>
            <w:tcW w:w="669" w:type="dxa"/>
            <w:noWrap/>
            <w:vAlign w:val="center"/>
          </w:tcPr>
          <w:p w14:paraId="70979A6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0C82FE3F" w14:textId="77777777" w:rsidTr="008C0804">
        <w:trPr>
          <w:trHeight w:val="144"/>
        </w:trPr>
        <w:tc>
          <w:tcPr>
            <w:tcW w:w="4305" w:type="dxa"/>
            <w:tcBorders>
              <w:right w:val="single" w:sz="12" w:space="0" w:color="auto"/>
            </w:tcBorders>
            <w:noWrap/>
            <w:vAlign w:val="center"/>
          </w:tcPr>
          <w:p w14:paraId="72F874F8"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Older (Adults 65+)</w:t>
            </w:r>
          </w:p>
        </w:tc>
        <w:tc>
          <w:tcPr>
            <w:tcW w:w="945" w:type="dxa"/>
            <w:tcBorders>
              <w:left w:val="single" w:sz="12" w:space="0" w:color="auto"/>
            </w:tcBorders>
            <w:noWrap/>
            <w:vAlign w:val="center"/>
          </w:tcPr>
          <w:p w14:paraId="40AC43B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17.7</w:t>
            </w:r>
          </w:p>
        </w:tc>
        <w:tc>
          <w:tcPr>
            <w:tcW w:w="585" w:type="dxa"/>
            <w:tcBorders>
              <w:right w:val="single" w:sz="12" w:space="0" w:color="auto"/>
            </w:tcBorders>
            <w:noWrap/>
            <w:vAlign w:val="center"/>
          </w:tcPr>
          <w:p w14:paraId="2BAF5498"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004D2822"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19.9</w:t>
            </w:r>
          </w:p>
        </w:tc>
        <w:tc>
          <w:tcPr>
            <w:tcW w:w="606" w:type="dxa"/>
            <w:tcBorders>
              <w:right w:val="single" w:sz="12" w:space="0" w:color="auto"/>
            </w:tcBorders>
            <w:noWrap/>
            <w:vAlign w:val="center"/>
          </w:tcPr>
          <w:p w14:paraId="2B095CD2"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213AAE2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22.3</w:t>
            </w:r>
          </w:p>
        </w:tc>
        <w:tc>
          <w:tcPr>
            <w:tcW w:w="669" w:type="dxa"/>
            <w:noWrap/>
            <w:vAlign w:val="center"/>
          </w:tcPr>
          <w:p w14:paraId="6338939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01ECE659" w14:textId="77777777" w:rsidTr="008C0804">
        <w:trPr>
          <w:trHeight w:val="144"/>
        </w:trPr>
        <w:tc>
          <w:tcPr>
            <w:tcW w:w="4305" w:type="dxa"/>
            <w:tcBorders>
              <w:right w:val="single" w:sz="12" w:space="0" w:color="auto"/>
            </w:tcBorders>
            <w:noWrap/>
            <w:vAlign w:val="center"/>
          </w:tcPr>
          <w:p w14:paraId="18606A11"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Extended/Multigenerational</w:t>
            </w:r>
          </w:p>
        </w:tc>
        <w:tc>
          <w:tcPr>
            <w:tcW w:w="945" w:type="dxa"/>
            <w:tcBorders>
              <w:left w:val="single" w:sz="12" w:space="0" w:color="auto"/>
            </w:tcBorders>
            <w:noWrap/>
            <w:vAlign w:val="center"/>
          </w:tcPr>
          <w:p w14:paraId="45D1C3F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11.3</w:t>
            </w:r>
          </w:p>
        </w:tc>
        <w:tc>
          <w:tcPr>
            <w:tcW w:w="585" w:type="dxa"/>
            <w:tcBorders>
              <w:right w:val="single" w:sz="12" w:space="0" w:color="auto"/>
            </w:tcBorders>
            <w:noWrap/>
            <w:vAlign w:val="center"/>
          </w:tcPr>
          <w:p w14:paraId="1B581155"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1C9DB69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24.9</w:t>
            </w:r>
          </w:p>
        </w:tc>
        <w:tc>
          <w:tcPr>
            <w:tcW w:w="606" w:type="dxa"/>
            <w:tcBorders>
              <w:right w:val="single" w:sz="12" w:space="0" w:color="auto"/>
            </w:tcBorders>
            <w:noWrap/>
            <w:vAlign w:val="center"/>
          </w:tcPr>
          <w:p w14:paraId="69733225"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0357AD7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13.4</w:t>
            </w:r>
          </w:p>
        </w:tc>
        <w:tc>
          <w:tcPr>
            <w:tcW w:w="669" w:type="dxa"/>
            <w:noWrap/>
            <w:vAlign w:val="center"/>
          </w:tcPr>
          <w:p w14:paraId="55A6FAB5"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342C0407" w14:textId="77777777" w:rsidTr="008C0804">
        <w:trPr>
          <w:trHeight w:val="144"/>
        </w:trPr>
        <w:tc>
          <w:tcPr>
            <w:tcW w:w="4305" w:type="dxa"/>
            <w:tcBorders>
              <w:right w:val="single" w:sz="12" w:space="0" w:color="auto"/>
            </w:tcBorders>
            <w:noWrap/>
            <w:vAlign w:val="center"/>
          </w:tcPr>
          <w:p w14:paraId="784D89B8"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Number of adults by gender</w:t>
            </w:r>
          </w:p>
        </w:tc>
        <w:tc>
          <w:tcPr>
            <w:tcW w:w="945" w:type="dxa"/>
            <w:tcBorders>
              <w:left w:val="single" w:sz="12" w:space="0" w:color="auto"/>
            </w:tcBorders>
            <w:noWrap/>
            <w:vAlign w:val="center"/>
          </w:tcPr>
          <w:p w14:paraId="51A94A30"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585" w:type="dxa"/>
            <w:tcBorders>
              <w:right w:val="single" w:sz="12" w:space="0" w:color="auto"/>
            </w:tcBorders>
            <w:noWrap/>
            <w:vAlign w:val="center"/>
          </w:tcPr>
          <w:p w14:paraId="668FE508"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990" w:type="dxa"/>
            <w:tcBorders>
              <w:left w:val="single" w:sz="12" w:space="0" w:color="auto"/>
            </w:tcBorders>
            <w:noWrap/>
            <w:vAlign w:val="center"/>
          </w:tcPr>
          <w:p w14:paraId="39525CB1"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06" w:type="dxa"/>
            <w:tcBorders>
              <w:right w:val="single" w:sz="12" w:space="0" w:color="auto"/>
            </w:tcBorders>
            <w:noWrap/>
            <w:vAlign w:val="center"/>
          </w:tcPr>
          <w:p w14:paraId="27BAC4A6"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816" w:type="dxa"/>
            <w:tcBorders>
              <w:left w:val="single" w:sz="12" w:space="0" w:color="auto"/>
            </w:tcBorders>
            <w:noWrap/>
            <w:vAlign w:val="center"/>
          </w:tcPr>
          <w:p w14:paraId="4316DFAF"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69" w:type="dxa"/>
            <w:noWrap/>
            <w:vAlign w:val="center"/>
          </w:tcPr>
          <w:p w14:paraId="5F900C12" w14:textId="77777777" w:rsidR="008807DE" w:rsidRPr="00B71F92" w:rsidRDefault="008807DE" w:rsidP="008C0804">
            <w:pPr>
              <w:tabs>
                <w:tab w:val="decimal" w:pos="210"/>
              </w:tabs>
              <w:spacing w:after="0" w:line="240" w:lineRule="auto"/>
              <w:jc w:val="center"/>
              <w:rPr>
                <w:rFonts w:eastAsia="Times New Roman"/>
                <w:sz w:val="20"/>
                <w:szCs w:val="20"/>
              </w:rPr>
            </w:pPr>
          </w:p>
        </w:tc>
      </w:tr>
      <w:tr w:rsidR="008807DE" w:rsidRPr="00B71F92" w14:paraId="7A472465" w14:textId="77777777" w:rsidTr="008C0804">
        <w:trPr>
          <w:trHeight w:val="144"/>
        </w:trPr>
        <w:tc>
          <w:tcPr>
            <w:tcW w:w="4305" w:type="dxa"/>
            <w:tcBorders>
              <w:right w:val="single" w:sz="12" w:space="0" w:color="auto"/>
            </w:tcBorders>
            <w:noWrap/>
            <w:vAlign w:val="center"/>
          </w:tcPr>
          <w:p w14:paraId="17A35331"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Single male adult</w:t>
            </w:r>
          </w:p>
        </w:tc>
        <w:tc>
          <w:tcPr>
            <w:tcW w:w="945" w:type="dxa"/>
            <w:tcBorders>
              <w:left w:val="single" w:sz="12" w:space="0" w:color="auto"/>
            </w:tcBorders>
            <w:noWrap/>
            <w:vAlign w:val="center"/>
          </w:tcPr>
          <w:p w14:paraId="6FBB3FB0"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19.5</w:t>
            </w:r>
          </w:p>
        </w:tc>
        <w:tc>
          <w:tcPr>
            <w:tcW w:w="585" w:type="dxa"/>
            <w:tcBorders>
              <w:right w:val="single" w:sz="12" w:space="0" w:color="auto"/>
            </w:tcBorders>
            <w:noWrap/>
            <w:vAlign w:val="center"/>
          </w:tcPr>
          <w:p w14:paraId="7D872850"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19.1</w:t>
            </w:r>
          </w:p>
        </w:tc>
        <w:tc>
          <w:tcPr>
            <w:tcW w:w="990" w:type="dxa"/>
            <w:tcBorders>
              <w:left w:val="single" w:sz="12" w:space="0" w:color="auto"/>
            </w:tcBorders>
            <w:noWrap/>
            <w:vAlign w:val="center"/>
          </w:tcPr>
          <w:p w14:paraId="45227C20"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13.5</w:t>
            </w:r>
          </w:p>
        </w:tc>
        <w:tc>
          <w:tcPr>
            <w:tcW w:w="606" w:type="dxa"/>
            <w:tcBorders>
              <w:right w:val="single" w:sz="12" w:space="0" w:color="auto"/>
            </w:tcBorders>
            <w:noWrap/>
            <w:vAlign w:val="center"/>
          </w:tcPr>
          <w:p w14:paraId="5700A33A"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18.6</w:t>
            </w:r>
          </w:p>
        </w:tc>
        <w:tc>
          <w:tcPr>
            <w:tcW w:w="816" w:type="dxa"/>
            <w:tcBorders>
              <w:left w:val="single" w:sz="12" w:space="0" w:color="auto"/>
            </w:tcBorders>
            <w:noWrap/>
            <w:vAlign w:val="center"/>
          </w:tcPr>
          <w:p w14:paraId="4E82CC7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17.4</w:t>
            </w:r>
          </w:p>
        </w:tc>
        <w:tc>
          <w:tcPr>
            <w:tcW w:w="669" w:type="dxa"/>
            <w:noWrap/>
            <w:vAlign w:val="center"/>
          </w:tcPr>
          <w:p w14:paraId="0AEB2716"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19.8</w:t>
            </w:r>
          </w:p>
        </w:tc>
      </w:tr>
      <w:tr w:rsidR="008807DE" w:rsidRPr="00B71F92" w14:paraId="7209C46C" w14:textId="77777777" w:rsidTr="008C0804">
        <w:trPr>
          <w:trHeight w:val="144"/>
        </w:trPr>
        <w:tc>
          <w:tcPr>
            <w:tcW w:w="4305" w:type="dxa"/>
            <w:tcBorders>
              <w:right w:val="single" w:sz="12" w:space="0" w:color="auto"/>
            </w:tcBorders>
            <w:noWrap/>
            <w:vAlign w:val="center"/>
          </w:tcPr>
          <w:p w14:paraId="164C39BE"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Single female adult</w:t>
            </w:r>
          </w:p>
        </w:tc>
        <w:tc>
          <w:tcPr>
            <w:tcW w:w="945" w:type="dxa"/>
            <w:tcBorders>
              <w:left w:val="single" w:sz="12" w:space="0" w:color="auto"/>
            </w:tcBorders>
            <w:noWrap/>
            <w:vAlign w:val="center"/>
          </w:tcPr>
          <w:p w14:paraId="054FFC0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23.5</w:t>
            </w:r>
          </w:p>
        </w:tc>
        <w:tc>
          <w:tcPr>
            <w:tcW w:w="585" w:type="dxa"/>
            <w:tcBorders>
              <w:right w:val="single" w:sz="12" w:space="0" w:color="auto"/>
            </w:tcBorders>
            <w:noWrap/>
            <w:vAlign w:val="center"/>
          </w:tcPr>
          <w:p w14:paraId="68844F6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23.7</w:t>
            </w:r>
          </w:p>
        </w:tc>
        <w:tc>
          <w:tcPr>
            <w:tcW w:w="990" w:type="dxa"/>
            <w:tcBorders>
              <w:left w:val="single" w:sz="12" w:space="0" w:color="auto"/>
            </w:tcBorders>
            <w:noWrap/>
            <w:vAlign w:val="center"/>
          </w:tcPr>
          <w:p w14:paraId="36E687A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15.9</w:t>
            </w:r>
          </w:p>
        </w:tc>
        <w:tc>
          <w:tcPr>
            <w:tcW w:w="606" w:type="dxa"/>
            <w:tcBorders>
              <w:right w:val="single" w:sz="12" w:space="0" w:color="auto"/>
            </w:tcBorders>
            <w:noWrap/>
            <w:vAlign w:val="center"/>
          </w:tcPr>
          <w:p w14:paraId="44EF8AE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22.7</w:t>
            </w:r>
          </w:p>
        </w:tc>
        <w:tc>
          <w:tcPr>
            <w:tcW w:w="816" w:type="dxa"/>
            <w:tcBorders>
              <w:left w:val="single" w:sz="12" w:space="0" w:color="auto"/>
            </w:tcBorders>
            <w:noWrap/>
            <w:vAlign w:val="center"/>
          </w:tcPr>
          <w:p w14:paraId="34AFB8D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23.9</w:t>
            </w:r>
          </w:p>
        </w:tc>
        <w:tc>
          <w:tcPr>
            <w:tcW w:w="669" w:type="dxa"/>
            <w:noWrap/>
            <w:vAlign w:val="center"/>
          </w:tcPr>
          <w:p w14:paraId="54523D62"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23.6</w:t>
            </w:r>
          </w:p>
        </w:tc>
      </w:tr>
      <w:tr w:rsidR="008807DE" w:rsidRPr="00B71F92" w14:paraId="22A38830" w14:textId="77777777" w:rsidTr="008C0804">
        <w:trPr>
          <w:trHeight w:val="144"/>
        </w:trPr>
        <w:tc>
          <w:tcPr>
            <w:tcW w:w="4305" w:type="dxa"/>
            <w:tcBorders>
              <w:right w:val="single" w:sz="12" w:space="0" w:color="auto"/>
            </w:tcBorders>
            <w:noWrap/>
            <w:vAlign w:val="center"/>
          </w:tcPr>
          <w:p w14:paraId="7BC14BAE"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Two adults (any gender combination)</w:t>
            </w:r>
          </w:p>
        </w:tc>
        <w:tc>
          <w:tcPr>
            <w:tcW w:w="945" w:type="dxa"/>
            <w:tcBorders>
              <w:left w:val="single" w:sz="12" w:space="0" w:color="auto"/>
            </w:tcBorders>
            <w:noWrap/>
            <w:vAlign w:val="center"/>
          </w:tcPr>
          <w:p w14:paraId="41815A8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41.0</w:t>
            </w:r>
          </w:p>
        </w:tc>
        <w:tc>
          <w:tcPr>
            <w:tcW w:w="585" w:type="dxa"/>
            <w:tcBorders>
              <w:right w:val="single" w:sz="12" w:space="0" w:color="auto"/>
            </w:tcBorders>
            <w:noWrap/>
            <w:vAlign w:val="center"/>
          </w:tcPr>
          <w:p w14:paraId="1A79F04A"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44.0</w:t>
            </w:r>
          </w:p>
        </w:tc>
        <w:tc>
          <w:tcPr>
            <w:tcW w:w="990" w:type="dxa"/>
            <w:tcBorders>
              <w:left w:val="single" w:sz="12" w:space="0" w:color="auto"/>
            </w:tcBorders>
            <w:noWrap/>
            <w:vAlign w:val="center"/>
          </w:tcPr>
          <w:p w14:paraId="5304102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40.1</w:t>
            </w:r>
          </w:p>
        </w:tc>
        <w:tc>
          <w:tcPr>
            <w:tcW w:w="606" w:type="dxa"/>
            <w:tcBorders>
              <w:right w:val="single" w:sz="12" w:space="0" w:color="auto"/>
            </w:tcBorders>
            <w:noWrap/>
            <w:vAlign w:val="center"/>
          </w:tcPr>
          <w:p w14:paraId="5DECE775"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45.5</w:t>
            </w:r>
          </w:p>
        </w:tc>
        <w:tc>
          <w:tcPr>
            <w:tcW w:w="816" w:type="dxa"/>
            <w:tcBorders>
              <w:left w:val="single" w:sz="12" w:space="0" w:color="auto"/>
            </w:tcBorders>
            <w:noWrap/>
            <w:vAlign w:val="center"/>
          </w:tcPr>
          <w:p w14:paraId="6478694A"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40.1</w:t>
            </w:r>
          </w:p>
        </w:tc>
        <w:tc>
          <w:tcPr>
            <w:tcW w:w="669" w:type="dxa"/>
            <w:noWrap/>
            <w:vAlign w:val="center"/>
          </w:tcPr>
          <w:p w14:paraId="7A6C2A66"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43.1</w:t>
            </w:r>
          </w:p>
        </w:tc>
      </w:tr>
      <w:tr w:rsidR="008807DE" w:rsidRPr="00B71F92" w14:paraId="62FABB49" w14:textId="77777777" w:rsidTr="008C0804">
        <w:trPr>
          <w:trHeight w:val="144"/>
        </w:trPr>
        <w:tc>
          <w:tcPr>
            <w:tcW w:w="4305" w:type="dxa"/>
            <w:tcBorders>
              <w:right w:val="single" w:sz="12" w:space="0" w:color="auto"/>
            </w:tcBorders>
            <w:noWrap/>
            <w:vAlign w:val="center"/>
          </w:tcPr>
          <w:p w14:paraId="76AC5A19"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color w:val="000000"/>
                <w:sz w:val="20"/>
                <w:szCs w:val="20"/>
              </w:rPr>
              <w:t xml:space="preserve">    Other (more than two adults)</w:t>
            </w:r>
          </w:p>
        </w:tc>
        <w:tc>
          <w:tcPr>
            <w:tcW w:w="945" w:type="dxa"/>
            <w:tcBorders>
              <w:left w:val="single" w:sz="12" w:space="0" w:color="auto"/>
            </w:tcBorders>
            <w:noWrap/>
            <w:vAlign w:val="center"/>
          </w:tcPr>
          <w:p w14:paraId="4D0967EB"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16.0</w:t>
            </w:r>
          </w:p>
        </w:tc>
        <w:tc>
          <w:tcPr>
            <w:tcW w:w="585" w:type="dxa"/>
            <w:tcBorders>
              <w:right w:val="single" w:sz="12" w:space="0" w:color="auto"/>
            </w:tcBorders>
            <w:noWrap/>
            <w:vAlign w:val="center"/>
          </w:tcPr>
          <w:p w14:paraId="7CE47F81"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13.2</w:t>
            </w:r>
          </w:p>
        </w:tc>
        <w:tc>
          <w:tcPr>
            <w:tcW w:w="990" w:type="dxa"/>
            <w:tcBorders>
              <w:left w:val="single" w:sz="12" w:space="0" w:color="auto"/>
            </w:tcBorders>
            <w:noWrap/>
            <w:vAlign w:val="center"/>
          </w:tcPr>
          <w:p w14:paraId="64FC6F99"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30.5</w:t>
            </w:r>
          </w:p>
        </w:tc>
        <w:tc>
          <w:tcPr>
            <w:tcW w:w="606" w:type="dxa"/>
            <w:tcBorders>
              <w:right w:val="single" w:sz="12" w:space="0" w:color="auto"/>
            </w:tcBorders>
            <w:noWrap/>
            <w:vAlign w:val="center"/>
          </w:tcPr>
          <w:p w14:paraId="4352249D"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13.2</w:t>
            </w:r>
          </w:p>
        </w:tc>
        <w:tc>
          <w:tcPr>
            <w:tcW w:w="816" w:type="dxa"/>
            <w:tcBorders>
              <w:left w:val="single" w:sz="12" w:space="0" w:color="auto"/>
            </w:tcBorders>
            <w:noWrap/>
            <w:vAlign w:val="center"/>
          </w:tcPr>
          <w:p w14:paraId="41536151"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18.6</w:t>
            </w:r>
          </w:p>
        </w:tc>
        <w:tc>
          <w:tcPr>
            <w:tcW w:w="669" w:type="dxa"/>
            <w:noWrap/>
            <w:vAlign w:val="center"/>
          </w:tcPr>
          <w:p w14:paraId="36C948CD"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13.5</w:t>
            </w:r>
          </w:p>
        </w:tc>
      </w:tr>
      <w:tr w:rsidR="008807DE" w:rsidRPr="00B71F92" w14:paraId="6D751C1B" w14:textId="77777777" w:rsidTr="008C0804">
        <w:trPr>
          <w:trHeight w:val="144"/>
        </w:trPr>
        <w:tc>
          <w:tcPr>
            <w:tcW w:w="4305" w:type="dxa"/>
            <w:tcBorders>
              <w:right w:val="single" w:sz="12" w:space="0" w:color="auto"/>
            </w:tcBorders>
            <w:noWrap/>
            <w:vAlign w:val="center"/>
          </w:tcPr>
          <w:p w14:paraId="47EFBF0E"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b/>
                <w:bCs/>
                <w:color w:val="000000"/>
                <w:sz w:val="20"/>
                <w:szCs w:val="20"/>
              </w:rPr>
              <w:t>Children</w:t>
            </w:r>
          </w:p>
        </w:tc>
        <w:tc>
          <w:tcPr>
            <w:tcW w:w="945" w:type="dxa"/>
            <w:tcBorders>
              <w:left w:val="single" w:sz="12" w:space="0" w:color="auto"/>
            </w:tcBorders>
            <w:noWrap/>
            <w:vAlign w:val="center"/>
          </w:tcPr>
          <w:p w14:paraId="53814644"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585" w:type="dxa"/>
            <w:tcBorders>
              <w:right w:val="single" w:sz="12" w:space="0" w:color="auto"/>
            </w:tcBorders>
            <w:noWrap/>
            <w:vAlign w:val="center"/>
          </w:tcPr>
          <w:p w14:paraId="217171CD"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990" w:type="dxa"/>
            <w:tcBorders>
              <w:left w:val="single" w:sz="12" w:space="0" w:color="auto"/>
            </w:tcBorders>
            <w:noWrap/>
            <w:vAlign w:val="center"/>
          </w:tcPr>
          <w:p w14:paraId="182789CF"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606" w:type="dxa"/>
            <w:tcBorders>
              <w:right w:val="single" w:sz="12" w:space="0" w:color="auto"/>
            </w:tcBorders>
            <w:noWrap/>
            <w:vAlign w:val="center"/>
          </w:tcPr>
          <w:p w14:paraId="3FDE96DA"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816" w:type="dxa"/>
            <w:tcBorders>
              <w:left w:val="single" w:sz="12" w:space="0" w:color="auto"/>
            </w:tcBorders>
            <w:noWrap/>
            <w:vAlign w:val="center"/>
          </w:tcPr>
          <w:p w14:paraId="594DFC11"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669" w:type="dxa"/>
            <w:noWrap/>
            <w:vAlign w:val="center"/>
          </w:tcPr>
          <w:p w14:paraId="1FCBEDF9"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r>
      <w:tr w:rsidR="008807DE" w:rsidRPr="00B71F92" w14:paraId="044C5EFC" w14:textId="77777777" w:rsidTr="008C0804">
        <w:trPr>
          <w:trHeight w:val="144"/>
        </w:trPr>
        <w:tc>
          <w:tcPr>
            <w:tcW w:w="4305" w:type="dxa"/>
            <w:tcBorders>
              <w:right w:val="single" w:sz="12" w:space="0" w:color="auto"/>
            </w:tcBorders>
            <w:noWrap/>
            <w:vAlign w:val="center"/>
          </w:tcPr>
          <w:p w14:paraId="40C42FEB"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Presence of children aged 0-4</w:t>
            </w:r>
          </w:p>
        </w:tc>
        <w:tc>
          <w:tcPr>
            <w:tcW w:w="945" w:type="dxa"/>
            <w:tcBorders>
              <w:left w:val="single" w:sz="12" w:space="0" w:color="auto"/>
            </w:tcBorders>
            <w:noWrap/>
            <w:vAlign w:val="center"/>
          </w:tcPr>
          <w:p w14:paraId="416F2ACE"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7.9</w:t>
            </w:r>
          </w:p>
        </w:tc>
        <w:tc>
          <w:tcPr>
            <w:tcW w:w="585" w:type="dxa"/>
            <w:tcBorders>
              <w:right w:val="single" w:sz="12" w:space="0" w:color="auto"/>
            </w:tcBorders>
            <w:noWrap/>
            <w:vAlign w:val="center"/>
          </w:tcPr>
          <w:p w14:paraId="60C9F1E8"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3E523FA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9.8</w:t>
            </w:r>
          </w:p>
        </w:tc>
        <w:tc>
          <w:tcPr>
            <w:tcW w:w="606" w:type="dxa"/>
            <w:tcBorders>
              <w:right w:val="single" w:sz="12" w:space="0" w:color="auto"/>
            </w:tcBorders>
            <w:noWrap/>
            <w:vAlign w:val="center"/>
          </w:tcPr>
          <w:p w14:paraId="7460B27F"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3CACA142"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6.7</w:t>
            </w:r>
          </w:p>
        </w:tc>
        <w:tc>
          <w:tcPr>
            <w:tcW w:w="669" w:type="dxa"/>
            <w:noWrap/>
            <w:vAlign w:val="center"/>
          </w:tcPr>
          <w:p w14:paraId="45B322D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71AA440D" w14:textId="77777777" w:rsidTr="008C0804">
        <w:trPr>
          <w:trHeight w:val="144"/>
        </w:trPr>
        <w:tc>
          <w:tcPr>
            <w:tcW w:w="4305" w:type="dxa"/>
            <w:tcBorders>
              <w:right w:val="single" w:sz="12" w:space="0" w:color="auto"/>
            </w:tcBorders>
            <w:noWrap/>
            <w:vAlign w:val="center"/>
          </w:tcPr>
          <w:p w14:paraId="00E4AAF7"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Presence of children aged 5-11</w:t>
            </w:r>
          </w:p>
        </w:tc>
        <w:tc>
          <w:tcPr>
            <w:tcW w:w="945" w:type="dxa"/>
            <w:tcBorders>
              <w:left w:val="single" w:sz="12" w:space="0" w:color="auto"/>
            </w:tcBorders>
            <w:noWrap/>
            <w:vAlign w:val="center"/>
          </w:tcPr>
          <w:p w14:paraId="5F7F68C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7.5</w:t>
            </w:r>
          </w:p>
        </w:tc>
        <w:tc>
          <w:tcPr>
            <w:tcW w:w="585" w:type="dxa"/>
            <w:tcBorders>
              <w:right w:val="single" w:sz="12" w:space="0" w:color="auto"/>
            </w:tcBorders>
            <w:noWrap/>
            <w:vAlign w:val="center"/>
          </w:tcPr>
          <w:p w14:paraId="35E43440"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0EB54DE6"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12.3</w:t>
            </w:r>
          </w:p>
        </w:tc>
        <w:tc>
          <w:tcPr>
            <w:tcW w:w="606" w:type="dxa"/>
            <w:tcBorders>
              <w:right w:val="single" w:sz="12" w:space="0" w:color="auto"/>
            </w:tcBorders>
            <w:noWrap/>
            <w:vAlign w:val="center"/>
          </w:tcPr>
          <w:p w14:paraId="5C7A317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56C7A16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8.7</w:t>
            </w:r>
          </w:p>
        </w:tc>
        <w:tc>
          <w:tcPr>
            <w:tcW w:w="669" w:type="dxa"/>
            <w:noWrap/>
            <w:vAlign w:val="center"/>
          </w:tcPr>
          <w:p w14:paraId="4388C995"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6E343C9B" w14:textId="77777777" w:rsidTr="008C0804">
        <w:trPr>
          <w:trHeight w:val="144"/>
        </w:trPr>
        <w:tc>
          <w:tcPr>
            <w:tcW w:w="4305" w:type="dxa"/>
            <w:tcBorders>
              <w:bottom w:val="nil"/>
              <w:right w:val="single" w:sz="12" w:space="0" w:color="auto"/>
            </w:tcBorders>
            <w:noWrap/>
            <w:vAlign w:val="center"/>
          </w:tcPr>
          <w:p w14:paraId="2C018848"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Presence of children aged 12-17</w:t>
            </w:r>
          </w:p>
        </w:tc>
        <w:tc>
          <w:tcPr>
            <w:tcW w:w="945" w:type="dxa"/>
            <w:tcBorders>
              <w:left w:val="single" w:sz="12" w:space="0" w:color="auto"/>
              <w:bottom w:val="nil"/>
            </w:tcBorders>
            <w:noWrap/>
            <w:vAlign w:val="center"/>
          </w:tcPr>
          <w:p w14:paraId="51D5F8D0"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5.1</w:t>
            </w:r>
          </w:p>
        </w:tc>
        <w:tc>
          <w:tcPr>
            <w:tcW w:w="585" w:type="dxa"/>
            <w:tcBorders>
              <w:bottom w:val="nil"/>
              <w:right w:val="single" w:sz="12" w:space="0" w:color="auto"/>
            </w:tcBorders>
            <w:noWrap/>
            <w:vAlign w:val="center"/>
          </w:tcPr>
          <w:p w14:paraId="18B7286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bottom w:val="nil"/>
            </w:tcBorders>
            <w:noWrap/>
            <w:vAlign w:val="center"/>
          </w:tcPr>
          <w:p w14:paraId="45965714"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11.7</w:t>
            </w:r>
          </w:p>
        </w:tc>
        <w:tc>
          <w:tcPr>
            <w:tcW w:w="606" w:type="dxa"/>
            <w:tcBorders>
              <w:bottom w:val="nil"/>
              <w:right w:val="single" w:sz="12" w:space="0" w:color="auto"/>
            </w:tcBorders>
            <w:noWrap/>
            <w:vAlign w:val="center"/>
          </w:tcPr>
          <w:p w14:paraId="33977BA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bottom w:val="nil"/>
            </w:tcBorders>
            <w:noWrap/>
            <w:vAlign w:val="center"/>
          </w:tcPr>
          <w:p w14:paraId="5570546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6.4</w:t>
            </w:r>
          </w:p>
        </w:tc>
        <w:tc>
          <w:tcPr>
            <w:tcW w:w="669" w:type="dxa"/>
            <w:tcBorders>
              <w:bottom w:val="nil"/>
            </w:tcBorders>
            <w:noWrap/>
            <w:vAlign w:val="center"/>
          </w:tcPr>
          <w:p w14:paraId="51636C0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5AEB414C" w14:textId="77777777" w:rsidTr="008C0804">
        <w:trPr>
          <w:trHeight w:val="144"/>
        </w:trPr>
        <w:tc>
          <w:tcPr>
            <w:tcW w:w="4305" w:type="dxa"/>
            <w:tcBorders>
              <w:top w:val="nil"/>
              <w:bottom w:val="single" w:sz="4" w:space="0" w:color="auto"/>
              <w:right w:val="single" w:sz="12" w:space="0" w:color="auto"/>
            </w:tcBorders>
            <w:noWrap/>
            <w:vAlign w:val="center"/>
          </w:tcPr>
          <w:p w14:paraId="6505EE02"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color w:val="000000"/>
                <w:sz w:val="20"/>
                <w:szCs w:val="20"/>
              </w:rPr>
              <w:t xml:space="preserve">    Total presence of children under 18</w:t>
            </w:r>
          </w:p>
        </w:tc>
        <w:tc>
          <w:tcPr>
            <w:tcW w:w="945" w:type="dxa"/>
            <w:tcBorders>
              <w:top w:val="nil"/>
              <w:left w:val="single" w:sz="12" w:space="0" w:color="auto"/>
              <w:bottom w:val="single" w:sz="4" w:space="0" w:color="auto"/>
            </w:tcBorders>
            <w:noWrap/>
            <w:vAlign w:val="center"/>
          </w:tcPr>
          <w:p w14:paraId="2F88AB8D"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19.5</w:t>
            </w:r>
          </w:p>
        </w:tc>
        <w:tc>
          <w:tcPr>
            <w:tcW w:w="585" w:type="dxa"/>
            <w:tcBorders>
              <w:top w:val="nil"/>
              <w:bottom w:val="single" w:sz="4" w:space="0" w:color="auto"/>
              <w:right w:val="single" w:sz="12" w:space="0" w:color="auto"/>
            </w:tcBorders>
            <w:noWrap/>
            <w:vAlign w:val="center"/>
          </w:tcPr>
          <w:p w14:paraId="292A1E7C"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28.6</w:t>
            </w:r>
          </w:p>
        </w:tc>
        <w:tc>
          <w:tcPr>
            <w:tcW w:w="990" w:type="dxa"/>
            <w:tcBorders>
              <w:top w:val="nil"/>
              <w:left w:val="single" w:sz="12" w:space="0" w:color="auto"/>
              <w:bottom w:val="single" w:sz="4" w:space="0" w:color="auto"/>
            </w:tcBorders>
            <w:noWrap/>
            <w:vAlign w:val="center"/>
          </w:tcPr>
          <w:p w14:paraId="4FE041DA"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25.7</w:t>
            </w:r>
          </w:p>
        </w:tc>
        <w:tc>
          <w:tcPr>
            <w:tcW w:w="606" w:type="dxa"/>
            <w:tcBorders>
              <w:top w:val="nil"/>
              <w:bottom w:val="single" w:sz="4" w:space="0" w:color="auto"/>
              <w:right w:val="single" w:sz="12" w:space="0" w:color="auto"/>
            </w:tcBorders>
            <w:noWrap/>
            <w:vAlign w:val="center"/>
          </w:tcPr>
          <w:p w14:paraId="694B3AFC"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29.1</w:t>
            </w:r>
          </w:p>
        </w:tc>
        <w:tc>
          <w:tcPr>
            <w:tcW w:w="816" w:type="dxa"/>
            <w:tcBorders>
              <w:top w:val="nil"/>
              <w:left w:val="single" w:sz="12" w:space="0" w:color="auto"/>
              <w:bottom w:val="single" w:sz="4" w:space="0" w:color="auto"/>
            </w:tcBorders>
            <w:noWrap/>
            <w:vAlign w:val="center"/>
          </w:tcPr>
          <w:p w14:paraId="0622B9E1"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13.4</w:t>
            </w:r>
          </w:p>
        </w:tc>
        <w:tc>
          <w:tcPr>
            <w:tcW w:w="669" w:type="dxa"/>
            <w:tcBorders>
              <w:top w:val="nil"/>
              <w:bottom w:val="single" w:sz="4" w:space="0" w:color="auto"/>
            </w:tcBorders>
            <w:noWrap/>
            <w:vAlign w:val="center"/>
          </w:tcPr>
          <w:p w14:paraId="7D41A887" w14:textId="77777777" w:rsidR="008807DE" w:rsidRPr="00B71F92" w:rsidRDefault="008807DE" w:rsidP="008C0804">
            <w:pPr>
              <w:tabs>
                <w:tab w:val="decimal" w:pos="210"/>
              </w:tabs>
              <w:spacing w:after="0" w:line="240" w:lineRule="auto"/>
              <w:jc w:val="center"/>
              <w:rPr>
                <w:rFonts w:eastAsia="Times New Roman"/>
                <w:sz w:val="20"/>
                <w:szCs w:val="20"/>
              </w:rPr>
            </w:pPr>
            <w:r w:rsidRPr="00B71F92">
              <w:rPr>
                <w:rFonts w:eastAsia="Times New Roman"/>
                <w:color w:val="000000"/>
                <w:sz w:val="20"/>
                <w:szCs w:val="20"/>
              </w:rPr>
              <w:t>29.6</w:t>
            </w:r>
          </w:p>
        </w:tc>
      </w:tr>
      <w:tr w:rsidR="008807DE" w:rsidRPr="00B71F92" w14:paraId="1D0EFB0E" w14:textId="77777777" w:rsidTr="008C0804">
        <w:trPr>
          <w:trHeight w:val="144"/>
        </w:trPr>
        <w:tc>
          <w:tcPr>
            <w:tcW w:w="8937" w:type="dxa"/>
            <w:gridSpan w:val="7"/>
            <w:tcBorders>
              <w:top w:val="single" w:sz="4" w:space="0" w:color="auto"/>
              <w:bottom w:val="single" w:sz="4" w:space="0" w:color="auto"/>
            </w:tcBorders>
            <w:noWrap/>
            <w:vAlign w:val="center"/>
          </w:tcPr>
          <w:p w14:paraId="0E34DD00" w14:textId="77777777" w:rsidR="008807DE" w:rsidRPr="00B71F92" w:rsidRDefault="008807DE" w:rsidP="008C0804">
            <w:pPr>
              <w:tabs>
                <w:tab w:val="decimal" w:pos="210"/>
              </w:tabs>
              <w:spacing w:after="0" w:line="240" w:lineRule="auto"/>
              <w:rPr>
                <w:rFonts w:eastAsia="Times New Roman"/>
                <w:b/>
                <w:bCs/>
                <w:i/>
                <w:iCs/>
                <w:color w:val="000000"/>
                <w:sz w:val="20"/>
                <w:szCs w:val="20"/>
              </w:rPr>
            </w:pPr>
            <w:r w:rsidRPr="00B71F92">
              <w:rPr>
                <w:rFonts w:eastAsia="Times New Roman"/>
                <w:b/>
                <w:bCs/>
                <w:i/>
                <w:iCs/>
                <w:color w:val="000000"/>
                <w:sz w:val="20"/>
                <w:szCs w:val="20"/>
              </w:rPr>
              <w:t>Employment-Related and Education Variables</w:t>
            </w:r>
          </w:p>
        </w:tc>
      </w:tr>
      <w:tr w:rsidR="008807DE" w:rsidRPr="00B71F92" w14:paraId="17092ED0" w14:textId="77777777" w:rsidTr="008C0804">
        <w:trPr>
          <w:trHeight w:val="144"/>
        </w:trPr>
        <w:tc>
          <w:tcPr>
            <w:tcW w:w="4305" w:type="dxa"/>
            <w:tcBorders>
              <w:top w:val="single" w:sz="4" w:space="0" w:color="auto"/>
              <w:right w:val="single" w:sz="12" w:space="0" w:color="auto"/>
            </w:tcBorders>
            <w:noWrap/>
            <w:vAlign w:val="center"/>
          </w:tcPr>
          <w:p w14:paraId="62C20873"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b/>
                <w:bCs/>
                <w:color w:val="000000"/>
                <w:sz w:val="20"/>
                <w:szCs w:val="20"/>
              </w:rPr>
              <w:t>Employment</w:t>
            </w:r>
          </w:p>
        </w:tc>
        <w:tc>
          <w:tcPr>
            <w:tcW w:w="945" w:type="dxa"/>
            <w:tcBorders>
              <w:top w:val="single" w:sz="4" w:space="0" w:color="auto"/>
              <w:left w:val="single" w:sz="12" w:space="0" w:color="auto"/>
            </w:tcBorders>
            <w:noWrap/>
            <w:vAlign w:val="center"/>
          </w:tcPr>
          <w:p w14:paraId="48CAFEBD"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585" w:type="dxa"/>
            <w:tcBorders>
              <w:top w:val="single" w:sz="4" w:space="0" w:color="auto"/>
              <w:right w:val="single" w:sz="12" w:space="0" w:color="auto"/>
            </w:tcBorders>
            <w:noWrap/>
            <w:vAlign w:val="center"/>
          </w:tcPr>
          <w:p w14:paraId="2E9B8622"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990" w:type="dxa"/>
            <w:tcBorders>
              <w:top w:val="single" w:sz="4" w:space="0" w:color="auto"/>
              <w:left w:val="single" w:sz="12" w:space="0" w:color="auto"/>
            </w:tcBorders>
            <w:noWrap/>
            <w:vAlign w:val="center"/>
          </w:tcPr>
          <w:p w14:paraId="1F75884A"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606" w:type="dxa"/>
            <w:tcBorders>
              <w:top w:val="single" w:sz="4" w:space="0" w:color="auto"/>
              <w:right w:val="single" w:sz="12" w:space="0" w:color="auto"/>
            </w:tcBorders>
            <w:noWrap/>
            <w:vAlign w:val="center"/>
          </w:tcPr>
          <w:p w14:paraId="7AFA52B9"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816" w:type="dxa"/>
            <w:tcBorders>
              <w:top w:val="single" w:sz="4" w:space="0" w:color="auto"/>
              <w:left w:val="single" w:sz="12" w:space="0" w:color="auto"/>
            </w:tcBorders>
            <w:noWrap/>
            <w:vAlign w:val="center"/>
          </w:tcPr>
          <w:p w14:paraId="70448D39"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c>
          <w:tcPr>
            <w:tcW w:w="669" w:type="dxa"/>
            <w:tcBorders>
              <w:top w:val="single" w:sz="4" w:space="0" w:color="auto"/>
            </w:tcBorders>
            <w:noWrap/>
            <w:vAlign w:val="center"/>
          </w:tcPr>
          <w:p w14:paraId="10EAB407" w14:textId="77777777" w:rsidR="008807DE" w:rsidRPr="00B71F92" w:rsidRDefault="008807DE" w:rsidP="008C0804">
            <w:pPr>
              <w:tabs>
                <w:tab w:val="decimal" w:pos="210"/>
              </w:tabs>
              <w:spacing w:after="0" w:line="240" w:lineRule="auto"/>
              <w:jc w:val="center"/>
              <w:rPr>
                <w:rFonts w:eastAsia="Times New Roman"/>
                <w:color w:val="000000"/>
                <w:sz w:val="20"/>
                <w:szCs w:val="20"/>
              </w:rPr>
            </w:pPr>
          </w:p>
        </w:tc>
      </w:tr>
      <w:tr w:rsidR="008807DE" w:rsidRPr="00B71F92" w14:paraId="762CE674" w14:textId="77777777" w:rsidTr="008C0804">
        <w:trPr>
          <w:trHeight w:val="144"/>
        </w:trPr>
        <w:tc>
          <w:tcPr>
            <w:tcW w:w="4305" w:type="dxa"/>
            <w:tcBorders>
              <w:right w:val="single" w:sz="12" w:space="0" w:color="auto"/>
            </w:tcBorders>
            <w:noWrap/>
            <w:vAlign w:val="center"/>
          </w:tcPr>
          <w:p w14:paraId="565592DD"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Presence of employed adult</w:t>
            </w:r>
          </w:p>
        </w:tc>
        <w:tc>
          <w:tcPr>
            <w:tcW w:w="945" w:type="dxa"/>
            <w:tcBorders>
              <w:left w:val="single" w:sz="12" w:space="0" w:color="auto"/>
            </w:tcBorders>
            <w:noWrap/>
            <w:vAlign w:val="center"/>
          </w:tcPr>
          <w:p w14:paraId="2BF0160F"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80.4</w:t>
            </w:r>
          </w:p>
        </w:tc>
        <w:tc>
          <w:tcPr>
            <w:tcW w:w="585" w:type="dxa"/>
            <w:tcBorders>
              <w:right w:val="single" w:sz="12" w:space="0" w:color="auto"/>
            </w:tcBorders>
            <w:noWrap/>
            <w:vAlign w:val="center"/>
          </w:tcPr>
          <w:p w14:paraId="348AF4E6"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51E1DEEA"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74.0</w:t>
            </w:r>
          </w:p>
        </w:tc>
        <w:tc>
          <w:tcPr>
            <w:tcW w:w="606" w:type="dxa"/>
            <w:tcBorders>
              <w:right w:val="single" w:sz="12" w:space="0" w:color="auto"/>
            </w:tcBorders>
            <w:noWrap/>
            <w:vAlign w:val="center"/>
          </w:tcPr>
          <w:p w14:paraId="61319C2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4740B2FA"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73.4</w:t>
            </w:r>
          </w:p>
        </w:tc>
        <w:tc>
          <w:tcPr>
            <w:tcW w:w="669" w:type="dxa"/>
            <w:noWrap/>
            <w:vAlign w:val="center"/>
          </w:tcPr>
          <w:p w14:paraId="181EF1BF"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73E20772" w14:textId="77777777" w:rsidTr="008C0804">
        <w:trPr>
          <w:trHeight w:val="144"/>
        </w:trPr>
        <w:tc>
          <w:tcPr>
            <w:tcW w:w="4305" w:type="dxa"/>
            <w:tcBorders>
              <w:right w:val="single" w:sz="12" w:space="0" w:color="auto"/>
            </w:tcBorders>
            <w:noWrap/>
            <w:vAlign w:val="center"/>
          </w:tcPr>
          <w:p w14:paraId="3391E794"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Presence of adult with more than one job</w:t>
            </w:r>
          </w:p>
        </w:tc>
        <w:tc>
          <w:tcPr>
            <w:tcW w:w="945" w:type="dxa"/>
            <w:tcBorders>
              <w:left w:val="single" w:sz="12" w:space="0" w:color="auto"/>
            </w:tcBorders>
            <w:noWrap/>
            <w:vAlign w:val="center"/>
          </w:tcPr>
          <w:p w14:paraId="7F6DE0E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9.6</w:t>
            </w:r>
          </w:p>
        </w:tc>
        <w:tc>
          <w:tcPr>
            <w:tcW w:w="585" w:type="dxa"/>
            <w:tcBorders>
              <w:right w:val="single" w:sz="12" w:space="0" w:color="auto"/>
            </w:tcBorders>
            <w:noWrap/>
            <w:vAlign w:val="center"/>
          </w:tcPr>
          <w:p w14:paraId="355A948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6EFFD986"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9.4</w:t>
            </w:r>
          </w:p>
        </w:tc>
        <w:tc>
          <w:tcPr>
            <w:tcW w:w="606" w:type="dxa"/>
            <w:tcBorders>
              <w:right w:val="single" w:sz="12" w:space="0" w:color="auto"/>
            </w:tcBorders>
            <w:noWrap/>
            <w:vAlign w:val="center"/>
          </w:tcPr>
          <w:p w14:paraId="6848E084"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4EDA051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9.5</w:t>
            </w:r>
          </w:p>
        </w:tc>
        <w:tc>
          <w:tcPr>
            <w:tcW w:w="669" w:type="dxa"/>
            <w:noWrap/>
            <w:vAlign w:val="center"/>
          </w:tcPr>
          <w:p w14:paraId="1D0214B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113BE68D" w14:textId="77777777" w:rsidTr="008C0804">
        <w:trPr>
          <w:trHeight w:val="144"/>
        </w:trPr>
        <w:tc>
          <w:tcPr>
            <w:tcW w:w="4305" w:type="dxa"/>
            <w:tcBorders>
              <w:right w:val="single" w:sz="12" w:space="0" w:color="auto"/>
            </w:tcBorders>
            <w:noWrap/>
            <w:vAlign w:val="center"/>
          </w:tcPr>
          <w:p w14:paraId="4144A57D" w14:textId="77777777" w:rsidR="008807DE" w:rsidRPr="00B71F92" w:rsidRDefault="008807DE" w:rsidP="008C0804">
            <w:pPr>
              <w:spacing w:after="0" w:line="240" w:lineRule="auto"/>
              <w:ind w:left="330" w:hanging="330"/>
              <w:rPr>
                <w:rFonts w:eastAsia="Times New Roman"/>
                <w:color w:val="000000"/>
                <w:sz w:val="20"/>
                <w:szCs w:val="20"/>
              </w:rPr>
            </w:pPr>
            <w:r w:rsidRPr="00B71F92">
              <w:rPr>
                <w:rFonts w:eastAsia="Times New Roman"/>
                <w:color w:val="000000"/>
                <w:sz w:val="20"/>
                <w:szCs w:val="20"/>
              </w:rPr>
              <w:t xml:space="preserve">    Households with at least one adult experiencing a job change in the past five years</w:t>
            </w:r>
          </w:p>
        </w:tc>
        <w:tc>
          <w:tcPr>
            <w:tcW w:w="945" w:type="dxa"/>
            <w:tcBorders>
              <w:left w:val="single" w:sz="12" w:space="0" w:color="auto"/>
            </w:tcBorders>
            <w:noWrap/>
            <w:vAlign w:val="center"/>
          </w:tcPr>
          <w:p w14:paraId="018D76A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42.3</w:t>
            </w:r>
          </w:p>
        </w:tc>
        <w:tc>
          <w:tcPr>
            <w:tcW w:w="585" w:type="dxa"/>
            <w:tcBorders>
              <w:right w:val="single" w:sz="12" w:space="0" w:color="auto"/>
            </w:tcBorders>
            <w:noWrap/>
            <w:vAlign w:val="center"/>
          </w:tcPr>
          <w:p w14:paraId="2B0E31D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990" w:type="dxa"/>
            <w:tcBorders>
              <w:left w:val="single" w:sz="12" w:space="0" w:color="auto"/>
            </w:tcBorders>
            <w:noWrap/>
            <w:vAlign w:val="center"/>
          </w:tcPr>
          <w:p w14:paraId="5A9A2BDE"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24.2</w:t>
            </w:r>
          </w:p>
        </w:tc>
        <w:tc>
          <w:tcPr>
            <w:tcW w:w="606" w:type="dxa"/>
            <w:tcBorders>
              <w:right w:val="single" w:sz="12" w:space="0" w:color="auto"/>
            </w:tcBorders>
            <w:noWrap/>
            <w:vAlign w:val="center"/>
          </w:tcPr>
          <w:p w14:paraId="6791BC2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c>
          <w:tcPr>
            <w:tcW w:w="816" w:type="dxa"/>
            <w:tcBorders>
              <w:left w:val="single" w:sz="12" w:space="0" w:color="auto"/>
            </w:tcBorders>
            <w:noWrap/>
            <w:vAlign w:val="center"/>
          </w:tcPr>
          <w:p w14:paraId="5CECE84E"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39.1</w:t>
            </w:r>
          </w:p>
        </w:tc>
        <w:tc>
          <w:tcPr>
            <w:tcW w:w="669" w:type="dxa"/>
            <w:noWrap/>
            <w:vAlign w:val="center"/>
          </w:tcPr>
          <w:p w14:paraId="0798F000"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w:t>
            </w:r>
          </w:p>
        </w:tc>
      </w:tr>
      <w:tr w:rsidR="008807DE" w:rsidRPr="00B71F92" w14:paraId="7D37DB9F" w14:textId="77777777" w:rsidTr="008C0804">
        <w:trPr>
          <w:trHeight w:val="144"/>
        </w:trPr>
        <w:tc>
          <w:tcPr>
            <w:tcW w:w="4305" w:type="dxa"/>
            <w:tcBorders>
              <w:right w:val="single" w:sz="12" w:space="0" w:color="auto"/>
            </w:tcBorders>
            <w:noWrap/>
            <w:vAlign w:val="center"/>
          </w:tcPr>
          <w:p w14:paraId="42086BB1"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Household Income</w:t>
            </w:r>
          </w:p>
        </w:tc>
        <w:tc>
          <w:tcPr>
            <w:tcW w:w="945" w:type="dxa"/>
            <w:tcBorders>
              <w:left w:val="single" w:sz="12" w:space="0" w:color="auto"/>
            </w:tcBorders>
            <w:noWrap/>
            <w:vAlign w:val="center"/>
          </w:tcPr>
          <w:p w14:paraId="58182F2E"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585" w:type="dxa"/>
            <w:tcBorders>
              <w:right w:val="single" w:sz="12" w:space="0" w:color="auto"/>
            </w:tcBorders>
            <w:noWrap/>
            <w:vAlign w:val="center"/>
          </w:tcPr>
          <w:p w14:paraId="32D6D54C"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990" w:type="dxa"/>
            <w:tcBorders>
              <w:left w:val="single" w:sz="12" w:space="0" w:color="auto"/>
            </w:tcBorders>
            <w:noWrap/>
            <w:vAlign w:val="center"/>
          </w:tcPr>
          <w:p w14:paraId="76C1996D"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606" w:type="dxa"/>
            <w:tcBorders>
              <w:right w:val="single" w:sz="12" w:space="0" w:color="auto"/>
            </w:tcBorders>
            <w:noWrap/>
            <w:vAlign w:val="center"/>
          </w:tcPr>
          <w:p w14:paraId="7C27DC1C"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816" w:type="dxa"/>
            <w:tcBorders>
              <w:left w:val="single" w:sz="12" w:space="0" w:color="auto"/>
            </w:tcBorders>
            <w:noWrap/>
            <w:vAlign w:val="center"/>
          </w:tcPr>
          <w:p w14:paraId="20342592"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669" w:type="dxa"/>
            <w:noWrap/>
            <w:vAlign w:val="center"/>
          </w:tcPr>
          <w:p w14:paraId="0B920E36"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r>
      <w:tr w:rsidR="008807DE" w:rsidRPr="00B71F92" w14:paraId="060ACD6F" w14:textId="77777777" w:rsidTr="008C0804">
        <w:trPr>
          <w:trHeight w:val="144"/>
        </w:trPr>
        <w:tc>
          <w:tcPr>
            <w:tcW w:w="4305" w:type="dxa"/>
            <w:tcBorders>
              <w:right w:val="single" w:sz="12" w:space="0" w:color="auto"/>
            </w:tcBorders>
            <w:noWrap/>
            <w:vAlign w:val="center"/>
          </w:tcPr>
          <w:p w14:paraId="62F150D4"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color w:val="000000"/>
                <w:sz w:val="20"/>
                <w:szCs w:val="20"/>
              </w:rPr>
              <w:t xml:space="preserve">    Less than $50,000</w:t>
            </w:r>
          </w:p>
        </w:tc>
        <w:tc>
          <w:tcPr>
            <w:tcW w:w="945" w:type="dxa"/>
            <w:tcBorders>
              <w:left w:val="single" w:sz="12" w:space="0" w:color="auto"/>
            </w:tcBorders>
            <w:noWrap/>
            <w:vAlign w:val="center"/>
          </w:tcPr>
          <w:p w14:paraId="5EB6CEC6"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29.9</w:t>
            </w:r>
          </w:p>
        </w:tc>
        <w:tc>
          <w:tcPr>
            <w:tcW w:w="585" w:type="dxa"/>
            <w:tcBorders>
              <w:right w:val="single" w:sz="12" w:space="0" w:color="auto"/>
            </w:tcBorders>
            <w:noWrap/>
            <w:vAlign w:val="center"/>
          </w:tcPr>
          <w:p w14:paraId="26276224"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25.3</w:t>
            </w:r>
          </w:p>
        </w:tc>
        <w:tc>
          <w:tcPr>
            <w:tcW w:w="990" w:type="dxa"/>
            <w:tcBorders>
              <w:left w:val="single" w:sz="12" w:space="0" w:color="auto"/>
            </w:tcBorders>
            <w:noWrap/>
            <w:vAlign w:val="center"/>
          </w:tcPr>
          <w:p w14:paraId="4FECBB3F"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36.2</w:t>
            </w:r>
          </w:p>
        </w:tc>
        <w:tc>
          <w:tcPr>
            <w:tcW w:w="606" w:type="dxa"/>
            <w:tcBorders>
              <w:right w:val="single" w:sz="12" w:space="0" w:color="auto"/>
            </w:tcBorders>
            <w:noWrap/>
            <w:vAlign w:val="center"/>
          </w:tcPr>
          <w:p w14:paraId="47D83441"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23.9</w:t>
            </w:r>
          </w:p>
        </w:tc>
        <w:tc>
          <w:tcPr>
            <w:tcW w:w="816" w:type="dxa"/>
            <w:tcBorders>
              <w:left w:val="single" w:sz="12" w:space="0" w:color="auto"/>
            </w:tcBorders>
            <w:noWrap/>
            <w:vAlign w:val="center"/>
          </w:tcPr>
          <w:p w14:paraId="4C598FAF"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30.6</w:t>
            </w:r>
          </w:p>
        </w:tc>
        <w:tc>
          <w:tcPr>
            <w:tcW w:w="669" w:type="dxa"/>
            <w:noWrap/>
            <w:vAlign w:val="center"/>
          </w:tcPr>
          <w:p w14:paraId="22E9FFE6"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21.3</w:t>
            </w:r>
          </w:p>
        </w:tc>
      </w:tr>
      <w:tr w:rsidR="008807DE" w:rsidRPr="00B71F92" w14:paraId="31DA3947" w14:textId="77777777" w:rsidTr="008C0804">
        <w:trPr>
          <w:trHeight w:val="144"/>
        </w:trPr>
        <w:tc>
          <w:tcPr>
            <w:tcW w:w="4305" w:type="dxa"/>
            <w:tcBorders>
              <w:right w:val="single" w:sz="12" w:space="0" w:color="auto"/>
            </w:tcBorders>
            <w:noWrap/>
            <w:vAlign w:val="center"/>
          </w:tcPr>
          <w:p w14:paraId="6777DB9C"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color w:val="000000"/>
                <w:sz w:val="20"/>
                <w:szCs w:val="20"/>
              </w:rPr>
              <w:t xml:space="preserve">    $50,000-$99,999</w:t>
            </w:r>
          </w:p>
        </w:tc>
        <w:tc>
          <w:tcPr>
            <w:tcW w:w="945" w:type="dxa"/>
            <w:tcBorders>
              <w:left w:val="single" w:sz="12" w:space="0" w:color="auto"/>
            </w:tcBorders>
            <w:noWrap/>
            <w:vAlign w:val="center"/>
          </w:tcPr>
          <w:p w14:paraId="7C30EA07"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29.0</w:t>
            </w:r>
          </w:p>
        </w:tc>
        <w:tc>
          <w:tcPr>
            <w:tcW w:w="585" w:type="dxa"/>
            <w:tcBorders>
              <w:right w:val="single" w:sz="12" w:space="0" w:color="auto"/>
            </w:tcBorders>
            <w:noWrap/>
            <w:vAlign w:val="center"/>
          </w:tcPr>
          <w:p w14:paraId="7B8F0022"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28.0</w:t>
            </w:r>
          </w:p>
        </w:tc>
        <w:tc>
          <w:tcPr>
            <w:tcW w:w="990" w:type="dxa"/>
            <w:tcBorders>
              <w:left w:val="single" w:sz="12" w:space="0" w:color="auto"/>
            </w:tcBorders>
            <w:noWrap/>
            <w:vAlign w:val="center"/>
          </w:tcPr>
          <w:p w14:paraId="38050047"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28.2</w:t>
            </w:r>
          </w:p>
        </w:tc>
        <w:tc>
          <w:tcPr>
            <w:tcW w:w="606" w:type="dxa"/>
            <w:tcBorders>
              <w:right w:val="single" w:sz="12" w:space="0" w:color="auto"/>
            </w:tcBorders>
            <w:noWrap/>
            <w:vAlign w:val="center"/>
          </w:tcPr>
          <w:p w14:paraId="32E87B3C"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25.7</w:t>
            </w:r>
          </w:p>
        </w:tc>
        <w:tc>
          <w:tcPr>
            <w:tcW w:w="816" w:type="dxa"/>
            <w:tcBorders>
              <w:left w:val="single" w:sz="12" w:space="0" w:color="auto"/>
            </w:tcBorders>
            <w:noWrap/>
            <w:vAlign w:val="center"/>
          </w:tcPr>
          <w:p w14:paraId="1BCC85AA"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24.4</w:t>
            </w:r>
          </w:p>
        </w:tc>
        <w:tc>
          <w:tcPr>
            <w:tcW w:w="669" w:type="dxa"/>
            <w:noWrap/>
            <w:vAlign w:val="center"/>
          </w:tcPr>
          <w:p w14:paraId="10308E92"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24.0</w:t>
            </w:r>
          </w:p>
        </w:tc>
      </w:tr>
      <w:tr w:rsidR="008807DE" w:rsidRPr="00B71F92" w14:paraId="5F7FB79C" w14:textId="77777777" w:rsidTr="008C0804">
        <w:trPr>
          <w:trHeight w:val="144"/>
        </w:trPr>
        <w:tc>
          <w:tcPr>
            <w:tcW w:w="4305" w:type="dxa"/>
            <w:tcBorders>
              <w:right w:val="single" w:sz="12" w:space="0" w:color="auto"/>
            </w:tcBorders>
            <w:noWrap/>
            <w:vAlign w:val="center"/>
          </w:tcPr>
          <w:p w14:paraId="1BD42226"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color w:val="000000"/>
                <w:sz w:val="20"/>
                <w:szCs w:val="20"/>
              </w:rPr>
              <w:t xml:space="preserve">    $100,000-$199,999</w:t>
            </w:r>
          </w:p>
        </w:tc>
        <w:tc>
          <w:tcPr>
            <w:tcW w:w="945" w:type="dxa"/>
            <w:tcBorders>
              <w:left w:val="single" w:sz="12" w:space="0" w:color="auto"/>
            </w:tcBorders>
            <w:noWrap/>
            <w:vAlign w:val="center"/>
          </w:tcPr>
          <w:p w14:paraId="342EDEFA"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29.3</w:t>
            </w:r>
          </w:p>
        </w:tc>
        <w:tc>
          <w:tcPr>
            <w:tcW w:w="585" w:type="dxa"/>
            <w:tcBorders>
              <w:right w:val="single" w:sz="12" w:space="0" w:color="auto"/>
            </w:tcBorders>
            <w:noWrap/>
            <w:vAlign w:val="center"/>
          </w:tcPr>
          <w:p w14:paraId="052CE821"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30.9</w:t>
            </w:r>
          </w:p>
        </w:tc>
        <w:tc>
          <w:tcPr>
            <w:tcW w:w="990" w:type="dxa"/>
            <w:tcBorders>
              <w:left w:val="single" w:sz="12" w:space="0" w:color="auto"/>
            </w:tcBorders>
            <w:noWrap/>
            <w:vAlign w:val="center"/>
          </w:tcPr>
          <w:p w14:paraId="26D1DC28"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25.4</w:t>
            </w:r>
          </w:p>
        </w:tc>
        <w:tc>
          <w:tcPr>
            <w:tcW w:w="606" w:type="dxa"/>
            <w:tcBorders>
              <w:right w:val="single" w:sz="12" w:space="0" w:color="auto"/>
            </w:tcBorders>
            <w:noWrap/>
            <w:vAlign w:val="center"/>
          </w:tcPr>
          <w:p w14:paraId="5BF7BDC6"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31.3</w:t>
            </w:r>
          </w:p>
        </w:tc>
        <w:tc>
          <w:tcPr>
            <w:tcW w:w="816" w:type="dxa"/>
            <w:tcBorders>
              <w:left w:val="single" w:sz="12" w:space="0" w:color="auto"/>
            </w:tcBorders>
            <w:noWrap/>
            <w:vAlign w:val="center"/>
          </w:tcPr>
          <w:p w14:paraId="4A384D90"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28.7</w:t>
            </w:r>
          </w:p>
        </w:tc>
        <w:tc>
          <w:tcPr>
            <w:tcW w:w="669" w:type="dxa"/>
            <w:noWrap/>
            <w:vAlign w:val="center"/>
          </w:tcPr>
          <w:p w14:paraId="6D047815"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31.5</w:t>
            </w:r>
          </w:p>
        </w:tc>
      </w:tr>
      <w:tr w:rsidR="008807DE" w:rsidRPr="00B71F92" w14:paraId="17C1C80E" w14:textId="77777777" w:rsidTr="008C0804">
        <w:trPr>
          <w:trHeight w:val="144"/>
        </w:trPr>
        <w:tc>
          <w:tcPr>
            <w:tcW w:w="4305" w:type="dxa"/>
            <w:tcBorders>
              <w:right w:val="single" w:sz="12" w:space="0" w:color="auto"/>
            </w:tcBorders>
            <w:noWrap/>
            <w:vAlign w:val="center"/>
          </w:tcPr>
          <w:p w14:paraId="41B3D0C9"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color w:val="000000"/>
                <w:sz w:val="20"/>
                <w:szCs w:val="20"/>
              </w:rPr>
              <w:t xml:space="preserve">    $200 or more</w:t>
            </w:r>
          </w:p>
        </w:tc>
        <w:tc>
          <w:tcPr>
            <w:tcW w:w="945" w:type="dxa"/>
            <w:tcBorders>
              <w:left w:val="single" w:sz="12" w:space="0" w:color="auto"/>
            </w:tcBorders>
            <w:noWrap/>
            <w:vAlign w:val="center"/>
          </w:tcPr>
          <w:p w14:paraId="2A5D8530"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11.8</w:t>
            </w:r>
          </w:p>
        </w:tc>
        <w:tc>
          <w:tcPr>
            <w:tcW w:w="585" w:type="dxa"/>
            <w:tcBorders>
              <w:right w:val="single" w:sz="12" w:space="0" w:color="auto"/>
            </w:tcBorders>
            <w:noWrap/>
            <w:vAlign w:val="center"/>
          </w:tcPr>
          <w:p w14:paraId="60CB57EE"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15.8</w:t>
            </w:r>
          </w:p>
        </w:tc>
        <w:tc>
          <w:tcPr>
            <w:tcW w:w="990" w:type="dxa"/>
            <w:tcBorders>
              <w:left w:val="single" w:sz="12" w:space="0" w:color="auto"/>
            </w:tcBorders>
            <w:noWrap/>
            <w:vAlign w:val="center"/>
          </w:tcPr>
          <w:p w14:paraId="73F928F6"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10.2</w:t>
            </w:r>
          </w:p>
        </w:tc>
        <w:tc>
          <w:tcPr>
            <w:tcW w:w="606" w:type="dxa"/>
            <w:tcBorders>
              <w:right w:val="single" w:sz="12" w:space="0" w:color="auto"/>
            </w:tcBorders>
            <w:noWrap/>
            <w:vAlign w:val="center"/>
          </w:tcPr>
          <w:p w14:paraId="38A56DF6"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19.1</w:t>
            </w:r>
          </w:p>
        </w:tc>
        <w:tc>
          <w:tcPr>
            <w:tcW w:w="816" w:type="dxa"/>
            <w:tcBorders>
              <w:left w:val="single" w:sz="12" w:space="0" w:color="auto"/>
            </w:tcBorders>
            <w:noWrap/>
            <w:vAlign w:val="center"/>
          </w:tcPr>
          <w:p w14:paraId="3D78554D"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16.3</w:t>
            </w:r>
          </w:p>
        </w:tc>
        <w:tc>
          <w:tcPr>
            <w:tcW w:w="669" w:type="dxa"/>
            <w:noWrap/>
            <w:vAlign w:val="center"/>
          </w:tcPr>
          <w:p w14:paraId="4C6D4A22"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r w:rsidRPr="00B71F92">
              <w:rPr>
                <w:rFonts w:eastAsia="Times New Roman"/>
                <w:color w:val="000000"/>
                <w:sz w:val="20"/>
                <w:szCs w:val="20"/>
              </w:rPr>
              <w:t>23.2</w:t>
            </w:r>
          </w:p>
        </w:tc>
      </w:tr>
      <w:tr w:rsidR="008807DE" w:rsidRPr="00B71F92" w14:paraId="0B068920" w14:textId="77777777" w:rsidTr="008C0804">
        <w:trPr>
          <w:trHeight w:val="144"/>
        </w:trPr>
        <w:tc>
          <w:tcPr>
            <w:tcW w:w="4305" w:type="dxa"/>
            <w:tcBorders>
              <w:right w:val="single" w:sz="12" w:space="0" w:color="auto"/>
            </w:tcBorders>
            <w:noWrap/>
            <w:vAlign w:val="center"/>
            <w:hideMark/>
          </w:tcPr>
          <w:p w14:paraId="0024826D"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Educational Attainment</w:t>
            </w:r>
          </w:p>
        </w:tc>
        <w:tc>
          <w:tcPr>
            <w:tcW w:w="945" w:type="dxa"/>
            <w:tcBorders>
              <w:left w:val="single" w:sz="12" w:space="0" w:color="auto"/>
            </w:tcBorders>
            <w:noWrap/>
            <w:vAlign w:val="center"/>
            <w:hideMark/>
          </w:tcPr>
          <w:p w14:paraId="13AC5210"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585" w:type="dxa"/>
            <w:tcBorders>
              <w:right w:val="single" w:sz="12" w:space="0" w:color="auto"/>
            </w:tcBorders>
            <w:noWrap/>
            <w:vAlign w:val="center"/>
            <w:hideMark/>
          </w:tcPr>
          <w:p w14:paraId="54D4E7B6"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990" w:type="dxa"/>
            <w:tcBorders>
              <w:left w:val="single" w:sz="12" w:space="0" w:color="auto"/>
            </w:tcBorders>
            <w:noWrap/>
            <w:vAlign w:val="center"/>
            <w:hideMark/>
          </w:tcPr>
          <w:p w14:paraId="06CA064C"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06" w:type="dxa"/>
            <w:tcBorders>
              <w:right w:val="single" w:sz="12" w:space="0" w:color="auto"/>
            </w:tcBorders>
            <w:noWrap/>
            <w:vAlign w:val="center"/>
            <w:hideMark/>
          </w:tcPr>
          <w:p w14:paraId="0F603AC0"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816" w:type="dxa"/>
            <w:tcBorders>
              <w:left w:val="single" w:sz="12" w:space="0" w:color="auto"/>
            </w:tcBorders>
            <w:noWrap/>
            <w:vAlign w:val="center"/>
            <w:hideMark/>
          </w:tcPr>
          <w:p w14:paraId="79BA8082"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69" w:type="dxa"/>
            <w:noWrap/>
            <w:vAlign w:val="center"/>
            <w:hideMark/>
          </w:tcPr>
          <w:p w14:paraId="02E0F43D" w14:textId="77777777" w:rsidR="008807DE" w:rsidRPr="00B71F92" w:rsidRDefault="008807DE" w:rsidP="008C0804">
            <w:pPr>
              <w:tabs>
                <w:tab w:val="decimal" w:pos="210"/>
              </w:tabs>
              <w:spacing w:after="0" w:line="240" w:lineRule="auto"/>
              <w:jc w:val="center"/>
              <w:rPr>
                <w:rFonts w:eastAsia="Times New Roman"/>
                <w:sz w:val="20"/>
                <w:szCs w:val="20"/>
              </w:rPr>
            </w:pPr>
          </w:p>
        </w:tc>
      </w:tr>
      <w:tr w:rsidR="008807DE" w:rsidRPr="00B71F92" w14:paraId="1FA8D5A0" w14:textId="77777777" w:rsidTr="008C0804">
        <w:trPr>
          <w:trHeight w:val="144"/>
        </w:trPr>
        <w:tc>
          <w:tcPr>
            <w:tcW w:w="4305" w:type="dxa"/>
            <w:tcBorders>
              <w:right w:val="single" w:sz="12" w:space="0" w:color="auto"/>
            </w:tcBorders>
            <w:noWrap/>
            <w:vAlign w:val="center"/>
            <w:hideMark/>
          </w:tcPr>
          <w:p w14:paraId="14C7569D"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Less than bachelor's degree</w:t>
            </w:r>
          </w:p>
        </w:tc>
        <w:tc>
          <w:tcPr>
            <w:tcW w:w="945" w:type="dxa"/>
            <w:tcBorders>
              <w:left w:val="single" w:sz="12" w:space="0" w:color="auto"/>
            </w:tcBorders>
            <w:noWrap/>
            <w:vAlign w:val="center"/>
            <w:hideMark/>
          </w:tcPr>
          <w:p w14:paraId="3E52822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20.8</w:t>
            </w:r>
          </w:p>
        </w:tc>
        <w:tc>
          <w:tcPr>
            <w:tcW w:w="585" w:type="dxa"/>
            <w:tcBorders>
              <w:right w:val="single" w:sz="12" w:space="0" w:color="auto"/>
            </w:tcBorders>
            <w:noWrap/>
            <w:vAlign w:val="center"/>
            <w:hideMark/>
          </w:tcPr>
          <w:p w14:paraId="7E587E9A"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47.3</w:t>
            </w:r>
          </w:p>
        </w:tc>
        <w:tc>
          <w:tcPr>
            <w:tcW w:w="990" w:type="dxa"/>
            <w:tcBorders>
              <w:left w:val="single" w:sz="12" w:space="0" w:color="auto"/>
            </w:tcBorders>
            <w:noWrap/>
            <w:vAlign w:val="center"/>
            <w:hideMark/>
          </w:tcPr>
          <w:p w14:paraId="23FDCD56"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35.7</w:t>
            </w:r>
          </w:p>
        </w:tc>
        <w:tc>
          <w:tcPr>
            <w:tcW w:w="606" w:type="dxa"/>
            <w:tcBorders>
              <w:right w:val="single" w:sz="12" w:space="0" w:color="auto"/>
            </w:tcBorders>
            <w:noWrap/>
            <w:vAlign w:val="center"/>
            <w:hideMark/>
          </w:tcPr>
          <w:p w14:paraId="5ABB2B9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44.6</w:t>
            </w:r>
          </w:p>
        </w:tc>
        <w:tc>
          <w:tcPr>
            <w:tcW w:w="816" w:type="dxa"/>
            <w:tcBorders>
              <w:left w:val="single" w:sz="12" w:space="0" w:color="auto"/>
            </w:tcBorders>
            <w:noWrap/>
            <w:vAlign w:val="center"/>
            <w:hideMark/>
          </w:tcPr>
          <w:p w14:paraId="59842768"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23.0</w:t>
            </w:r>
          </w:p>
        </w:tc>
        <w:tc>
          <w:tcPr>
            <w:tcW w:w="669" w:type="dxa"/>
            <w:noWrap/>
            <w:vAlign w:val="center"/>
            <w:hideMark/>
          </w:tcPr>
          <w:p w14:paraId="3DE89BA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43.1</w:t>
            </w:r>
          </w:p>
        </w:tc>
      </w:tr>
      <w:tr w:rsidR="008807DE" w:rsidRPr="00B71F92" w14:paraId="6BE3B4BA" w14:textId="77777777" w:rsidTr="008C0804">
        <w:trPr>
          <w:trHeight w:val="144"/>
        </w:trPr>
        <w:tc>
          <w:tcPr>
            <w:tcW w:w="4305" w:type="dxa"/>
            <w:tcBorders>
              <w:bottom w:val="nil"/>
              <w:right w:val="single" w:sz="12" w:space="0" w:color="auto"/>
            </w:tcBorders>
            <w:noWrap/>
            <w:vAlign w:val="center"/>
            <w:hideMark/>
          </w:tcPr>
          <w:p w14:paraId="2B18212F"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Bachelor's degree</w:t>
            </w:r>
          </w:p>
        </w:tc>
        <w:tc>
          <w:tcPr>
            <w:tcW w:w="945" w:type="dxa"/>
            <w:tcBorders>
              <w:left w:val="single" w:sz="12" w:space="0" w:color="auto"/>
              <w:bottom w:val="nil"/>
            </w:tcBorders>
            <w:noWrap/>
            <w:vAlign w:val="center"/>
            <w:hideMark/>
          </w:tcPr>
          <w:p w14:paraId="57BDDB8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39.2</w:t>
            </w:r>
          </w:p>
        </w:tc>
        <w:tc>
          <w:tcPr>
            <w:tcW w:w="585" w:type="dxa"/>
            <w:tcBorders>
              <w:bottom w:val="nil"/>
              <w:right w:val="single" w:sz="12" w:space="0" w:color="auto"/>
            </w:tcBorders>
            <w:noWrap/>
            <w:vAlign w:val="center"/>
            <w:hideMark/>
          </w:tcPr>
          <w:p w14:paraId="299C4AA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35.8</w:t>
            </w:r>
          </w:p>
        </w:tc>
        <w:tc>
          <w:tcPr>
            <w:tcW w:w="990" w:type="dxa"/>
            <w:tcBorders>
              <w:left w:val="single" w:sz="12" w:space="0" w:color="auto"/>
              <w:bottom w:val="nil"/>
            </w:tcBorders>
            <w:noWrap/>
            <w:vAlign w:val="center"/>
            <w:hideMark/>
          </w:tcPr>
          <w:p w14:paraId="6BE986E4"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33.9</w:t>
            </w:r>
          </w:p>
        </w:tc>
        <w:tc>
          <w:tcPr>
            <w:tcW w:w="606" w:type="dxa"/>
            <w:tcBorders>
              <w:bottom w:val="nil"/>
              <w:right w:val="single" w:sz="12" w:space="0" w:color="auto"/>
            </w:tcBorders>
            <w:noWrap/>
            <w:vAlign w:val="center"/>
            <w:hideMark/>
          </w:tcPr>
          <w:p w14:paraId="78E8D3EF"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37.1</w:t>
            </w:r>
          </w:p>
        </w:tc>
        <w:tc>
          <w:tcPr>
            <w:tcW w:w="816" w:type="dxa"/>
            <w:tcBorders>
              <w:left w:val="single" w:sz="12" w:space="0" w:color="auto"/>
              <w:bottom w:val="nil"/>
            </w:tcBorders>
            <w:noWrap/>
            <w:vAlign w:val="center"/>
            <w:hideMark/>
          </w:tcPr>
          <w:p w14:paraId="1717627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36.1</w:t>
            </w:r>
          </w:p>
        </w:tc>
        <w:tc>
          <w:tcPr>
            <w:tcW w:w="669" w:type="dxa"/>
            <w:tcBorders>
              <w:bottom w:val="nil"/>
            </w:tcBorders>
            <w:noWrap/>
            <w:vAlign w:val="center"/>
            <w:hideMark/>
          </w:tcPr>
          <w:p w14:paraId="77289B88"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37.3</w:t>
            </w:r>
          </w:p>
        </w:tc>
      </w:tr>
      <w:tr w:rsidR="008807DE" w:rsidRPr="00B71F92" w14:paraId="7CA5EF69" w14:textId="77777777" w:rsidTr="008C0804">
        <w:trPr>
          <w:trHeight w:val="144"/>
        </w:trPr>
        <w:tc>
          <w:tcPr>
            <w:tcW w:w="4305" w:type="dxa"/>
            <w:tcBorders>
              <w:top w:val="nil"/>
              <w:bottom w:val="single" w:sz="4" w:space="0" w:color="auto"/>
              <w:right w:val="single" w:sz="12" w:space="0" w:color="auto"/>
            </w:tcBorders>
            <w:noWrap/>
            <w:vAlign w:val="center"/>
            <w:hideMark/>
          </w:tcPr>
          <w:p w14:paraId="19993B62"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Graduate degree</w:t>
            </w:r>
          </w:p>
        </w:tc>
        <w:tc>
          <w:tcPr>
            <w:tcW w:w="945" w:type="dxa"/>
            <w:tcBorders>
              <w:top w:val="nil"/>
              <w:left w:val="single" w:sz="12" w:space="0" w:color="auto"/>
              <w:bottom w:val="single" w:sz="4" w:space="0" w:color="auto"/>
            </w:tcBorders>
            <w:noWrap/>
            <w:vAlign w:val="center"/>
            <w:hideMark/>
          </w:tcPr>
          <w:p w14:paraId="2687E32A"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40.0</w:t>
            </w:r>
          </w:p>
        </w:tc>
        <w:tc>
          <w:tcPr>
            <w:tcW w:w="585" w:type="dxa"/>
            <w:tcBorders>
              <w:top w:val="nil"/>
              <w:bottom w:val="single" w:sz="4" w:space="0" w:color="auto"/>
              <w:right w:val="single" w:sz="12" w:space="0" w:color="auto"/>
            </w:tcBorders>
            <w:noWrap/>
            <w:vAlign w:val="center"/>
            <w:hideMark/>
          </w:tcPr>
          <w:p w14:paraId="46227D7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16.9</w:t>
            </w:r>
          </w:p>
        </w:tc>
        <w:tc>
          <w:tcPr>
            <w:tcW w:w="990" w:type="dxa"/>
            <w:tcBorders>
              <w:top w:val="nil"/>
              <w:left w:val="single" w:sz="12" w:space="0" w:color="auto"/>
              <w:bottom w:val="single" w:sz="4" w:space="0" w:color="auto"/>
            </w:tcBorders>
            <w:noWrap/>
            <w:vAlign w:val="center"/>
            <w:hideMark/>
          </w:tcPr>
          <w:p w14:paraId="343391A6"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30.4</w:t>
            </w:r>
          </w:p>
        </w:tc>
        <w:tc>
          <w:tcPr>
            <w:tcW w:w="606" w:type="dxa"/>
            <w:tcBorders>
              <w:top w:val="nil"/>
              <w:bottom w:val="single" w:sz="4" w:space="0" w:color="auto"/>
              <w:right w:val="single" w:sz="12" w:space="0" w:color="auto"/>
            </w:tcBorders>
            <w:noWrap/>
            <w:vAlign w:val="center"/>
            <w:hideMark/>
          </w:tcPr>
          <w:p w14:paraId="3967643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18.3</w:t>
            </w:r>
          </w:p>
        </w:tc>
        <w:tc>
          <w:tcPr>
            <w:tcW w:w="816" w:type="dxa"/>
            <w:tcBorders>
              <w:top w:val="nil"/>
              <w:left w:val="single" w:sz="12" w:space="0" w:color="auto"/>
              <w:bottom w:val="single" w:sz="4" w:space="0" w:color="auto"/>
            </w:tcBorders>
            <w:noWrap/>
            <w:vAlign w:val="center"/>
            <w:hideMark/>
          </w:tcPr>
          <w:p w14:paraId="4E7CAD28"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40.9</w:t>
            </w:r>
          </w:p>
        </w:tc>
        <w:tc>
          <w:tcPr>
            <w:tcW w:w="669" w:type="dxa"/>
            <w:tcBorders>
              <w:top w:val="nil"/>
              <w:bottom w:val="single" w:sz="4" w:space="0" w:color="auto"/>
            </w:tcBorders>
            <w:noWrap/>
            <w:vAlign w:val="center"/>
            <w:hideMark/>
          </w:tcPr>
          <w:p w14:paraId="200BB83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19.6</w:t>
            </w:r>
          </w:p>
        </w:tc>
      </w:tr>
      <w:tr w:rsidR="008807DE" w:rsidRPr="00B71F92" w14:paraId="6A676CE8" w14:textId="77777777" w:rsidTr="008C0804">
        <w:trPr>
          <w:trHeight w:val="144"/>
        </w:trPr>
        <w:tc>
          <w:tcPr>
            <w:tcW w:w="8937" w:type="dxa"/>
            <w:gridSpan w:val="7"/>
            <w:tcBorders>
              <w:top w:val="single" w:sz="4" w:space="0" w:color="auto"/>
              <w:bottom w:val="single" w:sz="4" w:space="0" w:color="auto"/>
            </w:tcBorders>
            <w:noWrap/>
            <w:vAlign w:val="center"/>
          </w:tcPr>
          <w:p w14:paraId="04DE9785" w14:textId="77777777" w:rsidR="008807DE" w:rsidRPr="00B71F92" w:rsidRDefault="008807DE" w:rsidP="008C0804">
            <w:pPr>
              <w:tabs>
                <w:tab w:val="decimal" w:pos="210"/>
              </w:tabs>
              <w:spacing w:after="0" w:line="240" w:lineRule="auto"/>
              <w:rPr>
                <w:rFonts w:eastAsia="Times New Roman"/>
                <w:b/>
                <w:bCs/>
                <w:i/>
                <w:iCs/>
                <w:color w:val="000000"/>
                <w:sz w:val="20"/>
                <w:szCs w:val="20"/>
              </w:rPr>
            </w:pPr>
            <w:r w:rsidRPr="00B71F92">
              <w:rPr>
                <w:rFonts w:eastAsia="Times New Roman"/>
                <w:b/>
                <w:bCs/>
                <w:i/>
                <w:iCs/>
                <w:color w:val="000000"/>
                <w:sz w:val="20"/>
                <w:szCs w:val="20"/>
              </w:rPr>
              <w:t>Race and Ethnicity Variables</w:t>
            </w:r>
          </w:p>
        </w:tc>
      </w:tr>
      <w:tr w:rsidR="008807DE" w:rsidRPr="00B71F92" w14:paraId="75103AF3" w14:textId="77777777" w:rsidTr="008C0804">
        <w:trPr>
          <w:trHeight w:val="144"/>
        </w:trPr>
        <w:tc>
          <w:tcPr>
            <w:tcW w:w="4305" w:type="dxa"/>
            <w:tcBorders>
              <w:top w:val="single" w:sz="4" w:space="0" w:color="auto"/>
              <w:right w:val="single" w:sz="12" w:space="0" w:color="auto"/>
            </w:tcBorders>
            <w:noWrap/>
            <w:vAlign w:val="center"/>
            <w:hideMark/>
          </w:tcPr>
          <w:p w14:paraId="1CC9E4D6"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Race</w:t>
            </w:r>
          </w:p>
        </w:tc>
        <w:tc>
          <w:tcPr>
            <w:tcW w:w="945" w:type="dxa"/>
            <w:tcBorders>
              <w:top w:val="single" w:sz="4" w:space="0" w:color="auto"/>
              <w:left w:val="single" w:sz="12" w:space="0" w:color="auto"/>
            </w:tcBorders>
            <w:noWrap/>
            <w:vAlign w:val="center"/>
            <w:hideMark/>
          </w:tcPr>
          <w:p w14:paraId="085CB672"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585" w:type="dxa"/>
            <w:tcBorders>
              <w:top w:val="single" w:sz="4" w:space="0" w:color="auto"/>
              <w:right w:val="single" w:sz="12" w:space="0" w:color="auto"/>
            </w:tcBorders>
            <w:noWrap/>
            <w:vAlign w:val="center"/>
            <w:hideMark/>
          </w:tcPr>
          <w:p w14:paraId="67CFD894"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990" w:type="dxa"/>
            <w:tcBorders>
              <w:top w:val="single" w:sz="4" w:space="0" w:color="auto"/>
              <w:left w:val="single" w:sz="12" w:space="0" w:color="auto"/>
            </w:tcBorders>
            <w:noWrap/>
            <w:vAlign w:val="center"/>
            <w:hideMark/>
          </w:tcPr>
          <w:p w14:paraId="2BB48334"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06" w:type="dxa"/>
            <w:tcBorders>
              <w:top w:val="single" w:sz="4" w:space="0" w:color="auto"/>
              <w:right w:val="single" w:sz="12" w:space="0" w:color="auto"/>
            </w:tcBorders>
            <w:noWrap/>
            <w:vAlign w:val="center"/>
            <w:hideMark/>
          </w:tcPr>
          <w:p w14:paraId="471A28C6"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816" w:type="dxa"/>
            <w:tcBorders>
              <w:top w:val="single" w:sz="4" w:space="0" w:color="auto"/>
              <w:left w:val="single" w:sz="12" w:space="0" w:color="auto"/>
            </w:tcBorders>
            <w:noWrap/>
            <w:vAlign w:val="center"/>
            <w:hideMark/>
          </w:tcPr>
          <w:p w14:paraId="519B0753"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69" w:type="dxa"/>
            <w:tcBorders>
              <w:top w:val="single" w:sz="4" w:space="0" w:color="auto"/>
            </w:tcBorders>
            <w:noWrap/>
            <w:vAlign w:val="center"/>
            <w:hideMark/>
          </w:tcPr>
          <w:p w14:paraId="4374DB5C" w14:textId="77777777" w:rsidR="008807DE" w:rsidRPr="00B71F92" w:rsidRDefault="008807DE" w:rsidP="008C0804">
            <w:pPr>
              <w:tabs>
                <w:tab w:val="decimal" w:pos="210"/>
              </w:tabs>
              <w:spacing w:after="0" w:line="240" w:lineRule="auto"/>
              <w:jc w:val="center"/>
              <w:rPr>
                <w:rFonts w:eastAsia="Times New Roman"/>
                <w:sz w:val="20"/>
                <w:szCs w:val="20"/>
              </w:rPr>
            </w:pPr>
          </w:p>
        </w:tc>
      </w:tr>
      <w:tr w:rsidR="008807DE" w:rsidRPr="00B71F92" w14:paraId="5B713828" w14:textId="77777777" w:rsidTr="008C0804">
        <w:trPr>
          <w:trHeight w:val="144"/>
        </w:trPr>
        <w:tc>
          <w:tcPr>
            <w:tcW w:w="4305" w:type="dxa"/>
            <w:tcBorders>
              <w:right w:val="single" w:sz="12" w:space="0" w:color="auto"/>
            </w:tcBorders>
            <w:noWrap/>
            <w:vAlign w:val="center"/>
            <w:hideMark/>
          </w:tcPr>
          <w:p w14:paraId="0AB27703"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White</w:t>
            </w:r>
          </w:p>
        </w:tc>
        <w:tc>
          <w:tcPr>
            <w:tcW w:w="945" w:type="dxa"/>
            <w:tcBorders>
              <w:left w:val="single" w:sz="12" w:space="0" w:color="auto"/>
            </w:tcBorders>
            <w:noWrap/>
            <w:vAlign w:val="center"/>
            <w:hideMark/>
          </w:tcPr>
          <w:p w14:paraId="7B8C75F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67.4</w:t>
            </w:r>
          </w:p>
        </w:tc>
        <w:tc>
          <w:tcPr>
            <w:tcW w:w="585" w:type="dxa"/>
            <w:tcBorders>
              <w:right w:val="single" w:sz="12" w:space="0" w:color="auto"/>
            </w:tcBorders>
            <w:noWrap/>
            <w:vAlign w:val="center"/>
            <w:hideMark/>
          </w:tcPr>
          <w:p w14:paraId="5695A62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67.5</w:t>
            </w:r>
          </w:p>
        </w:tc>
        <w:tc>
          <w:tcPr>
            <w:tcW w:w="990" w:type="dxa"/>
            <w:tcBorders>
              <w:left w:val="single" w:sz="12" w:space="0" w:color="auto"/>
            </w:tcBorders>
            <w:noWrap/>
            <w:vAlign w:val="center"/>
            <w:hideMark/>
          </w:tcPr>
          <w:p w14:paraId="4614B722"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57.8</w:t>
            </w:r>
          </w:p>
        </w:tc>
        <w:tc>
          <w:tcPr>
            <w:tcW w:w="606" w:type="dxa"/>
            <w:tcBorders>
              <w:right w:val="single" w:sz="12" w:space="0" w:color="auto"/>
            </w:tcBorders>
            <w:noWrap/>
            <w:vAlign w:val="center"/>
            <w:hideMark/>
          </w:tcPr>
          <w:p w14:paraId="23C26254"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66.0</w:t>
            </w:r>
          </w:p>
        </w:tc>
        <w:tc>
          <w:tcPr>
            <w:tcW w:w="816" w:type="dxa"/>
            <w:tcBorders>
              <w:left w:val="single" w:sz="12" w:space="0" w:color="auto"/>
            </w:tcBorders>
            <w:noWrap/>
            <w:vAlign w:val="center"/>
            <w:hideMark/>
          </w:tcPr>
          <w:p w14:paraId="7342F53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61.2</w:t>
            </w:r>
          </w:p>
        </w:tc>
        <w:tc>
          <w:tcPr>
            <w:tcW w:w="669" w:type="dxa"/>
            <w:noWrap/>
            <w:vAlign w:val="center"/>
            <w:hideMark/>
          </w:tcPr>
          <w:p w14:paraId="6AC67B3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60.8</w:t>
            </w:r>
          </w:p>
        </w:tc>
      </w:tr>
      <w:tr w:rsidR="008807DE" w:rsidRPr="00B71F92" w14:paraId="157E8C5B" w14:textId="77777777" w:rsidTr="008C0804">
        <w:trPr>
          <w:trHeight w:val="144"/>
        </w:trPr>
        <w:tc>
          <w:tcPr>
            <w:tcW w:w="4305" w:type="dxa"/>
            <w:tcBorders>
              <w:right w:val="single" w:sz="12" w:space="0" w:color="auto"/>
            </w:tcBorders>
            <w:noWrap/>
            <w:vAlign w:val="center"/>
            <w:hideMark/>
          </w:tcPr>
          <w:p w14:paraId="21842E46"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Black</w:t>
            </w:r>
          </w:p>
        </w:tc>
        <w:tc>
          <w:tcPr>
            <w:tcW w:w="945" w:type="dxa"/>
            <w:tcBorders>
              <w:left w:val="single" w:sz="12" w:space="0" w:color="auto"/>
            </w:tcBorders>
            <w:noWrap/>
            <w:vAlign w:val="center"/>
            <w:hideMark/>
          </w:tcPr>
          <w:p w14:paraId="66F001C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2.4</w:t>
            </w:r>
          </w:p>
        </w:tc>
        <w:tc>
          <w:tcPr>
            <w:tcW w:w="585" w:type="dxa"/>
            <w:tcBorders>
              <w:right w:val="single" w:sz="12" w:space="0" w:color="auto"/>
            </w:tcBorders>
            <w:noWrap/>
            <w:vAlign w:val="center"/>
            <w:hideMark/>
          </w:tcPr>
          <w:p w14:paraId="2082158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4.7</w:t>
            </w:r>
          </w:p>
        </w:tc>
        <w:tc>
          <w:tcPr>
            <w:tcW w:w="990" w:type="dxa"/>
            <w:tcBorders>
              <w:left w:val="single" w:sz="12" w:space="0" w:color="auto"/>
            </w:tcBorders>
            <w:noWrap/>
            <w:vAlign w:val="center"/>
            <w:hideMark/>
          </w:tcPr>
          <w:p w14:paraId="39809FC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4.1</w:t>
            </w:r>
          </w:p>
        </w:tc>
        <w:tc>
          <w:tcPr>
            <w:tcW w:w="606" w:type="dxa"/>
            <w:tcBorders>
              <w:right w:val="single" w:sz="12" w:space="0" w:color="auto"/>
            </w:tcBorders>
            <w:noWrap/>
            <w:vAlign w:val="center"/>
            <w:hideMark/>
          </w:tcPr>
          <w:p w14:paraId="167E76E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5.9</w:t>
            </w:r>
          </w:p>
        </w:tc>
        <w:tc>
          <w:tcPr>
            <w:tcW w:w="816" w:type="dxa"/>
            <w:tcBorders>
              <w:left w:val="single" w:sz="12" w:space="0" w:color="auto"/>
            </w:tcBorders>
            <w:noWrap/>
            <w:vAlign w:val="center"/>
            <w:hideMark/>
          </w:tcPr>
          <w:p w14:paraId="0CA52F94"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3.2</w:t>
            </w:r>
          </w:p>
        </w:tc>
        <w:tc>
          <w:tcPr>
            <w:tcW w:w="669" w:type="dxa"/>
            <w:noWrap/>
            <w:vAlign w:val="center"/>
            <w:hideMark/>
          </w:tcPr>
          <w:p w14:paraId="381EED3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5.9</w:t>
            </w:r>
          </w:p>
        </w:tc>
      </w:tr>
      <w:tr w:rsidR="008807DE" w:rsidRPr="00B71F92" w14:paraId="46B55256" w14:textId="77777777" w:rsidTr="008C0804">
        <w:trPr>
          <w:trHeight w:val="144"/>
        </w:trPr>
        <w:tc>
          <w:tcPr>
            <w:tcW w:w="4305" w:type="dxa"/>
            <w:tcBorders>
              <w:right w:val="single" w:sz="12" w:space="0" w:color="auto"/>
            </w:tcBorders>
            <w:noWrap/>
            <w:vAlign w:val="center"/>
            <w:hideMark/>
          </w:tcPr>
          <w:p w14:paraId="32DB35D5"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Asian</w:t>
            </w:r>
          </w:p>
        </w:tc>
        <w:tc>
          <w:tcPr>
            <w:tcW w:w="945" w:type="dxa"/>
            <w:tcBorders>
              <w:left w:val="single" w:sz="12" w:space="0" w:color="auto"/>
            </w:tcBorders>
            <w:noWrap/>
            <w:vAlign w:val="center"/>
            <w:hideMark/>
          </w:tcPr>
          <w:p w14:paraId="1EACFDC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9.4</w:t>
            </w:r>
          </w:p>
        </w:tc>
        <w:tc>
          <w:tcPr>
            <w:tcW w:w="585" w:type="dxa"/>
            <w:tcBorders>
              <w:right w:val="single" w:sz="12" w:space="0" w:color="auto"/>
            </w:tcBorders>
            <w:noWrap/>
            <w:vAlign w:val="center"/>
            <w:hideMark/>
          </w:tcPr>
          <w:p w14:paraId="6D8F92A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10.4</w:t>
            </w:r>
          </w:p>
        </w:tc>
        <w:tc>
          <w:tcPr>
            <w:tcW w:w="990" w:type="dxa"/>
            <w:tcBorders>
              <w:left w:val="single" w:sz="12" w:space="0" w:color="auto"/>
            </w:tcBorders>
            <w:noWrap/>
            <w:vAlign w:val="center"/>
            <w:hideMark/>
          </w:tcPr>
          <w:p w14:paraId="37F9093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10.8</w:t>
            </w:r>
          </w:p>
        </w:tc>
        <w:tc>
          <w:tcPr>
            <w:tcW w:w="606" w:type="dxa"/>
            <w:tcBorders>
              <w:right w:val="single" w:sz="12" w:space="0" w:color="auto"/>
            </w:tcBorders>
            <w:noWrap/>
            <w:vAlign w:val="center"/>
            <w:hideMark/>
          </w:tcPr>
          <w:p w14:paraId="67E2B3C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14.1</w:t>
            </w:r>
          </w:p>
        </w:tc>
        <w:tc>
          <w:tcPr>
            <w:tcW w:w="816" w:type="dxa"/>
            <w:tcBorders>
              <w:left w:val="single" w:sz="12" w:space="0" w:color="auto"/>
            </w:tcBorders>
            <w:noWrap/>
            <w:vAlign w:val="center"/>
            <w:hideMark/>
          </w:tcPr>
          <w:p w14:paraId="7F17D9B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13.0</w:t>
            </w:r>
          </w:p>
        </w:tc>
        <w:tc>
          <w:tcPr>
            <w:tcW w:w="669" w:type="dxa"/>
            <w:noWrap/>
            <w:vAlign w:val="center"/>
            <w:hideMark/>
          </w:tcPr>
          <w:p w14:paraId="51084E6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14.9</w:t>
            </w:r>
          </w:p>
        </w:tc>
      </w:tr>
      <w:tr w:rsidR="008807DE" w:rsidRPr="00B71F92" w14:paraId="1E8A4DF3" w14:textId="77777777" w:rsidTr="008C0804">
        <w:trPr>
          <w:trHeight w:val="144"/>
        </w:trPr>
        <w:tc>
          <w:tcPr>
            <w:tcW w:w="4305" w:type="dxa"/>
            <w:tcBorders>
              <w:right w:val="single" w:sz="12" w:space="0" w:color="auto"/>
            </w:tcBorders>
            <w:noWrap/>
            <w:vAlign w:val="center"/>
            <w:hideMark/>
          </w:tcPr>
          <w:p w14:paraId="35248390"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Other</w:t>
            </w:r>
          </w:p>
        </w:tc>
        <w:tc>
          <w:tcPr>
            <w:tcW w:w="945" w:type="dxa"/>
            <w:tcBorders>
              <w:left w:val="single" w:sz="12" w:space="0" w:color="auto"/>
            </w:tcBorders>
            <w:noWrap/>
            <w:vAlign w:val="center"/>
            <w:hideMark/>
          </w:tcPr>
          <w:p w14:paraId="54D7E861"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20.8</w:t>
            </w:r>
          </w:p>
        </w:tc>
        <w:tc>
          <w:tcPr>
            <w:tcW w:w="585" w:type="dxa"/>
            <w:tcBorders>
              <w:right w:val="single" w:sz="12" w:space="0" w:color="auto"/>
            </w:tcBorders>
            <w:noWrap/>
            <w:vAlign w:val="center"/>
            <w:hideMark/>
          </w:tcPr>
          <w:p w14:paraId="79FAAC7F"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17.4</w:t>
            </w:r>
          </w:p>
        </w:tc>
        <w:tc>
          <w:tcPr>
            <w:tcW w:w="990" w:type="dxa"/>
            <w:tcBorders>
              <w:left w:val="single" w:sz="12" w:space="0" w:color="auto"/>
            </w:tcBorders>
            <w:noWrap/>
            <w:vAlign w:val="center"/>
            <w:hideMark/>
          </w:tcPr>
          <w:p w14:paraId="20B88D7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27.3</w:t>
            </w:r>
          </w:p>
        </w:tc>
        <w:tc>
          <w:tcPr>
            <w:tcW w:w="606" w:type="dxa"/>
            <w:tcBorders>
              <w:right w:val="single" w:sz="12" w:space="0" w:color="auto"/>
            </w:tcBorders>
            <w:noWrap/>
            <w:vAlign w:val="center"/>
            <w:hideMark/>
          </w:tcPr>
          <w:p w14:paraId="63187F9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14.0</w:t>
            </w:r>
          </w:p>
        </w:tc>
        <w:tc>
          <w:tcPr>
            <w:tcW w:w="816" w:type="dxa"/>
            <w:tcBorders>
              <w:left w:val="single" w:sz="12" w:space="0" w:color="auto"/>
            </w:tcBorders>
            <w:noWrap/>
            <w:vAlign w:val="center"/>
            <w:hideMark/>
          </w:tcPr>
          <w:p w14:paraId="3DE306B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22.6</w:t>
            </w:r>
          </w:p>
        </w:tc>
        <w:tc>
          <w:tcPr>
            <w:tcW w:w="669" w:type="dxa"/>
            <w:noWrap/>
            <w:vAlign w:val="center"/>
            <w:hideMark/>
          </w:tcPr>
          <w:p w14:paraId="49856BED"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18.4</w:t>
            </w:r>
          </w:p>
        </w:tc>
      </w:tr>
      <w:tr w:rsidR="008807DE" w:rsidRPr="00B71F92" w14:paraId="20355B79" w14:textId="77777777" w:rsidTr="008C0804">
        <w:trPr>
          <w:trHeight w:val="144"/>
        </w:trPr>
        <w:tc>
          <w:tcPr>
            <w:tcW w:w="4305" w:type="dxa"/>
            <w:tcBorders>
              <w:right w:val="single" w:sz="12" w:space="0" w:color="auto"/>
            </w:tcBorders>
            <w:noWrap/>
            <w:vAlign w:val="center"/>
            <w:hideMark/>
          </w:tcPr>
          <w:p w14:paraId="3ADD1781" w14:textId="77777777" w:rsidR="008807DE" w:rsidRPr="00B71F92" w:rsidRDefault="008807DE" w:rsidP="008C0804">
            <w:pPr>
              <w:spacing w:after="0" w:line="240" w:lineRule="auto"/>
              <w:rPr>
                <w:rFonts w:eastAsia="Times New Roman"/>
                <w:b/>
                <w:bCs/>
                <w:color w:val="000000"/>
                <w:sz w:val="20"/>
                <w:szCs w:val="20"/>
              </w:rPr>
            </w:pPr>
            <w:r w:rsidRPr="00B71F92">
              <w:rPr>
                <w:rFonts w:eastAsia="Times New Roman"/>
                <w:b/>
                <w:bCs/>
                <w:color w:val="000000"/>
                <w:sz w:val="20"/>
                <w:szCs w:val="20"/>
              </w:rPr>
              <w:t>Ethnicity</w:t>
            </w:r>
          </w:p>
        </w:tc>
        <w:tc>
          <w:tcPr>
            <w:tcW w:w="945" w:type="dxa"/>
            <w:tcBorders>
              <w:left w:val="single" w:sz="12" w:space="0" w:color="auto"/>
            </w:tcBorders>
            <w:noWrap/>
            <w:vAlign w:val="center"/>
            <w:hideMark/>
          </w:tcPr>
          <w:p w14:paraId="4EDB7A7E" w14:textId="77777777" w:rsidR="008807DE" w:rsidRPr="00B71F92" w:rsidRDefault="008807DE" w:rsidP="008C0804">
            <w:pPr>
              <w:tabs>
                <w:tab w:val="decimal" w:pos="210"/>
              </w:tabs>
              <w:spacing w:after="0" w:line="240" w:lineRule="auto"/>
              <w:jc w:val="center"/>
              <w:rPr>
                <w:rFonts w:eastAsia="Times New Roman"/>
                <w:b/>
                <w:bCs/>
                <w:color w:val="000000"/>
                <w:sz w:val="20"/>
                <w:szCs w:val="20"/>
              </w:rPr>
            </w:pPr>
          </w:p>
        </w:tc>
        <w:tc>
          <w:tcPr>
            <w:tcW w:w="585" w:type="dxa"/>
            <w:tcBorders>
              <w:right w:val="single" w:sz="12" w:space="0" w:color="auto"/>
            </w:tcBorders>
            <w:noWrap/>
            <w:vAlign w:val="center"/>
            <w:hideMark/>
          </w:tcPr>
          <w:p w14:paraId="54F70A51"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990" w:type="dxa"/>
            <w:tcBorders>
              <w:left w:val="single" w:sz="12" w:space="0" w:color="auto"/>
            </w:tcBorders>
            <w:noWrap/>
            <w:vAlign w:val="center"/>
            <w:hideMark/>
          </w:tcPr>
          <w:p w14:paraId="24539766"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06" w:type="dxa"/>
            <w:tcBorders>
              <w:right w:val="single" w:sz="12" w:space="0" w:color="auto"/>
            </w:tcBorders>
            <w:noWrap/>
            <w:vAlign w:val="center"/>
            <w:hideMark/>
          </w:tcPr>
          <w:p w14:paraId="35E3F2F5"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816" w:type="dxa"/>
            <w:tcBorders>
              <w:left w:val="single" w:sz="12" w:space="0" w:color="auto"/>
            </w:tcBorders>
            <w:noWrap/>
            <w:vAlign w:val="center"/>
            <w:hideMark/>
          </w:tcPr>
          <w:p w14:paraId="04EC5EC0" w14:textId="77777777" w:rsidR="008807DE" w:rsidRPr="00B71F92" w:rsidRDefault="008807DE" w:rsidP="008C0804">
            <w:pPr>
              <w:tabs>
                <w:tab w:val="decimal" w:pos="210"/>
              </w:tabs>
              <w:spacing w:after="0" w:line="240" w:lineRule="auto"/>
              <w:jc w:val="center"/>
              <w:rPr>
                <w:rFonts w:eastAsia="Times New Roman"/>
                <w:sz w:val="20"/>
                <w:szCs w:val="20"/>
              </w:rPr>
            </w:pPr>
          </w:p>
        </w:tc>
        <w:tc>
          <w:tcPr>
            <w:tcW w:w="669" w:type="dxa"/>
            <w:noWrap/>
            <w:vAlign w:val="center"/>
            <w:hideMark/>
          </w:tcPr>
          <w:p w14:paraId="7AFB92A2" w14:textId="77777777" w:rsidR="008807DE" w:rsidRPr="00B71F92" w:rsidRDefault="008807DE" w:rsidP="008C0804">
            <w:pPr>
              <w:tabs>
                <w:tab w:val="decimal" w:pos="210"/>
              </w:tabs>
              <w:spacing w:after="0" w:line="240" w:lineRule="auto"/>
              <w:jc w:val="center"/>
              <w:rPr>
                <w:rFonts w:eastAsia="Times New Roman"/>
                <w:sz w:val="20"/>
                <w:szCs w:val="20"/>
              </w:rPr>
            </w:pPr>
          </w:p>
        </w:tc>
      </w:tr>
      <w:tr w:rsidR="008807DE" w:rsidRPr="00B71F92" w14:paraId="4AAB17DD" w14:textId="77777777" w:rsidTr="008C0804">
        <w:trPr>
          <w:trHeight w:val="144"/>
        </w:trPr>
        <w:tc>
          <w:tcPr>
            <w:tcW w:w="4305" w:type="dxa"/>
            <w:tcBorders>
              <w:right w:val="single" w:sz="12" w:space="0" w:color="auto"/>
            </w:tcBorders>
            <w:noWrap/>
            <w:vAlign w:val="center"/>
            <w:hideMark/>
          </w:tcPr>
          <w:p w14:paraId="3A02E5EF"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Hispanic</w:t>
            </w:r>
          </w:p>
        </w:tc>
        <w:tc>
          <w:tcPr>
            <w:tcW w:w="945" w:type="dxa"/>
            <w:tcBorders>
              <w:left w:val="single" w:sz="12" w:space="0" w:color="auto"/>
            </w:tcBorders>
            <w:noWrap/>
            <w:vAlign w:val="center"/>
            <w:hideMark/>
          </w:tcPr>
          <w:p w14:paraId="1C3BC56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5.5</w:t>
            </w:r>
          </w:p>
        </w:tc>
        <w:tc>
          <w:tcPr>
            <w:tcW w:w="585" w:type="dxa"/>
            <w:tcBorders>
              <w:right w:val="single" w:sz="12" w:space="0" w:color="auto"/>
            </w:tcBorders>
            <w:noWrap/>
            <w:vAlign w:val="center"/>
            <w:hideMark/>
          </w:tcPr>
          <w:p w14:paraId="3C1120D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11.8</w:t>
            </w:r>
          </w:p>
        </w:tc>
        <w:tc>
          <w:tcPr>
            <w:tcW w:w="990" w:type="dxa"/>
            <w:tcBorders>
              <w:left w:val="single" w:sz="12" w:space="0" w:color="auto"/>
            </w:tcBorders>
            <w:noWrap/>
            <w:vAlign w:val="center"/>
            <w:hideMark/>
          </w:tcPr>
          <w:p w14:paraId="7825ADD2"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7.1</w:t>
            </w:r>
          </w:p>
        </w:tc>
        <w:tc>
          <w:tcPr>
            <w:tcW w:w="606" w:type="dxa"/>
            <w:tcBorders>
              <w:right w:val="single" w:sz="12" w:space="0" w:color="auto"/>
            </w:tcBorders>
            <w:noWrap/>
            <w:vAlign w:val="center"/>
            <w:hideMark/>
          </w:tcPr>
          <w:p w14:paraId="588A49B3"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10.4</w:t>
            </w:r>
          </w:p>
        </w:tc>
        <w:tc>
          <w:tcPr>
            <w:tcW w:w="816" w:type="dxa"/>
            <w:tcBorders>
              <w:left w:val="single" w:sz="12" w:space="0" w:color="auto"/>
            </w:tcBorders>
            <w:noWrap/>
            <w:vAlign w:val="center"/>
            <w:hideMark/>
          </w:tcPr>
          <w:p w14:paraId="4C3A2DF8"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21.3</w:t>
            </w:r>
          </w:p>
        </w:tc>
        <w:tc>
          <w:tcPr>
            <w:tcW w:w="669" w:type="dxa"/>
            <w:noWrap/>
            <w:vAlign w:val="center"/>
            <w:hideMark/>
          </w:tcPr>
          <w:p w14:paraId="6F026A0B"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10.8</w:t>
            </w:r>
          </w:p>
        </w:tc>
      </w:tr>
      <w:tr w:rsidR="008807DE" w:rsidRPr="00B71F92" w14:paraId="00491180" w14:textId="77777777" w:rsidTr="008C0804">
        <w:trPr>
          <w:trHeight w:val="144"/>
        </w:trPr>
        <w:tc>
          <w:tcPr>
            <w:tcW w:w="4305" w:type="dxa"/>
            <w:tcBorders>
              <w:bottom w:val="single" w:sz="12" w:space="0" w:color="auto"/>
              <w:right w:val="single" w:sz="12" w:space="0" w:color="auto"/>
            </w:tcBorders>
            <w:noWrap/>
            <w:vAlign w:val="center"/>
            <w:hideMark/>
          </w:tcPr>
          <w:p w14:paraId="20BF5A78" w14:textId="77777777" w:rsidR="008807DE" w:rsidRPr="00B71F92" w:rsidRDefault="008807DE" w:rsidP="008C0804">
            <w:pPr>
              <w:spacing w:after="0" w:line="240" w:lineRule="auto"/>
              <w:rPr>
                <w:rFonts w:eastAsia="Times New Roman"/>
                <w:color w:val="000000"/>
                <w:sz w:val="20"/>
                <w:szCs w:val="20"/>
              </w:rPr>
            </w:pPr>
            <w:r w:rsidRPr="00B71F92">
              <w:rPr>
                <w:rFonts w:eastAsia="Times New Roman"/>
                <w:color w:val="000000"/>
                <w:sz w:val="20"/>
                <w:szCs w:val="20"/>
              </w:rPr>
              <w:t xml:space="preserve">    Not Hispanic</w:t>
            </w:r>
          </w:p>
        </w:tc>
        <w:tc>
          <w:tcPr>
            <w:tcW w:w="945" w:type="dxa"/>
            <w:tcBorders>
              <w:left w:val="single" w:sz="12" w:space="0" w:color="auto"/>
            </w:tcBorders>
            <w:noWrap/>
            <w:vAlign w:val="center"/>
            <w:hideMark/>
          </w:tcPr>
          <w:p w14:paraId="67FE779F"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94.5</w:t>
            </w:r>
          </w:p>
        </w:tc>
        <w:tc>
          <w:tcPr>
            <w:tcW w:w="585" w:type="dxa"/>
            <w:tcBorders>
              <w:right w:val="single" w:sz="12" w:space="0" w:color="auto"/>
            </w:tcBorders>
            <w:noWrap/>
            <w:vAlign w:val="center"/>
            <w:hideMark/>
          </w:tcPr>
          <w:p w14:paraId="283FFA4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88.2</w:t>
            </w:r>
          </w:p>
        </w:tc>
        <w:tc>
          <w:tcPr>
            <w:tcW w:w="990" w:type="dxa"/>
            <w:tcBorders>
              <w:left w:val="single" w:sz="12" w:space="0" w:color="auto"/>
              <w:bottom w:val="single" w:sz="12" w:space="0" w:color="auto"/>
            </w:tcBorders>
            <w:noWrap/>
            <w:vAlign w:val="center"/>
            <w:hideMark/>
          </w:tcPr>
          <w:p w14:paraId="39718F19"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92.9</w:t>
            </w:r>
          </w:p>
        </w:tc>
        <w:tc>
          <w:tcPr>
            <w:tcW w:w="606" w:type="dxa"/>
            <w:tcBorders>
              <w:bottom w:val="single" w:sz="12" w:space="0" w:color="auto"/>
              <w:right w:val="single" w:sz="12" w:space="0" w:color="auto"/>
            </w:tcBorders>
            <w:noWrap/>
            <w:vAlign w:val="center"/>
            <w:hideMark/>
          </w:tcPr>
          <w:p w14:paraId="548B7DFC"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89.6</w:t>
            </w:r>
          </w:p>
        </w:tc>
        <w:tc>
          <w:tcPr>
            <w:tcW w:w="816" w:type="dxa"/>
            <w:tcBorders>
              <w:left w:val="single" w:sz="12" w:space="0" w:color="auto"/>
            </w:tcBorders>
            <w:noWrap/>
            <w:vAlign w:val="center"/>
            <w:hideMark/>
          </w:tcPr>
          <w:p w14:paraId="066D0677"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78.7</w:t>
            </w:r>
          </w:p>
        </w:tc>
        <w:tc>
          <w:tcPr>
            <w:tcW w:w="669" w:type="dxa"/>
            <w:noWrap/>
            <w:vAlign w:val="center"/>
            <w:hideMark/>
          </w:tcPr>
          <w:p w14:paraId="1F9DB582" w14:textId="77777777" w:rsidR="008807DE" w:rsidRPr="00B71F92" w:rsidRDefault="008807DE" w:rsidP="008C0804">
            <w:pPr>
              <w:tabs>
                <w:tab w:val="decimal" w:pos="210"/>
              </w:tabs>
              <w:spacing w:after="0" w:line="240" w:lineRule="auto"/>
              <w:jc w:val="center"/>
              <w:rPr>
                <w:rFonts w:eastAsia="Times New Roman"/>
                <w:color w:val="000000"/>
                <w:sz w:val="20"/>
                <w:szCs w:val="20"/>
              </w:rPr>
            </w:pPr>
            <w:r w:rsidRPr="00B71F92">
              <w:rPr>
                <w:rFonts w:eastAsia="Times New Roman"/>
                <w:color w:val="000000"/>
                <w:sz w:val="20"/>
                <w:szCs w:val="20"/>
              </w:rPr>
              <w:t>89.2</w:t>
            </w:r>
          </w:p>
        </w:tc>
      </w:tr>
    </w:tbl>
    <w:p w14:paraId="6B87F306" w14:textId="77777777" w:rsidR="007A3AAB" w:rsidRDefault="007A3AAB" w:rsidP="008404B6">
      <w:pPr>
        <w:shd w:val="clear" w:color="auto" w:fill="FFFFFF"/>
        <w:spacing w:after="0" w:line="240" w:lineRule="auto"/>
        <w:jc w:val="both"/>
        <w:rPr>
          <w:b/>
          <w:bCs/>
        </w:rPr>
      </w:pPr>
    </w:p>
    <w:p w14:paraId="2F9F6573" w14:textId="0D78BA18" w:rsidR="008404B6" w:rsidRPr="00B71F92" w:rsidRDefault="008404B6" w:rsidP="008404B6">
      <w:pPr>
        <w:shd w:val="clear" w:color="auto" w:fill="FFFFFF"/>
        <w:spacing w:after="0" w:line="240" w:lineRule="auto"/>
        <w:jc w:val="both"/>
        <w:rPr>
          <w:b/>
          <w:bCs/>
        </w:rPr>
      </w:pPr>
      <w:r w:rsidRPr="00B71F92">
        <w:rPr>
          <w:b/>
          <w:bCs/>
        </w:rPr>
        <w:t xml:space="preserve">3.2 Analytic Framework </w:t>
      </w:r>
    </w:p>
    <w:p w14:paraId="116DB4EA" w14:textId="375E870A" w:rsidR="007B5374" w:rsidRPr="00B71F92" w:rsidRDefault="00117752" w:rsidP="00CA7A67">
      <w:pPr>
        <w:spacing w:after="0" w:line="240" w:lineRule="auto"/>
        <w:jc w:val="both"/>
      </w:pPr>
      <w:r w:rsidRPr="00B71F92">
        <w:t xml:space="preserve">The modeling framework consists of a multivariate </w:t>
      </w:r>
      <w:r w:rsidR="00A46882" w:rsidRPr="00B71F92">
        <w:t>binary-response</w:t>
      </w:r>
      <w:r w:rsidRPr="00B71F92">
        <w:t xml:space="preserve"> </w:t>
      </w:r>
      <w:proofErr w:type="spellStart"/>
      <w:r w:rsidRPr="00B71F92">
        <w:t>probit</w:t>
      </w:r>
      <w:proofErr w:type="spellEnd"/>
      <w:r w:rsidRPr="00B71F92">
        <w:t xml:space="preserve"> model</w:t>
      </w:r>
      <w:r w:rsidR="00A46882" w:rsidRPr="00B71F92">
        <w:t>ing system</w:t>
      </w:r>
      <w:r w:rsidRPr="00B71F92">
        <w:t xml:space="preserve"> with </w:t>
      </w:r>
      <w:r w:rsidR="00CA367B" w:rsidRPr="00B71F92">
        <w:t>twelve</w:t>
      </w:r>
      <w:r w:rsidRPr="00B71F92">
        <w:t xml:space="preserve"> </w:t>
      </w:r>
      <w:r w:rsidR="004A490D" w:rsidRPr="00B71F92">
        <w:t>dimensions</w:t>
      </w:r>
      <w:r w:rsidRPr="00B71F92">
        <w:t>. The first is the binary decision</w:t>
      </w:r>
      <w:r w:rsidR="004A490D" w:rsidRPr="00B71F92">
        <w:t xml:space="preserve"> regarding whether a family moved or not during the two-year period prior to taking the survey. </w:t>
      </w:r>
      <w:r w:rsidR="003402B9" w:rsidRPr="00B71F92">
        <w:t xml:space="preserve">Next, for those families who moved within two years of the survey date, the next </w:t>
      </w:r>
      <w:r w:rsidR="00517046" w:rsidRPr="00B71F92">
        <w:t>eleven</w:t>
      </w:r>
      <w:r w:rsidR="003402B9" w:rsidRPr="00B71F92">
        <w:t xml:space="preserve"> </w:t>
      </w:r>
      <w:r w:rsidRPr="00B71F92">
        <w:t xml:space="preserve">outcomes correspond to binary responses for each of the </w:t>
      </w:r>
      <w:r w:rsidR="00517046" w:rsidRPr="00B71F92">
        <w:t>eleven</w:t>
      </w:r>
      <w:r w:rsidRPr="00B71F92">
        <w:t xml:space="preserve"> possible reasons</w:t>
      </w:r>
      <w:r w:rsidR="003402B9" w:rsidRPr="00B71F92">
        <w:t xml:space="preserve"> for relocating</w:t>
      </w:r>
      <w:r w:rsidRPr="00B71F92">
        <w:t xml:space="preserve">. </w:t>
      </w:r>
      <w:r w:rsidR="00A35435" w:rsidRPr="00B71F92">
        <w:t xml:space="preserve">Since participants were able to select any combination of these </w:t>
      </w:r>
      <w:r w:rsidR="001B41FA" w:rsidRPr="00B71F92">
        <w:t>eleven</w:t>
      </w:r>
      <w:r w:rsidR="00A35435" w:rsidRPr="00B71F92">
        <w:t xml:space="preserve"> reasons for relocation, </w:t>
      </w:r>
      <w:r w:rsidR="002C5E96" w:rsidRPr="00B71F92">
        <w:t xml:space="preserve">they are all included as binary outcomes indicating whether each specific reason was a factor in their decision to relocate. </w:t>
      </w:r>
      <w:r w:rsidR="002348F7" w:rsidRPr="00B71F92">
        <w:t xml:space="preserve">These </w:t>
      </w:r>
      <w:r w:rsidR="00CA367B" w:rsidRPr="00B71F92">
        <w:t>twelve</w:t>
      </w:r>
      <w:r w:rsidR="002348F7" w:rsidRPr="00B71F92">
        <w:t xml:space="preserve"> outcome dimensions </w:t>
      </w:r>
      <w:r w:rsidR="002348F7" w:rsidRPr="00B71F92">
        <w:lastRenderedPageBreak/>
        <w:t xml:space="preserve">are modeled jointly to accommodate unobserved correlation effects that would cause an individual who is more likely to choose to relocate to also select any specific reason for relocation or for any individual to be more likely to select some combination of motivating reasons for relocation. </w:t>
      </w:r>
    </w:p>
    <w:p w14:paraId="608653A4" w14:textId="2580BAF3" w:rsidR="00D37985" w:rsidRDefault="00490BE1" w:rsidP="007A3AAB">
      <w:pPr>
        <w:autoSpaceDE w:val="0"/>
        <w:autoSpaceDN w:val="0"/>
        <w:adjustRightInd w:val="0"/>
        <w:spacing w:after="0" w:line="240" w:lineRule="auto"/>
        <w:ind w:firstLine="720"/>
        <w:jc w:val="both"/>
      </w:pPr>
      <w:r w:rsidRPr="00B71F92">
        <w:t xml:space="preserve">Beyond identifying the motivations </w:t>
      </w:r>
      <w:r w:rsidR="00DE50EC" w:rsidRPr="00B71F92">
        <w:t>that different individuals have for relocation in general, we are interested in determining how these reasons have changed over time across the three waves of data collection</w:t>
      </w:r>
      <w:r w:rsidR="00747A1D" w:rsidRPr="00B71F92">
        <w:t xml:space="preserve"> and across population subgroups</w:t>
      </w:r>
      <w:r w:rsidR="00DE50EC" w:rsidRPr="00B71F92">
        <w:t xml:space="preserve">. </w:t>
      </w:r>
      <w:r w:rsidR="00D1764D" w:rsidRPr="00B71F92">
        <w:t>To do so, we use</w:t>
      </w:r>
      <w:r w:rsidR="00872F0D" w:rsidRPr="00B71F92">
        <w:t>d</w:t>
      </w:r>
      <w:r w:rsidR="00D1764D" w:rsidRPr="00B71F92">
        <w:t xml:space="preserve"> two binary indicators to </w:t>
      </w:r>
      <w:r w:rsidR="00135427" w:rsidRPr="00B71F92">
        <w:t xml:space="preserve">identify the period that each respondent </w:t>
      </w:r>
      <w:r w:rsidR="00C83ED1" w:rsidRPr="00B71F92">
        <w:t xml:space="preserve">answered the </w:t>
      </w:r>
      <w:r w:rsidR="005B4299" w:rsidRPr="00B71F92">
        <w:t>survey</w:t>
      </w:r>
      <w:r w:rsidR="002A3BAF" w:rsidRPr="00B71F92">
        <w:t xml:space="preserve">, as shown in Figure </w:t>
      </w:r>
      <w:r w:rsidR="00BE681B" w:rsidRPr="00B71F92">
        <w:t>2</w:t>
      </w:r>
      <w:r w:rsidR="0074214D" w:rsidRPr="00B71F92">
        <w:t xml:space="preserve">. The first indicator (labeled the “2021-effect” indicator) takes the value 0 for respondents in the 2019 survey wave and the value 1 for respondents in the 2021 or 2023 survey waves. The second indicator (labeled the “2023-effect” indicator) takes the value 0 for respondents in the 2019 and 2021 survey waves and the value 1 for respondents in the 2023 survey waves. </w:t>
      </w:r>
      <w:r w:rsidR="00994F44" w:rsidRPr="00B71F92">
        <w:t xml:space="preserve">Then, </w:t>
      </w:r>
      <w:r w:rsidR="00872F0D" w:rsidRPr="00B71F92">
        <w:t xml:space="preserve">each </w:t>
      </w:r>
      <w:r w:rsidR="00994F44" w:rsidRPr="00B71F92">
        <w:t>indicator is</w:t>
      </w:r>
      <w:r w:rsidR="00872F0D" w:rsidRPr="00B71F92">
        <w:t xml:space="preserve"> </w:t>
      </w:r>
      <w:r w:rsidR="00C83ED1" w:rsidRPr="00B71F92">
        <w:t>interact</w:t>
      </w:r>
      <w:r w:rsidR="00872F0D" w:rsidRPr="00B71F92">
        <w:t>ed</w:t>
      </w:r>
      <w:r w:rsidR="00C83ED1" w:rsidRPr="00B71F92">
        <w:t xml:space="preserve"> with the other exogenous variables to create </w:t>
      </w:r>
      <w:r w:rsidR="00945B93" w:rsidRPr="00B71F92">
        <w:t>three</w:t>
      </w:r>
      <w:r w:rsidR="00C83ED1" w:rsidRPr="00B71F92">
        <w:t xml:space="preserve"> sets of effects</w:t>
      </w:r>
      <w:r w:rsidR="002A3BAF" w:rsidRPr="00B71F92">
        <w:t xml:space="preserve"> (see the labels at the bottom of Figure </w:t>
      </w:r>
      <w:r w:rsidR="00BE681B" w:rsidRPr="00B71F92">
        <w:t>2</w:t>
      </w:r>
      <w:r w:rsidR="002A3BAF" w:rsidRPr="00B71F92">
        <w:t>)</w:t>
      </w:r>
      <w:r w:rsidR="00C83ED1" w:rsidRPr="00B71F92">
        <w:t xml:space="preserve">. </w:t>
      </w:r>
      <w:r w:rsidR="005B4299" w:rsidRPr="00B71F92">
        <w:t xml:space="preserve">First, </w:t>
      </w:r>
      <w:r w:rsidR="00872F0D" w:rsidRPr="00B71F92">
        <w:t>each exogenous variable is included (without interaction</w:t>
      </w:r>
      <w:r w:rsidRPr="00B71F92">
        <w:t>s</w:t>
      </w:r>
      <w:r w:rsidR="00872F0D" w:rsidRPr="00B71F92">
        <w:t xml:space="preserve"> with either indicator) to </w:t>
      </w:r>
      <w:r w:rsidR="0081734A" w:rsidRPr="00B71F92">
        <w:t>produce a baseline reference</w:t>
      </w:r>
      <w:r w:rsidR="0074214D" w:rsidRPr="00B71F92">
        <w:t xml:space="preserve"> effect on the propensity of selecting each outcome. Second, </w:t>
      </w:r>
      <w:r w:rsidR="00D260D6" w:rsidRPr="00B71F92">
        <w:t xml:space="preserve">each indicator is included in the model </w:t>
      </w:r>
      <w:r w:rsidR="0081734A" w:rsidRPr="00B71F92">
        <w:t>independently</w:t>
      </w:r>
      <w:r w:rsidR="00D260D6" w:rsidRPr="00B71F92">
        <w:t xml:space="preserve">, </w:t>
      </w:r>
      <w:r w:rsidR="007160AB" w:rsidRPr="00B71F92">
        <w:t xml:space="preserve">to </w:t>
      </w:r>
      <w:r w:rsidR="0081734A" w:rsidRPr="00B71F92">
        <w:t>capture</w:t>
      </w:r>
      <w:r w:rsidR="007160AB" w:rsidRPr="00B71F92">
        <w:t xml:space="preserve"> </w:t>
      </w:r>
      <w:r w:rsidR="0081734A" w:rsidRPr="00B71F92">
        <w:t>general changes to</w:t>
      </w:r>
      <w:r w:rsidR="007160AB" w:rsidRPr="00B71F92">
        <w:t xml:space="preserve"> the underlying propensities of each outcome</w:t>
      </w:r>
      <w:r w:rsidR="0081734A" w:rsidRPr="00B71F92">
        <w:t xml:space="preserve"> for each period</w:t>
      </w:r>
      <w:r w:rsidR="00945B93" w:rsidRPr="00B71F92">
        <w:t xml:space="preserve">. The 2021-effect indicator represents a </w:t>
      </w:r>
      <w:r w:rsidR="0081734A" w:rsidRPr="00B71F92">
        <w:t>general shift</w:t>
      </w:r>
      <w:r w:rsidR="007160AB" w:rsidRPr="00B71F92">
        <w:t xml:space="preserve"> </w:t>
      </w:r>
      <w:r w:rsidR="00C41A3C" w:rsidRPr="00B71F92">
        <w:t xml:space="preserve">compared with the </w:t>
      </w:r>
      <w:r w:rsidR="0081734A" w:rsidRPr="00B71F92">
        <w:t>reference</w:t>
      </w:r>
      <w:r w:rsidR="00C41A3C" w:rsidRPr="00B71F92">
        <w:t xml:space="preserve"> 2019 propensities</w:t>
      </w:r>
      <w:r w:rsidR="002F5138" w:rsidRPr="00B71F92">
        <w:t>,</w:t>
      </w:r>
      <w:r w:rsidR="00945B93" w:rsidRPr="00B71F92">
        <w:t xml:space="preserve"> while the 2023-effect indicator represents a </w:t>
      </w:r>
      <w:r w:rsidR="0081734A" w:rsidRPr="00B71F92">
        <w:t>general shift</w:t>
      </w:r>
      <w:r w:rsidR="00945B93" w:rsidRPr="00B71F92">
        <w:t xml:space="preserve"> compared with the 2021 propensities</w:t>
      </w:r>
      <w:r w:rsidR="00C41A3C" w:rsidRPr="00B71F92">
        <w:t>.</w:t>
      </w:r>
      <w:r w:rsidR="00945B93" w:rsidRPr="00B71F92">
        <w:t xml:space="preserve"> Third, </w:t>
      </w:r>
      <w:r w:rsidR="00BC792F" w:rsidRPr="00B71F92">
        <w:t xml:space="preserve">interaction terms are included between each indicator and </w:t>
      </w:r>
      <w:r w:rsidR="00945B93" w:rsidRPr="00B71F92">
        <w:t>each exogenous variable to reveal the shifting effects of each exogenous</w:t>
      </w:r>
      <w:r w:rsidR="00BC792F" w:rsidRPr="00B71F92">
        <w:t xml:space="preserve"> variable</w:t>
      </w:r>
      <w:r w:rsidR="00945B93" w:rsidRPr="00B71F92">
        <w:t xml:space="preserve"> </w:t>
      </w:r>
      <w:r w:rsidR="009E5D7A" w:rsidRPr="00B71F92">
        <w:t xml:space="preserve">on the underlying propensities for each outcome in the 2021 period and 2023 period, respectively. </w:t>
      </w:r>
      <w:r w:rsidR="00BC792F" w:rsidRPr="00B71F92">
        <w:t>Consequently</w:t>
      </w:r>
      <w:r w:rsidR="00511061" w:rsidRPr="00B71F92">
        <w:t xml:space="preserve">, the total effect of an exogenous variable in the 2021 period is simply the sum of the </w:t>
      </w:r>
      <w:r w:rsidR="000A2D7B" w:rsidRPr="00B71F92">
        <w:t>reference</w:t>
      </w:r>
      <w:r w:rsidR="00511061" w:rsidRPr="00B71F92">
        <w:t xml:space="preserve"> effect of the exogenous variable </w:t>
      </w:r>
      <w:r w:rsidR="000A2D7B" w:rsidRPr="00B71F92">
        <w:t xml:space="preserve">included independently </w:t>
      </w:r>
      <w:r w:rsidR="00511061" w:rsidRPr="00B71F92">
        <w:t xml:space="preserve">and the interaction </w:t>
      </w:r>
      <w:r w:rsidR="000A2D7B" w:rsidRPr="00B71F92">
        <w:t xml:space="preserve">effect </w:t>
      </w:r>
      <w:r w:rsidR="00511061" w:rsidRPr="00B71F92">
        <w:t>of the exogenous variable with the 2021-effect indicator</w:t>
      </w:r>
      <w:r w:rsidR="000A2D7B" w:rsidRPr="00B71F92">
        <w:t xml:space="preserve">. Similarly, </w:t>
      </w:r>
      <w:r w:rsidR="00511061" w:rsidRPr="00B71F92">
        <w:t xml:space="preserve">the total effect of an exogenous variable in the 2023 period is simply the sum of the </w:t>
      </w:r>
      <w:r w:rsidR="00FB66A8" w:rsidRPr="00B71F92">
        <w:t>reference</w:t>
      </w:r>
      <w:r w:rsidR="00511061" w:rsidRPr="00B71F92">
        <w:t xml:space="preserve"> effect of the exogenous variable </w:t>
      </w:r>
      <w:r w:rsidR="00FB66A8" w:rsidRPr="00B71F92">
        <w:t xml:space="preserve">included independently </w:t>
      </w:r>
      <w:r w:rsidR="00511061" w:rsidRPr="00B71F92">
        <w:t>and the interaction</w:t>
      </w:r>
      <w:r w:rsidR="00FB66A8" w:rsidRPr="00B71F92">
        <w:t xml:space="preserve"> effects</w:t>
      </w:r>
      <w:r w:rsidR="00511061" w:rsidRPr="00B71F92">
        <w:t xml:space="preserve"> of the exogenous variable with both </w:t>
      </w:r>
      <w:r w:rsidR="00FB66A8" w:rsidRPr="00B71F92">
        <w:t xml:space="preserve">the </w:t>
      </w:r>
      <w:r w:rsidR="00511061" w:rsidRPr="00B71F92">
        <w:t xml:space="preserve">2021-effect indicator and </w:t>
      </w:r>
      <w:r w:rsidR="00FB66A8" w:rsidRPr="00B71F92">
        <w:t xml:space="preserve">the </w:t>
      </w:r>
      <w:r w:rsidR="00511061" w:rsidRPr="00B71F92">
        <w:t xml:space="preserve">2023-effect indicator. </w:t>
      </w:r>
      <w:r w:rsidR="005E7228" w:rsidRPr="00B71F92">
        <w:t xml:space="preserve">For cases when </w:t>
      </w:r>
      <w:r w:rsidR="00185B52" w:rsidRPr="00B71F92">
        <w:rPr>
          <w:bCs/>
        </w:rPr>
        <w:t xml:space="preserve">an exogenous variable does not appear </w:t>
      </w:r>
      <w:r w:rsidR="005E7228" w:rsidRPr="00B71F92">
        <w:rPr>
          <w:bCs/>
        </w:rPr>
        <w:t>independently</w:t>
      </w:r>
      <w:r w:rsidR="00185B52" w:rsidRPr="00B71F92">
        <w:rPr>
          <w:bCs/>
        </w:rPr>
        <w:t xml:space="preserve">, this implies that </w:t>
      </w:r>
      <w:r w:rsidR="005E7228" w:rsidRPr="00B71F92">
        <w:rPr>
          <w:bCs/>
        </w:rPr>
        <w:t xml:space="preserve">the variable had no impact on the underlying propensity of the outcome </w:t>
      </w:r>
      <w:r w:rsidR="00185B52" w:rsidRPr="00B71F92">
        <w:rPr>
          <w:bCs/>
        </w:rPr>
        <w:t xml:space="preserve">in the 2019 period, and the effect only emerged in a later period. Conversely, if an exogenous variable </w:t>
      </w:r>
      <w:r w:rsidR="00ED23C2" w:rsidRPr="00B71F92">
        <w:rPr>
          <w:bCs/>
        </w:rPr>
        <w:t xml:space="preserve">does not appear </w:t>
      </w:r>
      <w:r w:rsidR="00997849" w:rsidRPr="00B71F92">
        <w:rPr>
          <w:bCs/>
        </w:rPr>
        <w:t xml:space="preserve">as an interaction with </w:t>
      </w:r>
      <w:r w:rsidR="002F5138" w:rsidRPr="00B71F92">
        <w:rPr>
          <w:bCs/>
        </w:rPr>
        <w:t>both</w:t>
      </w:r>
      <w:r w:rsidR="00997849" w:rsidRPr="00B71F92">
        <w:rPr>
          <w:bCs/>
        </w:rPr>
        <w:t xml:space="preserve"> indicators, this implies that the </w:t>
      </w:r>
      <w:r w:rsidR="001C06C0" w:rsidRPr="00B71F92">
        <w:rPr>
          <w:bCs/>
        </w:rPr>
        <w:t xml:space="preserve">exogenous variable </w:t>
      </w:r>
      <w:r w:rsidR="00997849" w:rsidRPr="00B71F92">
        <w:rPr>
          <w:bCs/>
        </w:rPr>
        <w:t xml:space="preserve">effect </w:t>
      </w:r>
      <w:r w:rsidR="006B186E" w:rsidRPr="00B71F92">
        <w:rPr>
          <w:bCs/>
        </w:rPr>
        <w:t xml:space="preserve">is identical to that </w:t>
      </w:r>
      <w:r w:rsidR="00997849" w:rsidRPr="00B71F92">
        <w:rPr>
          <w:bCs/>
        </w:rPr>
        <w:t xml:space="preserve">from the </w:t>
      </w:r>
      <w:r w:rsidR="00F64E7C" w:rsidRPr="00B71F92">
        <w:rPr>
          <w:bCs/>
        </w:rPr>
        <w:t>2019</w:t>
      </w:r>
      <w:r w:rsidR="00997849" w:rsidRPr="00B71F92">
        <w:rPr>
          <w:bCs/>
        </w:rPr>
        <w:t xml:space="preserve"> period</w:t>
      </w:r>
      <w:r w:rsidR="006B186E" w:rsidRPr="00B71F92">
        <w:rPr>
          <w:bCs/>
        </w:rPr>
        <w:t xml:space="preserve">. </w:t>
      </w:r>
      <w:r w:rsidR="00117752" w:rsidRPr="00B71F92">
        <w:t xml:space="preserve">The </w:t>
      </w:r>
      <w:r w:rsidR="008E0F97" w:rsidRPr="00B71F92">
        <w:t>following section</w:t>
      </w:r>
      <w:r w:rsidR="007B5374" w:rsidRPr="00B71F92">
        <w:t xml:space="preserve"> </w:t>
      </w:r>
      <w:r w:rsidR="00117752" w:rsidRPr="00B71F92">
        <w:t xml:space="preserve">describes the mathematical formulation of the </w:t>
      </w:r>
      <w:r w:rsidR="0093285A" w:rsidRPr="00B71F92">
        <w:t xml:space="preserve">multivariate binary-response </w:t>
      </w:r>
      <w:proofErr w:type="spellStart"/>
      <w:r w:rsidR="0093285A" w:rsidRPr="00B71F92">
        <w:t>probit</w:t>
      </w:r>
      <w:proofErr w:type="spellEnd"/>
      <w:r w:rsidR="00117752" w:rsidRPr="00B71F92">
        <w:t xml:space="preserve"> model.</w:t>
      </w:r>
    </w:p>
    <w:p w14:paraId="6DE74CE8" w14:textId="77777777" w:rsidR="007A3AAB" w:rsidRPr="00B71F92" w:rsidRDefault="007A3AAB" w:rsidP="007A3AAB">
      <w:pPr>
        <w:spacing w:after="0" w:line="240" w:lineRule="auto"/>
        <w:jc w:val="both"/>
        <w:rPr>
          <w:b/>
          <w:bCs/>
        </w:rPr>
      </w:pPr>
      <w:r w:rsidRPr="00B71F92">
        <w:rPr>
          <w:b/>
          <w:bCs/>
        </w:rPr>
        <w:br w:type="textWrapping" w:clear="all"/>
      </w:r>
      <w:r w:rsidRPr="00B71F92">
        <w:rPr>
          <w:noProof/>
        </w:rPr>
        <w:drawing>
          <wp:inline distT="0" distB="0" distL="0" distR="0" wp14:anchorId="05E7A78A" wp14:editId="2313002C">
            <wp:extent cx="5943600" cy="1913890"/>
            <wp:effectExtent l="0" t="0" r="0" b="0"/>
            <wp:docPr id="1196428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2614" cy="1948993"/>
                    </a:xfrm>
                    <a:prstGeom prst="rect">
                      <a:avLst/>
                    </a:prstGeom>
                    <a:noFill/>
                    <a:ln>
                      <a:noFill/>
                    </a:ln>
                  </pic:spPr>
                </pic:pic>
              </a:graphicData>
            </a:graphic>
          </wp:inline>
        </w:drawing>
      </w:r>
    </w:p>
    <w:p w14:paraId="5D7E51CC" w14:textId="77777777" w:rsidR="007A3AAB" w:rsidRPr="002F5607" w:rsidRDefault="007A3AAB" w:rsidP="007A3AAB">
      <w:pPr>
        <w:spacing w:after="0" w:line="240" w:lineRule="auto"/>
        <w:jc w:val="both"/>
      </w:pPr>
    </w:p>
    <w:p w14:paraId="5214E024" w14:textId="77777777" w:rsidR="007A3AAB" w:rsidRPr="00B71F92" w:rsidRDefault="007A3AAB" w:rsidP="00D30ADA">
      <w:pPr>
        <w:spacing w:after="0" w:line="240" w:lineRule="auto"/>
        <w:jc w:val="center"/>
        <w:rPr>
          <w:b/>
          <w:bCs/>
        </w:rPr>
      </w:pPr>
      <w:r w:rsidRPr="00B71F92">
        <w:rPr>
          <w:b/>
          <w:bCs/>
        </w:rPr>
        <w:t>Figure 2: Data Structure for Temporal Effects</w:t>
      </w:r>
    </w:p>
    <w:p w14:paraId="1FB99AB8" w14:textId="77777777" w:rsidR="007A3AAB" w:rsidRDefault="007A3AAB" w:rsidP="008404B6">
      <w:pPr>
        <w:shd w:val="clear" w:color="auto" w:fill="FFFFFF"/>
        <w:spacing w:after="0" w:line="240" w:lineRule="auto"/>
        <w:jc w:val="both"/>
        <w:rPr>
          <w:b/>
          <w:bCs/>
        </w:rPr>
      </w:pPr>
    </w:p>
    <w:p w14:paraId="744A6244" w14:textId="743B3DAA" w:rsidR="001C39A2" w:rsidRPr="00B71F92" w:rsidRDefault="008404B6" w:rsidP="008404B6">
      <w:pPr>
        <w:shd w:val="clear" w:color="auto" w:fill="FFFFFF"/>
        <w:spacing w:after="0" w:line="240" w:lineRule="auto"/>
        <w:jc w:val="both"/>
        <w:rPr>
          <w:b/>
          <w:bCs/>
        </w:rPr>
      </w:pPr>
      <w:r w:rsidRPr="00B71F92">
        <w:rPr>
          <w:b/>
          <w:bCs/>
        </w:rPr>
        <w:lastRenderedPageBreak/>
        <w:t xml:space="preserve">3.3 Model Formulation </w:t>
      </w:r>
    </w:p>
    <w:p w14:paraId="0FB63E11" w14:textId="469B5F63" w:rsidR="0038383F" w:rsidRPr="00B71F92" w:rsidRDefault="008E0F97" w:rsidP="008E0F97">
      <w:pPr>
        <w:spacing w:after="0" w:line="240" w:lineRule="auto"/>
        <w:jc w:val="both"/>
      </w:pPr>
      <w:r w:rsidRPr="00B71F92">
        <w:t xml:space="preserve">Following the </w:t>
      </w:r>
      <w:r w:rsidR="00FD25B9" w:rsidRPr="00B71F92">
        <w:t>standard</w:t>
      </w:r>
      <w:r w:rsidR="00DF0885" w:rsidRPr="00B71F92">
        <w:t xml:space="preserve"> formulation</w:t>
      </w:r>
      <w:r w:rsidRPr="00B71F92">
        <w:t xml:space="preserve"> </w:t>
      </w:r>
      <w:r w:rsidR="00DF0885" w:rsidRPr="00B71F92">
        <w:t>for a</w:t>
      </w:r>
      <w:r w:rsidRPr="00B71F92">
        <w:t xml:space="preserve"> binary </w:t>
      </w:r>
      <w:proofErr w:type="spellStart"/>
      <w:r w:rsidRPr="00B71F92">
        <w:t>probit</w:t>
      </w:r>
      <w:proofErr w:type="spellEnd"/>
      <w:r w:rsidRPr="00B71F92">
        <w:t xml:space="preserve"> model, </w:t>
      </w:r>
      <w:r w:rsidR="00FD25B9" w:rsidRPr="00B71F92">
        <w:t>denote the</w:t>
      </w:r>
      <w:r w:rsidRPr="00B71F92">
        <w:rPr>
          <w:bCs/>
        </w:rPr>
        <w:t xml:space="preserve"> index for each </w:t>
      </w:r>
      <w:r w:rsidR="007A16CC" w:rsidRPr="00B71F92">
        <w:rPr>
          <w:bCs/>
        </w:rPr>
        <w:t>respondent</w:t>
      </w:r>
      <w:r w:rsidRPr="00B71F92">
        <w:rPr>
          <w:bCs/>
        </w:rPr>
        <w:t xml:space="preserve"> </w:t>
      </w:r>
      <w:r w:rsidR="00486C15" w:rsidRPr="00B71F92">
        <w:rPr>
          <w:bCs/>
        </w:rPr>
        <w:t xml:space="preserve">in the </w:t>
      </w:r>
      <w:r w:rsidR="007A16CC" w:rsidRPr="00B71F92">
        <w:rPr>
          <w:bCs/>
        </w:rPr>
        <w:t>sample as</w:t>
      </w:r>
      <w:r w:rsidR="007A16CC" w:rsidRPr="00B71F92">
        <w:t xml:space="preserve"> </w:t>
      </w:r>
      <w:r w:rsidR="00980C71" w:rsidRPr="00980C71">
        <w:rPr>
          <w:bCs/>
          <w:i/>
          <w:iCs/>
        </w:rPr>
        <w:t>q</w:t>
      </w:r>
      <w:r w:rsidR="007A16CC" w:rsidRPr="00B71F92">
        <w:rPr>
          <w:bCs/>
        </w:rPr>
        <w:t xml:space="preserve"> </w:t>
      </w:r>
      <w:r w:rsidR="00980C71" w:rsidRPr="00B71F92">
        <w:rPr>
          <w:bCs/>
          <w:position w:val="-10"/>
        </w:rPr>
        <w:object w:dxaOrig="1400" w:dyaOrig="320" w14:anchorId="76AC4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5pt;height:16.3pt" o:ole="">
            <v:imagedata r:id="rId12" o:title=""/>
          </v:shape>
          <o:OLEObject Type="Embed" ProgID="Equation.DSMT4" ShapeID="_x0000_i1025" DrawAspect="Content" ObjectID="_1815996830" r:id="rId13"/>
        </w:object>
      </w:r>
      <w:r w:rsidRPr="00B71F92">
        <w:rPr>
          <w:bCs/>
        </w:rPr>
        <w:t xml:space="preserve"> and</w:t>
      </w:r>
      <w:r w:rsidR="00486C15" w:rsidRPr="00B71F92">
        <w:rPr>
          <w:bCs/>
        </w:rPr>
        <w:t xml:space="preserve"> </w:t>
      </w:r>
      <w:r w:rsidRPr="00B71F92">
        <w:t>the index for each of the binary outcomes</w:t>
      </w:r>
      <w:r w:rsidR="007A16CC" w:rsidRPr="00B71F92">
        <w:t xml:space="preserve"> as </w:t>
      </w:r>
      <w:r w:rsidR="00980C71" w:rsidRPr="00980C71">
        <w:rPr>
          <w:i/>
          <w:iCs/>
        </w:rPr>
        <w:t>i</w:t>
      </w:r>
      <w:r w:rsidRPr="00B71F92">
        <w:t xml:space="preserve"> </w:t>
      </w:r>
      <w:r w:rsidR="00980C71" w:rsidRPr="00B71F92">
        <w:rPr>
          <w:position w:val="-10"/>
        </w:rPr>
        <w:object w:dxaOrig="1340" w:dyaOrig="320" w14:anchorId="48007063">
          <v:shape id="_x0000_i1026" type="#_x0000_t75" style="width:66.85pt;height:15.85pt" o:ole="" o:preferrelative="f">
            <v:imagedata r:id="rId14" o:title=""/>
            <o:lock v:ext="edit" aspectratio="f"/>
          </v:shape>
          <o:OLEObject Type="Embed" ProgID="Equation.DSMT4" ShapeID="_x0000_i1026" DrawAspect="Content" ObjectID="_1815996831" r:id="rId15"/>
        </w:object>
      </w:r>
      <w:r w:rsidRPr="00B71F92">
        <w:t xml:space="preserve"> </w:t>
      </w:r>
      <w:r w:rsidR="00543CD2" w:rsidRPr="00B71F92">
        <w:t>For the current application</w:t>
      </w:r>
      <w:r w:rsidR="00A31813" w:rsidRPr="00B71F92">
        <w:t xml:space="preserve">, </w:t>
      </w:r>
      <w:r w:rsidR="00980C71" w:rsidRPr="00B71F92">
        <w:rPr>
          <w:position w:val="-10"/>
        </w:rPr>
        <w:object w:dxaOrig="1040" w:dyaOrig="320" w14:anchorId="53E4626D">
          <v:shape id="_x0000_i1027" type="#_x0000_t75" style="width:51.85pt;height:15.85pt" o:ole="" o:preferrelative="f">
            <v:imagedata r:id="rId16" o:title=""/>
            <o:lock v:ext="edit" aspectratio="f"/>
          </v:shape>
          <o:OLEObject Type="Embed" ProgID="Equation.DSMT4" ShapeID="_x0000_i1027" DrawAspect="Content" ObjectID="_1815996832" r:id="rId17"/>
        </w:object>
      </w:r>
      <w:r w:rsidR="0038383F" w:rsidRPr="00B71F92">
        <w:t xml:space="preserve"> (across all three waves)</w:t>
      </w:r>
      <w:r w:rsidR="00A31813" w:rsidRPr="00B71F92">
        <w:t>. From among these individuals, for those who reported moving in any of the waves (</w:t>
      </w:r>
      <w:r w:rsidR="0038383F" w:rsidRPr="00B71F92">
        <w:t xml:space="preserve">1,826 respondents), </w:t>
      </w:r>
      <w:r w:rsidR="00980C71" w:rsidRPr="00B71F92">
        <w:rPr>
          <w:position w:val="-4"/>
        </w:rPr>
        <w:object w:dxaOrig="639" w:dyaOrig="260" w14:anchorId="7BA0CEFA">
          <v:shape id="_x0000_i1028" type="#_x0000_t75" style="width:31.7pt;height:12.85pt" o:ole="" o:preferrelative="f">
            <v:imagedata r:id="rId18" o:title=""/>
            <o:lock v:ext="edit" aspectratio="f"/>
          </v:shape>
          <o:OLEObject Type="Embed" ProgID="Equation.DSMT4" ShapeID="_x0000_i1028" DrawAspect="Content" ObjectID="_1815996833" r:id="rId19"/>
        </w:object>
      </w:r>
      <w:r w:rsidR="0038383F" w:rsidRPr="00B71F92">
        <w:t>,</w:t>
      </w:r>
      <w:r w:rsidR="0023004F" w:rsidRPr="00B71F92">
        <w:t xml:space="preserve"> </w:t>
      </w:r>
      <w:r w:rsidR="0038383F" w:rsidRPr="00B71F92">
        <w:t xml:space="preserve">corresponding to </w:t>
      </w:r>
      <w:r w:rsidR="0023004F" w:rsidRPr="00B71F92">
        <w:t>t</w:t>
      </w:r>
      <w:r w:rsidR="0038383F" w:rsidRPr="00B71F92">
        <w:t xml:space="preserve">he </w:t>
      </w:r>
      <w:r w:rsidR="0023004F" w:rsidRPr="00B71F92">
        <w:t xml:space="preserve">decision to move or not and the </w:t>
      </w:r>
      <w:r w:rsidR="00B1789B" w:rsidRPr="00B71F92">
        <w:t>eleven</w:t>
      </w:r>
      <w:r w:rsidR="0023004F" w:rsidRPr="00B71F92">
        <w:t xml:space="preserve"> reasons for moving</w:t>
      </w:r>
      <w:r w:rsidRPr="00B71F92">
        <w:t xml:space="preserve">. </w:t>
      </w:r>
      <w:r w:rsidR="0038383F" w:rsidRPr="00B71F92">
        <w:t xml:space="preserve">For the remaining 7,577 respondents who reported not moving, </w:t>
      </w:r>
      <w:r w:rsidR="00980C71" w:rsidRPr="00B71F92">
        <w:rPr>
          <w:position w:val="-4"/>
        </w:rPr>
        <w:object w:dxaOrig="499" w:dyaOrig="260" w14:anchorId="5C334D93">
          <v:shape id="_x0000_i1029" type="#_x0000_t75" style="width:25.3pt;height:12.85pt" o:ole="" o:preferrelative="f">
            <v:imagedata r:id="rId20" o:title=""/>
            <o:lock v:ext="edit" aspectratio="f"/>
          </v:shape>
          <o:OLEObject Type="Embed" ProgID="Equation.DSMT4" ShapeID="_x0000_i1029" DrawAspect="Content" ObjectID="_1815996834" r:id="rId21"/>
        </w:object>
      </w:r>
      <w:r w:rsidR="0038383F" w:rsidRPr="00B71F92">
        <w:t xml:space="preserve">, corresponding to the decision to move or not. These 7,577 respondents contribute only to the estimation of the binary move/not move model. </w:t>
      </w:r>
    </w:p>
    <w:p w14:paraId="3003CAD1" w14:textId="643655D5" w:rsidR="008E0F97" w:rsidRPr="00B71F92" w:rsidRDefault="008E0F97" w:rsidP="00980C71">
      <w:pPr>
        <w:spacing w:after="0" w:line="240" w:lineRule="auto"/>
        <w:ind w:firstLine="720"/>
        <w:jc w:val="both"/>
      </w:pPr>
      <w:r w:rsidRPr="00B71F92">
        <w:t xml:space="preserve">In the following presentation, we </w:t>
      </w:r>
      <w:r w:rsidR="0038383F" w:rsidRPr="00B71F92">
        <w:t xml:space="preserve">will focus on the likelihood function development for the 1,826 respondents with twelve binary outcomes. Suppressing the index </w:t>
      </w:r>
      <w:r w:rsidR="00980C71" w:rsidRPr="00980C71">
        <w:rPr>
          <w:bCs/>
          <w:i/>
          <w:iCs/>
        </w:rPr>
        <w:t>q</w:t>
      </w:r>
      <w:r w:rsidR="0038383F" w:rsidRPr="00B71F92">
        <w:rPr>
          <w:bCs/>
        </w:rPr>
        <w:t xml:space="preserve"> for respondents, </w:t>
      </w:r>
      <w:r w:rsidR="0038383F" w:rsidRPr="00B71F92">
        <w:t>t</w:t>
      </w:r>
      <w:r w:rsidRPr="00B71F92">
        <w:t xml:space="preserve">he latent propensity </w:t>
      </w:r>
      <w:r w:rsidR="00980C71" w:rsidRPr="00B71F92">
        <w:rPr>
          <w:position w:val="-12"/>
        </w:rPr>
        <w:object w:dxaOrig="460" w:dyaOrig="380" w14:anchorId="633155CA">
          <v:shape id="_x0000_i1030" type="#_x0000_t75" style="width:23.15pt;height:18.45pt" o:ole="" o:preferrelative="f">
            <v:imagedata r:id="rId22" o:title=""/>
            <o:lock v:ext="edit" aspectratio="f"/>
          </v:shape>
          <o:OLEObject Type="Embed" ProgID="Equation.DSMT4" ShapeID="_x0000_i1030" DrawAspect="Content" ObjectID="_1815996835" r:id="rId23"/>
        </w:object>
      </w:r>
      <w:r w:rsidRPr="00B71F92">
        <w:t xml:space="preserve"> </w:t>
      </w:r>
      <w:r w:rsidR="0038383F" w:rsidRPr="00B71F92">
        <w:t xml:space="preserve">for </w:t>
      </w:r>
      <w:r w:rsidRPr="00B71F92">
        <w:t xml:space="preserve">each </w:t>
      </w:r>
      <w:r w:rsidR="003864A5" w:rsidRPr="00B71F92">
        <w:t xml:space="preserve">of the </w:t>
      </w:r>
      <w:r w:rsidRPr="00B71F92">
        <w:t>binary outcome</w:t>
      </w:r>
      <w:r w:rsidR="003864A5" w:rsidRPr="00B71F92">
        <w:t>s</w:t>
      </w:r>
      <w:r w:rsidRPr="00B71F92">
        <w:t xml:space="preserve"> </w:t>
      </w:r>
      <w:r w:rsidR="003864A5" w:rsidRPr="00B71F92">
        <w:t>may</w:t>
      </w:r>
      <w:r w:rsidRPr="00B71F92">
        <w:t xml:space="preserve"> be </w:t>
      </w:r>
      <w:r w:rsidR="00CD0A26" w:rsidRPr="00B71F92">
        <w:t>expressed</w:t>
      </w:r>
      <w:r w:rsidRPr="00B71F92">
        <w:t xml:space="preserve"> as the difference between the utilit</w:t>
      </w:r>
      <w:r w:rsidR="003864A5" w:rsidRPr="00B71F92">
        <w:t>y</w:t>
      </w:r>
      <w:r w:rsidRPr="00B71F92">
        <w:t xml:space="preserve"> of selection </w:t>
      </w:r>
      <w:r w:rsidR="00980C71" w:rsidRPr="00B71F92">
        <w:rPr>
          <w:position w:val="-12"/>
        </w:rPr>
        <w:object w:dxaOrig="499" w:dyaOrig="380" w14:anchorId="76B501B8">
          <v:shape id="_x0000_i1031" type="#_x0000_t75" style="width:24.85pt;height:18.85pt" o:ole="">
            <v:imagedata r:id="rId24" o:title=""/>
          </v:shape>
          <o:OLEObject Type="Embed" ProgID="Equation.DSMT4" ShapeID="_x0000_i1031" DrawAspect="Content" ObjectID="_1815996836" r:id="rId25"/>
        </w:object>
      </w:r>
      <w:r w:rsidRPr="00B71F92">
        <w:t xml:space="preserve"> and </w:t>
      </w:r>
      <w:r w:rsidR="003864A5" w:rsidRPr="00B71F92">
        <w:t xml:space="preserve">the utility of </w:t>
      </w:r>
      <w:r w:rsidRPr="00B71F92">
        <w:t xml:space="preserve">non-selection </w:t>
      </w:r>
      <w:r w:rsidR="00980C71" w:rsidRPr="00B71F92">
        <w:rPr>
          <w:position w:val="-12"/>
        </w:rPr>
        <w:object w:dxaOrig="520" w:dyaOrig="380" w14:anchorId="190FD9CC">
          <v:shape id="_x0000_i1032" type="#_x0000_t75" style="width:25.7pt;height:18.45pt" o:ole="" o:preferrelative="f">
            <v:imagedata r:id="rId26" o:title=""/>
            <o:lock v:ext="edit" aspectratio="f"/>
          </v:shape>
          <o:OLEObject Type="Embed" ProgID="Equation.DSMT4" ShapeID="_x0000_i1032" DrawAspect="Content" ObjectID="_1815996837" r:id="rId27"/>
        </w:object>
      </w:r>
      <w:r w:rsidRPr="00B71F92">
        <w:t xml:space="preserve"> for each outcome. These latent propensities can be written as:</w:t>
      </w:r>
    </w:p>
    <w:p w14:paraId="3D998B0A" w14:textId="05CDB1E0" w:rsidR="008E0F97" w:rsidRPr="00B71F92" w:rsidRDefault="00026F97" w:rsidP="00980C71">
      <w:pPr>
        <w:pStyle w:val="MTDisplayEquation"/>
        <w:spacing w:before="160" w:after="160"/>
      </w:pPr>
      <w:r w:rsidRPr="00B71F92">
        <w:rPr>
          <w:position w:val="-12"/>
        </w:rPr>
        <w:object w:dxaOrig="2200" w:dyaOrig="380" w14:anchorId="10231498">
          <v:shape id="_x0000_i1033" type="#_x0000_t75" style="width:110.15pt;height:18.45pt" o:ole="" o:preferrelative="f">
            <v:imagedata r:id="rId28" o:title=""/>
            <o:lock v:ext="edit" aspectratio="f"/>
          </v:shape>
          <o:OLEObject Type="Embed" ProgID="Equation.DSMT4" ShapeID="_x0000_i1033" DrawAspect="Content" ObjectID="_1815996838" r:id="rId29"/>
        </w:object>
      </w:r>
      <w:r w:rsidR="008E0F97" w:rsidRPr="00B71F92">
        <w:tab/>
      </w:r>
      <w:r w:rsidR="008E0F97" w:rsidRPr="00B71F92">
        <w:tab/>
      </w:r>
      <w:r w:rsidR="008E0F97" w:rsidRPr="00B71F92">
        <w:fldChar w:fldCharType="begin"/>
      </w:r>
      <w:r w:rsidR="008E0F97" w:rsidRPr="00B71F92">
        <w:instrText xml:space="preserve"> MACROBUTTON MTPlaceRef \* MERGEFORMAT </w:instrText>
      </w:r>
      <w:r w:rsidR="008E0F97" w:rsidRPr="00B71F92">
        <w:fldChar w:fldCharType="begin"/>
      </w:r>
      <w:r w:rsidR="008E0F97" w:rsidRPr="00B71F92">
        <w:instrText xml:space="preserve"> SEQ MTEqn \h \* MERGEFORMAT </w:instrText>
      </w:r>
      <w:r w:rsidR="008E0F97" w:rsidRPr="00B71F92">
        <w:fldChar w:fldCharType="end"/>
      </w:r>
      <w:r w:rsidR="008E0F97" w:rsidRPr="00B71F92">
        <w:instrText>(</w:instrText>
      </w:r>
      <w:r w:rsidR="00E435BB">
        <w:fldChar w:fldCharType="begin"/>
      </w:r>
      <w:r w:rsidR="00E435BB">
        <w:instrText xml:space="preserve"> SEQ MTEqn \c \* Arabic \* MERGEFORMAT </w:instrText>
      </w:r>
      <w:r w:rsidR="00E435BB">
        <w:fldChar w:fldCharType="separate"/>
      </w:r>
      <w:r w:rsidR="00715A2D" w:rsidRPr="00B71F92">
        <w:instrText>1</w:instrText>
      </w:r>
      <w:r w:rsidR="00E435BB">
        <w:fldChar w:fldCharType="end"/>
      </w:r>
      <w:r w:rsidR="008E0F97" w:rsidRPr="00B71F92">
        <w:instrText>)</w:instrText>
      </w:r>
      <w:r w:rsidR="008E0F97" w:rsidRPr="00B71F92">
        <w:fldChar w:fldCharType="end"/>
      </w:r>
    </w:p>
    <w:p w14:paraId="4677D6C0" w14:textId="4805F886" w:rsidR="008E0F97" w:rsidRPr="00B71F92" w:rsidRDefault="008E0F97" w:rsidP="008E0F97">
      <w:pPr>
        <w:spacing w:after="0" w:line="240" w:lineRule="auto"/>
        <w:jc w:val="both"/>
      </w:pPr>
      <w:r w:rsidRPr="00B71F92">
        <w:t xml:space="preserve">where </w:t>
      </w:r>
      <w:r w:rsidR="00026F97" w:rsidRPr="00B71F92">
        <w:rPr>
          <w:position w:val="-4"/>
        </w:rPr>
        <w:object w:dxaOrig="200" w:dyaOrig="200" w14:anchorId="2CD9C883">
          <v:shape id="_x0000_i1034" type="#_x0000_t75" style="width:10.3pt;height:10.3pt" o:ole="">
            <v:imagedata r:id="rId30" o:title=""/>
          </v:shape>
          <o:OLEObject Type="Embed" ProgID="Equation.DSMT4" ShapeID="_x0000_i1034" DrawAspect="Content" ObjectID="_1815996839" r:id="rId31"/>
        </w:object>
      </w:r>
      <w:r w:rsidRPr="00B71F92">
        <w:t xml:space="preserve"> </w:t>
      </w:r>
      <w:r w:rsidR="00787BEA" w:rsidRPr="00B71F92">
        <w:t>represents</w:t>
      </w:r>
      <w:r w:rsidRPr="00B71F92">
        <w:t xml:space="preserve"> an </w:t>
      </w:r>
      <w:r w:rsidR="00026F97" w:rsidRPr="00B71F92">
        <w:rPr>
          <w:position w:val="-10"/>
        </w:rPr>
        <w:object w:dxaOrig="639" w:dyaOrig="320" w14:anchorId="39EE1365">
          <v:shape id="_x0000_i1035" type="#_x0000_t75" alt="P89#yIS2" style="width:31.7pt;height:15.85pt" o:ole="" o:preferrelative="f">
            <v:imagedata r:id="rId32" o:title=""/>
            <o:lock v:ext="edit" aspectratio="f"/>
          </v:shape>
          <o:OLEObject Type="Embed" ProgID="Equation.DSMT4" ShapeID="_x0000_i1035" DrawAspect="Content" ObjectID="_1815996840" r:id="rId33"/>
        </w:object>
      </w:r>
      <w:r w:rsidRPr="00B71F92">
        <w:t xml:space="preserve"> vector of exogenous variables (including a constant), </w:t>
      </w:r>
      <w:r w:rsidR="00026F97" w:rsidRPr="00B71F92">
        <w:rPr>
          <w:position w:val="-12"/>
        </w:rPr>
        <w:object w:dxaOrig="260" w:dyaOrig="380" w14:anchorId="7D6AE04E">
          <v:shape id="_x0000_i1036" type="#_x0000_t75" style="width:12.85pt;height:19.7pt" o:ole="">
            <v:imagedata r:id="rId34" o:title=""/>
          </v:shape>
          <o:OLEObject Type="Embed" ProgID="Equation.DSMT4" ShapeID="_x0000_i1036" DrawAspect="Content" ObjectID="_1815996841" r:id="rId35"/>
        </w:object>
      </w:r>
      <w:r w:rsidRPr="00B71F92">
        <w:t xml:space="preserve"> </w:t>
      </w:r>
      <w:r w:rsidR="00787BEA" w:rsidRPr="00B71F92">
        <w:t>represents</w:t>
      </w:r>
      <w:r w:rsidRPr="00B71F92">
        <w:t xml:space="preserve"> a corresponding </w:t>
      </w:r>
      <w:r w:rsidR="00026F97" w:rsidRPr="00B71F92">
        <w:rPr>
          <w:position w:val="-10"/>
        </w:rPr>
        <w:object w:dxaOrig="639" w:dyaOrig="320" w14:anchorId="6651F5C4">
          <v:shape id="_x0000_i1037" type="#_x0000_t75" alt="P89#yIS2" style="width:31.7pt;height:15.85pt" o:ole="" o:preferrelative="f">
            <v:imagedata r:id="rId32" o:title=""/>
            <o:lock v:ext="edit" aspectratio="f"/>
          </v:shape>
          <o:OLEObject Type="Embed" ProgID="Equation.DSMT4" ShapeID="_x0000_i1037" DrawAspect="Content" ObjectID="_1815996842" r:id="rId36"/>
        </w:object>
      </w:r>
      <w:r w:rsidRPr="00B71F92">
        <w:t xml:space="preserve"> vector of </w:t>
      </w:r>
      <w:r w:rsidR="00BA4075" w:rsidRPr="00B71F92">
        <w:t>parameters</w:t>
      </w:r>
      <w:r w:rsidRPr="00B71F92">
        <w:t xml:space="preserve"> to be estimated, and </w:t>
      </w:r>
      <w:r w:rsidR="00026F97" w:rsidRPr="00B71F92">
        <w:rPr>
          <w:position w:val="-12"/>
        </w:rPr>
        <w:object w:dxaOrig="240" w:dyaOrig="360" w14:anchorId="082C0FA5">
          <v:shape id="_x0000_i1038" type="#_x0000_t75" alt="P89#yIS5" style="width:12.45pt;height:18pt" o:ole="" o:preferrelative="f">
            <v:imagedata r:id="rId37" o:title=""/>
            <o:lock v:ext="edit" aspectratio="f"/>
          </v:shape>
          <o:OLEObject Type="Embed" ProgID="Equation.DSMT4" ShapeID="_x0000_i1038" DrawAspect="Content" ObjectID="_1815996843" r:id="rId38"/>
        </w:object>
      </w:r>
      <w:r w:rsidRPr="00B71F92">
        <w:t xml:space="preserve"> </w:t>
      </w:r>
      <w:r w:rsidR="00BA4075" w:rsidRPr="00B71F92">
        <w:t>represents</w:t>
      </w:r>
      <w:r w:rsidRPr="00B71F92">
        <w:t xml:space="preserve"> a standard normal error term</w:t>
      </w:r>
      <w:r w:rsidR="0087477A" w:rsidRPr="00B71F92">
        <w:t xml:space="preserve">. The error term </w:t>
      </w:r>
      <w:r w:rsidR="00026F97" w:rsidRPr="00B71F92">
        <w:rPr>
          <w:position w:val="-12"/>
        </w:rPr>
        <w:object w:dxaOrig="240" w:dyaOrig="360" w14:anchorId="32130CBE">
          <v:shape id="_x0000_i1039" type="#_x0000_t75" alt="P89#yIS5" style="width:12.45pt;height:18pt" o:ole="" o:preferrelative="f">
            <v:imagedata r:id="rId37" o:title=""/>
            <o:lock v:ext="edit" aspectratio="f"/>
          </v:shape>
          <o:OLEObject Type="Embed" ProgID="Equation.DSMT4" ShapeID="_x0000_i1039" DrawAspect="Content" ObjectID="_1815996844" r:id="rId39"/>
        </w:object>
      </w:r>
      <w:r w:rsidR="0087477A" w:rsidRPr="00B71F92">
        <w:t xml:space="preserve"> is also</w:t>
      </w:r>
      <w:r w:rsidRPr="00B71F92">
        <w:t xml:space="preserve"> assumed to be independent and identically distributed across all </w:t>
      </w:r>
      <w:r w:rsidR="00BA4075" w:rsidRPr="00B71F92">
        <w:t>respondents</w:t>
      </w:r>
      <w:r w:rsidRPr="00B71F92">
        <w:t xml:space="preserve"> in the sample. </w:t>
      </w:r>
      <w:r w:rsidR="00B17C4D" w:rsidRPr="00B71F92">
        <w:t>As in the usual discrete choice formulation, t</w:t>
      </w:r>
      <w:r w:rsidRPr="00B71F92">
        <w:t xml:space="preserve">he actual underlying latent propensities </w:t>
      </w:r>
      <w:r w:rsidR="00026F97" w:rsidRPr="00B71F92">
        <w:rPr>
          <w:position w:val="-12"/>
        </w:rPr>
        <w:object w:dxaOrig="460" w:dyaOrig="380" w14:anchorId="1D60D16F">
          <v:shape id="_x0000_i1040" type="#_x0000_t75" style="width:23.15pt;height:18.45pt" o:ole="" o:preferrelative="f">
            <v:imagedata r:id="rId22" o:title=""/>
            <o:lock v:ext="edit" aspectratio="f"/>
          </v:shape>
          <o:OLEObject Type="Embed" ProgID="Equation.DSMT4" ShapeID="_x0000_i1040" DrawAspect="Content" ObjectID="_1815996845" r:id="rId40"/>
        </w:object>
      </w:r>
      <w:r w:rsidRPr="00B71F92">
        <w:t xml:space="preserve"> are not </w:t>
      </w:r>
      <w:r w:rsidR="00DB5CC5" w:rsidRPr="00B71F92">
        <w:t>observable</w:t>
      </w:r>
      <w:r w:rsidRPr="00B71F92">
        <w:t xml:space="preserve"> in the sample. </w:t>
      </w:r>
      <w:r w:rsidR="00DB5CC5" w:rsidRPr="00B71F92">
        <w:t>Rather</w:t>
      </w:r>
      <w:r w:rsidRPr="00B71F92">
        <w:t xml:space="preserve">, only the binary responses </w:t>
      </w:r>
      <w:r w:rsidR="00026F97" w:rsidRPr="00B71F92">
        <w:rPr>
          <w:position w:val="-12"/>
        </w:rPr>
        <w:object w:dxaOrig="620" w:dyaOrig="360" w14:anchorId="264F5469">
          <v:shape id="_x0000_i1041" type="#_x0000_t75" style="width:30.85pt;height:18pt" o:ole="" o:preferrelative="f">
            <v:imagedata r:id="rId41" o:title=""/>
            <o:lock v:ext="edit" aspectratio="f"/>
          </v:shape>
          <o:OLEObject Type="Embed" ProgID="Equation.DSMT4" ShapeID="_x0000_i1041" DrawAspect="Content" ObjectID="_1815996846" r:id="rId42"/>
        </w:object>
      </w:r>
      <w:r w:rsidRPr="00B71F92">
        <w:t xml:space="preserve"> (for </w:t>
      </w:r>
      <w:r w:rsidR="00026F97" w:rsidRPr="00B71F92">
        <w:rPr>
          <w:position w:val="-12"/>
        </w:rPr>
        <w:object w:dxaOrig="660" w:dyaOrig="380" w14:anchorId="4C6605C1">
          <v:shape id="_x0000_i1042" type="#_x0000_t75" style="width:33pt;height:19.7pt" o:ole="">
            <v:imagedata r:id="rId43" o:title=""/>
          </v:shape>
          <o:OLEObject Type="Embed" ProgID="Equation.DSMT4" ShapeID="_x0000_i1042" DrawAspect="Content" ObjectID="_1815996847" r:id="rId44"/>
        </w:object>
      </w:r>
      <w:r w:rsidRPr="00B71F92">
        <w:t xml:space="preserve">) and </w:t>
      </w:r>
      <w:r w:rsidR="00026F97" w:rsidRPr="00B71F92">
        <w:rPr>
          <w:position w:val="-12"/>
        </w:rPr>
        <w:object w:dxaOrig="580" w:dyaOrig="360" w14:anchorId="00F78D24">
          <v:shape id="_x0000_i1043" type="#_x0000_t75" style="width:28.7pt;height:17.55pt" o:ole="">
            <v:imagedata r:id="rId45" o:title=""/>
          </v:shape>
          <o:OLEObject Type="Embed" ProgID="Equation.DSMT4" ShapeID="_x0000_i1043" DrawAspect="Content" ObjectID="_1815996848" r:id="rId46"/>
        </w:object>
      </w:r>
      <w:r w:rsidRPr="00B71F92">
        <w:t xml:space="preserve"> (for </w:t>
      </w:r>
      <w:r w:rsidR="00026F97" w:rsidRPr="00B71F92">
        <w:rPr>
          <w:position w:val="-12"/>
        </w:rPr>
        <w:object w:dxaOrig="660" w:dyaOrig="380" w14:anchorId="33EE5141">
          <v:shape id="_x0000_i1044" type="#_x0000_t75" style="width:33pt;height:19.7pt" o:ole="">
            <v:imagedata r:id="rId47" o:title=""/>
          </v:shape>
          <o:OLEObject Type="Embed" ProgID="Equation.DSMT4" ShapeID="_x0000_i1044" DrawAspect="Content" ObjectID="_1815996849" r:id="rId48"/>
        </w:object>
      </w:r>
      <w:r w:rsidRPr="00B71F92">
        <w:t xml:space="preserve">) are observed. Thus, if we </w:t>
      </w:r>
      <w:r w:rsidR="00DB5CC5" w:rsidRPr="00B71F92">
        <w:t>define</w:t>
      </w:r>
      <w:r w:rsidRPr="00B71F92">
        <w:t xml:space="preserve"> </w:t>
      </w:r>
      <w:r w:rsidR="00026F97" w:rsidRPr="00B71F92">
        <w:rPr>
          <w:position w:val="-12"/>
        </w:rPr>
        <w:object w:dxaOrig="279" w:dyaOrig="360" w14:anchorId="58B006C6">
          <v:shape id="_x0000_i1045" type="#_x0000_t75" style="width:13.7pt;height:18pt" o:ole="" o:preferrelative="f">
            <v:imagedata r:id="rId49" o:title=""/>
            <o:lock v:ext="edit" aspectratio="f"/>
          </v:shape>
          <o:OLEObject Type="Embed" ProgID="Equation.DSMT4" ShapeID="_x0000_i1045" DrawAspect="Content" ObjectID="_1815996850" r:id="rId50"/>
        </w:object>
      </w:r>
      <w:r w:rsidRPr="00B71F92">
        <w:t xml:space="preserve"> (</w:t>
      </w:r>
      <w:r w:rsidR="00026F97" w:rsidRPr="00B71F92">
        <w:rPr>
          <w:position w:val="-12"/>
        </w:rPr>
        <w:object w:dxaOrig="980" w:dyaOrig="360" w14:anchorId="7400CF4D">
          <v:shape id="_x0000_i1046" type="#_x0000_t75" style="width:48.85pt;height:18pt" o:ole="" o:preferrelative="f">
            <v:imagedata r:id="rId51" o:title=""/>
            <o:lock v:ext="edit" aspectratio="f"/>
          </v:shape>
          <o:OLEObject Type="Embed" ProgID="Equation.DSMT4" ShapeID="_x0000_i1046" DrawAspect="Content" ObjectID="_1815996851" r:id="rId52"/>
        </w:object>
      </w:r>
      <w:r w:rsidRPr="00B71F92">
        <w:t xml:space="preserve">) as the </w:t>
      </w:r>
      <w:r w:rsidR="00DB5CC5" w:rsidRPr="00B71F92">
        <w:t>actual</w:t>
      </w:r>
      <w:r w:rsidRPr="00B71F92">
        <w:t xml:space="preserve"> </w:t>
      </w:r>
      <w:r w:rsidR="00A046F3" w:rsidRPr="00B71F92">
        <w:t>selected</w:t>
      </w:r>
      <w:r w:rsidRPr="00B71F92">
        <w:t xml:space="preserve"> alternative for outcome </w:t>
      </w:r>
      <w:r w:rsidR="00026F97" w:rsidRPr="00B71F92">
        <w:rPr>
          <w:position w:val="-6"/>
        </w:rPr>
        <w:object w:dxaOrig="139" w:dyaOrig="260" w14:anchorId="5E1DBEBF">
          <v:shape id="_x0000_i1047" type="#_x0000_t75" style="width:7.3pt;height:12.85pt" o:ole="" o:preferrelative="f">
            <v:imagedata r:id="rId53" o:title=""/>
            <o:lock v:ext="edit" aspectratio="f"/>
          </v:shape>
          <o:OLEObject Type="Embed" ProgID="Equation.DSMT4" ShapeID="_x0000_i1047" DrawAspect="Content" ObjectID="_1815996852" r:id="rId54"/>
        </w:object>
      </w:r>
      <w:r w:rsidRPr="00B71F92">
        <w:t xml:space="preserve">, then each individual can be assumed to select </w:t>
      </w:r>
      <w:r w:rsidR="00026F97" w:rsidRPr="00B71F92">
        <w:rPr>
          <w:position w:val="-12"/>
        </w:rPr>
        <w:object w:dxaOrig="720" w:dyaOrig="360" w14:anchorId="362B964E">
          <v:shape id="_x0000_i1048" type="#_x0000_t75" style="width:36pt;height:18pt" o:ole="">
            <v:imagedata r:id="rId55" o:title=""/>
          </v:shape>
          <o:OLEObject Type="Embed" ProgID="Equation.DSMT4" ShapeID="_x0000_i1048" DrawAspect="Content" ObjectID="_1815996853" r:id="rId56"/>
        </w:object>
      </w:r>
      <w:r w:rsidR="00026F97">
        <w:t xml:space="preserve"> </w:t>
      </w:r>
      <w:r w:rsidRPr="00B71F92">
        <w:t xml:space="preserve">if </w:t>
      </w:r>
      <w:r w:rsidR="00026F97" w:rsidRPr="00B71F92">
        <w:rPr>
          <w:position w:val="-12"/>
        </w:rPr>
        <w:object w:dxaOrig="1579" w:dyaOrig="380" w14:anchorId="4131FDE9">
          <v:shape id="_x0000_i1049" type="#_x0000_t75" style="width:79.3pt;height:19.3pt" o:ole="">
            <v:imagedata r:id="rId57" o:title=""/>
          </v:shape>
          <o:OLEObject Type="Embed" ProgID="Equation.DSMT4" ShapeID="_x0000_i1049" DrawAspect="Content" ObjectID="_1815996854" r:id="rId58"/>
        </w:object>
      </w:r>
      <w:r w:rsidRPr="00B71F92">
        <w:t xml:space="preserve"> for </w:t>
      </w:r>
      <w:r w:rsidR="00026F97" w:rsidRPr="00B71F92">
        <w:rPr>
          <w:position w:val="-6"/>
        </w:rPr>
        <w:object w:dxaOrig="920" w:dyaOrig="320" w14:anchorId="35E6A9BD">
          <v:shape id="_x0000_i1050" type="#_x0000_t75" style="width:45.85pt;height:15.85pt" o:ole="" o:preferrelative="f">
            <v:imagedata r:id="rId59" o:title=""/>
            <o:lock v:ext="edit" aspectratio="f"/>
          </v:shape>
          <o:OLEObject Type="Embed" ProgID="Equation.DSMT4" ShapeID="_x0000_i1050" DrawAspect="Content" ObjectID="_1815996855" r:id="rId60"/>
        </w:object>
      </w:r>
      <w:r w:rsidRPr="00B71F92">
        <w:t xml:space="preserve">, </w:t>
      </w:r>
      <w:r w:rsidR="00026F97" w:rsidRPr="00B71F92">
        <w:rPr>
          <w:position w:val="-6"/>
        </w:rPr>
        <w:object w:dxaOrig="660" w:dyaOrig="320" w14:anchorId="6D0A862F">
          <v:shape id="_x0000_i1051" type="#_x0000_t75" style="width:33.45pt;height:15.85pt" o:ole="" o:preferrelative="f">
            <v:imagedata r:id="rId61" o:title=""/>
            <o:lock v:ext="edit" aspectratio="f"/>
          </v:shape>
          <o:OLEObject Type="Embed" ProgID="Equation.DSMT4" ShapeID="_x0000_i1051" DrawAspect="Content" ObjectID="_1815996856" r:id="rId62"/>
        </w:object>
      </w:r>
      <w:r w:rsidRPr="00B71F92">
        <w:t xml:space="preserve">, and </w:t>
      </w:r>
      <w:r w:rsidR="00026F97" w:rsidRPr="00B71F92">
        <w:rPr>
          <w:position w:val="-6"/>
        </w:rPr>
        <w:object w:dxaOrig="700" w:dyaOrig="320" w14:anchorId="47CAA0B3">
          <v:shape id="_x0000_i1052" type="#_x0000_t75" style="width:35.15pt;height:15.85pt" o:ole="" o:preferrelative="f">
            <v:imagedata r:id="rId63" o:title=""/>
            <o:lock v:ext="edit" aspectratio="f"/>
          </v:shape>
          <o:OLEObject Type="Embed" ProgID="Equation.DSMT4" ShapeID="_x0000_i1052" DrawAspect="Content" ObjectID="_1815996857" r:id="rId64"/>
        </w:object>
      </w:r>
      <w:r w:rsidRPr="00B71F92">
        <w:t xml:space="preserve">. </w:t>
      </w:r>
    </w:p>
    <w:p w14:paraId="1BB25565" w14:textId="68114D9E" w:rsidR="008E0F97" w:rsidRPr="00B71F92" w:rsidRDefault="008E0F97" w:rsidP="00026F97">
      <w:pPr>
        <w:spacing w:after="0" w:line="240" w:lineRule="auto"/>
        <w:ind w:firstLine="720"/>
        <w:jc w:val="both"/>
      </w:pPr>
      <w:r w:rsidRPr="00B71F92">
        <w:t xml:space="preserve">Next, to </w:t>
      </w:r>
      <w:r w:rsidR="00A046F3" w:rsidRPr="00B71F92">
        <w:t>address</w:t>
      </w:r>
      <w:r w:rsidRPr="00B71F92">
        <w:t xml:space="preserve"> the joint nature of the model, the error vector </w:t>
      </w:r>
      <w:r w:rsidR="00026F97" w:rsidRPr="00B71F92">
        <w:rPr>
          <w:position w:val="-12"/>
        </w:rPr>
        <w:object w:dxaOrig="1740" w:dyaOrig="360" w14:anchorId="4383D4F5">
          <v:shape id="_x0000_i1053" type="#_x0000_t75" style="width:87pt;height:18pt" o:ole="" o:preferrelative="f">
            <v:imagedata r:id="rId65" o:title=""/>
            <o:lock v:ext="edit" aspectratio="f"/>
          </v:shape>
          <o:OLEObject Type="Embed" ProgID="Equation.DSMT4" ShapeID="_x0000_i1053" DrawAspect="Content" ObjectID="_1815996858" r:id="rId66"/>
        </w:object>
      </w:r>
      <w:r w:rsidRPr="00B71F92">
        <w:t xml:space="preserve"> is assumed </w:t>
      </w:r>
      <w:r w:rsidR="001B3F16" w:rsidRPr="00B71F92">
        <w:t xml:space="preserve">to </w:t>
      </w:r>
      <w:r w:rsidR="00A046F3" w:rsidRPr="00B71F92">
        <w:t>follow</w:t>
      </w:r>
      <w:r w:rsidRPr="00B71F92">
        <w:t xml:space="preserve"> </w:t>
      </w:r>
      <w:r w:rsidR="001B3F16" w:rsidRPr="00B71F92">
        <w:t xml:space="preserve">a </w:t>
      </w:r>
      <w:r w:rsidRPr="00B71F92">
        <w:t xml:space="preserve">multivariate normal </w:t>
      </w:r>
      <w:r w:rsidR="00A046F3" w:rsidRPr="00B71F92">
        <w:t>distribution</w:t>
      </w:r>
      <w:r w:rsidRPr="00B71F92">
        <w:t xml:space="preserve"> with a mean vector of zeros and a general correlation matrix given by:</w:t>
      </w:r>
    </w:p>
    <w:p w14:paraId="6B771EBC" w14:textId="6C4B3EF5" w:rsidR="008E0F97" w:rsidRPr="00B71F92" w:rsidRDefault="00026F97" w:rsidP="00980C71">
      <w:pPr>
        <w:pStyle w:val="MTDisplayEquation"/>
        <w:spacing w:before="160" w:after="160"/>
      </w:pPr>
      <w:r w:rsidRPr="00B71F92">
        <w:rPr>
          <w:position w:val="-86"/>
        </w:rPr>
        <w:object w:dxaOrig="3080" w:dyaOrig="1840" w14:anchorId="338DA45B">
          <v:shape id="_x0000_i1054" type="#_x0000_t75" style="width:154.3pt;height:92.55pt" o:ole="">
            <v:imagedata r:id="rId67" o:title=""/>
          </v:shape>
          <o:OLEObject Type="Embed" ProgID="Equation.DSMT4" ShapeID="_x0000_i1054" DrawAspect="Content" ObjectID="_1815996859" r:id="rId68"/>
        </w:object>
      </w:r>
      <w:r w:rsidR="008E0F97" w:rsidRPr="00B71F92">
        <w:t>.</w:t>
      </w:r>
      <w:r w:rsidR="008E0F97" w:rsidRPr="00B71F92">
        <w:tab/>
      </w:r>
      <w:r w:rsidR="008E0F97" w:rsidRPr="00B71F92">
        <w:tab/>
      </w:r>
      <w:r w:rsidR="008E0F97" w:rsidRPr="00B71F92">
        <w:fldChar w:fldCharType="begin"/>
      </w:r>
      <w:r w:rsidR="008E0F97" w:rsidRPr="00B71F92">
        <w:instrText xml:space="preserve"> MACROBUTTON MTPlaceRef \* MERGEFORMAT </w:instrText>
      </w:r>
      <w:r w:rsidR="008E0F97" w:rsidRPr="00B71F92">
        <w:fldChar w:fldCharType="begin"/>
      </w:r>
      <w:r w:rsidR="008E0F97" w:rsidRPr="00B71F92">
        <w:instrText xml:space="preserve"> SEQ MTEqn \h \* MERGEFORMAT </w:instrText>
      </w:r>
      <w:r w:rsidR="008E0F97" w:rsidRPr="00B71F92">
        <w:fldChar w:fldCharType="end"/>
      </w:r>
      <w:r w:rsidR="008E0F97" w:rsidRPr="00B71F92">
        <w:instrText>(</w:instrText>
      </w:r>
      <w:r w:rsidR="00E435BB">
        <w:fldChar w:fldCharType="begin"/>
      </w:r>
      <w:r w:rsidR="00E435BB">
        <w:instrText xml:space="preserve"> SEQ MTEqn \c \* Arabic \*</w:instrText>
      </w:r>
      <w:r w:rsidR="00E435BB">
        <w:instrText xml:space="preserve"> MERGEFORMAT </w:instrText>
      </w:r>
      <w:r w:rsidR="00E435BB">
        <w:fldChar w:fldCharType="separate"/>
      </w:r>
      <w:r w:rsidR="00715A2D" w:rsidRPr="00B71F92">
        <w:instrText>2</w:instrText>
      </w:r>
      <w:r w:rsidR="00E435BB">
        <w:fldChar w:fldCharType="end"/>
      </w:r>
      <w:r w:rsidR="008E0F97" w:rsidRPr="00B71F92">
        <w:instrText>)</w:instrText>
      </w:r>
      <w:r w:rsidR="008E0F97" w:rsidRPr="00B71F92">
        <w:fldChar w:fldCharType="end"/>
      </w:r>
    </w:p>
    <w:p w14:paraId="53E309F5" w14:textId="53D569E3" w:rsidR="008E0F97" w:rsidRPr="00B71F92" w:rsidRDefault="008E0F97" w:rsidP="008E0F97">
      <w:pPr>
        <w:spacing w:after="0" w:line="240" w:lineRule="auto"/>
        <w:jc w:val="both"/>
      </w:pPr>
      <w:r w:rsidRPr="00B71F92">
        <w:t xml:space="preserve">The off-diagonal </w:t>
      </w:r>
      <w:r w:rsidR="00A046F3" w:rsidRPr="00B71F92">
        <w:t>elements</w:t>
      </w:r>
      <w:r w:rsidRPr="00B71F92">
        <w:t xml:space="preserve"> </w:t>
      </w:r>
      <w:r w:rsidR="00026F97" w:rsidRPr="00B71F92">
        <w:rPr>
          <w:position w:val="-14"/>
        </w:rPr>
        <w:object w:dxaOrig="300" w:dyaOrig="380" w14:anchorId="5BE6F95E">
          <v:shape id="_x0000_i1055" type="#_x0000_t75" alt="P93#yIS2" style="width:15pt;height:18.45pt" o:ole="" o:preferrelative="f">
            <v:imagedata r:id="rId69" o:title=""/>
            <o:lock v:ext="edit" aspectratio="f"/>
          </v:shape>
          <o:OLEObject Type="Embed" ProgID="Equation.DSMT4" ShapeID="_x0000_i1055" DrawAspect="Content" ObjectID="_1815996860" r:id="rId70"/>
        </w:object>
      </w:r>
      <w:r w:rsidRPr="00B71F92">
        <w:t xml:space="preserve"> within the correlation matrix </w:t>
      </w:r>
      <w:r w:rsidR="00026F97" w:rsidRPr="00B71F92">
        <w:rPr>
          <w:position w:val="-4"/>
        </w:rPr>
        <w:object w:dxaOrig="240" w:dyaOrig="260" w14:anchorId="46F981D6">
          <v:shape id="_x0000_i1056" type="#_x0000_t75" alt="P93#yIS1" style="width:12.45pt;height:12.85pt" o:ole="" o:preferrelative="f">
            <v:imagedata r:id="rId71" o:title=""/>
            <o:lock v:ext="edit" aspectratio="f"/>
          </v:shape>
          <o:OLEObject Type="Embed" ProgID="Equation.DSMT4" ShapeID="_x0000_i1056" DrawAspect="Content" ObjectID="_1815996861" r:id="rId72"/>
        </w:object>
      </w:r>
      <w:r w:rsidRPr="00B71F92">
        <w:t xml:space="preserve"> capture error correlations among the underlying latent propensities of the </w:t>
      </w:r>
      <w:r w:rsidR="00026F97" w:rsidRPr="00B71F92">
        <w:rPr>
          <w:position w:val="-4"/>
        </w:rPr>
        <w:object w:dxaOrig="200" w:dyaOrig="260" w14:anchorId="53EAC107">
          <v:shape id="_x0000_i1057" type="#_x0000_t75" style="width:9.85pt;height:12.85pt" o:ole="" o:preferrelative="f">
            <v:imagedata r:id="rId73" o:title=""/>
            <o:lock v:ext="edit" aspectratio="f"/>
          </v:shape>
          <o:OLEObject Type="Embed" ProgID="Equation.DSMT4" ShapeID="_x0000_i1057" DrawAspect="Content" ObjectID="_1815996862" r:id="rId74"/>
        </w:object>
      </w:r>
      <w:r w:rsidR="00A80ED7" w:rsidRPr="00B71F92">
        <w:t xml:space="preserve"> </w:t>
      </w:r>
      <w:r w:rsidRPr="00B71F92">
        <w:t xml:space="preserve">endogenous outcomes. These correlations </w:t>
      </w:r>
      <w:r w:rsidR="00851590" w:rsidRPr="00B71F92">
        <w:t xml:space="preserve">account for </w:t>
      </w:r>
      <w:r w:rsidRPr="00B71F92">
        <w:t xml:space="preserve">the presence of unobserved </w:t>
      </w:r>
      <w:r w:rsidR="00851590" w:rsidRPr="00B71F92">
        <w:t>factors</w:t>
      </w:r>
      <w:r w:rsidRPr="00B71F92">
        <w:t xml:space="preserve"> that</w:t>
      </w:r>
      <w:r w:rsidR="00A80ED7" w:rsidRPr="00B71F92">
        <w:t xml:space="preserve"> may</w:t>
      </w:r>
      <w:r w:rsidRPr="00B71F92">
        <w:t xml:space="preserve"> </w:t>
      </w:r>
      <w:r w:rsidR="00851590" w:rsidRPr="00B71F92">
        <w:t>simultaneously</w:t>
      </w:r>
      <w:r w:rsidRPr="00B71F92">
        <w:t xml:space="preserve"> influence multiple outcomes. </w:t>
      </w:r>
      <w:r w:rsidR="00A80ED7" w:rsidRPr="00B71F92">
        <w:t>Next,</w:t>
      </w:r>
      <w:r w:rsidRPr="00B71F92">
        <w:t xml:space="preserve"> stack the </w:t>
      </w:r>
      <w:r w:rsidR="00026F97" w:rsidRPr="00B71F92">
        <w:rPr>
          <w:position w:val="-4"/>
        </w:rPr>
        <w:object w:dxaOrig="200" w:dyaOrig="260" w14:anchorId="6CF6BDCA">
          <v:shape id="_x0000_i1058" type="#_x0000_t75" style="width:9.85pt;height:12.85pt" o:ole="" o:preferrelative="f">
            <v:imagedata r:id="rId73" o:title=""/>
            <o:lock v:ext="edit" aspectratio="f"/>
          </v:shape>
          <o:OLEObject Type="Embed" ProgID="Equation.DSMT4" ShapeID="_x0000_i1058" DrawAspect="Content" ObjectID="_1815996863" r:id="rId75"/>
        </w:object>
      </w:r>
      <w:r w:rsidRPr="00B71F92">
        <w:t xml:space="preserve"> lower thresholds for each decision maker into a vector </w:t>
      </w:r>
      <w:r w:rsidR="00026F97" w:rsidRPr="00B71F92">
        <w:rPr>
          <w:position w:val="-12"/>
        </w:rPr>
        <w:object w:dxaOrig="2940" w:dyaOrig="380" w14:anchorId="50DBE06C">
          <v:shape id="_x0000_i1059" type="#_x0000_t75" style="width:147pt;height:18.45pt" o:ole="" o:preferrelative="f">
            <v:imagedata r:id="rId76" o:title=""/>
            <o:lock v:ext="edit" aspectratio="f"/>
          </v:shape>
          <o:OLEObject Type="Embed" ProgID="Equation.DSMT4" ShapeID="_x0000_i1059" DrawAspect="Content" ObjectID="_1815996864" r:id="rId77"/>
        </w:object>
      </w:r>
      <w:r w:rsidRPr="00B71F92">
        <w:t xml:space="preserve"> and the </w:t>
      </w:r>
      <w:r w:rsidR="00026F97" w:rsidRPr="00B71F92">
        <w:rPr>
          <w:position w:val="-4"/>
        </w:rPr>
        <w:object w:dxaOrig="200" w:dyaOrig="260" w14:anchorId="3FD79A82">
          <v:shape id="_x0000_i1060" type="#_x0000_t75" style="width:9.85pt;height:12.85pt" o:ole="" o:preferrelative="f">
            <v:imagedata r:id="rId73" o:title=""/>
            <o:lock v:ext="edit" aspectratio="f"/>
          </v:shape>
          <o:OLEObject Type="Embed" ProgID="Equation.DSMT4" ShapeID="_x0000_i1060" DrawAspect="Content" ObjectID="_1815996865" r:id="rId78"/>
        </w:object>
      </w:r>
      <w:r w:rsidRPr="00B71F92">
        <w:t xml:space="preserve"> upper thresholds for each decision maker into a vector </w:t>
      </w:r>
      <w:r w:rsidR="00026F97" w:rsidRPr="00B71F92">
        <w:rPr>
          <w:position w:val="-14"/>
        </w:rPr>
        <w:object w:dxaOrig="2480" w:dyaOrig="400" w14:anchorId="379B310E">
          <v:shape id="_x0000_i1061" type="#_x0000_t75" style="width:123.85pt;height:20.15pt" o:ole="" o:preferrelative="f">
            <v:imagedata r:id="rId79" o:title=""/>
            <o:lock v:ext="edit" aspectratio="f"/>
          </v:shape>
          <o:OLEObject Type="Embed" ProgID="Equation.DSMT4" ShapeID="_x0000_i1061" DrawAspect="Content" ObjectID="_1815996866" r:id="rId80"/>
        </w:object>
      </w:r>
      <w:r w:rsidRPr="00B71F92">
        <w:t xml:space="preserve">. Also, stack the variables across the outcomes, such that </w:t>
      </w:r>
      <w:r w:rsidR="00026F97" w:rsidRPr="00B71F92">
        <w:rPr>
          <w:position w:val="-12"/>
        </w:rPr>
        <w:object w:dxaOrig="1860" w:dyaOrig="380" w14:anchorId="57B5B1FD">
          <v:shape id="_x0000_i1062" type="#_x0000_t75" style="width:93pt;height:18.45pt" o:ole="" o:preferrelative="f">
            <v:imagedata r:id="rId81" o:title=""/>
            <o:lock v:ext="edit" aspectratio="f"/>
          </v:shape>
          <o:OLEObject Type="Embed" ProgID="Equation.DSMT4" ShapeID="_x0000_i1062" DrawAspect="Content" ObjectID="_1815996867" r:id="rId82"/>
        </w:object>
      </w:r>
      <w:r w:rsidRPr="00B71F92">
        <w:t xml:space="preserve"> and </w:t>
      </w:r>
      <w:r w:rsidR="00026F97" w:rsidRPr="00B71F92">
        <w:rPr>
          <w:position w:val="-12"/>
        </w:rPr>
        <w:object w:dxaOrig="1740" w:dyaOrig="360" w14:anchorId="707A10D2">
          <v:shape id="_x0000_i1063" type="#_x0000_t75" style="width:87pt;height:18pt" o:ole="" o:preferrelative="f">
            <v:imagedata r:id="rId83" o:title=""/>
            <o:lock v:ext="edit" aspectratio="f"/>
          </v:shape>
          <o:OLEObject Type="Embed" ProgID="Equation.DSMT4" ShapeID="_x0000_i1063" DrawAspect="Content" ObjectID="_1815996868" r:id="rId84"/>
        </w:object>
      </w:r>
      <w:r w:rsidRPr="00B71F92">
        <w:t xml:space="preserve">. Note that, for </w:t>
      </w:r>
      <w:r w:rsidR="006571C7" w:rsidRPr="00B71F92">
        <w:t xml:space="preserve">the purposes of </w:t>
      </w:r>
      <w:r w:rsidRPr="00B71F92">
        <w:t xml:space="preserve">estimation, each of these vectors must be marginalized for all individuals </w:t>
      </w:r>
      <w:r w:rsidRPr="00B71F92">
        <w:lastRenderedPageBreak/>
        <w:t xml:space="preserve">without a complete set of outcomes to include only the single outcome indicating whether they had moved or not (all individuals who have not moved within two years will have </w:t>
      </w:r>
      <w:r w:rsidR="00026F97" w:rsidRPr="00B71F92">
        <w:rPr>
          <w:position w:val="-12"/>
        </w:rPr>
        <w:object w:dxaOrig="639" w:dyaOrig="360" w14:anchorId="15E4474C">
          <v:shape id="_x0000_i1064" type="#_x0000_t75" style="width:31.7pt;height:18pt" o:ole="" o:preferrelative="f">
            <v:imagedata r:id="rId85" o:title=""/>
            <o:lock v:ext="edit" aspectratio="f"/>
          </v:shape>
          <o:OLEObject Type="Embed" ProgID="Equation.DSMT4" ShapeID="_x0000_i1064" DrawAspect="Content" ObjectID="_1815996869" r:id="rId86"/>
        </w:object>
      </w:r>
      <w:r w:rsidRPr="00B71F92">
        <w:t xml:space="preserve"> and are not asked about the reasons for relocation, all others will have </w:t>
      </w:r>
      <w:r w:rsidR="00026F97" w:rsidRPr="00B71F92">
        <w:rPr>
          <w:position w:val="-12"/>
        </w:rPr>
        <w:object w:dxaOrig="600" w:dyaOrig="360" w14:anchorId="718FDD96">
          <v:shape id="_x0000_i1065" type="#_x0000_t75" style="width:30pt;height:18pt" o:ole="" o:preferrelative="f">
            <v:imagedata r:id="rId87" o:title=""/>
            <o:lock v:ext="edit" aspectratio="f"/>
          </v:shape>
          <o:OLEObject Type="Embed" ProgID="Equation.DSMT4" ShapeID="_x0000_i1065" DrawAspect="Content" ObjectID="_1815996870" r:id="rId88"/>
        </w:object>
      </w:r>
      <w:r w:rsidRPr="00B71F92">
        <w:t xml:space="preserve"> and a full set of </w:t>
      </w:r>
      <w:r w:rsidR="00650B16" w:rsidRPr="00B71F92">
        <w:t>twelve</w:t>
      </w:r>
      <w:r w:rsidRPr="00B71F92">
        <w:t xml:space="preserve"> total outcomes). Additionally, those individuals with only a single outcome will have a marginalized error vector consisting of a single standard normal error term with mean zero and standard deviation one. </w:t>
      </w:r>
    </w:p>
    <w:p w14:paraId="09EE4BB6" w14:textId="09C91C3C" w:rsidR="008E0F97" w:rsidRPr="00B71F92" w:rsidRDefault="008E0F97" w:rsidP="00026F97">
      <w:pPr>
        <w:spacing w:after="0" w:line="240" w:lineRule="auto"/>
        <w:ind w:firstLine="720"/>
        <w:jc w:val="both"/>
      </w:pPr>
      <w:r w:rsidRPr="00B71F92">
        <w:t>Then, in matrix form, latent propensities for the joint set of outcomes can be rewritten as:</w:t>
      </w:r>
    </w:p>
    <w:p w14:paraId="18D45156" w14:textId="034CE10F" w:rsidR="008E0F97" w:rsidRPr="00B71F92" w:rsidRDefault="008E0F97" w:rsidP="00980C71">
      <w:pPr>
        <w:pStyle w:val="MTDisplayEquation"/>
        <w:spacing w:before="160" w:after="160"/>
      </w:pPr>
      <w:r w:rsidRPr="00B71F92">
        <w:rPr>
          <w:position w:val="-12"/>
        </w:rPr>
        <w:object w:dxaOrig="1160" w:dyaOrig="380" w14:anchorId="3734BF6D">
          <v:shape id="_x0000_i1066" type="#_x0000_t75" style="width:59.55pt;height:18.45pt" o:ole="">
            <v:imagedata r:id="rId89" o:title=""/>
          </v:shape>
          <o:OLEObject Type="Embed" ProgID="Equation.DSMT4" ShapeID="_x0000_i1066" DrawAspect="Content" ObjectID="_1815996871" r:id="rId90"/>
        </w:object>
      </w:r>
      <w:r w:rsidRPr="00B71F92">
        <w:t xml:space="preserve">, </w:t>
      </w:r>
      <w:r w:rsidR="00026F97" w:rsidRPr="00B71F92">
        <w:rPr>
          <w:position w:val="-14"/>
        </w:rPr>
        <w:object w:dxaOrig="1400" w:dyaOrig="400" w14:anchorId="7DA07CDB">
          <v:shape id="_x0000_i1067" type="#_x0000_t75" style="width:69.85pt;height:20.15pt" o:ole="" o:preferrelative="f">
            <v:imagedata r:id="rId91" o:title=""/>
            <o:lock v:ext="edit" aspectratio="f"/>
          </v:shape>
          <o:OLEObject Type="Embed" ProgID="Equation.DSMT4" ShapeID="_x0000_i1067" DrawAspect="Content" ObjectID="_1815996872" r:id="rId92"/>
        </w:object>
      </w:r>
      <w:r w:rsidRPr="00B71F92">
        <w:t xml:space="preserve">, where </w:t>
      </w:r>
      <w:r w:rsidR="00026F97" w:rsidRPr="00B71F92">
        <w:rPr>
          <w:position w:val="-12"/>
        </w:rPr>
        <w:object w:dxaOrig="1880" w:dyaOrig="380" w14:anchorId="10E2C99C">
          <v:shape id="_x0000_i1068" type="#_x0000_t75" style="width:94.3pt;height:18.45pt" o:ole="" o:preferrelative="f">
            <v:imagedata r:id="rId93" o:title=""/>
            <o:lock v:ext="edit" aspectratio="f"/>
          </v:shape>
          <o:OLEObject Type="Embed" ProgID="Equation.DSMT4" ShapeID="_x0000_i1068" DrawAspect="Content" ObjectID="_1815996873" r:id="rId94"/>
        </w:object>
      </w:r>
      <w:r w:rsidRPr="00B71F92">
        <w:t>,</w:t>
      </w:r>
      <w:r w:rsidRPr="00B71F92">
        <w:tab/>
      </w:r>
      <w:r w:rsidRPr="00B71F92">
        <w:fldChar w:fldCharType="begin"/>
      </w:r>
      <w:r w:rsidRPr="00B71F92">
        <w:instrText xml:space="preserve"> MACROBUTTON MTPlaceRef \* MERGEFORMAT </w:instrText>
      </w:r>
      <w:r w:rsidRPr="00B71F92">
        <w:fldChar w:fldCharType="begin"/>
      </w:r>
      <w:r w:rsidRPr="00B71F92">
        <w:instrText xml:space="preserve"> SEQ MTEqn \h \* MERGEFORMAT </w:instrText>
      </w:r>
      <w:r w:rsidRPr="00B71F92">
        <w:fldChar w:fldCharType="end"/>
      </w:r>
      <w:r w:rsidRPr="00B71F92">
        <w:instrText>(</w:instrText>
      </w:r>
      <w:r w:rsidR="00E435BB">
        <w:fldChar w:fldCharType="begin"/>
      </w:r>
      <w:r w:rsidR="00E435BB">
        <w:instrText xml:space="preserve"> SEQ MTEqn \c \* Arabic \* MERGEFORMAT </w:instrText>
      </w:r>
      <w:r w:rsidR="00E435BB">
        <w:fldChar w:fldCharType="separate"/>
      </w:r>
      <w:r w:rsidR="00715A2D" w:rsidRPr="00B71F92">
        <w:instrText>3</w:instrText>
      </w:r>
      <w:r w:rsidR="00E435BB">
        <w:fldChar w:fldCharType="end"/>
      </w:r>
      <w:r w:rsidRPr="00B71F92">
        <w:instrText>)</w:instrText>
      </w:r>
      <w:r w:rsidRPr="00B71F92">
        <w:fldChar w:fldCharType="end"/>
      </w:r>
    </w:p>
    <w:p w14:paraId="71B0880B" w14:textId="6047BF59" w:rsidR="008E0F97" w:rsidRPr="00B71F92" w:rsidRDefault="008E0F97" w:rsidP="00026F97">
      <w:pPr>
        <w:spacing w:after="0" w:line="240" w:lineRule="auto"/>
        <w:jc w:val="both"/>
      </w:pPr>
      <w:r w:rsidRPr="00B71F92">
        <w:t xml:space="preserve">where </w:t>
      </w:r>
      <w:r w:rsidR="00026F97" w:rsidRPr="00B71F92">
        <w:rPr>
          <w:position w:val="-12"/>
        </w:rPr>
        <w:object w:dxaOrig="1400" w:dyaOrig="360" w14:anchorId="675D1673">
          <v:shape id="_x0000_i1069" type="#_x0000_t75" style="width:69.85pt;height:18pt" o:ole="">
            <v:imagedata r:id="rId95" o:title=""/>
          </v:shape>
          <o:OLEObject Type="Embed" ProgID="Equation.DSMT4" ShapeID="_x0000_i1069" DrawAspect="Content" ObjectID="_1815996874" r:id="rId96"/>
        </w:object>
      </w:r>
      <w:r w:rsidRPr="00B71F92">
        <w:t xml:space="preserve"> is the </w:t>
      </w:r>
      <w:r w:rsidR="00026F97" w:rsidRPr="00B71F92">
        <w:rPr>
          <w:position w:val="-4"/>
        </w:rPr>
        <w:object w:dxaOrig="200" w:dyaOrig="260" w14:anchorId="79331D21">
          <v:shape id="_x0000_i1070" type="#_x0000_t75" style="width:9.85pt;height:12.85pt" o:ole="">
            <v:imagedata r:id="rId73" o:title=""/>
          </v:shape>
          <o:OLEObject Type="Embed" ProgID="Equation.DSMT4" ShapeID="_x0000_i1070" DrawAspect="Content" ObjectID="_1815996875" r:id="rId97"/>
        </w:object>
      </w:r>
      <w:r w:rsidRPr="00B71F92">
        <w:t xml:space="preserve">-dimensional multivariate normal distribution with mean </w:t>
      </w:r>
      <w:r w:rsidR="00026F97" w:rsidRPr="00B71F92">
        <w:rPr>
          <w:position w:val="-10"/>
        </w:rPr>
        <w:object w:dxaOrig="380" w:dyaOrig="320" w14:anchorId="38F175A6">
          <v:shape id="_x0000_i1071" type="#_x0000_t75" style="width:18.85pt;height:15.85pt" o:ole="">
            <v:imagedata r:id="rId98" o:title=""/>
          </v:shape>
          <o:OLEObject Type="Embed" ProgID="Equation.DSMT4" ShapeID="_x0000_i1071" DrawAspect="Content" ObjectID="_1815996876" r:id="rId99"/>
        </w:object>
      </w:r>
      <w:r w:rsidRPr="00B71F92">
        <w:t xml:space="preserve"> and correlation matrix </w:t>
      </w:r>
      <w:r w:rsidR="00026F97" w:rsidRPr="00B71F92">
        <w:rPr>
          <w:position w:val="-4"/>
        </w:rPr>
        <w:object w:dxaOrig="240" w:dyaOrig="260" w14:anchorId="223B221F">
          <v:shape id="_x0000_i1072" type="#_x0000_t75" style="width:12.45pt;height:13.7pt" o:ole="">
            <v:imagedata r:id="rId100" o:title=""/>
          </v:shape>
          <o:OLEObject Type="Embed" ProgID="Equation.DSMT4" ShapeID="_x0000_i1072" DrawAspect="Content" ObjectID="_1815996877" r:id="rId101"/>
        </w:object>
      </w:r>
      <w:r w:rsidRPr="00B71F92">
        <w:t xml:space="preserve">.  Now, define a vector </w:t>
      </w:r>
      <w:r w:rsidR="00026F97" w:rsidRPr="00B71F92">
        <w:rPr>
          <w:position w:val="-6"/>
        </w:rPr>
        <w:object w:dxaOrig="200" w:dyaOrig="279" w14:anchorId="5198B74F">
          <v:shape id="_x0000_i1073" type="#_x0000_t75" style="width:10.3pt;height:14.55pt" o:ole="">
            <v:imagedata r:id="rId102" o:title=""/>
          </v:shape>
          <o:OLEObject Type="Embed" ProgID="Equation.DSMT4" ShapeID="_x0000_i1073" DrawAspect="Content" ObjectID="_1815996878" r:id="rId103"/>
        </w:object>
      </w:r>
      <w:r w:rsidRPr="00B71F92">
        <w:t xml:space="preserve"> that </w:t>
      </w:r>
      <w:r w:rsidR="00C714B5" w:rsidRPr="00B71F92">
        <w:t>contains</w:t>
      </w:r>
      <w:r w:rsidRPr="00B71F92">
        <w:t xml:space="preserve"> </w:t>
      </w:r>
      <w:r w:rsidR="00C714B5" w:rsidRPr="00B71F92">
        <w:t xml:space="preserve">all </w:t>
      </w:r>
      <w:r w:rsidRPr="00B71F92">
        <w:t xml:space="preserve">the parameters to be estimated: </w:t>
      </w:r>
      <w:r w:rsidR="00026F97" w:rsidRPr="00B71F92">
        <w:rPr>
          <w:position w:val="-26"/>
        </w:rPr>
        <w:object w:dxaOrig="3240" w:dyaOrig="740" w14:anchorId="6ABD2671">
          <v:shape id="_x0000_i1074" type="#_x0000_t75" style="width:162pt;height:37.3pt" o:ole="">
            <v:imagedata r:id="rId104" o:title=""/>
          </v:shape>
          <o:OLEObject Type="Embed" ProgID="Equation.DSMT4" ShapeID="_x0000_i1074" DrawAspect="Content" ObjectID="_1815996879" r:id="rId105"/>
        </w:object>
      </w:r>
      <w:r w:rsidRPr="00B71F92">
        <w:t xml:space="preserve"> where the operator “</w:t>
      </w:r>
      <w:proofErr w:type="spellStart"/>
      <w:r w:rsidRPr="00B71F92">
        <w:t>Vech</w:t>
      </w:r>
      <w:proofErr w:type="spellEnd"/>
      <w:r w:rsidRPr="00B71F92">
        <w:t xml:space="preserve">(.)” row-vectorizes all the non-zero elements of the matrix/vector on which it operates, and the operator </w:t>
      </w:r>
      <w:proofErr w:type="spellStart"/>
      <w:r w:rsidRPr="00B71F92">
        <w:t>Vechup</w:t>
      </w:r>
      <w:proofErr w:type="spellEnd"/>
      <w:r w:rsidRPr="00B71F92">
        <w:t xml:space="preserve">(.) row-vectorizes the upper diagonal elements of a matrix. Then, likelihood function </w:t>
      </w:r>
      <w:r w:rsidR="00EA0320" w:rsidRPr="00B71F92">
        <w:t xml:space="preserve">for the individual </w:t>
      </w:r>
      <w:r w:rsidRPr="00B71F92">
        <w:t>may be written as:</w:t>
      </w:r>
    </w:p>
    <w:p w14:paraId="78008502" w14:textId="77777777" w:rsidR="00980C71" w:rsidRDefault="00026F97" w:rsidP="00980C71">
      <w:pPr>
        <w:pStyle w:val="MTDisplayEquation"/>
        <w:spacing w:before="160" w:after="160"/>
      </w:pPr>
      <w:r w:rsidRPr="00B71F92">
        <w:rPr>
          <w:position w:val="-34"/>
        </w:rPr>
        <w:object w:dxaOrig="4400" w:dyaOrig="620" w14:anchorId="7578A799">
          <v:shape id="_x0000_i1075" type="#_x0000_t75" style="width:220.3pt;height:30.85pt" o:ole="">
            <v:imagedata r:id="rId106" o:title=""/>
          </v:shape>
          <o:OLEObject Type="Embed" ProgID="Equation.DSMT4" ShapeID="_x0000_i1075" DrawAspect="Content" ObjectID="_1815996880" r:id="rId107"/>
        </w:object>
      </w:r>
      <w:r w:rsidR="008E0F97" w:rsidRPr="00B71F92">
        <w:t>,</w:t>
      </w:r>
      <w:r w:rsidR="008E0F97" w:rsidRPr="00B71F92">
        <w:tab/>
      </w:r>
      <w:r w:rsidR="008E0F97" w:rsidRPr="00B71F92">
        <w:tab/>
      </w:r>
      <w:r w:rsidR="008E0F97" w:rsidRPr="00B71F92">
        <w:fldChar w:fldCharType="begin"/>
      </w:r>
      <w:r w:rsidR="008E0F97" w:rsidRPr="00B71F92">
        <w:instrText xml:space="preserve"> MACROBUTTON MTPlaceRef \* MERGEFORMAT </w:instrText>
      </w:r>
      <w:r w:rsidR="008E0F97" w:rsidRPr="00B71F92">
        <w:fldChar w:fldCharType="begin"/>
      </w:r>
      <w:r w:rsidR="008E0F97" w:rsidRPr="00B71F92">
        <w:instrText xml:space="preserve"> SEQ MTEqn \h \* MERGEFORMAT </w:instrText>
      </w:r>
      <w:r w:rsidR="008E0F97" w:rsidRPr="00B71F92">
        <w:fldChar w:fldCharType="end"/>
      </w:r>
      <w:r w:rsidR="008E0F97" w:rsidRPr="00B71F92">
        <w:instrText>(</w:instrText>
      </w:r>
      <w:r w:rsidR="00E435BB">
        <w:fldChar w:fldCharType="begin"/>
      </w:r>
      <w:r w:rsidR="00E435BB">
        <w:instrText xml:space="preserve"> SEQ MTEqn \c \* Arabic \* MERGEFORMAT </w:instrText>
      </w:r>
      <w:r w:rsidR="00E435BB">
        <w:fldChar w:fldCharType="separate"/>
      </w:r>
      <w:r w:rsidR="00715A2D" w:rsidRPr="00B71F92">
        <w:instrText>4</w:instrText>
      </w:r>
      <w:r w:rsidR="00E435BB">
        <w:fldChar w:fldCharType="end"/>
      </w:r>
      <w:r w:rsidR="008E0F97" w:rsidRPr="00B71F92">
        <w:instrText>)</w:instrText>
      </w:r>
      <w:r w:rsidR="008E0F97" w:rsidRPr="00B71F92">
        <w:fldChar w:fldCharType="end"/>
      </w:r>
    </w:p>
    <w:p w14:paraId="42F914A6" w14:textId="59E31745" w:rsidR="008E0F97" w:rsidRPr="00B71F92" w:rsidRDefault="008E0F97" w:rsidP="00980C71">
      <w:pPr>
        <w:pStyle w:val="MTDisplayEquation"/>
      </w:pPr>
      <w:r w:rsidRPr="00B71F92">
        <w:t xml:space="preserve">where the integration domain </w:t>
      </w:r>
      <w:r w:rsidR="00026F97" w:rsidRPr="00B71F92">
        <w:rPr>
          <w:position w:val="-14"/>
        </w:rPr>
        <w:object w:dxaOrig="2240" w:dyaOrig="380" w14:anchorId="30C27DA9">
          <v:shape id="_x0000_i1076" type="#_x0000_t75" style="width:112.3pt;height:19.3pt" o:ole="">
            <v:imagedata r:id="rId108" o:title=""/>
          </v:shape>
          <o:OLEObject Type="Embed" ProgID="Equation.DSMT4" ShapeID="_x0000_i1076" DrawAspect="Content" ObjectID="_1815996881" r:id="rId109"/>
        </w:object>
      </w:r>
      <w:r w:rsidRPr="00B71F92">
        <w:t xml:space="preserve"> is simply the multivariate region of the </w:t>
      </w:r>
      <w:r w:rsidR="00026F97" w:rsidRPr="00B71F92">
        <w:rPr>
          <w:position w:val="-12"/>
        </w:rPr>
        <w:object w:dxaOrig="279" w:dyaOrig="380" w14:anchorId="305B9795">
          <v:shape id="_x0000_i1077" type="#_x0000_t75" style="width:14.15pt;height:18.85pt" o:ole="">
            <v:imagedata r:id="rId110" o:title=""/>
          </v:shape>
          <o:OLEObject Type="Embed" ProgID="Equation.DSMT4" ShapeID="_x0000_i1077" DrawAspect="Content" ObjectID="_1815996882" r:id="rId111"/>
        </w:object>
      </w:r>
      <w:r w:rsidRPr="00B71F92">
        <w:t xml:space="preserve"> vector truncated by the upper and lower thresholds. </w:t>
      </w:r>
      <w:r w:rsidR="00026F97" w:rsidRPr="00B71F92">
        <w:rPr>
          <w:position w:val="-12"/>
        </w:rPr>
        <w:object w:dxaOrig="1240" w:dyaOrig="360" w14:anchorId="44D30B24">
          <v:shape id="_x0000_i1078" type="#_x0000_t75" style="width:60.45pt;height:18pt" o:ole="">
            <v:imagedata r:id="rId112" o:title=""/>
          </v:shape>
          <o:OLEObject Type="Embed" ProgID="Equation.DSMT4" ShapeID="_x0000_i1078" DrawAspect="Content" ObjectID="_1815996883" r:id="rId113"/>
        </w:object>
      </w:r>
      <w:r w:rsidRPr="00B71F92">
        <w:t xml:space="preserve"> is the </w:t>
      </w:r>
      <w:r w:rsidR="00026F97" w:rsidRPr="00B71F92">
        <w:rPr>
          <w:position w:val="-4"/>
        </w:rPr>
        <w:object w:dxaOrig="200" w:dyaOrig="260" w14:anchorId="6F5F4003">
          <v:shape id="_x0000_i1079" type="#_x0000_t75" style="width:9.85pt;height:12.85pt" o:ole="" o:preferrelative="f">
            <v:imagedata r:id="rId73" o:title=""/>
            <o:lock v:ext="edit" aspectratio="f"/>
          </v:shape>
          <o:OLEObject Type="Embed" ProgID="Equation.DSMT4" ShapeID="_x0000_i1079" DrawAspect="Content" ObjectID="_1815996884" r:id="rId114"/>
        </w:object>
      </w:r>
      <w:r w:rsidRPr="00B71F92">
        <w:t xml:space="preserve">-dimensional multivariate normal density function with a mean of </w:t>
      </w:r>
      <w:r w:rsidR="00026F97" w:rsidRPr="00B71F92">
        <w:rPr>
          <w:position w:val="-10"/>
        </w:rPr>
        <w:object w:dxaOrig="360" w:dyaOrig="320" w14:anchorId="3427AE6C">
          <v:shape id="_x0000_i1080" type="#_x0000_t75" style="width:18pt;height:15.85pt" o:ole="" o:preferrelative="f">
            <v:imagedata r:id="rId115" o:title=""/>
            <o:lock v:ext="edit" aspectratio="f"/>
          </v:shape>
          <o:OLEObject Type="Embed" ProgID="Equation.DSMT4" ShapeID="_x0000_i1080" DrawAspect="Content" ObjectID="_1815996885" r:id="rId116"/>
        </w:object>
      </w:r>
      <w:r w:rsidRPr="00B71F92">
        <w:t xml:space="preserve"> and a correlation matrix </w:t>
      </w:r>
      <w:r w:rsidR="00026F97" w:rsidRPr="00B71F92">
        <w:rPr>
          <w:position w:val="-4"/>
        </w:rPr>
        <w:object w:dxaOrig="240" w:dyaOrig="260" w14:anchorId="715B3E79">
          <v:shape id="_x0000_i1081" type="#_x0000_t75" style="width:12.45pt;height:13.7pt" o:ole="">
            <v:imagedata r:id="rId117" o:title=""/>
          </v:shape>
          <o:OLEObject Type="Embed" ProgID="Equation.DSMT4" ShapeID="_x0000_i1081" DrawAspect="Content" ObjectID="_1815996886" r:id="rId118"/>
        </w:object>
      </w:r>
      <w:r w:rsidRPr="00B71F92">
        <w:t xml:space="preserve">. The log-likelihood function for </w:t>
      </w:r>
      <w:r w:rsidR="00076B50" w:rsidRPr="00B71F92">
        <w:t>the entire</w:t>
      </w:r>
      <w:r w:rsidRPr="00B71F92">
        <w:t xml:space="preserve"> sample of </w:t>
      </w:r>
      <w:r w:rsidRPr="00B71F92">
        <w:rPr>
          <w:i/>
          <w:iCs/>
        </w:rPr>
        <w:t>Q</w:t>
      </w:r>
      <w:r w:rsidRPr="00B71F92">
        <w:t xml:space="preserve"> decision-makers is </w:t>
      </w:r>
      <w:r w:rsidR="00076B50" w:rsidRPr="00B71F92">
        <w:t xml:space="preserve">simply </w:t>
      </w:r>
      <w:r w:rsidRPr="00B71F92">
        <w:t>the sum of the individual-level log-likelihood functions</w:t>
      </w:r>
      <w:r w:rsidR="00DD05E6" w:rsidRPr="00B71F92">
        <w:t xml:space="preserve"> (where the contribution of the 7,577 respondents </w:t>
      </w:r>
      <w:r w:rsidR="00EE4896" w:rsidRPr="00B71F92">
        <w:t xml:space="preserve">who reported not moving </w:t>
      </w:r>
      <w:r w:rsidR="00DD05E6" w:rsidRPr="00B71F92">
        <w:t xml:space="preserve">is simply that corresponding to a simple binary </w:t>
      </w:r>
      <w:proofErr w:type="spellStart"/>
      <w:r w:rsidR="00DD05E6" w:rsidRPr="00B71F92">
        <w:t>probit</w:t>
      </w:r>
      <w:proofErr w:type="spellEnd"/>
      <w:r w:rsidR="00DD05E6" w:rsidRPr="00B71F92">
        <w:t xml:space="preserve"> model)</w:t>
      </w:r>
      <w:r w:rsidRPr="00B71F92">
        <w:t xml:space="preserve">. The integral in Equation (4) involves </w:t>
      </w:r>
      <w:r w:rsidR="00076B50" w:rsidRPr="00B71F92">
        <w:t xml:space="preserve">an integral of </w:t>
      </w:r>
      <w:r w:rsidRPr="00B71F92">
        <w:t>up to 1</w:t>
      </w:r>
      <w:r w:rsidR="00BE4C9A" w:rsidRPr="00B71F92">
        <w:t>2</w:t>
      </w:r>
      <w:r w:rsidR="00076B50" w:rsidRPr="00B71F92">
        <w:t xml:space="preserve"> </w:t>
      </w:r>
      <w:r w:rsidRPr="00B71F92">
        <w:t>dimension</w:t>
      </w:r>
      <w:r w:rsidR="00076B50" w:rsidRPr="00B71F92">
        <w:t>s</w:t>
      </w:r>
      <w:r w:rsidRPr="00B71F92">
        <w:t xml:space="preserve">, which is </w:t>
      </w:r>
      <w:r w:rsidR="007449C3" w:rsidRPr="00B71F92">
        <w:t>computed</w:t>
      </w:r>
      <w:r w:rsidRPr="00B71F92">
        <w:t xml:space="preserve"> using matrix-based analytic approximation approaches </w:t>
      </w:r>
      <w:r w:rsidRPr="00B71F92">
        <w:fldChar w:fldCharType="begin"/>
      </w:r>
      <w:r w:rsidRPr="00B71F92">
        <w:instrText xml:space="preserve"> ADDIN ZOTERO_ITEM CSL_CITATION {"citationID":"GLCDYNrs","properties":{"formattedCitation":"(Bhat, 2018)","plainCitation":"(Bhat, 2018)","dontUpdate":true,"noteIndex":0},"citationItems":[{"id":2026,"uris":["http://zotero.org/users/12832277/items/SHBDR4NL"],"itemData":{"id":2026,"type":"article-journal","abstract":"In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evaluation.","container-title":"Transportation Research Part B: Methodological","DOI":"10.1016/j.trb.2018.01.011","ISSN":"0191-2615","page":"238-256","source":"ScienceDirect","title":"New Matrix-Based Methods for the Analytic Evaluation of the Multivariate Cumulative Normal Distribution Function","volume":"109","author":[{"family":"Bhat","given":"Chandra R."}],"issued":{"date-parts":[["2018",3,1]]}}}],"schema":"https://github.com/citation-style-language/schema/raw/master/csl-citation.json"} </w:instrText>
      </w:r>
      <w:r w:rsidRPr="00B71F92">
        <w:fldChar w:fldCharType="separate"/>
      </w:r>
      <w:r w:rsidRPr="00B71F92">
        <w:t>(see Bhat, 2018)</w:t>
      </w:r>
      <w:r w:rsidRPr="00B71F92">
        <w:fldChar w:fldCharType="end"/>
      </w:r>
      <w:r w:rsidRPr="00B71F92">
        <w:t xml:space="preserve">. </w:t>
      </w:r>
    </w:p>
    <w:p w14:paraId="6AF474B8" w14:textId="77777777" w:rsidR="008404B6" w:rsidRPr="00B71F92" w:rsidRDefault="008404B6" w:rsidP="008404B6">
      <w:pPr>
        <w:shd w:val="clear" w:color="auto" w:fill="FFFFFF"/>
        <w:spacing w:after="0" w:line="240" w:lineRule="auto"/>
        <w:jc w:val="both"/>
      </w:pPr>
    </w:p>
    <w:p w14:paraId="3F2EAE34" w14:textId="77777777" w:rsidR="008404B6" w:rsidRPr="00B71F92" w:rsidRDefault="008404B6" w:rsidP="008404B6">
      <w:pPr>
        <w:spacing w:after="0" w:line="240" w:lineRule="auto"/>
        <w:jc w:val="both"/>
        <w:rPr>
          <w:b/>
          <w:bCs/>
        </w:rPr>
      </w:pPr>
      <w:r w:rsidRPr="00B71F92">
        <w:rPr>
          <w:b/>
          <w:bCs/>
        </w:rPr>
        <w:t>4. RESULTS</w:t>
      </w:r>
    </w:p>
    <w:p w14:paraId="6915A0CC" w14:textId="30EAB6BD" w:rsidR="008404B6" w:rsidRPr="00B71F92" w:rsidRDefault="00685B7A" w:rsidP="008404B6">
      <w:pPr>
        <w:spacing w:after="0" w:line="240" w:lineRule="auto"/>
        <w:jc w:val="both"/>
      </w:pPr>
      <w:r w:rsidRPr="00B71F92">
        <w:t>The final model specification</w:t>
      </w:r>
      <w:r w:rsidR="004B736D" w:rsidRPr="00B71F92">
        <w:t xml:space="preserve"> is shown in </w:t>
      </w:r>
      <w:r w:rsidR="00F17C79" w:rsidRPr="00B71F92">
        <w:t>Table</w:t>
      </w:r>
      <w:r w:rsidR="004B736D" w:rsidRPr="00B71F92">
        <w:t xml:space="preserve"> 3</w:t>
      </w:r>
      <w:r w:rsidR="00D96F68" w:rsidRPr="00B71F92">
        <w:t xml:space="preserve"> (a “</w:t>
      </w:r>
      <w:r w:rsidR="00026F97">
        <w:t>--</w:t>
      </w:r>
      <w:r w:rsidR="00D96F68" w:rsidRPr="00B71F92">
        <w:t>” entry in the table indicates that the row exogenous variable does not have a statistically significant impact on the column endogenous outcome)</w:t>
      </w:r>
      <w:r w:rsidR="004B736D" w:rsidRPr="00B71F92">
        <w:t xml:space="preserve">. The </w:t>
      </w:r>
      <w:r w:rsidR="000C1360" w:rsidRPr="00B71F92">
        <w:t xml:space="preserve">final model </w:t>
      </w:r>
      <w:r w:rsidR="004B736D" w:rsidRPr="00B71F92">
        <w:t xml:space="preserve">specification was developed based on an iterative process of testing various combinations of exogenous variables </w:t>
      </w:r>
      <w:r w:rsidR="00B72BEF" w:rsidRPr="00B71F92">
        <w:t xml:space="preserve">and </w:t>
      </w:r>
      <w:r w:rsidR="00473BA5" w:rsidRPr="00B71F92">
        <w:t xml:space="preserve">including </w:t>
      </w:r>
      <w:r w:rsidR="00B72BEF" w:rsidRPr="00B71F92">
        <w:t xml:space="preserve">variables in alternative forms based on statistical fit. </w:t>
      </w:r>
      <w:r w:rsidR="0086499D" w:rsidRPr="00B71F92">
        <w:t xml:space="preserve">Variables were included as categorical variables in their most disaggregate form available and systematically combined based on </w:t>
      </w:r>
      <w:r w:rsidR="00550ACE" w:rsidRPr="00B71F92">
        <w:t xml:space="preserve">statistical tests to develop a parsimonious specification. </w:t>
      </w:r>
      <w:r w:rsidR="001B7B69" w:rsidRPr="00B71F92">
        <w:t xml:space="preserve">Interaction effects among variables were also considered (such as the number of adults by gender combined with presence of children of different age groups). </w:t>
      </w:r>
      <w:r w:rsidR="00550ACE" w:rsidRPr="00B71F92">
        <w:t xml:space="preserve">A t-statistic threshold of 1.65 (corresponding to a 0.1 level of significance or a 90% confidence level) was used to </w:t>
      </w:r>
      <w:r w:rsidR="009D3322" w:rsidRPr="00B71F92">
        <w:t xml:space="preserve">retain variables in the model estimation process. </w:t>
      </w:r>
      <w:r w:rsidR="00CC7EDA" w:rsidRPr="00B71F92">
        <w:t xml:space="preserve">The remainder of this section describes the main estimation results (Section 4.1), the correlations </w:t>
      </w:r>
      <w:r w:rsidR="00446E1C" w:rsidRPr="00B71F92">
        <w:t xml:space="preserve">estimated in the model (Section 4.2), and the model fit (Section 4.3). </w:t>
      </w:r>
    </w:p>
    <w:p w14:paraId="77F37288" w14:textId="1A05C05B" w:rsidR="008404B6" w:rsidRDefault="008404B6" w:rsidP="008404B6">
      <w:pPr>
        <w:spacing w:after="0" w:line="240" w:lineRule="auto"/>
        <w:jc w:val="both"/>
        <w:rPr>
          <w:b/>
          <w:bCs/>
        </w:rPr>
      </w:pPr>
    </w:p>
    <w:p w14:paraId="240888A3" w14:textId="77777777" w:rsidR="008B6B35" w:rsidRDefault="008B6B35" w:rsidP="008404B6">
      <w:pPr>
        <w:spacing w:after="0" w:line="240" w:lineRule="auto"/>
        <w:jc w:val="both"/>
        <w:rPr>
          <w:b/>
          <w:bCs/>
        </w:rPr>
        <w:sectPr w:rsidR="008B6B35" w:rsidSect="00697EAB">
          <w:pgSz w:w="12240" w:h="15840"/>
          <w:pgMar w:top="1440" w:right="1440" w:bottom="1440" w:left="1440" w:header="720" w:footer="720" w:gutter="0"/>
          <w:cols w:space="720"/>
          <w:docGrid w:linePitch="360"/>
        </w:sectPr>
      </w:pPr>
    </w:p>
    <w:p w14:paraId="5ADE99DC" w14:textId="38584559" w:rsidR="008B6B35" w:rsidRPr="00B71F92" w:rsidRDefault="008B6B35" w:rsidP="002F5607">
      <w:pPr>
        <w:spacing w:after="120" w:line="240" w:lineRule="auto"/>
        <w:jc w:val="both"/>
        <w:rPr>
          <w:b/>
          <w:bCs/>
        </w:rPr>
      </w:pPr>
      <w:r w:rsidRPr="00B71F92">
        <w:rPr>
          <w:b/>
          <w:bCs/>
        </w:rPr>
        <w:lastRenderedPageBreak/>
        <w:t>Table 3: Main Estimation Results (1/3)</w:t>
      </w:r>
    </w:p>
    <w:tbl>
      <w:tblPr>
        <w:tblW w:w="5458" w:type="pct"/>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3446"/>
        <w:gridCol w:w="482"/>
        <w:gridCol w:w="438"/>
        <w:gridCol w:w="432"/>
        <w:gridCol w:w="440"/>
        <w:gridCol w:w="432"/>
        <w:gridCol w:w="432"/>
        <w:gridCol w:w="432"/>
        <w:gridCol w:w="432"/>
        <w:gridCol w:w="432"/>
        <w:gridCol w:w="432"/>
        <w:gridCol w:w="432"/>
        <w:gridCol w:w="432"/>
        <w:gridCol w:w="432"/>
        <w:gridCol w:w="429"/>
        <w:gridCol w:w="432"/>
        <w:gridCol w:w="525"/>
        <w:gridCol w:w="429"/>
        <w:gridCol w:w="432"/>
        <w:gridCol w:w="432"/>
        <w:gridCol w:w="432"/>
        <w:gridCol w:w="432"/>
        <w:gridCol w:w="432"/>
        <w:gridCol w:w="432"/>
        <w:gridCol w:w="581"/>
      </w:tblGrid>
      <w:tr w:rsidR="008B6B35" w:rsidRPr="00B71F92" w14:paraId="5EDCAA75" w14:textId="77777777" w:rsidTr="002F5607">
        <w:trPr>
          <w:trHeight w:val="230"/>
          <w:jc w:val="center"/>
        </w:trPr>
        <w:tc>
          <w:tcPr>
            <w:tcW w:w="1221" w:type="pct"/>
            <w:vMerge w:val="restart"/>
            <w:tcBorders>
              <w:top w:val="single" w:sz="12" w:space="0" w:color="auto"/>
              <w:right w:val="single" w:sz="12" w:space="0" w:color="auto"/>
            </w:tcBorders>
            <w:noWrap/>
            <w:vAlign w:val="center"/>
          </w:tcPr>
          <w:p w14:paraId="28C162B7" w14:textId="77777777" w:rsidR="008B6B35" w:rsidRPr="00B71F92" w:rsidRDefault="008B6B35" w:rsidP="00730932">
            <w:pPr>
              <w:spacing w:after="0" w:line="240" w:lineRule="auto"/>
              <w:jc w:val="center"/>
              <w:rPr>
                <w:rFonts w:eastAsia="Times New Roman"/>
                <w:sz w:val="18"/>
                <w:szCs w:val="18"/>
              </w:rPr>
            </w:pPr>
            <w:r w:rsidRPr="00B71F92">
              <w:rPr>
                <w:rFonts w:eastAsia="Times New Roman"/>
                <w:sz w:val="18"/>
                <w:szCs w:val="18"/>
              </w:rPr>
              <w:t>Variables (base)</w:t>
            </w:r>
          </w:p>
        </w:tc>
        <w:tc>
          <w:tcPr>
            <w:tcW w:w="326" w:type="pct"/>
            <w:gridSpan w:val="2"/>
            <w:vMerge w:val="restart"/>
            <w:tcBorders>
              <w:top w:val="single" w:sz="12" w:space="0" w:color="auto"/>
              <w:left w:val="single" w:sz="12" w:space="0" w:color="auto"/>
              <w:right w:val="single" w:sz="12" w:space="0" w:color="auto"/>
            </w:tcBorders>
            <w:noWrap/>
            <w:vAlign w:val="center"/>
          </w:tcPr>
          <w:p w14:paraId="1DF4DF7F" w14:textId="77777777" w:rsidR="008B6B35" w:rsidRPr="00B71F92" w:rsidRDefault="008B6B35" w:rsidP="00730932">
            <w:pPr>
              <w:spacing w:after="0" w:line="240" w:lineRule="auto"/>
              <w:jc w:val="center"/>
              <w:rPr>
                <w:rFonts w:eastAsia="Times New Roman"/>
                <w:sz w:val="18"/>
                <w:szCs w:val="18"/>
              </w:rPr>
            </w:pPr>
            <w:r w:rsidRPr="00B71F92">
              <w:rPr>
                <w:rFonts w:eastAsia="Times New Roman"/>
                <w:b/>
                <w:bCs/>
                <w:sz w:val="18"/>
                <w:szCs w:val="18"/>
              </w:rPr>
              <w:t>Move Within Two Years</w:t>
            </w:r>
          </w:p>
        </w:tc>
        <w:tc>
          <w:tcPr>
            <w:tcW w:w="3453" w:type="pct"/>
            <w:gridSpan w:val="22"/>
            <w:tcBorders>
              <w:top w:val="single" w:sz="12" w:space="0" w:color="auto"/>
              <w:left w:val="single" w:sz="12" w:space="0" w:color="auto"/>
              <w:bottom w:val="single" w:sz="12" w:space="0" w:color="auto"/>
            </w:tcBorders>
            <w:noWrap/>
            <w:vAlign w:val="center"/>
          </w:tcPr>
          <w:p w14:paraId="562EDCE2" w14:textId="77777777" w:rsidR="008B6B35" w:rsidRPr="00B71F92" w:rsidRDefault="008B6B35" w:rsidP="00730932">
            <w:pPr>
              <w:spacing w:after="0" w:line="240" w:lineRule="auto"/>
              <w:jc w:val="center"/>
              <w:rPr>
                <w:rFonts w:eastAsia="Times New Roman"/>
                <w:sz w:val="18"/>
                <w:szCs w:val="18"/>
              </w:rPr>
            </w:pPr>
            <w:r w:rsidRPr="00B71F92">
              <w:rPr>
                <w:rFonts w:eastAsia="Times New Roman"/>
                <w:b/>
                <w:bCs/>
                <w:sz w:val="18"/>
                <w:szCs w:val="18"/>
              </w:rPr>
              <w:t>Reason For Considering a Move</w:t>
            </w:r>
          </w:p>
        </w:tc>
      </w:tr>
      <w:tr w:rsidR="008B6B35" w:rsidRPr="00B71F92" w14:paraId="4C74C37C" w14:textId="77777777" w:rsidTr="002F5607">
        <w:trPr>
          <w:trHeight w:val="230"/>
          <w:jc w:val="center"/>
        </w:trPr>
        <w:tc>
          <w:tcPr>
            <w:tcW w:w="1221" w:type="pct"/>
            <w:vMerge/>
            <w:tcBorders>
              <w:right w:val="single" w:sz="12" w:space="0" w:color="auto"/>
            </w:tcBorders>
            <w:noWrap/>
            <w:vAlign w:val="center"/>
          </w:tcPr>
          <w:p w14:paraId="52843AF8" w14:textId="77777777" w:rsidR="008B6B35" w:rsidRPr="00B71F92" w:rsidRDefault="008B6B35" w:rsidP="00730932">
            <w:pPr>
              <w:spacing w:after="0" w:line="240" w:lineRule="auto"/>
              <w:jc w:val="center"/>
              <w:rPr>
                <w:rFonts w:eastAsia="Times New Roman"/>
                <w:sz w:val="18"/>
                <w:szCs w:val="18"/>
              </w:rPr>
            </w:pPr>
          </w:p>
        </w:tc>
        <w:tc>
          <w:tcPr>
            <w:tcW w:w="326" w:type="pct"/>
            <w:gridSpan w:val="2"/>
            <w:vMerge/>
            <w:tcBorders>
              <w:left w:val="single" w:sz="12" w:space="0" w:color="auto"/>
              <w:right w:val="single" w:sz="12" w:space="0" w:color="auto"/>
            </w:tcBorders>
            <w:noWrap/>
            <w:vAlign w:val="center"/>
          </w:tcPr>
          <w:p w14:paraId="35D72E96" w14:textId="77777777" w:rsidR="008B6B35" w:rsidRPr="00B71F92" w:rsidRDefault="008B6B35" w:rsidP="00730932">
            <w:pPr>
              <w:spacing w:after="0" w:line="240" w:lineRule="auto"/>
              <w:jc w:val="center"/>
              <w:rPr>
                <w:rFonts w:eastAsia="Times New Roman"/>
                <w:sz w:val="18"/>
                <w:szCs w:val="18"/>
              </w:rPr>
            </w:pPr>
          </w:p>
        </w:tc>
        <w:tc>
          <w:tcPr>
            <w:tcW w:w="921" w:type="pct"/>
            <w:gridSpan w:val="6"/>
            <w:tcBorders>
              <w:top w:val="single" w:sz="12" w:space="0" w:color="auto"/>
              <w:left w:val="single" w:sz="12" w:space="0" w:color="auto"/>
              <w:bottom w:val="nil"/>
              <w:right w:val="single" w:sz="6" w:space="0" w:color="auto"/>
            </w:tcBorders>
            <w:noWrap/>
            <w:vAlign w:val="center"/>
          </w:tcPr>
          <w:p w14:paraId="1B22F8F3" w14:textId="77777777" w:rsidR="008B6B35" w:rsidRPr="00B71F92" w:rsidRDefault="008B6B35" w:rsidP="00730932">
            <w:pPr>
              <w:spacing w:after="0" w:line="240" w:lineRule="auto"/>
              <w:jc w:val="center"/>
              <w:rPr>
                <w:rFonts w:eastAsia="Times New Roman"/>
                <w:b/>
                <w:bCs/>
                <w:sz w:val="18"/>
                <w:szCs w:val="18"/>
              </w:rPr>
            </w:pPr>
            <w:r w:rsidRPr="00B71F92">
              <w:rPr>
                <w:b/>
                <w:bCs/>
                <w:sz w:val="18"/>
                <w:szCs w:val="18"/>
              </w:rPr>
              <w:t>Proactive Planning</w:t>
            </w:r>
          </w:p>
        </w:tc>
        <w:tc>
          <w:tcPr>
            <w:tcW w:w="1256" w:type="pct"/>
            <w:gridSpan w:val="8"/>
            <w:tcBorders>
              <w:top w:val="single" w:sz="12" w:space="0" w:color="auto"/>
              <w:left w:val="single" w:sz="6" w:space="0" w:color="auto"/>
              <w:bottom w:val="nil"/>
              <w:right w:val="single" w:sz="6" w:space="0" w:color="auto"/>
            </w:tcBorders>
            <w:noWrap/>
            <w:vAlign w:val="center"/>
          </w:tcPr>
          <w:p w14:paraId="27B54E8E" w14:textId="77777777" w:rsidR="008B6B35" w:rsidRPr="00B71F92" w:rsidRDefault="008B6B35" w:rsidP="00730932">
            <w:pPr>
              <w:spacing w:after="0" w:line="240" w:lineRule="auto"/>
              <w:jc w:val="center"/>
              <w:rPr>
                <w:rFonts w:eastAsia="Times New Roman"/>
                <w:b/>
                <w:bCs/>
                <w:sz w:val="18"/>
                <w:szCs w:val="18"/>
              </w:rPr>
            </w:pPr>
            <w:r w:rsidRPr="00B71F92">
              <w:rPr>
                <w:b/>
                <w:bCs/>
                <w:sz w:val="18"/>
                <w:szCs w:val="18"/>
              </w:rPr>
              <w:t>Disconnects Between Preferences and Housing</w:t>
            </w:r>
          </w:p>
        </w:tc>
        <w:tc>
          <w:tcPr>
            <w:tcW w:w="917" w:type="pct"/>
            <w:gridSpan w:val="6"/>
            <w:tcBorders>
              <w:top w:val="single" w:sz="12" w:space="0" w:color="auto"/>
              <w:left w:val="single" w:sz="6" w:space="0" w:color="auto"/>
              <w:bottom w:val="nil"/>
              <w:right w:val="single" w:sz="8" w:space="0" w:color="auto"/>
            </w:tcBorders>
            <w:noWrap/>
            <w:vAlign w:val="center"/>
          </w:tcPr>
          <w:p w14:paraId="719373FA" w14:textId="77777777" w:rsidR="008B6B35" w:rsidRPr="00B71F92" w:rsidRDefault="008B6B35" w:rsidP="00730932">
            <w:pPr>
              <w:spacing w:after="0" w:line="240" w:lineRule="auto"/>
              <w:jc w:val="center"/>
              <w:rPr>
                <w:rFonts w:eastAsia="Times New Roman"/>
                <w:b/>
                <w:bCs/>
                <w:sz w:val="18"/>
                <w:szCs w:val="18"/>
              </w:rPr>
            </w:pPr>
            <w:r w:rsidRPr="00B71F92">
              <w:rPr>
                <w:b/>
                <w:bCs/>
                <w:sz w:val="18"/>
                <w:szCs w:val="18"/>
              </w:rPr>
              <w:t>Triggered Reevaluations</w:t>
            </w:r>
          </w:p>
        </w:tc>
        <w:tc>
          <w:tcPr>
            <w:tcW w:w="359" w:type="pct"/>
            <w:gridSpan w:val="2"/>
            <w:tcBorders>
              <w:top w:val="single" w:sz="12" w:space="0" w:color="auto"/>
              <w:left w:val="single" w:sz="8" w:space="0" w:color="auto"/>
              <w:bottom w:val="nil"/>
            </w:tcBorders>
            <w:vAlign w:val="center"/>
          </w:tcPr>
          <w:p w14:paraId="40D52838" w14:textId="77777777" w:rsidR="008B6B35" w:rsidRPr="00B71F92" w:rsidRDefault="008B6B35" w:rsidP="00730932">
            <w:pPr>
              <w:spacing w:after="0" w:line="240" w:lineRule="auto"/>
              <w:jc w:val="center"/>
              <w:rPr>
                <w:rFonts w:eastAsia="Times New Roman"/>
                <w:b/>
                <w:bCs/>
                <w:sz w:val="18"/>
                <w:szCs w:val="18"/>
              </w:rPr>
            </w:pPr>
            <w:r w:rsidRPr="00B71F92">
              <w:rPr>
                <w:b/>
                <w:bCs/>
                <w:sz w:val="18"/>
                <w:szCs w:val="18"/>
              </w:rPr>
              <w:t>Forced Relocation</w:t>
            </w:r>
          </w:p>
        </w:tc>
      </w:tr>
      <w:tr w:rsidR="008B6B35" w:rsidRPr="00B71F92" w14:paraId="30B5B032" w14:textId="77777777" w:rsidTr="002F5607">
        <w:trPr>
          <w:trHeight w:val="230"/>
          <w:jc w:val="center"/>
        </w:trPr>
        <w:tc>
          <w:tcPr>
            <w:tcW w:w="1221" w:type="pct"/>
            <w:vMerge/>
            <w:tcBorders>
              <w:right w:val="single" w:sz="12" w:space="0" w:color="auto"/>
            </w:tcBorders>
            <w:noWrap/>
            <w:vAlign w:val="center"/>
          </w:tcPr>
          <w:p w14:paraId="367C4F67" w14:textId="77777777" w:rsidR="008B6B35" w:rsidRPr="00B71F92" w:rsidRDefault="008B6B35" w:rsidP="00730932">
            <w:pPr>
              <w:spacing w:after="0" w:line="240" w:lineRule="auto"/>
              <w:jc w:val="center"/>
              <w:rPr>
                <w:rFonts w:eastAsia="Times New Roman"/>
                <w:sz w:val="18"/>
                <w:szCs w:val="18"/>
              </w:rPr>
            </w:pPr>
          </w:p>
        </w:tc>
        <w:tc>
          <w:tcPr>
            <w:tcW w:w="326" w:type="pct"/>
            <w:gridSpan w:val="2"/>
            <w:vMerge/>
            <w:tcBorders>
              <w:left w:val="single" w:sz="12" w:space="0" w:color="auto"/>
              <w:bottom w:val="nil"/>
              <w:right w:val="single" w:sz="12" w:space="0" w:color="auto"/>
            </w:tcBorders>
            <w:noWrap/>
            <w:vAlign w:val="center"/>
          </w:tcPr>
          <w:p w14:paraId="59FEF6B6" w14:textId="77777777" w:rsidR="008B6B35" w:rsidRPr="00B71F92" w:rsidRDefault="008B6B35" w:rsidP="00730932">
            <w:pPr>
              <w:spacing w:after="0" w:line="240" w:lineRule="auto"/>
              <w:jc w:val="center"/>
              <w:rPr>
                <w:sz w:val="18"/>
                <w:szCs w:val="18"/>
              </w:rPr>
            </w:pPr>
          </w:p>
        </w:tc>
        <w:tc>
          <w:tcPr>
            <w:tcW w:w="309" w:type="pct"/>
            <w:gridSpan w:val="2"/>
            <w:tcBorders>
              <w:top w:val="single" w:sz="12" w:space="0" w:color="auto"/>
              <w:left w:val="single" w:sz="12" w:space="0" w:color="auto"/>
              <w:bottom w:val="nil"/>
              <w:right w:val="single" w:sz="6" w:space="0" w:color="auto"/>
            </w:tcBorders>
            <w:noWrap/>
            <w:vAlign w:val="center"/>
          </w:tcPr>
          <w:p w14:paraId="254B8B38" w14:textId="77777777" w:rsidR="008B6B35" w:rsidRPr="00B71F92" w:rsidRDefault="008B6B35" w:rsidP="00730932">
            <w:pPr>
              <w:spacing w:after="0" w:line="240" w:lineRule="auto"/>
              <w:jc w:val="center"/>
              <w:rPr>
                <w:sz w:val="18"/>
                <w:szCs w:val="18"/>
              </w:rPr>
            </w:pPr>
            <w:r w:rsidRPr="00B71F92">
              <w:rPr>
                <w:rFonts w:eastAsia="Times New Roman"/>
                <w:sz w:val="18"/>
                <w:szCs w:val="18"/>
              </w:rPr>
              <w:t>Better access to work</w:t>
            </w:r>
          </w:p>
        </w:tc>
        <w:tc>
          <w:tcPr>
            <w:tcW w:w="306" w:type="pct"/>
            <w:gridSpan w:val="2"/>
            <w:tcBorders>
              <w:top w:val="single" w:sz="12" w:space="0" w:color="auto"/>
              <w:left w:val="single" w:sz="6" w:space="0" w:color="auto"/>
              <w:bottom w:val="nil"/>
              <w:right w:val="single" w:sz="6" w:space="0" w:color="auto"/>
            </w:tcBorders>
            <w:noWrap/>
            <w:vAlign w:val="center"/>
          </w:tcPr>
          <w:p w14:paraId="5E28BAC9" w14:textId="77777777" w:rsidR="008B6B35" w:rsidRPr="00B71F92" w:rsidRDefault="008B6B35" w:rsidP="00730932">
            <w:pPr>
              <w:spacing w:after="0" w:line="240" w:lineRule="auto"/>
              <w:jc w:val="center"/>
              <w:rPr>
                <w:sz w:val="18"/>
                <w:szCs w:val="18"/>
              </w:rPr>
            </w:pPr>
            <w:r w:rsidRPr="00B71F92">
              <w:rPr>
                <w:rFonts w:eastAsia="Times New Roman"/>
                <w:sz w:val="18"/>
                <w:szCs w:val="18"/>
              </w:rPr>
              <w:t>Upgrade or buy a home</w:t>
            </w:r>
          </w:p>
        </w:tc>
        <w:tc>
          <w:tcPr>
            <w:tcW w:w="306" w:type="pct"/>
            <w:gridSpan w:val="2"/>
            <w:tcBorders>
              <w:top w:val="single" w:sz="12" w:space="0" w:color="auto"/>
              <w:left w:val="single" w:sz="6" w:space="0" w:color="auto"/>
              <w:bottom w:val="nil"/>
              <w:right w:val="single" w:sz="6" w:space="0" w:color="auto"/>
            </w:tcBorders>
            <w:noWrap/>
            <w:vAlign w:val="center"/>
          </w:tcPr>
          <w:p w14:paraId="5B9289E2" w14:textId="77777777" w:rsidR="008B6B35" w:rsidRPr="00B71F92" w:rsidRDefault="008B6B35" w:rsidP="00730932">
            <w:pPr>
              <w:spacing w:after="0" w:line="240" w:lineRule="auto"/>
              <w:jc w:val="center"/>
              <w:rPr>
                <w:sz w:val="18"/>
                <w:szCs w:val="18"/>
              </w:rPr>
            </w:pPr>
            <w:r w:rsidRPr="00B71F92">
              <w:rPr>
                <w:rFonts w:eastAsia="Times New Roman"/>
                <w:sz w:val="18"/>
                <w:szCs w:val="18"/>
              </w:rPr>
              <w:t>Change in who you live with</w:t>
            </w:r>
          </w:p>
        </w:tc>
        <w:tc>
          <w:tcPr>
            <w:tcW w:w="306" w:type="pct"/>
            <w:gridSpan w:val="2"/>
            <w:tcBorders>
              <w:top w:val="single" w:sz="12" w:space="0" w:color="auto"/>
              <w:left w:val="single" w:sz="6" w:space="0" w:color="auto"/>
              <w:bottom w:val="nil"/>
              <w:right w:val="single" w:sz="6" w:space="0" w:color="auto"/>
            </w:tcBorders>
            <w:noWrap/>
            <w:vAlign w:val="center"/>
          </w:tcPr>
          <w:p w14:paraId="1FC08D47" w14:textId="77777777" w:rsidR="008B6B35" w:rsidRPr="00B71F92" w:rsidRDefault="008B6B35" w:rsidP="00730932">
            <w:pPr>
              <w:spacing w:after="0" w:line="240" w:lineRule="auto"/>
              <w:jc w:val="center"/>
              <w:rPr>
                <w:sz w:val="18"/>
                <w:szCs w:val="18"/>
              </w:rPr>
            </w:pPr>
            <w:r w:rsidRPr="00B71F92">
              <w:rPr>
                <w:rFonts w:eastAsia="Times New Roman"/>
                <w:sz w:val="18"/>
                <w:szCs w:val="18"/>
              </w:rPr>
              <w:t>Need for more space</w:t>
            </w:r>
          </w:p>
        </w:tc>
        <w:tc>
          <w:tcPr>
            <w:tcW w:w="306" w:type="pct"/>
            <w:gridSpan w:val="2"/>
            <w:tcBorders>
              <w:top w:val="single" w:sz="12" w:space="0" w:color="auto"/>
              <w:left w:val="single" w:sz="6" w:space="0" w:color="auto"/>
              <w:bottom w:val="nil"/>
              <w:right w:val="single" w:sz="6" w:space="0" w:color="auto"/>
            </w:tcBorders>
            <w:noWrap/>
            <w:vAlign w:val="center"/>
          </w:tcPr>
          <w:p w14:paraId="38F89F08" w14:textId="77777777" w:rsidR="008B6B35" w:rsidRPr="00B71F92" w:rsidRDefault="008B6B35" w:rsidP="00730932">
            <w:pPr>
              <w:spacing w:after="0" w:line="240" w:lineRule="auto"/>
              <w:jc w:val="center"/>
              <w:rPr>
                <w:sz w:val="18"/>
                <w:szCs w:val="18"/>
              </w:rPr>
            </w:pPr>
            <w:r w:rsidRPr="00B71F92">
              <w:rPr>
                <w:rFonts w:eastAsia="Times New Roman"/>
                <w:sz w:val="18"/>
                <w:szCs w:val="18"/>
              </w:rPr>
              <w:t>Need for less space</w:t>
            </w:r>
          </w:p>
        </w:tc>
        <w:tc>
          <w:tcPr>
            <w:tcW w:w="305" w:type="pct"/>
            <w:gridSpan w:val="2"/>
            <w:tcBorders>
              <w:top w:val="single" w:sz="12" w:space="0" w:color="auto"/>
              <w:left w:val="single" w:sz="6" w:space="0" w:color="auto"/>
              <w:bottom w:val="nil"/>
              <w:right w:val="single" w:sz="6" w:space="0" w:color="auto"/>
            </w:tcBorders>
            <w:noWrap/>
            <w:vAlign w:val="center"/>
          </w:tcPr>
          <w:p w14:paraId="34F9BF43" w14:textId="77777777" w:rsidR="008B6B35" w:rsidRPr="00B71F92" w:rsidRDefault="008B6B35" w:rsidP="00730932">
            <w:pPr>
              <w:spacing w:after="0" w:line="240" w:lineRule="auto"/>
              <w:jc w:val="center"/>
              <w:rPr>
                <w:sz w:val="18"/>
                <w:szCs w:val="18"/>
              </w:rPr>
            </w:pPr>
            <w:r w:rsidRPr="00B71F92">
              <w:rPr>
                <w:rFonts w:eastAsia="Times New Roman"/>
                <w:sz w:val="18"/>
                <w:szCs w:val="18"/>
              </w:rPr>
              <w:t>Better access to amenities</w:t>
            </w:r>
          </w:p>
        </w:tc>
        <w:tc>
          <w:tcPr>
            <w:tcW w:w="339" w:type="pct"/>
            <w:gridSpan w:val="2"/>
            <w:tcBorders>
              <w:top w:val="single" w:sz="12" w:space="0" w:color="auto"/>
              <w:left w:val="single" w:sz="6" w:space="0" w:color="auto"/>
              <w:bottom w:val="nil"/>
              <w:right w:val="single" w:sz="6" w:space="0" w:color="auto"/>
            </w:tcBorders>
            <w:noWrap/>
            <w:vAlign w:val="center"/>
          </w:tcPr>
          <w:p w14:paraId="6C2B4082" w14:textId="77777777" w:rsidR="008B6B35" w:rsidRPr="00B71F92" w:rsidRDefault="008B6B35" w:rsidP="00730932">
            <w:pPr>
              <w:spacing w:after="0" w:line="240" w:lineRule="auto"/>
              <w:jc w:val="center"/>
              <w:rPr>
                <w:sz w:val="18"/>
                <w:szCs w:val="18"/>
              </w:rPr>
            </w:pPr>
            <w:r w:rsidRPr="00B71F92">
              <w:rPr>
                <w:rFonts w:eastAsia="Times New Roman"/>
                <w:sz w:val="18"/>
                <w:szCs w:val="18"/>
              </w:rPr>
              <w:t>Concerns about safety or crime</w:t>
            </w:r>
          </w:p>
        </w:tc>
        <w:tc>
          <w:tcPr>
            <w:tcW w:w="305" w:type="pct"/>
            <w:gridSpan w:val="2"/>
            <w:tcBorders>
              <w:top w:val="single" w:sz="12" w:space="0" w:color="auto"/>
              <w:left w:val="single" w:sz="6" w:space="0" w:color="auto"/>
              <w:bottom w:val="nil"/>
              <w:right w:val="single" w:sz="6" w:space="0" w:color="auto"/>
            </w:tcBorders>
            <w:noWrap/>
            <w:vAlign w:val="center"/>
          </w:tcPr>
          <w:p w14:paraId="5256ACE4" w14:textId="77777777" w:rsidR="008B6B35" w:rsidRPr="00B71F92" w:rsidRDefault="008B6B35" w:rsidP="00730932">
            <w:pPr>
              <w:spacing w:after="0" w:line="240" w:lineRule="auto"/>
              <w:jc w:val="center"/>
              <w:rPr>
                <w:sz w:val="18"/>
                <w:szCs w:val="18"/>
              </w:rPr>
            </w:pPr>
            <w:r w:rsidRPr="00B71F92">
              <w:rPr>
                <w:rFonts w:eastAsia="Times New Roman"/>
                <w:sz w:val="18"/>
                <w:szCs w:val="18"/>
              </w:rPr>
              <w:t>Increase in housing costs</w:t>
            </w:r>
          </w:p>
        </w:tc>
        <w:tc>
          <w:tcPr>
            <w:tcW w:w="306" w:type="pct"/>
            <w:gridSpan w:val="2"/>
            <w:tcBorders>
              <w:top w:val="single" w:sz="12" w:space="0" w:color="auto"/>
              <w:left w:val="single" w:sz="6" w:space="0" w:color="auto"/>
              <w:bottom w:val="nil"/>
              <w:right w:val="single" w:sz="6" w:space="0" w:color="auto"/>
            </w:tcBorders>
            <w:noWrap/>
            <w:vAlign w:val="center"/>
          </w:tcPr>
          <w:p w14:paraId="623395CC" w14:textId="77777777" w:rsidR="008B6B35" w:rsidRPr="00B71F92" w:rsidRDefault="008B6B35" w:rsidP="00730932">
            <w:pPr>
              <w:spacing w:after="0" w:line="240" w:lineRule="auto"/>
              <w:jc w:val="center"/>
              <w:rPr>
                <w:sz w:val="18"/>
                <w:szCs w:val="18"/>
              </w:rPr>
            </w:pPr>
            <w:r w:rsidRPr="00B71F92">
              <w:rPr>
                <w:rFonts w:eastAsia="Times New Roman"/>
                <w:sz w:val="18"/>
                <w:szCs w:val="18"/>
              </w:rPr>
              <w:t>Change in income or finances</w:t>
            </w:r>
          </w:p>
        </w:tc>
        <w:tc>
          <w:tcPr>
            <w:tcW w:w="306" w:type="pct"/>
            <w:gridSpan w:val="2"/>
            <w:tcBorders>
              <w:top w:val="single" w:sz="12" w:space="0" w:color="auto"/>
              <w:left w:val="single" w:sz="6" w:space="0" w:color="auto"/>
              <w:bottom w:val="nil"/>
              <w:right w:val="single" w:sz="8" w:space="0" w:color="auto"/>
            </w:tcBorders>
            <w:noWrap/>
            <w:vAlign w:val="center"/>
          </w:tcPr>
          <w:p w14:paraId="70068D52" w14:textId="77777777" w:rsidR="008B6B35" w:rsidRPr="00B71F92" w:rsidRDefault="008B6B35" w:rsidP="00730932">
            <w:pPr>
              <w:spacing w:after="0" w:line="240" w:lineRule="auto"/>
              <w:jc w:val="center"/>
              <w:rPr>
                <w:sz w:val="18"/>
                <w:szCs w:val="18"/>
              </w:rPr>
            </w:pPr>
            <w:r w:rsidRPr="00B71F92">
              <w:rPr>
                <w:rFonts w:eastAsia="Times New Roman"/>
                <w:sz w:val="18"/>
                <w:szCs w:val="18"/>
              </w:rPr>
              <w:t>Friends leaving</w:t>
            </w:r>
          </w:p>
        </w:tc>
        <w:tc>
          <w:tcPr>
            <w:tcW w:w="359" w:type="pct"/>
            <w:gridSpan w:val="2"/>
            <w:tcBorders>
              <w:top w:val="single" w:sz="12" w:space="0" w:color="auto"/>
              <w:left w:val="single" w:sz="8" w:space="0" w:color="auto"/>
              <w:bottom w:val="nil"/>
            </w:tcBorders>
            <w:vAlign w:val="center"/>
          </w:tcPr>
          <w:p w14:paraId="4668774D" w14:textId="77777777" w:rsidR="008B6B35" w:rsidRPr="00B71F92" w:rsidRDefault="008B6B35" w:rsidP="00730932">
            <w:pPr>
              <w:spacing w:after="0" w:line="240" w:lineRule="auto"/>
              <w:jc w:val="center"/>
              <w:rPr>
                <w:sz w:val="18"/>
                <w:szCs w:val="18"/>
              </w:rPr>
            </w:pPr>
            <w:r w:rsidRPr="00B71F92">
              <w:rPr>
                <w:rFonts w:eastAsia="Times New Roman"/>
                <w:sz w:val="18"/>
                <w:szCs w:val="18"/>
              </w:rPr>
              <w:t>Threat of being forced to move out</w:t>
            </w:r>
          </w:p>
        </w:tc>
      </w:tr>
      <w:tr w:rsidR="008B6B35" w:rsidRPr="00B71F92" w14:paraId="625BD3CE" w14:textId="77777777" w:rsidTr="002F5607">
        <w:trPr>
          <w:trHeight w:val="230"/>
          <w:jc w:val="center"/>
        </w:trPr>
        <w:tc>
          <w:tcPr>
            <w:tcW w:w="1221" w:type="pct"/>
            <w:vMerge/>
            <w:tcBorders>
              <w:bottom w:val="nil"/>
              <w:right w:val="single" w:sz="12" w:space="0" w:color="auto"/>
            </w:tcBorders>
            <w:noWrap/>
            <w:vAlign w:val="center"/>
          </w:tcPr>
          <w:p w14:paraId="4535453B" w14:textId="77777777" w:rsidR="008B6B35" w:rsidRPr="00B71F92" w:rsidRDefault="008B6B35" w:rsidP="00730932">
            <w:pPr>
              <w:spacing w:after="0" w:line="240" w:lineRule="auto"/>
              <w:jc w:val="center"/>
              <w:rPr>
                <w:rFonts w:eastAsia="Times New Roman"/>
                <w:sz w:val="18"/>
                <w:szCs w:val="18"/>
              </w:rPr>
            </w:pPr>
          </w:p>
        </w:tc>
        <w:tc>
          <w:tcPr>
            <w:tcW w:w="171" w:type="pct"/>
            <w:tcBorders>
              <w:top w:val="single" w:sz="12" w:space="0" w:color="auto"/>
              <w:left w:val="single" w:sz="12" w:space="0" w:color="auto"/>
              <w:bottom w:val="nil"/>
            </w:tcBorders>
            <w:noWrap/>
            <w:vAlign w:val="center"/>
          </w:tcPr>
          <w:p w14:paraId="27ADC4D2"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5" w:type="pct"/>
            <w:tcBorders>
              <w:top w:val="single" w:sz="12" w:space="0" w:color="auto"/>
              <w:bottom w:val="nil"/>
              <w:right w:val="single" w:sz="12" w:space="0" w:color="auto"/>
            </w:tcBorders>
            <w:noWrap/>
            <w:vAlign w:val="center"/>
          </w:tcPr>
          <w:p w14:paraId="506484B4"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12" w:space="0" w:color="auto"/>
              <w:bottom w:val="nil"/>
            </w:tcBorders>
            <w:noWrap/>
            <w:vAlign w:val="center"/>
          </w:tcPr>
          <w:p w14:paraId="3B43D41E"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6" w:type="pct"/>
            <w:tcBorders>
              <w:top w:val="single" w:sz="12" w:space="0" w:color="auto"/>
              <w:bottom w:val="nil"/>
              <w:right w:val="single" w:sz="6" w:space="0" w:color="auto"/>
            </w:tcBorders>
            <w:noWrap/>
            <w:vAlign w:val="center"/>
          </w:tcPr>
          <w:p w14:paraId="342D5DDD"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4B76AE64"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3" w:type="pct"/>
            <w:tcBorders>
              <w:top w:val="single" w:sz="12" w:space="0" w:color="auto"/>
              <w:bottom w:val="nil"/>
              <w:right w:val="single" w:sz="6" w:space="0" w:color="auto"/>
            </w:tcBorders>
            <w:noWrap/>
            <w:vAlign w:val="center"/>
          </w:tcPr>
          <w:p w14:paraId="230D1AA1"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48C36655"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3" w:type="pct"/>
            <w:tcBorders>
              <w:top w:val="single" w:sz="12" w:space="0" w:color="auto"/>
              <w:bottom w:val="nil"/>
              <w:right w:val="single" w:sz="6" w:space="0" w:color="auto"/>
            </w:tcBorders>
            <w:noWrap/>
            <w:vAlign w:val="center"/>
          </w:tcPr>
          <w:p w14:paraId="0B39AE89"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3EE98793"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3" w:type="pct"/>
            <w:tcBorders>
              <w:top w:val="single" w:sz="12" w:space="0" w:color="auto"/>
              <w:bottom w:val="nil"/>
              <w:right w:val="single" w:sz="6" w:space="0" w:color="auto"/>
            </w:tcBorders>
            <w:noWrap/>
            <w:vAlign w:val="center"/>
          </w:tcPr>
          <w:p w14:paraId="2002E906"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2AB23DC2"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3" w:type="pct"/>
            <w:tcBorders>
              <w:top w:val="single" w:sz="12" w:space="0" w:color="auto"/>
              <w:bottom w:val="nil"/>
              <w:right w:val="single" w:sz="6" w:space="0" w:color="auto"/>
            </w:tcBorders>
            <w:noWrap/>
            <w:vAlign w:val="center"/>
          </w:tcPr>
          <w:p w14:paraId="12F80642"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5014D017"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2" w:type="pct"/>
            <w:tcBorders>
              <w:top w:val="single" w:sz="12" w:space="0" w:color="auto"/>
              <w:bottom w:val="nil"/>
              <w:right w:val="single" w:sz="6" w:space="0" w:color="auto"/>
            </w:tcBorders>
            <w:noWrap/>
            <w:vAlign w:val="center"/>
          </w:tcPr>
          <w:p w14:paraId="497FF273"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4C84F56D"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86" w:type="pct"/>
            <w:tcBorders>
              <w:top w:val="single" w:sz="12" w:space="0" w:color="auto"/>
              <w:bottom w:val="nil"/>
              <w:right w:val="single" w:sz="6" w:space="0" w:color="auto"/>
            </w:tcBorders>
            <w:noWrap/>
            <w:vAlign w:val="center"/>
          </w:tcPr>
          <w:p w14:paraId="23C833A9"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2" w:type="pct"/>
            <w:tcBorders>
              <w:top w:val="single" w:sz="12" w:space="0" w:color="auto"/>
              <w:left w:val="single" w:sz="6" w:space="0" w:color="auto"/>
              <w:bottom w:val="nil"/>
            </w:tcBorders>
            <w:noWrap/>
            <w:vAlign w:val="center"/>
          </w:tcPr>
          <w:p w14:paraId="5272A4CC"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3" w:type="pct"/>
            <w:tcBorders>
              <w:top w:val="single" w:sz="12" w:space="0" w:color="auto"/>
              <w:bottom w:val="nil"/>
              <w:right w:val="single" w:sz="6" w:space="0" w:color="auto"/>
            </w:tcBorders>
            <w:noWrap/>
            <w:vAlign w:val="center"/>
          </w:tcPr>
          <w:p w14:paraId="13290E1D"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290F2682"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3" w:type="pct"/>
            <w:tcBorders>
              <w:top w:val="single" w:sz="12" w:space="0" w:color="auto"/>
              <w:bottom w:val="nil"/>
              <w:right w:val="single" w:sz="6" w:space="0" w:color="auto"/>
            </w:tcBorders>
            <w:noWrap/>
            <w:vAlign w:val="center"/>
          </w:tcPr>
          <w:p w14:paraId="45451701"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6" w:space="0" w:color="auto"/>
              <w:bottom w:val="nil"/>
            </w:tcBorders>
            <w:noWrap/>
            <w:vAlign w:val="center"/>
          </w:tcPr>
          <w:p w14:paraId="069049AC"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153" w:type="pct"/>
            <w:tcBorders>
              <w:top w:val="single" w:sz="12" w:space="0" w:color="auto"/>
              <w:bottom w:val="nil"/>
              <w:right w:val="single" w:sz="8" w:space="0" w:color="auto"/>
            </w:tcBorders>
            <w:noWrap/>
            <w:vAlign w:val="center"/>
          </w:tcPr>
          <w:p w14:paraId="686709D3"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c>
          <w:tcPr>
            <w:tcW w:w="153" w:type="pct"/>
            <w:tcBorders>
              <w:top w:val="single" w:sz="12" w:space="0" w:color="auto"/>
              <w:left w:val="single" w:sz="8" w:space="0" w:color="auto"/>
              <w:bottom w:val="nil"/>
            </w:tcBorders>
            <w:vAlign w:val="center"/>
          </w:tcPr>
          <w:p w14:paraId="53F0C249" w14:textId="77777777" w:rsidR="008B6B35" w:rsidRPr="00B71F92" w:rsidRDefault="008B6B35" w:rsidP="00730932">
            <w:pPr>
              <w:spacing w:after="0" w:line="240" w:lineRule="auto"/>
              <w:jc w:val="center"/>
              <w:rPr>
                <w:sz w:val="18"/>
                <w:szCs w:val="18"/>
              </w:rPr>
            </w:pPr>
            <w:r w:rsidRPr="00B71F92">
              <w:rPr>
                <w:rFonts w:eastAsia="Times New Roman"/>
                <w:sz w:val="16"/>
                <w:szCs w:val="16"/>
              </w:rPr>
              <w:t>Coeff.</w:t>
            </w:r>
          </w:p>
        </w:tc>
        <w:tc>
          <w:tcPr>
            <w:tcW w:w="206" w:type="pct"/>
            <w:tcBorders>
              <w:top w:val="single" w:sz="12" w:space="0" w:color="auto"/>
              <w:bottom w:val="nil"/>
            </w:tcBorders>
            <w:vAlign w:val="center"/>
          </w:tcPr>
          <w:p w14:paraId="565A542B" w14:textId="77777777" w:rsidR="008B6B35" w:rsidRPr="00B71F92" w:rsidRDefault="008B6B35" w:rsidP="00730932">
            <w:pPr>
              <w:spacing w:after="0" w:line="240" w:lineRule="auto"/>
              <w:jc w:val="center"/>
              <w:rPr>
                <w:sz w:val="18"/>
                <w:szCs w:val="18"/>
              </w:rPr>
            </w:pPr>
            <w:r w:rsidRPr="00B71F92">
              <w:rPr>
                <w:rFonts w:eastAsia="Times New Roman"/>
                <w:sz w:val="16"/>
                <w:szCs w:val="16"/>
              </w:rPr>
              <w:t>t-stat</w:t>
            </w:r>
          </w:p>
        </w:tc>
      </w:tr>
      <w:tr w:rsidR="008B6B35" w:rsidRPr="00B71F92" w14:paraId="06C492E1" w14:textId="77777777" w:rsidTr="002F5607">
        <w:trPr>
          <w:trHeight w:val="230"/>
          <w:jc w:val="center"/>
        </w:trPr>
        <w:tc>
          <w:tcPr>
            <w:tcW w:w="1221" w:type="pct"/>
            <w:tcBorders>
              <w:top w:val="single" w:sz="12" w:space="0" w:color="auto"/>
              <w:bottom w:val="nil"/>
              <w:right w:val="single" w:sz="12" w:space="0" w:color="auto"/>
            </w:tcBorders>
            <w:noWrap/>
            <w:vAlign w:val="bottom"/>
          </w:tcPr>
          <w:p w14:paraId="77D96C09"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Constant</w:t>
            </w:r>
          </w:p>
        </w:tc>
        <w:tc>
          <w:tcPr>
            <w:tcW w:w="171" w:type="pct"/>
            <w:tcBorders>
              <w:top w:val="single" w:sz="12" w:space="0" w:color="auto"/>
              <w:left w:val="single" w:sz="12" w:space="0" w:color="auto"/>
              <w:bottom w:val="nil"/>
            </w:tcBorders>
            <w:noWrap/>
            <w:vAlign w:val="bottom"/>
          </w:tcPr>
          <w:p w14:paraId="6B128C2E" w14:textId="77777777" w:rsidR="008B6B35" w:rsidRPr="00B71F92" w:rsidRDefault="008B6B35" w:rsidP="00730932">
            <w:pPr>
              <w:spacing w:after="0" w:line="240" w:lineRule="auto"/>
              <w:jc w:val="right"/>
              <w:rPr>
                <w:sz w:val="18"/>
                <w:szCs w:val="18"/>
              </w:rPr>
            </w:pPr>
            <w:r w:rsidRPr="00B71F92">
              <w:rPr>
                <w:sz w:val="18"/>
                <w:szCs w:val="18"/>
              </w:rPr>
              <w:t>-0.36</w:t>
            </w:r>
          </w:p>
        </w:tc>
        <w:tc>
          <w:tcPr>
            <w:tcW w:w="155" w:type="pct"/>
            <w:tcBorders>
              <w:top w:val="single" w:sz="12" w:space="0" w:color="auto"/>
              <w:bottom w:val="nil"/>
              <w:right w:val="single" w:sz="12" w:space="0" w:color="auto"/>
            </w:tcBorders>
            <w:noWrap/>
            <w:vAlign w:val="bottom"/>
          </w:tcPr>
          <w:p w14:paraId="4198A4BE" w14:textId="77777777" w:rsidR="008B6B35" w:rsidRPr="00B71F92" w:rsidRDefault="008B6B35" w:rsidP="00730932">
            <w:pPr>
              <w:spacing w:after="0" w:line="240" w:lineRule="auto"/>
              <w:jc w:val="right"/>
              <w:rPr>
                <w:sz w:val="18"/>
                <w:szCs w:val="18"/>
              </w:rPr>
            </w:pPr>
            <w:r w:rsidRPr="00B71F92">
              <w:rPr>
                <w:sz w:val="18"/>
                <w:szCs w:val="18"/>
              </w:rPr>
              <w:t>-5.87</w:t>
            </w:r>
          </w:p>
        </w:tc>
        <w:tc>
          <w:tcPr>
            <w:tcW w:w="153" w:type="pct"/>
            <w:tcBorders>
              <w:top w:val="single" w:sz="12" w:space="0" w:color="auto"/>
              <w:left w:val="single" w:sz="12" w:space="0" w:color="auto"/>
              <w:bottom w:val="nil"/>
            </w:tcBorders>
            <w:noWrap/>
            <w:vAlign w:val="bottom"/>
          </w:tcPr>
          <w:p w14:paraId="17F4D362" w14:textId="77777777" w:rsidR="008B6B35" w:rsidRPr="00B71F92" w:rsidRDefault="008B6B35" w:rsidP="00730932">
            <w:pPr>
              <w:spacing w:after="0" w:line="240" w:lineRule="auto"/>
              <w:jc w:val="right"/>
              <w:rPr>
                <w:sz w:val="18"/>
                <w:szCs w:val="18"/>
              </w:rPr>
            </w:pPr>
            <w:r w:rsidRPr="00B71F92">
              <w:rPr>
                <w:sz w:val="18"/>
                <w:szCs w:val="18"/>
              </w:rPr>
              <w:t>-1.04</w:t>
            </w:r>
          </w:p>
        </w:tc>
        <w:tc>
          <w:tcPr>
            <w:tcW w:w="156" w:type="pct"/>
            <w:tcBorders>
              <w:top w:val="single" w:sz="12" w:space="0" w:color="auto"/>
              <w:bottom w:val="nil"/>
              <w:right w:val="single" w:sz="6" w:space="0" w:color="auto"/>
            </w:tcBorders>
            <w:noWrap/>
            <w:vAlign w:val="bottom"/>
          </w:tcPr>
          <w:p w14:paraId="265E1F95" w14:textId="77777777" w:rsidR="008B6B35" w:rsidRPr="00B71F92" w:rsidRDefault="008B6B35" w:rsidP="00730932">
            <w:pPr>
              <w:spacing w:after="0" w:line="240" w:lineRule="auto"/>
              <w:jc w:val="right"/>
              <w:rPr>
                <w:sz w:val="18"/>
                <w:szCs w:val="18"/>
              </w:rPr>
            </w:pPr>
            <w:r w:rsidRPr="00B71F92">
              <w:rPr>
                <w:sz w:val="18"/>
                <w:szCs w:val="18"/>
              </w:rPr>
              <w:t>-3.09</w:t>
            </w:r>
          </w:p>
        </w:tc>
        <w:tc>
          <w:tcPr>
            <w:tcW w:w="153" w:type="pct"/>
            <w:tcBorders>
              <w:top w:val="single" w:sz="12" w:space="0" w:color="auto"/>
              <w:left w:val="single" w:sz="6" w:space="0" w:color="auto"/>
              <w:bottom w:val="nil"/>
            </w:tcBorders>
            <w:noWrap/>
            <w:vAlign w:val="bottom"/>
          </w:tcPr>
          <w:p w14:paraId="03EE6DD3" w14:textId="77777777" w:rsidR="008B6B35" w:rsidRPr="00B71F92" w:rsidRDefault="008B6B35" w:rsidP="00730932">
            <w:pPr>
              <w:spacing w:after="0" w:line="240" w:lineRule="auto"/>
              <w:jc w:val="right"/>
              <w:rPr>
                <w:sz w:val="18"/>
                <w:szCs w:val="18"/>
              </w:rPr>
            </w:pPr>
            <w:r w:rsidRPr="00B71F92">
              <w:rPr>
                <w:sz w:val="18"/>
                <w:szCs w:val="18"/>
              </w:rPr>
              <w:t>-0.95</w:t>
            </w:r>
          </w:p>
        </w:tc>
        <w:tc>
          <w:tcPr>
            <w:tcW w:w="153" w:type="pct"/>
            <w:tcBorders>
              <w:top w:val="single" w:sz="12" w:space="0" w:color="auto"/>
              <w:bottom w:val="nil"/>
              <w:right w:val="single" w:sz="6" w:space="0" w:color="auto"/>
            </w:tcBorders>
            <w:noWrap/>
            <w:vAlign w:val="bottom"/>
          </w:tcPr>
          <w:p w14:paraId="6CF7F132" w14:textId="77777777" w:rsidR="008B6B35" w:rsidRPr="00B71F92" w:rsidRDefault="008B6B35" w:rsidP="00730932">
            <w:pPr>
              <w:spacing w:after="0" w:line="240" w:lineRule="auto"/>
              <w:jc w:val="right"/>
              <w:rPr>
                <w:sz w:val="18"/>
                <w:szCs w:val="18"/>
              </w:rPr>
            </w:pPr>
            <w:r w:rsidRPr="00B71F92">
              <w:rPr>
                <w:sz w:val="18"/>
                <w:szCs w:val="18"/>
              </w:rPr>
              <w:t>-6.04</w:t>
            </w:r>
          </w:p>
        </w:tc>
        <w:tc>
          <w:tcPr>
            <w:tcW w:w="153" w:type="pct"/>
            <w:tcBorders>
              <w:top w:val="single" w:sz="12" w:space="0" w:color="auto"/>
              <w:left w:val="single" w:sz="6" w:space="0" w:color="auto"/>
              <w:bottom w:val="nil"/>
            </w:tcBorders>
            <w:noWrap/>
            <w:vAlign w:val="bottom"/>
          </w:tcPr>
          <w:p w14:paraId="7EECF82E" w14:textId="77777777" w:rsidR="008B6B35" w:rsidRPr="00B71F92" w:rsidRDefault="008B6B35" w:rsidP="00730932">
            <w:pPr>
              <w:spacing w:after="0" w:line="240" w:lineRule="auto"/>
              <w:jc w:val="right"/>
              <w:rPr>
                <w:sz w:val="18"/>
                <w:szCs w:val="18"/>
              </w:rPr>
            </w:pPr>
            <w:r w:rsidRPr="00B71F92">
              <w:rPr>
                <w:sz w:val="18"/>
                <w:szCs w:val="18"/>
              </w:rPr>
              <w:t>-0.44</w:t>
            </w:r>
          </w:p>
        </w:tc>
        <w:tc>
          <w:tcPr>
            <w:tcW w:w="153" w:type="pct"/>
            <w:tcBorders>
              <w:top w:val="single" w:sz="12" w:space="0" w:color="auto"/>
              <w:bottom w:val="nil"/>
              <w:right w:val="single" w:sz="6" w:space="0" w:color="auto"/>
            </w:tcBorders>
            <w:noWrap/>
            <w:vAlign w:val="bottom"/>
          </w:tcPr>
          <w:p w14:paraId="63FA0800" w14:textId="77777777" w:rsidR="008B6B35" w:rsidRPr="00B71F92" w:rsidRDefault="008B6B35" w:rsidP="00730932">
            <w:pPr>
              <w:spacing w:after="0" w:line="240" w:lineRule="auto"/>
              <w:jc w:val="right"/>
              <w:rPr>
                <w:sz w:val="18"/>
                <w:szCs w:val="18"/>
              </w:rPr>
            </w:pPr>
            <w:r w:rsidRPr="00B71F92">
              <w:rPr>
                <w:sz w:val="18"/>
                <w:szCs w:val="18"/>
              </w:rPr>
              <w:t>-2.87</w:t>
            </w:r>
          </w:p>
        </w:tc>
        <w:tc>
          <w:tcPr>
            <w:tcW w:w="153" w:type="pct"/>
            <w:tcBorders>
              <w:top w:val="single" w:sz="12" w:space="0" w:color="auto"/>
              <w:left w:val="single" w:sz="6" w:space="0" w:color="auto"/>
              <w:bottom w:val="nil"/>
            </w:tcBorders>
            <w:noWrap/>
            <w:vAlign w:val="bottom"/>
          </w:tcPr>
          <w:p w14:paraId="0A11DB9E" w14:textId="77777777" w:rsidR="008B6B35" w:rsidRPr="00B71F92" w:rsidRDefault="008B6B35" w:rsidP="00730932">
            <w:pPr>
              <w:spacing w:after="0" w:line="240" w:lineRule="auto"/>
              <w:jc w:val="right"/>
              <w:rPr>
                <w:sz w:val="18"/>
                <w:szCs w:val="18"/>
              </w:rPr>
            </w:pPr>
            <w:r w:rsidRPr="00B71F92">
              <w:rPr>
                <w:sz w:val="18"/>
                <w:szCs w:val="18"/>
              </w:rPr>
              <w:t>-0.68</w:t>
            </w:r>
          </w:p>
        </w:tc>
        <w:tc>
          <w:tcPr>
            <w:tcW w:w="153" w:type="pct"/>
            <w:tcBorders>
              <w:top w:val="single" w:sz="12" w:space="0" w:color="auto"/>
              <w:bottom w:val="nil"/>
              <w:right w:val="single" w:sz="6" w:space="0" w:color="auto"/>
            </w:tcBorders>
            <w:noWrap/>
            <w:vAlign w:val="bottom"/>
          </w:tcPr>
          <w:p w14:paraId="6A22FA49" w14:textId="77777777" w:rsidR="008B6B35" w:rsidRPr="00B71F92" w:rsidRDefault="008B6B35" w:rsidP="00730932">
            <w:pPr>
              <w:spacing w:after="0" w:line="240" w:lineRule="auto"/>
              <w:jc w:val="right"/>
              <w:rPr>
                <w:sz w:val="18"/>
                <w:szCs w:val="18"/>
              </w:rPr>
            </w:pPr>
            <w:r w:rsidRPr="00B71F92">
              <w:rPr>
                <w:sz w:val="18"/>
                <w:szCs w:val="18"/>
              </w:rPr>
              <w:t>-6.03</w:t>
            </w:r>
          </w:p>
        </w:tc>
        <w:tc>
          <w:tcPr>
            <w:tcW w:w="153" w:type="pct"/>
            <w:tcBorders>
              <w:top w:val="single" w:sz="12" w:space="0" w:color="auto"/>
              <w:left w:val="single" w:sz="6" w:space="0" w:color="auto"/>
              <w:bottom w:val="nil"/>
            </w:tcBorders>
            <w:noWrap/>
            <w:vAlign w:val="bottom"/>
          </w:tcPr>
          <w:p w14:paraId="5AE8C412" w14:textId="77777777" w:rsidR="008B6B35" w:rsidRPr="00B71F92" w:rsidRDefault="008B6B35" w:rsidP="00730932">
            <w:pPr>
              <w:spacing w:after="0" w:line="240" w:lineRule="auto"/>
              <w:jc w:val="right"/>
              <w:rPr>
                <w:sz w:val="18"/>
                <w:szCs w:val="18"/>
              </w:rPr>
            </w:pPr>
            <w:r w:rsidRPr="00B71F92">
              <w:rPr>
                <w:sz w:val="18"/>
                <w:szCs w:val="18"/>
              </w:rPr>
              <w:t>-1.54</w:t>
            </w:r>
          </w:p>
        </w:tc>
        <w:tc>
          <w:tcPr>
            <w:tcW w:w="153" w:type="pct"/>
            <w:tcBorders>
              <w:top w:val="single" w:sz="12" w:space="0" w:color="auto"/>
              <w:bottom w:val="nil"/>
              <w:right w:val="single" w:sz="6" w:space="0" w:color="auto"/>
            </w:tcBorders>
            <w:noWrap/>
            <w:vAlign w:val="bottom"/>
          </w:tcPr>
          <w:p w14:paraId="2EB6C28D" w14:textId="77777777" w:rsidR="008B6B35" w:rsidRPr="00B71F92" w:rsidRDefault="008B6B35" w:rsidP="00730932">
            <w:pPr>
              <w:spacing w:after="0" w:line="240" w:lineRule="auto"/>
              <w:jc w:val="right"/>
              <w:rPr>
                <w:sz w:val="18"/>
                <w:szCs w:val="18"/>
              </w:rPr>
            </w:pPr>
            <w:r w:rsidRPr="00B71F92">
              <w:rPr>
                <w:sz w:val="18"/>
                <w:szCs w:val="18"/>
              </w:rPr>
              <w:t>-5.46</w:t>
            </w:r>
          </w:p>
        </w:tc>
        <w:tc>
          <w:tcPr>
            <w:tcW w:w="153" w:type="pct"/>
            <w:tcBorders>
              <w:top w:val="single" w:sz="12" w:space="0" w:color="auto"/>
              <w:left w:val="single" w:sz="6" w:space="0" w:color="auto"/>
              <w:bottom w:val="nil"/>
            </w:tcBorders>
            <w:noWrap/>
            <w:vAlign w:val="bottom"/>
          </w:tcPr>
          <w:p w14:paraId="34527729" w14:textId="77777777" w:rsidR="008B6B35" w:rsidRPr="00B71F92" w:rsidRDefault="008B6B35" w:rsidP="00730932">
            <w:pPr>
              <w:spacing w:after="0" w:line="240" w:lineRule="auto"/>
              <w:jc w:val="right"/>
              <w:rPr>
                <w:sz w:val="18"/>
                <w:szCs w:val="18"/>
              </w:rPr>
            </w:pPr>
            <w:r w:rsidRPr="00B71F92">
              <w:rPr>
                <w:sz w:val="18"/>
                <w:szCs w:val="18"/>
              </w:rPr>
              <w:t>-1.09</w:t>
            </w:r>
          </w:p>
        </w:tc>
        <w:tc>
          <w:tcPr>
            <w:tcW w:w="152" w:type="pct"/>
            <w:tcBorders>
              <w:top w:val="single" w:sz="12" w:space="0" w:color="auto"/>
              <w:bottom w:val="nil"/>
              <w:right w:val="single" w:sz="6" w:space="0" w:color="auto"/>
            </w:tcBorders>
            <w:noWrap/>
            <w:vAlign w:val="bottom"/>
          </w:tcPr>
          <w:p w14:paraId="5AB234DD" w14:textId="77777777" w:rsidR="008B6B35" w:rsidRPr="00B71F92" w:rsidRDefault="008B6B35" w:rsidP="00730932">
            <w:pPr>
              <w:spacing w:after="0" w:line="240" w:lineRule="auto"/>
              <w:jc w:val="right"/>
              <w:rPr>
                <w:sz w:val="18"/>
                <w:szCs w:val="18"/>
              </w:rPr>
            </w:pPr>
            <w:r w:rsidRPr="00B71F92">
              <w:rPr>
                <w:sz w:val="18"/>
                <w:szCs w:val="18"/>
              </w:rPr>
              <w:t>-4.39</w:t>
            </w:r>
          </w:p>
        </w:tc>
        <w:tc>
          <w:tcPr>
            <w:tcW w:w="153" w:type="pct"/>
            <w:tcBorders>
              <w:top w:val="single" w:sz="12" w:space="0" w:color="auto"/>
              <w:left w:val="single" w:sz="6" w:space="0" w:color="auto"/>
              <w:bottom w:val="nil"/>
            </w:tcBorders>
            <w:noWrap/>
            <w:vAlign w:val="bottom"/>
          </w:tcPr>
          <w:p w14:paraId="01A2DB61" w14:textId="77777777" w:rsidR="008B6B35" w:rsidRPr="00B71F92" w:rsidRDefault="008B6B35" w:rsidP="00730932">
            <w:pPr>
              <w:spacing w:after="0" w:line="240" w:lineRule="auto"/>
              <w:jc w:val="right"/>
              <w:rPr>
                <w:sz w:val="18"/>
                <w:szCs w:val="18"/>
              </w:rPr>
            </w:pPr>
            <w:r w:rsidRPr="00B71F92">
              <w:rPr>
                <w:sz w:val="18"/>
                <w:szCs w:val="18"/>
              </w:rPr>
              <w:t>-0.47</w:t>
            </w:r>
          </w:p>
        </w:tc>
        <w:tc>
          <w:tcPr>
            <w:tcW w:w="186" w:type="pct"/>
            <w:tcBorders>
              <w:top w:val="single" w:sz="12" w:space="0" w:color="auto"/>
              <w:bottom w:val="nil"/>
              <w:right w:val="single" w:sz="6" w:space="0" w:color="auto"/>
            </w:tcBorders>
            <w:noWrap/>
            <w:vAlign w:val="bottom"/>
          </w:tcPr>
          <w:p w14:paraId="5FC6CA97" w14:textId="77777777" w:rsidR="008B6B35" w:rsidRPr="00B71F92" w:rsidRDefault="008B6B35" w:rsidP="00730932">
            <w:pPr>
              <w:spacing w:after="0" w:line="240" w:lineRule="auto"/>
              <w:jc w:val="right"/>
              <w:rPr>
                <w:sz w:val="18"/>
                <w:szCs w:val="18"/>
              </w:rPr>
            </w:pPr>
            <w:r w:rsidRPr="00B71F92">
              <w:rPr>
                <w:sz w:val="18"/>
                <w:szCs w:val="18"/>
              </w:rPr>
              <w:t>-2.45</w:t>
            </w:r>
          </w:p>
        </w:tc>
        <w:tc>
          <w:tcPr>
            <w:tcW w:w="152" w:type="pct"/>
            <w:tcBorders>
              <w:top w:val="single" w:sz="12" w:space="0" w:color="auto"/>
              <w:left w:val="single" w:sz="6" w:space="0" w:color="auto"/>
              <w:bottom w:val="nil"/>
            </w:tcBorders>
            <w:noWrap/>
            <w:vAlign w:val="bottom"/>
          </w:tcPr>
          <w:p w14:paraId="6856DF17" w14:textId="77777777" w:rsidR="008B6B35" w:rsidRPr="00B71F92" w:rsidRDefault="008B6B35" w:rsidP="00730932">
            <w:pPr>
              <w:spacing w:after="0" w:line="240" w:lineRule="auto"/>
              <w:jc w:val="right"/>
              <w:rPr>
                <w:sz w:val="18"/>
                <w:szCs w:val="18"/>
              </w:rPr>
            </w:pPr>
            <w:r w:rsidRPr="00B71F92">
              <w:rPr>
                <w:sz w:val="18"/>
                <w:szCs w:val="18"/>
              </w:rPr>
              <w:t>-0.83</w:t>
            </w:r>
          </w:p>
        </w:tc>
        <w:tc>
          <w:tcPr>
            <w:tcW w:w="153" w:type="pct"/>
            <w:tcBorders>
              <w:top w:val="single" w:sz="12" w:space="0" w:color="auto"/>
              <w:bottom w:val="nil"/>
              <w:right w:val="single" w:sz="6" w:space="0" w:color="auto"/>
            </w:tcBorders>
            <w:noWrap/>
            <w:vAlign w:val="bottom"/>
          </w:tcPr>
          <w:p w14:paraId="67B971A9" w14:textId="77777777" w:rsidR="008B6B35" w:rsidRPr="00B71F92" w:rsidRDefault="008B6B35" w:rsidP="00730932">
            <w:pPr>
              <w:spacing w:after="0" w:line="240" w:lineRule="auto"/>
              <w:jc w:val="right"/>
              <w:rPr>
                <w:sz w:val="16"/>
                <w:szCs w:val="16"/>
              </w:rPr>
            </w:pPr>
            <w:r w:rsidRPr="00B71F92">
              <w:rPr>
                <w:sz w:val="16"/>
                <w:szCs w:val="16"/>
              </w:rPr>
              <w:t>-10.62</w:t>
            </w:r>
          </w:p>
        </w:tc>
        <w:tc>
          <w:tcPr>
            <w:tcW w:w="153" w:type="pct"/>
            <w:tcBorders>
              <w:top w:val="single" w:sz="12" w:space="0" w:color="auto"/>
              <w:left w:val="single" w:sz="6" w:space="0" w:color="auto"/>
              <w:bottom w:val="nil"/>
            </w:tcBorders>
            <w:noWrap/>
            <w:vAlign w:val="bottom"/>
          </w:tcPr>
          <w:p w14:paraId="504A4758" w14:textId="77777777" w:rsidR="008B6B35" w:rsidRPr="00B71F92" w:rsidRDefault="008B6B35" w:rsidP="00730932">
            <w:pPr>
              <w:spacing w:after="0" w:line="240" w:lineRule="auto"/>
              <w:jc w:val="right"/>
              <w:rPr>
                <w:sz w:val="18"/>
                <w:szCs w:val="18"/>
              </w:rPr>
            </w:pPr>
            <w:r w:rsidRPr="00B71F92">
              <w:rPr>
                <w:sz w:val="18"/>
                <w:szCs w:val="18"/>
              </w:rPr>
              <w:t>-1.86</w:t>
            </w:r>
          </w:p>
        </w:tc>
        <w:tc>
          <w:tcPr>
            <w:tcW w:w="153" w:type="pct"/>
            <w:tcBorders>
              <w:top w:val="single" w:sz="12" w:space="0" w:color="auto"/>
              <w:bottom w:val="nil"/>
              <w:right w:val="single" w:sz="6" w:space="0" w:color="auto"/>
            </w:tcBorders>
            <w:noWrap/>
            <w:vAlign w:val="bottom"/>
          </w:tcPr>
          <w:p w14:paraId="4C9FEAD6" w14:textId="77777777" w:rsidR="008B6B35" w:rsidRPr="00B71F92" w:rsidRDefault="008B6B35" w:rsidP="00730932">
            <w:pPr>
              <w:spacing w:after="0" w:line="240" w:lineRule="auto"/>
              <w:jc w:val="right"/>
              <w:rPr>
                <w:sz w:val="18"/>
                <w:szCs w:val="18"/>
              </w:rPr>
            </w:pPr>
            <w:r w:rsidRPr="00B71F92">
              <w:rPr>
                <w:sz w:val="18"/>
                <w:szCs w:val="18"/>
              </w:rPr>
              <w:t>-8.89</w:t>
            </w:r>
          </w:p>
        </w:tc>
        <w:tc>
          <w:tcPr>
            <w:tcW w:w="153" w:type="pct"/>
            <w:tcBorders>
              <w:top w:val="single" w:sz="12" w:space="0" w:color="auto"/>
              <w:left w:val="single" w:sz="6" w:space="0" w:color="auto"/>
              <w:bottom w:val="nil"/>
            </w:tcBorders>
            <w:noWrap/>
            <w:vAlign w:val="bottom"/>
          </w:tcPr>
          <w:p w14:paraId="2E00F4DA" w14:textId="77777777" w:rsidR="008B6B35" w:rsidRPr="00B71F92" w:rsidRDefault="008B6B35" w:rsidP="00730932">
            <w:pPr>
              <w:spacing w:after="0" w:line="240" w:lineRule="auto"/>
              <w:jc w:val="right"/>
              <w:rPr>
                <w:sz w:val="18"/>
                <w:szCs w:val="18"/>
              </w:rPr>
            </w:pPr>
            <w:r w:rsidRPr="00B71F92">
              <w:rPr>
                <w:sz w:val="18"/>
                <w:szCs w:val="18"/>
              </w:rPr>
              <w:t>-1.72</w:t>
            </w:r>
          </w:p>
        </w:tc>
        <w:tc>
          <w:tcPr>
            <w:tcW w:w="153" w:type="pct"/>
            <w:tcBorders>
              <w:top w:val="single" w:sz="12" w:space="0" w:color="auto"/>
              <w:bottom w:val="nil"/>
              <w:right w:val="single" w:sz="8" w:space="0" w:color="auto"/>
            </w:tcBorders>
            <w:noWrap/>
            <w:vAlign w:val="bottom"/>
          </w:tcPr>
          <w:p w14:paraId="75BE1241" w14:textId="77777777" w:rsidR="008B6B35" w:rsidRPr="00B71F92" w:rsidRDefault="008B6B35" w:rsidP="00730932">
            <w:pPr>
              <w:spacing w:after="0" w:line="240" w:lineRule="auto"/>
              <w:jc w:val="right"/>
              <w:rPr>
                <w:sz w:val="16"/>
                <w:szCs w:val="16"/>
              </w:rPr>
            </w:pPr>
            <w:r w:rsidRPr="00B71F92">
              <w:rPr>
                <w:sz w:val="16"/>
                <w:szCs w:val="16"/>
              </w:rPr>
              <w:t>-14.11</w:t>
            </w:r>
          </w:p>
        </w:tc>
        <w:tc>
          <w:tcPr>
            <w:tcW w:w="153" w:type="pct"/>
            <w:tcBorders>
              <w:top w:val="single" w:sz="12" w:space="0" w:color="auto"/>
              <w:left w:val="single" w:sz="8" w:space="0" w:color="auto"/>
              <w:bottom w:val="nil"/>
            </w:tcBorders>
            <w:vAlign w:val="bottom"/>
          </w:tcPr>
          <w:p w14:paraId="17CF3742" w14:textId="77777777" w:rsidR="008B6B35" w:rsidRPr="00B71F92" w:rsidRDefault="008B6B35" w:rsidP="00730932">
            <w:pPr>
              <w:spacing w:after="0" w:line="240" w:lineRule="auto"/>
              <w:jc w:val="right"/>
              <w:rPr>
                <w:sz w:val="18"/>
                <w:szCs w:val="18"/>
              </w:rPr>
            </w:pPr>
            <w:r w:rsidRPr="00B71F92">
              <w:rPr>
                <w:sz w:val="18"/>
                <w:szCs w:val="18"/>
              </w:rPr>
              <w:t>-1.50</w:t>
            </w:r>
          </w:p>
        </w:tc>
        <w:tc>
          <w:tcPr>
            <w:tcW w:w="206" w:type="pct"/>
            <w:tcBorders>
              <w:top w:val="single" w:sz="12" w:space="0" w:color="auto"/>
              <w:bottom w:val="nil"/>
            </w:tcBorders>
            <w:vAlign w:val="bottom"/>
          </w:tcPr>
          <w:p w14:paraId="0387AB55" w14:textId="77777777" w:rsidR="008B6B35" w:rsidRPr="00B71F92" w:rsidRDefault="008B6B35" w:rsidP="00730932">
            <w:pPr>
              <w:spacing w:after="0" w:line="240" w:lineRule="auto"/>
              <w:jc w:val="right"/>
              <w:rPr>
                <w:sz w:val="18"/>
                <w:szCs w:val="18"/>
              </w:rPr>
            </w:pPr>
            <w:r w:rsidRPr="00B71F92">
              <w:rPr>
                <w:sz w:val="18"/>
                <w:szCs w:val="18"/>
              </w:rPr>
              <w:t>-8.66</w:t>
            </w:r>
          </w:p>
        </w:tc>
      </w:tr>
      <w:tr w:rsidR="008B6B35" w:rsidRPr="00B71F92" w14:paraId="4FA63DF3" w14:textId="77777777" w:rsidTr="002F5607">
        <w:trPr>
          <w:trHeight w:val="230"/>
          <w:jc w:val="center"/>
        </w:trPr>
        <w:tc>
          <w:tcPr>
            <w:tcW w:w="1221" w:type="pct"/>
            <w:tcBorders>
              <w:top w:val="nil"/>
              <w:bottom w:val="nil"/>
              <w:right w:val="single" w:sz="12" w:space="0" w:color="auto"/>
            </w:tcBorders>
            <w:noWrap/>
            <w:vAlign w:val="bottom"/>
            <w:hideMark/>
          </w:tcPr>
          <w:p w14:paraId="3E4381A7"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2021 Shift</w:t>
            </w:r>
          </w:p>
        </w:tc>
        <w:tc>
          <w:tcPr>
            <w:tcW w:w="171" w:type="pct"/>
            <w:tcBorders>
              <w:top w:val="nil"/>
              <w:left w:val="single" w:sz="12" w:space="0" w:color="auto"/>
              <w:bottom w:val="nil"/>
            </w:tcBorders>
            <w:noWrap/>
            <w:vAlign w:val="bottom"/>
            <w:hideMark/>
          </w:tcPr>
          <w:p w14:paraId="3ED1BB2F" w14:textId="77777777" w:rsidR="008B6B35" w:rsidRPr="00B71F92" w:rsidRDefault="008B6B35" w:rsidP="00730932">
            <w:pPr>
              <w:spacing w:after="0" w:line="240" w:lineRule="auto"/>
              <w:jc w:val="right"/>
              <w:rPr>
                <w:rFonts w:eastAsia="Times New Roman"/>
                <w:sz w:val="18"/>
                <w:szCs w:val="18"/>
              </w:rPr>
            </w:pPr>
            <w:r w:rsidRPr="00B71F92">
              <w:rPr>
                <w:sz w:val="18"/>
                <w:szCs w:val="18"/>
              </w:rPr>
              <w:t>0.10</w:t>
            </w:r>
          </w:p>
        </w:tc>
        <w:tc>
          <w:tcPr>
            <w:tcW w:w="155" w:type="pct"/>
            <w:tcBorders>
              <w:top w:val="nil"/>
              <w:bottom w:val="nil"/>
              <w:right w:val="single" w:sz="12" w:space="0" w:color="auto"/>
            </w:tcBorders>
            <w:noWrap/>
            <w:vAlign w:val="bottom"/>
            <w:hideMark/>
          </w:tcPr>
          <w:p w14:paraId="0F06D9E9" w14:textId="77777777" w:rsidR="008B6B35" w:rsidRPr="00B71F92" w:rsidRDefault="008B6B35" w:rsidP="00730932">
            <w:pPr>
              <w:spacing w:after="0" w:line="240" w:lineRule="auto"/>
              <w:jc w:val="right"/>
              <w:rPr>
                <w:rFonts w:eastAsia="Times New Roman"/>
                <w:sz w:val="18"/>
                <w:szCs w:val="18"/>
              </w:rPr>
            </w:pPr>
            <w:r w:rsidRPr="00B71F92">
              <w:rPr>
                <w:sz w:val="18"/>
                <w:szCs w:val="18"/>
              </w:rPr>
              <w:t>2.01</w:t>
            </w:r>
          </w:p>
        </w:tc>
        <w:tc>
          <w:tcPr>
            <w:tcW w:w="153" w:type="pct"/>
            <w:tcBorders>
              <w:top w:val="nil"/>
              <w:left w:val="single" w:sz="12" w:space="0" w:color="auto"/>
              <w:bottom w:val="nil"/>
            </w:tcBorders>
            <w:noWrap/>
            <w:vAlign w:val="bottom"/>
          </w:tcPr>
          <w:p w14:paraId="14E27F56" w14:textId="77777777" w:rsidR="008B6B35" w:rsidRPr="00B71F92" w:rsidRDefault="008B6B35" w:rsidP="00730932">
            <w:pPr>
              <w:spacing w:after="0" w:line="240" w:lineRule="auto"/>
              <w:jc w:val="right"/>
              <w:rPr>
                <w:rFonts w:eastAsia="Times New Roman"/>
                <w:sz w:val="18"/>
                <w:szCs w:val="18"/>
              </w:rPr>
            </w:pPr>
            <w:r w:rsidRPr="00B71F92">
              <w:rPr>
                <w:sz w:val="18"/>
                <w:szCs w:val="18"/>
              </w:rPr>
              <w:t>0.25</w:t>
            </w:r>
          </w:p>
        </w:tc>
        <w:tc>
          <w:tcPr>
            <w:tcW w:w="156" w:type="pct"/>
            <w:tcBorders>
              <w:top w:val="nil"/>
              <w:bottom w:val="nil"/>
              <w:right w:val="single" w:sz="6" w:space="0" w:color="auto"/>
            </w:tcBorders>
            <w:noWrap/>
            <w:vAlign w:val="bottom"/>
          </w:tcPr>
          <w:p w14:paraId="503BC8DA" w14:textId="77777777" w:rsidR="008B6B35" w:rsidRPr="00B71F92" w:rsidRDefault="008B6B35" w:rsidP="00730932">
            <w:pPr>
              <w:spacing w:after="0" w:line="240" w:lineRule="auto"/>
              <w:jc w:val="right"/>
              <w:rPr>
                <w:rFonts w:eastAsia="Times New Roman"/>
                <w:sz w:val="18"/>
                <w:szCs w:val="18"/>
              </w:rPr>
            </w:pPr>
            <w:r w:rsidRPr="00B71F92">
              <w:rPr>
                <w:sz w:val="18"/>
                <w:szCs w:val="18"/>
              </w:rPr>
              <w:t>0.76</w:t>
            </w:r>
          </w:p>
        </w:tc>
        <w:tc>
          <w:tcPr>
            <w:tcW w:w="153" w:type="pct"/>
            <w:tcBorders>
              <w:top w:val="nil"/>
              <w:left w:val="single" w:sz="6" w:space="0" w:color="auto"/>
              <w:bottom w:val="nil"/>
            </w:tcBorders>
            <w:noWrap/>
            <w:vAlign w:val="bottom"/>
          </w:tcPr>
          <w:p w14:paraId="20953F65" w14:textId="77777777" w:rsidR="008B6B35" w:rsidRPr="00B71F92" w:rsidRDefault="008B6B35" w:rsidP="00730932">
            <w:pPr>
              <w:spacing w:after="0" w:line="240" w:lineRule="auto"/>
              <w:jc w:val="right"/>
              <w:rPr>
                <w:rFonts w:eastAsia="Times New Roman"/>
                <w:sz w:val="18"/>
                <w:szCs w:val="18"/>
              </w:rPr>
            </w:pPr>
            <w:r w:rsidRPr="00B71F92">
              <w:rPr>
                <w:sz w:val="18"/>
                <w:szCs w:val="18"/>
              </w:rPr>
              <w:t>0.07</w:t>
            </w:r>
          </w:p>
        </w:tc>
        <w:tc>
          <w:tcPr>
            <w:tcW w:w="153" w:type="pct"/>
            <w:tcBorders>
              <w:top w:val="nil"/>
              <w:bottom w:val="nil"/>
              <w:right w:val="single" w:sz="6" w:space="0" w:color="auto"/>
            </w:tcBorders>
            <w:noWrap/>
            <w:vAlign w:val="bottom"/>
          </w:tcPr>
          <w:p w14:paraId="18ADC442" w14:textId="77777777" w:rsidR="008B6B35" w:rsidRPr="00B71F92" w:rsidRDefault="008B6B35" w:rsidP="00730932">
            <w:pPr>
              <w:spacing w:after="0" w:line="240" w:lineRule="auto"/>
              <w:jc w:val="right"/>
              <w:rPr>
                <w:rFonts w:eastAsia="Times New Roman"/>
                <w:sz w:val="18"/>
                <w:szCs w:val="18"/>
              </w:rPr>
            </w:pPr>
            <w:r w:rsidRPr="00B71F92">
              <w:rPr>
                <w:sz w:val="18"/>
                <w:szCs w:val="18"/>
              </w:rPr>
              <w:t>0.43</w:t>
            </w:r>
          </w:p>
        </w:tc>
        <w:tc>
          <w:tcPr>
            <w:tcW w:w="153" w:type="pct"/>
            <w:tcBorders>
              <w:top w:val="nil"/>
              <w:left w:val="single" w:sz="6" w:space="0" w:color="auto"/>
              <w:bottom w:val="nil"/>
            </w:tcBorders>
            <w:noWrap/>
            <w:vAlign w:val="bottom"/>
          </w:tcPr>
          <w:p w14:paraId="5D4EE527" w14:textId="77777777" w:rsidR="008B6B35" w:rsidRPr="00B71F92" w:rsidRDefault="008B6B35" w:rsidP="00730932">
            <w:pPr>
              <w:spacing w:after="0" w:line="240" w:lineRule="auto"/>
              <w:jc w:val="right"/>
              <w:rPr>
                <w:rFonts w:eastAsia="Times New Roman"/>
                <w:sz w:val="18"/>
                <w:szCs w:val="18"/>
              </w:rPr>
            </w:pPr>
            <w:r w:rsidRPr="00B71F92">
              <w:rPr>
                <w:sz w:val="18"/>
                <w:szCs w:val="18"/>
              </w:rPr>
              <w:t>-0.25</w:t>
            </w:r>
          </w:p>
        </w:tc>
        <w:tc>
          <w:tcPr>
            <w:tcW w:w="153" w:type="pct"/>
            <w:tcBorders>
              <w:top w:val="nil"/>
              <w:bottom w:val="nil"/>
              <w:right w:val="single" w:sz="6" w:space="0" w:color="auto"/>
            </w:tcBorders>
            <w:noWrap/>
            <w:vAlign w:val="bottom"/>
          </w:tcPr>
          <w:p w14:paraId="36B9E674" w14:textId="77777777" w:rsidR="008B6B35" w:rsidRPr="00B71F92" w:rsidRDefault="008B6B35" w:rsidP="00730932">
            <w:pPr>
              <w:spacing w:after="0" w:line="240" w:lineRule="auto"/>
              <w:jc w:val="right"/>
              <w:rPr>
                <w:rFonts w:eastAsia="Times New Roman"/>
                <w:sz w:val="18"/>
                <w:szCs w:val="18"/>
              </w:rPr>
            </w:pPr>
            <w:r w:rsidRPr="00B71F92">
              <w:rPr>
                <w:sz w:val="18"/>
                <w:szCs w:val="18"/>
              </w:rPr>
              <w:t>-1.75</w:t>
            </w:r>
          </w:p>
        </w:tc>
        <w:tc>
          <w:tcPr>
            <w:tcW w:w="153" w:type="pct"/>
            <w:tcBorders>
              <w:top w:val="nil"/>
              <w:left w:val="single" w:sz="6" w:space="0" w:color="auto"/>
              <w:bottom w:val="nil"/>
            </w:tcBorders>
            <w:noWrap/>
            <w:vAlign w:val="bottom"/>
          </w:tcPr>
          <w:p w14:paraId="14CACF74" w14:textId="77777777" w:rsidR="008B6B35" w:rsidRPr="00B71F92" w:rsidRDefault="008B6B35" w:rsidP="00730932">
            <w:pPr>
              <w:spacing w:after="0" w:line="240" w:lineRule="auto"/>
              <w:jc w:val="right"/>
              <w:rPr>
                <w:rFonts w:eastAsia="Times New Roman"/>
                <w:sz w:val="18"/>
                <w:szCs w:val="18"/>
              </w:rPr>
            </w:pPr>
            <w:r w:rsidRPr="00B71F92">
              <w:rPr>
                <w:sz w:val="18"/>
                <w:szCs w:val="18"/>
              </w:rPr>
              <w:t>0.36</w:t>
            </w:r>
          </w:p>
        </w:tc>
        <w:tc>
          <w:tcPr>
            <w:tcW w:w="153" w:type="pct"/>
            <w:tcBorders>
              <w:top w:val="nil"/>
              <w:bottom w:val="nil"/>
              <w:right w:val="single" w:sz="6" w:space="0" w:color="auto"/>
            </w:tcBorders>
            <w:noWrap/>
            <w:vAlign w:val="bottom"/>
          </w:tcPr>
          <w:p w14:paraId="43854A6A" w14:textId="77777777" w:rsidR="008B6B35" w:rsidRPr="00B71F92" w:rsidRDefault="008B6B35" w:rsidP="00730932">
            <w:pPr>
              <w:spacing w:after="0" w:line="240" w:lineRule="auto"/>
              <w:jc w:val="right"/>
              <w:rPr>
                <w:rFonts w:eastAsia="Times New Roman"/>
                <w:sz w:val="18"/>
                <w:szCs w:val="18"/>
              </w:rPr>
            </w:pPr>
            <w:r w:rsidRPr="00B71F92">
              <w:rPr>
                <w:sz w:val="18"/>
                <w:szCs w:val="18"/>
              </w:rPr>
              <w:t>3.88</w:t>
            </w:r>
          </w:p>
        </w:tc>
        <w:tc>
          <w:tcPr>
            <w:tcW w:w="153" w:type="pct"/>
            <w:tcBorders>
              <w:top w:val="nil"/>
              <w:left w:val="single" w:sz="6" w:space="0" w:color="auto"/>
              <w:bottom w:val="nil"/>
            </w:tcBorders>
            <w:noWrap/>
            <w:vAlign w:val="bottom"/>
          </w:tcPr>
          <w:p w14:paraId="6B84A3F7" w14:textId="77777777" w:rsidR="008B6B35" w:rsidRPr="00B71F92" w:rsidRDefault="008B6B35" w:rsidP="00730932">
            <w:pPr>
              <w:spacing w:after="0" w:line="240" w:lineRule="auto"/>
              <w:jc w:val="right"/>
              <w:rPr>
                <w:rFonts w:eastAsia="Times New Roman"/>
                <w:sz w:val="18"/>
                <w:szCs w:val="18"/>
              </w:rPr>
            </w:pPr>
            <w:r w:rsidRPr="00B71F92">
              <w:rPr>
                <w:sz w:val="18"/>
                <w:szCs w:val="18"/>
              </w:rPr>
              <w:t>-0.25</w:t>
            </w:r>
          </w:p>
        </w:tc>
        <w:tc>
          <w:tcPr>
            <w:tcW w:w="153" w:type="pct"/>
            <w:tcBorders>
              <w:top w:val="nil"/>
              <w:bottom w:val="nil"/>
              <w:right w:val="single" w:sz="6" w:space="0" w:color="auto"/>
            </w:tcBorders>
            <w:noWrap/>
            <w:vAlign w:val="bottom"/>
          </w:tcPr>
          <w:p w14:paraId="5A93244E" w14:textId="77777777" w:rsidR="008B6B35" w:rsidRPr="00B71F92" w:rsidRDefault="008B6B35" w:rsidP="00730932">
            <w:pPr>
              <w:spacing w:after="0" w:line="240" w:lineRule="auto"/>
              <w:jc w:val="right"/>
              <w:rPr>
                <w:rFonts w:eastAsia="Times New Roman"/>
                <w:sz w:val="18"/>
                <w:szCs w:val="18"/>
              </w:rPr>
            </w:pPr>
            <w:r w:rsidRPr="00B71F92">
              <w:rPr>
                <w:sz w:val="18"/>
                <w:szCs w:val="18"/>
              </w:rPr>
              <w:t>-0.73</w:t>
            </w:r>
          </w:p>
        </w:tc>
        <w:tc>
          <w:tcPr>
            <w:tcW w:w="153" w:type="pct"/>
            <w:tcBorders>
              <w:top w:val="nil"/>
              <w:left w:val="single" w:sz="6" w:space="0" w:color="auto"/>
              <w:bottom w:val="nil"/>
            </w:tcBorders>
            <w:noWrap/>
          </w:tcPr>
          <w:p w14:paraId="59E49BA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32333A6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7254E6EC" w14:textId="77777777" w:rsidR="008B6B35" w:rsidRPr="00B71F92" w:rsidRDefault="008B6B35" w:rsidP="00730932">
            <w:pPr>
              <w:spacing w:after="0" w:line="240" w:lineRule="auto"/>
              <w:jc w:val="right"/>
              <w:rPr>
                <w:rFonts w:eastAsia="Times New Roman"/>
                <w:sz w:val="18"/>
                <w:szCs w:val="18"/>
              </w:rPr>
            </w:pPr>
            <w:r w:rsidRPr="00B71F92">
              <w:rPr>
                <w:sz w:val="18"/>
                <w:szCs w:val="18"/>
              </w:rPr>
              <w:t>-0.48</w:t>
            </w:r>
          </w:p>
        </w:tc>
        <w:tc>
          <w:tcPr>
            <w:tcW w:w="186" w:type="pct"/>
            <w:tcBorders>
              <w:top w:val="nil"/>
              <w:bottom w:val="nil"/>
              <w:right w:val="single" w:sz="6" w:space="0" w:color="auto"/>
            </w:tcBorders>
            <w:noWrap/>
            <w:vAlign w:val="bottom"/>
          </w:tcPr>
          <w:p w14:paraId="3E2BD396" w14:textId="77777777" w:rsidR="008B6B35" w:rsidRPr="00B71F92" w:rsidRDefault="008B6B35" w:rsidP="00730932">
            <w:pPr>
              <w:spacing w:after="0" w:line="240" w:lineRule="auto"/>
              <w:jc w:val="right"/>
              <w:rPr>
                <w:rFonts w:eastAsia="Times New Roman"/>
                <w:sz w:val="18"/>
                <w:szCs w:val="18"/>
              </w:rPr>
            </w:pPr>
            <w:r w:rsidRPr="00B71F92">
              <w:rPr>
                <w:sz w:val="18"/>
                <w:szCs w:val="18"/>
              </w:rPr>
              <w:t>-2.28</w:t>
            </w:r>
          </w:p>
        </w:tc>
        <w:tc>
          <w:tcPr>
            <w:tcW w:w="152" w:type="pct"/>
            <w:tcBorders>
              <w:top w:val="nil"/>
              <w:left w:val="single" w:sz="6" w:space="0" w:color="auto"/>
              <w:bottom w:val="nil"/>
            </w:tcBorders>
            <w:noWrap/>
            <w:vAlign w:val="bottom"/>
          </w:tcPr>
          <w:p w14:paraId="3260F20B" w14:textId="77777777" w:rsidR="008B6B35" w:rsidRPr="00B71F92" w:rsidRDefault="008B6B35" w:rsidP="00730932">
            <w:pPr>
              <w:spacing w:after="0" w:line="240" w:lineRule="auto"/>
              <w:jc w:val="right"/>
              <w:rPr>
                <w:rFonts w:eastAsia="Times New Roman"/>
                <w:sz w:val="18"/>
                <w:szCs w:val="18"/>
              </w:rPr>
            </w:pPr>
            <w:r w:rsidRPr="00B71F92">
              <w:rPr>
                <w:sz w:val="18"/>
                <w:szCs w:val="18"/>
              </w:rPr>
              <w:t>0.14</w:t>
            </w:r>
          </w:p>
        </w:tc>
        <w:tc>
          <w:tcPr>
            <w:tcW w:w="153" w:type="pct"/>
            <w:tcBorders>
              <w:top w:val="nil"/>
              <w:bottom w:val="nil"/>
              <w:right w:val="single" w:sz="6" w:space="0" w:color="auto"/>
            </w:tcBorders>
            <w:noWrap/>
            <w:vAlign w:val="bottom"/>
          </w:tcPr>
          <w:p w14:paraId="4C324D96" w14:textId="77777777" w:rsidR="008B6B35" w:rsidRPr="00B71F92" w:rsidRDefault="008B6B35" w:rsidP="00730932">
            <w:pPr>
              <w:spacing w:after="0" w:line="240" w:lineRule="auto"/>
              <w:jc w:val="right"/>
              <w:rPr>
                <w:rFonts w:eastAsia="Times New Roman"/>
                <w:sz w:val="18"/>
                <w:szCs w:val="18"/>
              </w:rPr>
            </w:pPr>
            <w:r w:rsidRPr="00B71F92">
              <w:rPr>
                <w:sz w:val="18"/>
                <w:szCs w:val="18"/>
              </w:rPr>
              <w:t>1.19</w:t>
            </w:r>
          </w:p>
        </w:tc>
        <w:tc>
          <w:tcPr>
            <w:tcW w:w="153" w:type="pct"/>
            <w:tcBorders>
              <w:top w:val="nil"/>
              <w:left w:val="single" w:sz="6" w:space="0" w:color="auto"/>
              <w:bottom w:val="nil"/>
            </w:tcBorders>
            <w:noWrap/>
            <w:vAlign w:val="bottom"/>
          </w:tcPr>
          <w:p w14:paraId="40D7592C" w14:textId="77777777" w:rsidR="008B6B35" w:rsidRPr="00B71F92" w:rsidRDefault="008B6B35" w:rsidP="00730932">
            <w:pPr>
              <w:spacing w:after="0" w:line="240" w:lineRule="auto"/>
              <w:jc w:val="right"/>
              <w:rPr>
                <w:rFonts w:eastAsia="Times New Roman"/>
                <w:sz w:val="18"/>
                <w:szCs w:val="18"/>
              </w:rPr>
            </w:pPr>
            <w:r w:rsidRPr="00B71F92">
              <w:rPr>
                <w:sz w:val="18"/>
                <w:szCs w:val="18"/>
              </w:rPr>
              <w:t>0.52</w:t>
            </w:r>
          </w:p>
        </w:tc>
        <w:tc>
          <w:tcPr>
            <w:tcW w:w="153" w:type="pct"/>
            <w:tcBorders>
              <w:top w:val="nil"/>
              <w:bottom w:val="nil"/>
              <w:right w:val="single" w:sz="6" w:space="0" w:color="auto"/>
            </w:tcBorders>
            <w:noWrap/>
            <w:vAlign w:val="bottom"/>
          </w:tcPr>
          <w:p w14:paraId="2084B31F" w14:textId="77777777" w:rsidR="008B6B35" w:rsidRPr="00B71F92" w:rsidRDefault="008B6B35" w:rsidP="00730932">
            <w:pPr>
              <w:spacing w:after="0" w:line="240" w:lineRule="auto"/>
              <w:jc w:val="right"/>
              <w:rPr>
                <w:rFonts w:eastAsia="Times New Roman"/>
                <w:sz w:val="18"/>
                <w:szCs w:val="18"/>
              </w:rPr>
            </w:pPr>
            <w:r w:rsidRPr="00B71F92">
              <w:rPr>
                <w:sz w:val="18"/>
                <w:szCs w:val="18"/>
              </w:rPr>
              <w:t>2.14</w:t>
            </w:r>
          </w:p>
        </w:tc>
        <w:tc>
          <w:tcPr>
            <w:tcW w:w="153" w:type="pct"/>
            <w:tcBorders>
              <w:top w:val="nil"/>
              <w:left w:val="single" w:sz="6" w:space="0" w:color="auto"/>
              <w:bottom w:val="nil"/>
            </w:tcBorders>
            <w:noWrap/>
            <w:vAlign w:val="bottom"/>
          </w:tcPr>
          <w:p w14:paraId="1DD86057" w14:textId="77777777" w:rsidR="008B6B35" w:rsidRPr="00B71F92" w:rsidRDefault="008B6B35" w:rsidP="00730932">
            <w:pPr>
              <w:spacing w:after="0" w:line="240" w:lineRule="auto"/>
              <w:jc w:val="right"/>
              <w:rPr>
                <w:rFonts w:eastAsia="Times New Roman"/>
                <w:sz w:val="18"/>
                <w:szCs w:val="18"/>
              </w:rPr>
            </w:pPr>
            <w:r w:rsidRPr="00B71F92">
              <w:rPr>
                <w:sz w:val="18"/>
                <w:szCs w:val="18"/>
              </w:rPr>
              <w:t>-0.14</w:t>
            </w:r>
          </w:p>
        </w:tc>
        <w:tc>
          <w:tcPr>
            <w:tcW w:w="153" w:type="pct"/>
            <w:tcBorders>
              <w:top w:val="nil"/>
              <w:bottom w:val="nil"/>
              <w:right w:val="single" w:sz="8" w:space="0" w:color="auto"/>
            </w:tcBorders>
            <w:noWrap/>
            <w:vAlign w:val="bottom"/>
          </w:tcPr>
          <w:p w14:paraId="10F4A64D" w14:textId="77777777" w:rsidR="008B6B35" w:rsidRPr="00B71F92" w:rsidRDefault="008B6B35" w:rsidP="00730932">
            <w:pPr>
              <w:spacing w:after="0" w:line="240" w:lineRule="auto"/>
              <w:jc w:val="right"/>
              <w:rPr>
                <w:rFonts w:eastAsia="Times New Roman"/>
                <w:sz w:val="18"/>
                <w:szCs w:val="18"/>
              </w:rPr>
            </w:pPr>
            <w:r w:rsidRPr="00B71F92">
              <w:rPr>
                <w:sz w:val="18"/>
                <w:szCs w:val="18"/>
              </w:rPr>
              <w:t>-0.50</w:t>
            </w:r>
          </w:p>
        </w:tc>
        <w:tc>
          <w:tcPr>
            <w:tcW w:w="153" w:type="pct"/>
            <w:tcBorders>
              <w:top w:val="nil"/>
              <w:left w:val="single" w:sz="8" w:space="0" w:color="auto"/>
              <w:bottom w:val="nil"/>
            </w:tcBorders>
            <w:vAlign w:val="bottom"/>
          </w:tcPr>
          <w:p w14:paraId="149C9066" w14:textId="77777777" w:rsidR="008B6B35" w:rsidRPr="00B71F92" w:rsidRDefault="008B6B35" w:rsidP="00730932">
            <w:pPr>
              <w:spacing w:after="0" w:line="240" w:lineRule="auto"/>
              <w:jc w:val="right"/>
              <w:rPr>
                <w:rFonts w:eastAsia="Times New Roman"/>
                <w:sz w:val="18"/>
                <w:szCs w:val="18"/>
              </w:rPr>
            </w:pPr>
            <w:r w:rsidRPr="00B71F92">
              <w:rPr>
                <w:sz w:val="18"/>
                <w:szCs w:val="18"/>
              </w:rPr>
              <w:t>-0.11</w:t>
            </w:r>
          </w:p>
        </w:tc>
        <w:tc>
          <w:tcPr>
            <w:tcW w:w="206" w:type="pct"/>
            <w:tcBorders>
              <w:top w:val="nil"/>
              <w:bottom w:val="nil"/>
            </w:tcBorders>
            <w:vAlign w:val="bottom"/>
          </w:tcPr>
          <w:p w14:paraId="555C43EA" w14:textId="77777777" w:rsidR="008B6B35" w:rsidRPr="00B71F92" w:rsidRDefault="008B6B35" w:rsidP="00730932">
            <w:pPr>
              <w:spacing w:after="0" w:line="240" w:lineRule="auto"/>
              <w:jc w:val="right"/>
              <w:rPr>
                <w:rFonts w:eastAsia="Times New Roman"/>
                <w:sz w:val="18"/>
                <w:szCs w:val="18"/>
              </w:rPr>
            </w:pPr>
            <w:r w:rsidRPr="00B71F92">
              <w:rPr>
                <w:sz w:val="18"/>
                <w:szCs w:val="18"/>
              </w:rPr>
              <w:t>-1.15</w:t>
            </w:r>
          </w:p>
        </w:tc>
      </w:tr>
      <w:tr w:rsidR="008B6B35" w:rsidRPr="00B71F92" w14:paraId="535E2320" w14:textId="77777777" w:rsidTr="002F5607">
        <w:trPr>
          <w:trHeight w:val="230"/>
          <w:jc w:val="center"/>
        </w:trPr>
        <w:tc>
          <w:tcPr>
            <w:tcW w:w="1221" w:type="pct"/>
            <w:tcBorders>
              <w:top w:val="nil"/>
              <w:bottom w:val="single" w:sz="12" w:space="0" w:color="auto"/>
              <w:right w:val="single" w:sz="12" w:space="0" w:color="auto"/>
            </w:tcBorders>
            <w:noWrap/>
            <w:vAlign w:val="bottom"/>
            <w:hideMark/>
          </w:tcPr>
          <w:p w14:paraId="37A37A3B"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2023 Shift</w:t>
            </w:r>
          </w:p>
        </w:tc>
        <w:tc>
          <w:tcPr>
            <w:tcW w:w="171" w:type="pct"/>
            <w:tcBorders>
              <w:top w:val="nil"/>
              <w:left w:val="single" w:sz="12" w:space="0" w:color="auto"/>
              <w:bottom w:val="single" w:sz="12" w:space="0" w:color="auto"/>
            </w:tcBorders>
            <w:noWrap/>
            <w:vAlign w:val="bottom"/>
            <w:hideMark/>
          </w:tcPr>
          <w:p w14:paraId="1594F2F1" w14:textId="77777777" w:rsidR="008B6B35" w:rsidRPr="00B71F92" w:rsidRDefault="008B6B35" w:rsidP="00730932">
            <w:pPr>
              <w:spacing w:after="0" w:line="240" w:lineRule="auto"/>
              <w:jc w:val="right"/>
              <w:rPr>
                <w:rFonts w:eastAsia="Times New Roman"/>
                <w:sz w:val="18"/>
                <w:szCs w:val="18"/>
              </w:rPr>
            </w:pPr>
            <w:r w:rsidRPr="00B71F92">
              <w:rPr>
                <w:sz w:val="18"/>
                <w:szCs w:val="18"/>
              </w:rPr>
              <w:t>-0.44</w:t>
            </w:r>
          </w:p>
        </w:tc>
        <w:tc>
          <w:tcPr>
            <w:tcW w:w="155" w:type="pct"/>
            <w:tcBorders>
              <w:top w:val="nil"/>
              <w:bottom w:val="single" w:sz="12" w:space="0" w:color="auto"/>
              <w:right w:val="single" w:sz="12" w:space="0" w:color="auto"/>
            </w:tcBorders>
            <w:noWrap/>
            <w:vAlign w:val="bottom"/>
            <w:hideMark/>
          </w:tcPr>
          <w:p w14:paraId="0E38C24C" w14:textId="77777777" w:rsidR="008B6B35" w:rsidRPr="00B71F92" w:rsidRDefault="008B6B35" w:rsidP="00730932">
            <w:pPr>
              <w:spacing w:after="0" w:line="240" w:lineRule="auto"/>
              <w:jc w:val="right"/>
              <w:rPr>
                <w:rFonts w:eastAsia="Times New Roman"/>
                <w:sz w:val="18"/>
                <w:szCs w:val="18"/>
              </w:rPr>
            </w:pPr>
            <w:r w:rsidRPr="00B71F92">
              <w:rPr>
                <w:sz w:val="18"/>
                <w:szCs w:val="18"/>
              </w:rPr>
              <w:t>-3.98</w:t>
            </w:r>
          </w:p>
        </w:tc>
        <w:tc>
          <w:tcPr>
            <w:tcW w:w="153" w:type="pct"/>
            <w:tcBorders>
              <w:top w:val="nil"/>
              <w:left w:val="single" w:sz="12" w:space="0" w:color="auto"/>
              <w:bottom w:val="single" w:sz="12" w:space="0" w:color="auto"/>
            </w:tcBorders>
            <w:noWrap/>
            <w:vAlign w:val="bottom"/>
          </w:tcPr>
          <w:p w14:paraId="3282A0AC" w14:textId="77777777" w:rsidR="008B6B35" w:rsidRPr="00B71F92" w:rsidRDefault="008B6B35" w:rsidP="00730932">
            <w:pPr>
              <w:spacing w:after="0" w:line="240" w:lineRule="auto"/>
              <w:jc w:val="right"/>
              <w:rPr>
                <w:rFonts w:eastAsia="Times New Roman"/>
                <w:sz w:val="18"/>
                <w:szCs w:val="18"/>
              </w:rPr>
            </w:pPr>
            <w:r w:rsidRPr="00B71F92">
              <w:rPr>
                <w:sz w:val="18"/>
                <w:szCs w:val="18"/>
              </w:rPr>
              <w:t>-0.28</w:t>
            </w:r>
          </w:p>
        </w:tc>
        <w:tc>
          <w:tcPr>
            <w:tcW w:w="156" w:type="pct"/>
            <w:tcBorders>
              <w:top w:val="nil"/>
              <w:bottom w:val="single" w:sz="12" w:space="0" w:color="auto"/>
              <w:right w:val="single" w:sz="6" w:space="0" w:color="auto"/>
            </w:tcBorders>
            <w:noWrap/>
            <w:vAlign w:val="bottom"/>
          </w:tcPr>
          <w:p w14:paraId="585AAFC3" w14:textId="77777777" w:rsidR="008B6B35" w:rsidRPr="00B71F92" w:rsidRDefault="008B6B35" w:rsidP="00730932">
            <w:pPr>
              <w:spacing w:after="0" w:line="240" w:lineRule="auto"/>
              <w:jc w:val="right"/>
              <w:rPr>
                <w:rFonts w:eastAsia="Times New Roman"/>
                <w:sz w:val="18"/>
                <w:szCs w:val="18"/>
              </w:rPr>
            </w:pPr>
            <w:r w:rsidRPr="00B71F92">
              <w:rPr>
                <w:sz w:val="18"/>
                <w:szCs w:val="18"/>
              </w:rPr>
              <w:t>-0.81</w:t>
            </w:r>
          </w:p>
        </w:tc>
        <w:tc>
          <w:tcPr>
            <w:tcW w:w="153" w:type="pct"/>
            <w:tcBorders>
              <w:top w:val="nil"/>
              <w:left w:val="single" w:sz="6" w:space="0" w:color="auto"/>
              <w:bottom w:val="single" w:sz="12" w:space="0" w:color="auto"/>
            </w:tcBorders>
            <w:noWrap/>
            <w:vAlign w:val="bottom"/>
          </w:tcPr>
          <w:p w14:paraId="2A15BE68" w14:textId="77777777" w:rsidR="008B6B35" w:rsidRPr="00B71F92" w:rsidRDefault="008B6B35" w:rsidP="00730932">
            <w:pPr>
              <w:spacing w:after="0" w:line="240" w:lineRule="auto"/>
              <w:jc w:val="right"/>
              <w:rPr>
                <w:rFonts w:eastAsia="Times New Roman"/>
                <w:sz w:val="18"/>
                <w:szCs w:val="18"/>
              </w:rPr>
            </w:pPr>
            <w:r w:rsidRPr="00B71F92">
              <w:rPr>
                <w:sz w:val="18"/>
                <w:szCs w:val="18"/>
              </w:rPr>
              <w:t>0.05</w:t>
            </w:r>
          </w:p>
        </w:tc>
        <w:tc>
          <w:tcPr>
            <w:tcW w:w="153" w:type="pct"/>
            <w:tcBorders>
              <w:top w:val="nil"/>
              <w:bottom w:val="single" w:sz="12" w:space="0" w:color="auto"/>
              <w:right w:val="single" w:sz="6" w:space="0" w:color="auto"/>
            </w:tcBorders>
            <w:noWrap/>
            <w:vAlign w:val="bottom"/>
          </w:tcPr>
          <w:p w14:paraId="1F366B35" w14:textId="77777777" w:rsidR="008B6B35" w:rsidRPr="00B71F92" w:rsidRDefault="008B6B35" w:rsidP="00730932">
            <w:pPr>
              <w:spacing w:after="0" w:line="240" w:lineRule="auto"/>
              <w:jc w:val="right"/>
              <w:rPr>
                <w:rFonts w:eastAsia="Times New Roman"/>
                <w:sz w:val="18"/>
                <w:szCs w:val="18"/>
              </w:rPr>
            </w:pPr>
            <w:r w:rsidRPr="00B71F92">
              <w:rPr>
                <w:sz w:val="18"/>
                <w:szCs w:val="18"/>
              </w:rPr>
              <w:t>0.46</w:t>
            </w:r>
          </w:p>
        </w:tc>
        <w:tc>
          <w:tcPr>
            <w:tcW w:w="153" w:type="pct"/>
            <w:tcBorders>
              <w:top w:val="nil"/>
              <w:left w:val="single" w:sz="6" w:space="0" w:color="auto"/>
              <w:bottom w:val="single" w:sz="12" w:space="0" w:color="auto"/>
            </w:tcBorders>
            <w:noWrap/>
            <w:vAlign w:val="bottom"/>
          </w:tcPr>
          <w:p w14:paraId="05BB986A" w14:textId="77777777" w:rsidR="008B6B35" w:rsidRPr="00B71F92" w:rsidRDefault="008B6B35" w:rsidP="00730932">
            <w:pPr>
              <w:spacing w:after="0" w:line="240" w:lineRule="auto"/>
              <w:jc w:val="right"/>
              <w:rPr>
                <w:rFonts w:eastAsia="Times New Roman"/>
                <w:sz w:val="18"/>
                <w:szCs w:val="18"/>
              </w:rPr>
            </w:pPr>
            <w:r w:rsidRPr="00B71F92">
              <w:rPr>
                <w:sz w:val="18"/>
                <w:szCs w:val="18"/>
              </w:rPr>
              <w:t>0.54</w:t>
            </w:r>
          </w:p>
        </w:tc>
        <w:tc>
          <w:tcPr>
            <w:tcW w:w="153" w:type="pct"/>
            <w:tcBorders>
              <w:top w:val="nil"/>
              <w:bottom w:val="single" w:sz="12" w:space="0" w:color="auto"/>
              <w:right w:val="single" w:sz="6" w:space="0" w:color="auto"/>
            </w:tcBorders>
            <w:noWrap/>
            <w:vAlign w:val="bottom"/>
          </w:tcPr>
          <w:p w14:paraId="08D2CAEA" w14:textId="77777777" w:rsidR="008B6B35" w:rsidRPr="00B71F92" w:rsidRDefault="008B6B35" w:rsidP="00730932">
            <w:pPr>
              <w:spacing w:after="0" w:line="240" w:lineRule="auto"/>
              <w:jc w:val="right"/>
              <w:rPr>
                <w:rFonts w:eastAsia="Times New Roman"/>
                <w:sz w:val="18"/>
                <w:szCs w:val="18"/>
              </w:rPr>
            </w:pPr>
            <w:r w:rsidRPr="00B71F92">
              <w:rPr>
                <w:sz w:val="18"/>
                <w:szCs w:val="18"/>
              </w:rPr>
              <w:t>2.97</w:t>
            </w:r>
          </w:p>
        </w:tc>
        <w:tc>
          <w:tcPr>
            <w:tcW w:w="153" w:type="pct"/>
            <w:tcBorders>
              <w:top w:val="nil"/>
              <w:left w:val="single" w:sz="6" w:space="0" w:color="auto"/>
              <w:bottom w:val="single" w:sz="12" w:space="0" w:color="auto"/>
            </w:tcBorders>
            <w:noWrap/>
            <w:vAlign w:val="bottom"/>
          </w:tcPr>
          <w:p w14:paraId="19BF3386"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53" w:type="pct"/>
            <w:tcBorders>
              <w:top w:val="nil"/>
              <w:bottom w:val="single" w:sz="12" w:space="0" w:color="auto"/>
              <w:right w:val="single" w:sz="6" w:space="0" w:color="auto"/>
            </w:tcBorders>
            <w:noWrap/>
            <w:vAlign w:val="bottom"/>
          </w:tcPr>
          <w:p w14:paraId="57285E37" w14:textId="77777777" w:rsidR="008B6B35" w:rsidRPr="00B71F92" w:rsidRDefault="008B6B35" w:rsidP="00730932">
            <w:pPr>
              <w:spacing w:after="0" w:line="240" w:lineRule="auto"/>
              <w:jc w:val="right"/>
              <w:rPr>
                <w:rFonts w:eastAsia="Times New Roman"/>
                <w:sz w:val="18"/>
                <w:szCs w:val="18"/>
              </w:rPr>
            </w:pPr>
            <w:r w:rsidRPr="00B71F92">
              <w:rPr>
                <w:sz w:val="18"/>
                <w:szCs w:val="18"/>
              </w:rPr>
              <w:t>-2.13</w:t>
            </w:r>
          </w:p>
        </w:tc>
        <w:tc>
          <w:tcPr>
            <w:tcW w:w="153" w:type="pct"/>
            <w:tcBorders>
              <w:top w:val="nil"/>
              <w:left w:val="single" w:sz="6" w:space="0" w:color="auto"/>
              <w:bottom w:val="single" w:sz="12" w:space="0" w:color="auto"/>
            </w:tcBorders>
            <w:noWrap/>
            <w:vAlign w:val="bottom"/>
          </w:tcPr>
          <w:p w14:paraId="42B34935" w14:textId="77777777" w:rsidR="008B6B35" w:rsidRPr="00B71F92" w:rsidRDefault="008B6B35" w:rsidP="00730932">
            <w:pPr>
              <w:spacing w:after="0" w:line="240" w:lineRule="auto"/>
              <w:jc w:val="right"/>
              <w:rPr>
                <w:rFonts w:eastAsia="Times New Roman"/>
                <w:sz w:val="18"/>
                <w:szCs w:val="18"/>
              </w:rPr>
            </w:pPr>
            <w:r w:rsidRPr="00B71F92">
              <w:rPr>
                <w:sz w:val="18"/>
                <w:szCs w:val="18"/>
              </w:rPr>
              <w:t>-0.07</w:t>
            </w:r>
          </w:p>
        </w:tc>
        <w:tc>
          <w:tcPr>
            <w:tcW w:w="153" w:type="pct"/>
            <w:tcBorders>
              <w:top w:val="nil"/>
              <w:bottom w:val="single" w:sz="12" w:space="0" w:color="auto"/>
              <w:right w:val="single" w:sz="6" w:space="0" w:color="auto"/>
            </w:tcBorders>
            <w:noWrap/>
            <w:vAlign w:val="bottom"/>
          </w:tcPr>
          <w:p w14:paraId="730C5F4D"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left w:val="single" w:sz="6" w:space="0" w:color="auto"/>
              <w:bottom w:val="single" w:sz="12" w:space="0" w:color="auto"/>
            </w:tcBorders>
            <w:noWrap/>
          </w:tcPr>
          <w:p w14:paraId="3CB1002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single" w:sz="12" w:space="0" w:color="auto"/>
              <w:right w:val="single" w:sz="6" w:space="0" w:color="auto"/>
            </w:tcBorders>
            <w:noWrap/>
            <w:vAlign w:val="center"/>
          </w:tcPr>
          <w:p w14:paraId="6D5F1F9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bottom"/>
          </w:tcPr>
          <w:p w14:paraId="754C0519"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86" w:type="pct"/>
            <w:tcBorders>
              <w:top w:val="nil"/>
              <w:bottom w:val="single" w:sz="12" w:space="0" w:color="auto"/>
              <w:right w:val="single" w:sz="6" w:space="0" w:color="auto"/>
            </w:tcBorders>
            <w:noWrap/>
            <w:vAlign w:val="bottom"/>
          </w:tcPr>
          <w:p w14:paraId="006C8C18" w14:textId="77777777" w:rsidR="008B6B35" w:rsidRPr="00B71F92" w:rsidRDefault="008B6B35" w:rsidP="00730932">
            <w:pPr>
              <w:spacing w:after="0" w:line="240" w:lineRule="auto"/>
              <w:jc w:val="right"/>
              <w:rPr>
                <w:rFonts w:eastAsia="Times New Roman"/>
                <w:sz w:val="18"/>
                <w:szCs w:val="18"/>
              </w:rPr>
            </w:pPr>
            <w:r w:rsidRPr="00B71F92">
              <w:rPr>
                <w:sz w:val="18"/>
                <w:szCs w:val="18"/>
              </w:rPr>
              <w:t>-0.97</w:t>
            </w:r>
          </w:p>
        </w:tc>
        <w:tc>
          <w:tcPr>
            <w:tcW w:w="152" w:type="pct"/>
            <w:tcBorders>
              <w:top w:val="nil"/>
              <w:left w:val="single" w:sz="6" w:space="0" w:color="auto"/>
              <w:bottom w:val="single" w:sz="12" w:space="0" w:color="auto"/>
            </w:tcBorders>
            <w:noWrap/>
            <w:vAlign w:val="bottom"/>
          </w:tcPr>
          <w:p w14:paraId="5F471982" w14:textId="77777777" w:rsidR="008B6B35" w:rsidRPr="00B71F92" w:rsidRDefault="008B6B35" w:rsidP="00730932">
            <w:pPr>
              <w:spacing w:after="0" w:line="240" w:lineRule="auto"/>
              <w:jc w:val="right"/>
              <w:rPr>
                <w:rFonts w:eastAsia="Times New Roman"/>
                <w:sz w:val="18"/>
                <w:szCs w:val="18"/>
              </w:rPr>
            </w:pPr>
            <w:r w:rsidRPr="00B71F92">
              <w:rPr>
                <w:sz w:val="18"/>
                <w:szCs w:val="18"/>
              </w:rPr>
              <w:t>-0.18</w:t>
            </w:r>
          </w:p>
        </w:tc>
        <w:tc>
          <w:tcPr>
            <w:tcW w:w="153" w:type="pct"/>
            <w:tcBorders>
              <w:top w:val="nil"/>
              <w:bottom w:val="single" w:sz="12" w:space="0" w:color="auto"/>
              <w:right w:val="single" w:sz="6" w:space="0" w:color="auto"/>
            </w:tcBorders>
            <w:noWrap/>
            <w:vAlign w:val="bottom"/>
          </w:tcPr>
          <w:p w14:paraId="45AA712F" w14:textId="77777777" w:rsidR="008B6B35" w:rsidRPr="00B71F92" w:rsidRDefault="008B6B35" w:rsidP="00730932">
            <w:pPr>
              <w:spacing w:after="0" w:line="240" w:lineRule="auto"/>
              <w:jc w:val="right"/>
              <w:rPr>
                <w:rFonts w:eastAsia="Times New Roman"/>
                <w:sz w:val="18"/>
                <w:szCs w:val="18"/>
              </w:rPr>
            </w:pPr>
            <w:r w:rsidRPr="00B71F92">
              <w:rPr>
                <w:sz w:val="18"/>
                <w:szCs w:val="18"/>
              </w:rPr>
              <w:t>-1.09</w:t>
            </w:r>
          </w:p>
        </w:tc>
        <w:tc>
          <w:tcPr>
            <w:tcW w:w="153" w:type="pct"/>
            <w:tcBorders>
              <w:top w:val="nil"/>
              <w:left w:val="single" w:sz="6" w:space="0" w:color="auto"/>
              <w:bottom w:val="single" w:sz="12" w:space="0" w:color="auto"/>
            </w:tcBorders>
            <w:noWrap/>
            <w:vAlign w:val="bottom"/>
          </w:tcPr>
          <w:p w14:paraId="36C4FF07" w14:textId="77777777" w:rsidR="008B6B35" w:rsidRPr="00B71F92" w:rsidRDefault="008B6B35" w:rsidP="00730932">
            <w:pPr>
              <w:spacing w:after="0" w:line="240" w:lineRule="auto"/>
              <w:jc w:val="right"/>
              <w:rPr>
                <w:rFonts w:eastAsia="Times New Roman"/>
                <w:sz w:val="18"/>
                <w:szCs w:val="18"/>
              </w:rPr>
            </w:pPr>
            <w:r w:rsidRPr="00B71F92">
              <w:rPr>
                <w:sz w:val="18"/>
                <w:szCs w:val="18"/>
              </w:rPr>
              <w:t>0.07</w:t>
            </w:r>
          </w:p>
        </w:tc>
        <w:tc>
          <w:tcPr>
            <w:tcW w:w="153" w:type="pct"/>
            <w:tcBorders>
              <w:top w:val="nil"/>
              <w:bottom w:val="single" w:sz="12" w:space="0" w:color="auto"/>
              <w:right w:val="single" w:sz="6" w:space="0" w:color="auto"/>
            </w:tcBorders>
            <w:noWrap/>
            <w:vAlign w:val="bottom"/>
          </w:tcPr>
          <w:p w14:paraId="3E78790C" w14:textId="77777777" w:rsidR="008B6B35" w:rsidRPr="00B71F92" w:rsidRDefault="008B6B35" w:rsidP="00730932">
            <w:pPr>
              <w:spacing w:after="0" w:line="240" w:lineRule="auto"/>
              <w:jc w:val="right"/>
              <w:rPr>
                <w:rFonts w:eastAsia="Times New Roman"/>
                <w:sz w:val="18"/>
                <w:szCs w:val="18"/>
              </w:rPr>
            </w:pPr>
            <w:r w:rsidRPr="00B71F92">
              <w:rPr>
                <w:sz w:val="18"/>
                <w:szCs w:val="18"/>
              </w:rPr>
              <w:t>0.19</w:t>
            </w:r>
          </w:p>
        </w:tc>
        <w:tc>
          <w:tcPr>
            <w:tcW w:w="153" w:type="pct"/>
            <w:tcBorders>
              <w:top w:val="nil"/>
              <w:left w:val="single" w:sz="6" w:space="0" w:color="auto"/>
              <w:bottom w:val="single" w:sz="12" w:space="0" w:color="auto"/>
            </w:tcBorders>
            <w:noWrap/>
            <w:vAlign w:val="bottom"/>
          </w:tcPr>
          <w:p w14:paraId="2EC8A278" w14:textId="77777777" w:rsidR="008B6B35" w:rsidRPr="00B71F92" w:rsidRDefault="008B6B35" w:rsidP="00730932">
            <w:pPr>
              <w:spacing w:after="0" w:line="240" w:lineRule="auto"/>
              <w:jc w:val="right"/>
              <w:rPr>
                <w:rFonts w:eastAsia="Times New Roman"/>
                <w:sz w:val="18"/>
                <w:szCs w:val="18"/>
              </w:rPr>
            </w:pPr>
            <w:r w:rsidRPr="00B71F92">
              <w:rPr>
                <w:sz w:val="18"/>
                <w:szCs w:val="18"/>
              </w:rPr>
              <w:t>0.60</w:t>
            </w:r>
          </w:p>
        </w:tc>
        <w:tc>
          <w:tcPr>
            <w:tcW w:w="153" w:type="pct"/>
            <w:tcBorders>
              <w:top w:val="nil"/>
              <w:bottom w:val="single" w:sz="12" w:space="0" w:color="auto"/>
              <w:right w:val="single" w:sz="8" w:space="0" w:color="auto"/>
            </w:tcBorders>
            <w:noWrap/>
            <w:vAlign w:val="bottom"/>
          </w:tcPr>
          <w:p w14:paraId="620D98A7" w14:textId="77777777" w:rsidR="008B6B35" w:rsidRPr="00B71F92" w:rsidRDefault="008B6B35" w:rsidP="00730932">
            <w:pPr>
              <w:spacing w:after="0" w:line="240" w:lineRule="auto"/>
              <w:jc w:val="right"/>
              <w:rPr>
                <w:rFonts w:eastAsia="Times New Roman"/>
                <w:sz w:val="18"/>
                <w:szCs w:val="18"/>
              </w:rPr>
            </w:pPr>
            <w:r w:rsidRPr="00B71F92">
              <w:rPr>
                <w:sz w:val="18"/>
                <w:szCs w:val="18"/>
              </w:rPr>
              <w:t>1.63</w:t>
            </w:r>
          </w:p>
        </w:tc>
        <w:tc>
          <w:tcPr>
            <w:tcW w:w="153" w:type="pct"/>
            <w:tcBorders>
              <w:top w:val="nil"/>
              <w:left w:val="single" w:sz="8" w:space="0" w:color="auto"/>
              <w:bottom w:val="single" w:sz="12" w:space="0" w:color="auto"/>
            </w:tcBorders>
            <w:vAlign w:val="bottom"/>
          </w:tcPr>
          <w:p w14:paraId="3EA62E50" w14:textId="77777777" w:rsidR="008B6B35" w:rsidRPr="00B71F92" w:rsidRDefault="008B6B35" w:rsidP="00730932">
            <w:pPr>
              <w:spacing w:after="0" w:line="240" w:lineRule="auto"/>
              <w:jc w:val="right"/>
              <w:rPr>
                <w:rFonts w:eastAsia="Times New Roman"/>
                <w:sz w:val="18"/>
                <w:szCs w:val="18"/>
              </w:rPr>
            </w:pPr>
            <w:r w:rsidRPr="00B71F92">
              <w:rPr>
                <w:sz w:val="18"/>
                <w:szCs w:val="18"/>
              </w:rPr>
              <w:t>-0.25</w:t>
            </w:r>
          </w:p>
        </w:tc>
        <w:tc>
          <w:tcPr>
            <w:tcW w:w="206" w:type="pct"/>
            <w:tcBorders>
              <w:top w:val="nil"/>
              <w:bottom w:val="single" w:sz="12" w:space="0" w:color="auto"/>
            </w:tcBorders>
            <w:vAlign w:val="bottom"/>
          </w:tcPr>
          <w:p w14:paraId="084B7F45" w14:textId="77777777" w:rsidR="008B6B35" w:rsidRPr="00B71F92" w:rsidRDefault="008B6B35" w:rsidP="00730932">
            <w:pPr>
              <w:spacing w:after="0" w:line="240" w:lineRule="auto"/>
              <w:jc w:val="right"/>
              <w:rPr>
                <w:rFonts w:eastAsia="Times New Roman"/>
                <w:sz w:val="18"/>
                <w:szCs w:val="18"/>
              </w:rPr>
            </w:pPr>
            <w:r w:rsidRPr="00B71F92">
              <w:rPr>
                <w:sz w:val="18"/>
                <w:szCs w:val="18"/>
              </w:rPr>
              <w:t>-0.96</w:t>
            </w:r>
          </w:p>
        </w:tc>
      </w:tr>
      <w:tr w:rsidR="008B6B35" w:rsidRPr="00B71F92" w14:paraId="23DF6F36" w14:textId="77777777" w:rsidTr="002F5607">
        <w:trPr>
          <w:trHeight w:val="230"/>
          <w:jc w:val="center"/>
        </w:trPr>
        <w:tc>
          <w:tcPr>
            <w:tcW w:w="5000" w:type="pct"/>
            <w:gridSpan w:val="25"/>
            <w:tcBorders>
              <w:top w:val="single" w:sz="12" w:space="0" w:color="auto"/>
              <w:bottom w:val="single" w:sz="4" w:space="0" w:color="auto"/>
            </w:tcBorders>
            <w:noWrap/>
            <w:vAlign w:val="bottom"/>
          </w:tcPr>
          <w:p w14:paraId="5D767125" w14:textId="77777777" w:rsidR="008B6B35" w:rsidRPr="00B71F92" w:rsidRDefault="008B6B35" w:rsidP="00730932">
            <w:pPr>
              <w:spacing w:after="0" w:line="240" w:lineRule="auto"/>
              <w:rPr>
                <w:b/>
                <w:bCs/>
                <w:i/>
                <w:iCs/>
                <w:sz w:val="18"/>
                <w:szCs w:val="18"/>
              </w:rPr>
            </w:pPr>
            <w:r w:rsidRPr="00B71F92">
              <w:rPr>
                <w:b/>
                <w:bCs/>
                <w:i/>
                <w:iCs/>
                <w:sz w:val="18"/>
                <w:szCs w:val="18"/>
              </w:rPr>
              <w:t>Lifecycle and Household Composition Variables</w:t>
            </w:r>
          </w:p>
        </w:tc>
      </w:tr>
      <w:tr w:rsidR="008B6B35" w:rsidRPr="00B71F92" w14:paraId="57F3EBB6" w14:textId="77777777" w:rsidTr="002F5607">
        <w:trPr>
          <w:trHeight w:val="230"/>
          <w:jc w:val="center"/>
        </w:trPr>
        <w:tc>
          <w:tcPr>
            <w:tcW w:w="1221" w:type="pct"/>
            <w:tcBorders>
              <w:top w:val="single" w:sz="4" w:space="0" w:color="auto"/>
              <w:bottom w:val="nil"/>
              <w:right w:val="single" w:sz="12" w:space="0" w:color="auto"/>
            </w:tcBorders>
            <w:noWrap/>
            <w:vAlign w:val="center"/>
            <w:hideMark/>
          </w:tcPr>
          <w:p w14:paraId="4DBA2B21" w14:textId="77777777" w:rsidR="008B6B35" w:rsidRPr="00B71F92" w:rsidRDefault="008B6B35" w:rsidP="00730932">
            <w:pPr>
              <w:spacing w:after="0" w:line="240" w:lineRule="auto"/>
              <w:rPr>
                <w:rFonts w:eastAsia="Times New Roman"/>
                <w:b/>
                <w:bCs/>
                <w:sz w:val="18"/>
                <w:szCs w:val="18"/>
              </w:rPr>
            </w:pPr>
            <w:r w:rsidRPr="00B71F92">
              <w:rPr>
                <w:rFonts w:eastAsia="Times New Roman"/>
                <w:b/>
                <w:bCs/>
                <w:sz w:val="18"/>
                <w:szCs w:val="18"/>
              </w:rPr>
              <w:t>Lifecycle (Young (Adults 18-44))</w:t>
            </w:r>
          </w:p>
        </w:tc>
        <w:tc>
          <w:tcPr>
            <w:tcW w:w="171" w:type="pct"/>
            <w:tcBorders>
              <w:top w:val="single" w:sz="4" w:space="0" w:color="auto"/>
              <w:left w:val="single" w:sz="12" w:space="0" w:color="auto"/>
              <w:bottom w:val="nil"/>
            </w:tcBorders>
            <w:noWrap/>
            <w:vAlign w:val="center"/>
            <w:hideMark/>
          </w:tcPr>
          <w:p w14:paraId="7A1579E2" w14:textId="77777777" w:rsidR="008B6B35" w:rsidRPr="00B71F92" w:rsidRDefault="008B6B35" w:rsidP="00730932">
            <w:pPr>
              <w:spacing w:after="0" w:line="240" w:lineRule="auto"/>
              <w:jc w:val="right"/>
              <w:rPr>
                <w:rFonts w:eastAsia="Times New Roman"/>
                <w:b/>
                <w:bCs/>
                <w:sz w:val="18"/>
                <w:szCs w:val="18"/>
              </w:rPr>
            </w:pPr>
          </w:p>
        </w:tc>
        <w:tc>
          <w:tcPr>
            <w:tcW w:w="155" w:type="pct"/>
            <w:tcBorders>
              <w:top w:val="single" w:sz="4" w:space="0" w:color="auto"/>
              <w:bottom w:val="nil"/>
              <w:right w:val="single" w:sz="12" w:space="0" w:color="auto"/>
            </w:tcBorders>
            <w:noWrap/>
            <w:vAlign w:val="center"/>
            <w:hideMark/>
          </w:tcPr>
          <w:p w14:paraId="24F1DEB2"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12" w:space="0" w:color="auto"/>
              <w:bottom w:val="nil"/>
            </w:tcBorders>
            <w:noWrap/>
            <w:vAlign w:val="center"/>
          </w:tcPr>
          <w:p w14:paraId="6DF9156C" w14:textId="77777777" w:rsidR="008B6B35" w:rsidRPr="00B71F92" w:rsidRDefault="008B6B35" w:rsidP="00730932">
            <w:pPr>
              <w:spacing w:after="0" w:line="240" w:lineRule="auto"/>
              <w:jc w:val="right"/>
              <w:rPr>
                <w:rFonts w:eastAsia="Times New Roman"/>
                <w:sz w:val="18"/>
                <w:szCs w:val="18"/>
              </w:rPr>
            </w:pPr>
          </w:p>
        </w:tc>
        <w:tc>
          <w:tcPr>
            <w:tcW w:w="156" w:type="pct"/>
            <w:tcBorders>
              <w:top w:val="single" w:sz="4" w:space="0" w:color="auto"/>
              <w:bottom w:val="nil"/>
              <w:right w:val="single" w:sz="6" w:space="0" w:color="auto"/>
            </w:tcBorders>
            <w:noWrap/>
            <w:vAlign w:val="center"/>
          </w:tcPr>
          <w:p w14:paraId="07B7CA5F"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30DB54FC"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69582368"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75534124"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15F705A8"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40A0B002"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6F8D1C7B"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138AA022"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482DFF29"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27A29453"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bottom w:val="nil"/>
              <w:right w:val="single" w:sz="6" w:space="0" w:color="auto"/>
            </w:tcBorders>
            <w:noWrap/>
            <w:vAlign w:val="center"/>
          </w:tcPr>
          <w:p w14:paraId="2320F21F"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41F54B0E" w14:textId="77777777" w:rsidR="008B6B35" w:rsidRPr="00B71F92" w:rsidRDefault="008B6B35" w:rsidP="00730932">
            <w:pPr>
              <w:spacing w:after="0" w:line="240" w:lineRule="auto"/>
              <w:jc w:val="right"/>
              <w:rPr>
                <w:rFonts w:eastAsia="Times New Roman"/>
                <w:sz w:val="18"/>
                <w:szCs w:val="18"/>
              </w:rPr>
            </w:pPr>
          </w:p>
        </w:tc>
        <w:tc>
          <w:tcPr>
            <w:tcW w:w="186" w:type="pct"/>
            <w:tcBorders>
              <w:top w:val="single" w:sz="4" w:space="0" w:color="auto"/>
              <w:bottom w:val="nil"/>
              <w:right w:val="single" w:sz="6" w:space="0" w:color="auto"/>
            </w:tcBorders>
            <w:noWrap/>
            <w:vAlign w:val="center"/>
          </w:tcPr>
          <w:p w14:paraId="7A4D2FF9"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7E366621"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07F8F7CD"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75473807"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483D6C76"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6" w:space="0" w:color="auto"/>
              <w:bottom w:val="nil"/>
            </w:tcBorders>
            <w:noWrap/>
            <w:vAlign w:val="center"/>
          </w:tcPr>
          <w:p w14:paraId="7776D7E3"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8" w:space="0" w:color="auto"/>
            </w:tcBorders>
            <w:noWrap/>
            <w:vAlign w:val="center"/>
          </w:tcPr>
          <w:p w14:paraId="25450452"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left w:val="single" w:sz="8" w:space="0" w:color="auto"/>
              <w:bottom w:val="nil"/>
            </w:tcBorders>
            <w:vAlign w:val="center"/>
          </w:tcPr>
          <w:p w14:paraId="63C38425" w14:textId="77777777" w:rsidR="008B6B35" w:rsidRPr="00B71F92" w:rsidRDefault="008B6B35" w:rsidP="00730932">
            <w:pPr>
              <w:spacing w:after="0" w:line="240" w:lineRule="auto"/>
              <w:jc w:val="right"/>
              <w:rPr>
                <w:rFonts w:eastAsia="Times New Roman"/>
                <w:sz w:val="18"/>
                <w:szCs w:val="18"/>
              </w:rPr>
            </w:pPr>
          </w:p>
        </w:tc>
        <w:tc>
          <w:tcPr>
            <w:tcW w:w="206" w:type="pct"/>
            <w:tcBorders>
              <w:top w:val="single" w:sz="4" w:space="0" w:color="auto"/>
              <w:bottom w:val="nil"/>
            </w:tcBorders>
            <w:vAlign w:val="center"/>
          </w:tcPr>
          <w:p w14:paraId="5EB16EC9" w14:textId="77777777" w:rsidR="008B6B35" w:rsidRPr="00B71F92" w:rsidRDefault="008B6B35" w:rsidP="00730932">
            <w:pPr>
              <w:spacing w:after="0" w:line="240" w:lineRule="auto"/>
              <w:jc w:val="right"/>
              <w:rPr>
                <w:rFonts w:eastAsia="Times New Roman"/>
                <w:sz w:val="18"/>
                <w:szCs w:val="18"/>
              </w:rPr>
            </w:pPr>
          </w:p>
        </w:tc>
      </w:tr>
      <w:tr w:rsidR="008B6B35" w:rsidRPr="00B71F92" w14:paraId="0186AC50" w14:textId="77777777" w:rsidTr="002F5607">
        <w:trPr>
          <w:trHeight w:val="230"/>
          <w:jc w:val="center"/>
        </w:trPr>
        <w:tc>
          <w:tcPr>
            <w:tcW w:w="1221" w:type="pct"/>
            <w:tcBorders>
              <w:top w:val="nil"/>
              <w:bottom w:val="nil"/>
              <w:right w:val="single" w:sz="12" w:space="0" w:color="auto"/>
            </w:tcBorders>
            <w:noWrap/>
            <w:vAlign w:val="center"/>
            <w:hideMark/>
          </w:tcPr>
          <w:p w14:paraId="43A68507"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Middle-aged (Adults 45-64)</w:t>
            </w:r>
          </w:p>
        </w:tc>
        <w:tc>
          <w:tcPr>
            <w:tcW w:w="171" w:type="pct"/>
            <w:tcBorders>
              <w:top w:val="nil"/>
              <w:left w:val="single" w:sz="12" w:space="0" w:color="auto"/>
              <w:bottom w:val="nil"/>
            </w:tcBorders>
            <w:noWrap/>
            <w:vAlign w:val="bottom"/>
            <w:hideMark/>
          </w:tcPr>
          <w:p w14:paraId="664A2433" w14:textId="77777777" w:rsidR="008B6B35" w:rsidRPr="00B71F92" w:rsidRDefault="008B6B35" w:rsidP="00730932">
            <w:pPr>
              <w:spacing w:after="0" w:line="240" w:lineRule="auto"/>
              <w:jc w:val="right"/>
              <w:rPr>
                <w:rFonts w:eastAsia="Times New Roman"/>
                <w:sz w:val="18"/>
                <w:szCs w:val="18"/>
              </w:rPr>
            </w:pPr>
            <w:r w:rsidRPr="00B71F92">
              <w:rPr>
                <w:sz w:val="18"/>
                <w:szCs w:val="18"/>
              </w:rPr>
              <w:t>-0.81</w:t>
            </w:r>
          </w:p>
        </w:tc>
        <w:tc>
          <w:tcPr>
            <w:tcW w:w="155" w:type="pct"/>
            <w:tcBorders>
              <w:top w:val="nil"/>
              <w:bottom w:val="nil"/>
              <w:right w:val="single" w:sz="12" w:space="0" w:color="auto"/>
            </w:tcBorders>
            <w:noWrap/>
            <w:vAlign w:val="bottom"/>
            <w:hideMark/>
          </w:tcPr>
          <w:p w14:paraId="455B9D61" w14:textId="77777777" w:rsidR="008B6B35" w:rsidRPr="00B71F92" w:rsidRDefault="008B6B35" w:rsidP="00730932">
            <w:pPr>
              <w:spacing w:after="0" w:line="240" w:lineRule="auto"/>
              <w:jc w:val="right"/>
              <w:rPr>
                <w:rFonts w:eastAsia="Times New Roman"/>
                <w:sz w:val="16"/>
                <w:szCs w:val="16"/>
              </w:rPr>
            </w:pPr>
            <w:r w:rsidRPr="00B71F92">
              <w:rPr>
                <w:sz w:val="16"/>
                <w:szCs w:val="16"/>
              </w:rPr>
              <w:t>-14.09</w:t>
            </w:r>
          </w:p>
        </w:tc>
        <w:tc>
          <w:tcPr>
            <w:tcW w:w="153" w:type="pct"/>
            <w:tcBorders>
              <w:top w:val="nil"/>
              <w:left w:val="single" w:sz="12" w:space="0" w:color="auto"/>
              <w:bottom w:val="nil"/>
            </w:tcBorders>
            <w:noWrap/>
            <w:vAlign w:val="center"/>
          </w:tcPr>
          <w:p w14:paraId="66B17EC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425AAC9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2B9C953F" w14:textId="77777777" w:rsidR="008B6B35" w:rsidRPr="00B71F92" w:rsidRDefault="008B6B35" w:rsidP="00730932">
            <w:pPr>
              <w:spacing w:after="0" w:line="240" w:lineRule="auto"/>
              <w:jc w:val="right"/>
              <w:rPr>
                <w:rFonts w:eastAsia="Times New Roman"/>
                <w:sz w:val="18"/>
                <w:szCs w:val="18"/>
              </w:rPr>
            </w:pPr>
            <w:r w:rsidRPr="00B71F92">
              <w:rPr>
                <w:sz w:val="18"/>
                <w:szCs w:val="18"/>
              </w:rPr>
              <w:t>-0.41</w:t>
            </w:r>
          </w:p>
        </w:tc>
        <w:tc>
          <w:tcPr>
            <w:tcW w:w="153" w:type="pct"/>
            <w:tcBorders>
              <w:top w:val="nil"/>
              <w:bottom w:val="nil"/>
              <w:right w:val="single" w:sz="6" w:space="0" w:color="auto"/>
            </w:tcBorders>
            <w:noWrap/>
            <w:vAlign w:val="bottom"/>
          </w:tcPr>
          <w:p w14:paraId="31164AAF" w14:textId="77777777" w:rsidR="008B6B35" w:rsidRPr="00B71F92" w:rsidRDefault="008B6B35" w:rsidP="00730932">
            <w:pPr>
              <w:spacing w:after="0" w:line="240" w:lineRule="auto"/>
              <w:jc w:val="right"/>
              <w:rPr>
                <w:rFonts w:eastAsia="Times New Roman"/>
                <w:sz w:val="18"/>
                <w:szCs w:val="18"/>
              </w:rPr>
            </w:pPr>
            <w:r w:rsidRPr="00B71F92">
              <w:rPr>
                <w:sz w:val="18"/>
                <w:szCs w:val="18"/>
              </w:rPr>
              <w:t>-3.74</w:t>
            </w:r>
          </w:p>
        </w:tc>
        <w:tc>
          <w:tcPr>
            <w:tcW w:w="153" w:type="pct"/>
            <w:tcBorders>
              <w:top w:val="nil"/>
              <w:left w:val="single" w:sz="6" w:space="0" w:color="auto"/>
              <w:bottom w:val="nil"/>
            </w:tcBorders>
            <w:noWrap/>
            <w:vAlign w:val="bottom"/>
          </w:tcPr>
          <w:p w14:paraId="3F3BE946"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3" w:type="pct"/>
            <w:tcBorders>
              <w:top w:val="nil"/>
              <w:bottom w:val="nil"/>
              <w:right w:val="single" w:sz="6" w:space="0" w:color="auto"/>
            </w:tcBorders>
            <w:noWrap/>
            <w:vAlign w:val="bottom"/>
          </w:tcPr>
          <w:p w14:paraId="78710A21" w14:textId="77777777" w:rsidR="008B6B35" w:rsidRPr="00B71F92" w:rsidRDefault="008B6B35" w:rsidP="00730932">
            <w:pPr>
              <w:spacing w:after="0" w:line="240" w:lineRule="auto"/>
              <w:jc w:val="right"/>
              <w:rPr>
                <w:rFonts w:eastAsia="Times New Roman"/>
                <w:sz w:val="18"/>
                <w:szCs w:val="18"/>
              </w:rPr>
            </w:pPr>
            <w:r w:rsidRPr="00B71F92">
              <w:rPr>
                <w:sz w:val="18"/>
                <w:szCs w:val="18"/>
              </w:rPr>
              <w:t>-2.68</w:t>
            </w:r>
          </w:p>
        </w:tc>
        <w:tc>
          <w:tcPr>
            <w:tcW w:w="153" w:type="pct"/>
            <w:tcBorders>
              <w:top w:val="nil"/>
              <w:left w:val="single" w:sz="6" w:space="0" w:color="auto"/>
              <w:bottom w:val="nil"/>
            </w:tcBorders>
            <w:noWrap/>
            <w:vAlign w:val="bottom"/>
          </w:tcPr>
          <w:p w14:paraId="239E7CD1" w14:textId="77777777" w:rsidR="008B6B35" w:rsidRPr="00B71F92" w:rsidRDefault="008B6B35" w:rsidP="00730932">
            <w:pPr>
              <w:spacing w:after="0" w:line="240" w:lineRule="auto"/>
              <w:jc w:val="right"/>
              <w:rPr>
                <w:rFonts w:eastAsia="Times New Roman"/>
                <w:sz w:val="18"/>
                <w:szCs w:val="18"/>
              </w:rPr>
            </w:pPr>
            <w:r w:rsidRPr="00B71F92">
              <w:rPr>
                <w:sz w:val="18"/>
                <w:szCs w:val="18"/>
              </w:rPr>
              <w:t>-0.41</w:t>
            </w:r>
          </w:p>
        </w:tc>
        <w:tc>
          <w:tcPr>
            <w:tcW w:w="153" w:type="pct"/>
            <w:tcBorders>
              <w:top w:val="nil"/>
              <w:bottom w:val="nil"/>
              <w:right w:val="single" w:sz="6" w:space="0" w:color="auto"/>
            </w:tcBorders>
            <w:noWrap/>
            <w:vAlign w:val="bottom"/>
          </w:tcPr>
          <w:p w14:paraId="122715E6" w14:textId="77777777" w:rsidR="008B6B35" w:rsidRPr="00B71F92" w:rsidRDefault="008B6B35" w:rsidP="00730932">
            <w:pPr>
              <w:spacing w:after="0" w:line="240" w:lineRule="auto"/>
              <w:jc w:val="right"/>
              <w:rPr>
                <w:rFonts w:eastAsia="Times New Roman"/>
                <w:sz w:val="18"/>
                <w:szCs w:val="18"/>
              </w:rPr>
            </w:pPr>
            <w:r w:rsidRPr="00B71F92">
              <w:rPr>
                <w:sz w:val="18"/>
                <w:szCs w:val="18"/>
              </w:rPr>
              <w:t>-3.84</w:t>
            </w:r>
          </w:p>
        </w:tc>
        <w:tc>
          <w:tcPr>
            <w:tcW w:w="153" w:type="pct"/>
            <w:tcBorders>
              <w:top w:val="nil"/>
              <w:left w:val="single" w:sz="6" w:space="0" w:color="auto"/>
              <w:bottom w:val="nil"/>
            </w:tcBorders>
            <w:noWrap/>
            <w:vAlign w:val="center"/>
          </w:tcPr>
          <w:p w14:paraId="007FE65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5B4132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850D6C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404C7A6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1002FF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0F3CBDD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84BDA4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101318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5D5E52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9C5E71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83F000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03F03A1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31F1289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0BB0324F" w14:textId="77777777" w:rsidR="008B6B35" w:rsidRPr="00B71F92" w:rsidRDefault="008B6B35" w:rsidP="00730932">
            <w:pPr>
              <w:spacing w:after="0" w:line="240" w:lineRule="auto"/>
              <w:jc w:val="right"/>
              <w:rPr>
                <w:rFonts w:eastAsia="Times New Roman"/>
                <w:sz w:val="18"/>
                <w:szCs w:val="18"/>
              </w:rPr>
            </w:pPr>
          </w:p>
        </w:tc>
      </w:tr>
      <w:tr w:rsidR="008B6B35" w:rsidRPr="00B71F92" w14:paraId="376FD3F2" w14:textId="77777777" w:rsidTr="002F5607">
        <w:trPr>
          <w:trHeight w:val="230"/>
          <w:jc w:val="center"/>
        </w:trPr>
        <w:tc>
          <w:tcPr>
            <w:tcW w:w="1221" w:type="pct"/>
            <w:tcBorders>
              <w:top w:val="nil"/>
              <w:bottom w:val="nil"/>
              <w:right w:val="single" w:sz="12" w:space="0" w:color="auto"/>
            </w:tcBorders>
            <w:noWrap/>
            <w:vAlign w:val="center"/>
            <w:hideMark/>
          </w:tcPr>
          <w:p w14:paraId="268D219A"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Middle-aged (Adults 45-64) * 2023 Shift</w:t>
            </w:r>
          </w:p>
        </w:tc>
        <w:tc>
          <w:tcPr>
            <w:tcW w:w="171" w:type="pct"/>
            <w:tcBorders>
              <w:top w:val="nil"/>
              <w:left w:val="single" w:sz="12" w:space="0" w:color="auto"/>
              <w:bottom w:val="nil"/>
            </w:tcBorders>
            <w:noWrap/>
            <w:vAlign w:val="bottom"/>
            <w:hideMark/>
          </w:tcPr>
          <w:p w14:paraId="0F4ECEB1" w14:textId="77777777" w:rsidR="008B6B35" w:rsidRPr="00B71F92" w:rsidRDefault="008B6B35" w:rsidP="00730932">
            <w:pPr>
              <w:spacing w:after="0" w:line="240" w:lineRule="auto"/>
              <w:jc w:val="right"/>
              <w:rPr>
                <w:rFonts w:eastAsia="Times New Roman"/>
                <w:sz w:val="18"/>
                <w:szCs w:val="18"/>
              </w:rPr>
            </w:pPr>
            <w:r w:rsidRPr="00B71F92">
              <w:rPr>
                <w:sz w:val="18"/>
                <w:szCs w:val="18"/>
              </w:rPr>
              <w:t>0.15</w:t>
            </w:r>
          </w:p>
        </w:tc>
        <w:tc>
          <w:tcPr>
            <w:tcW w:w="155" w:type="pct"/>
            <w:tcBorders>
              <w:top w:val="nil"/>
              <w:bottom w:val="nil"/>
              <w:right w:val="single" w:sz="12" w:space="0" w:color="auto"/>
            </w:tcBorders>
            <w:noWrap/>
            <w:vAlign w:val="bottom"/>
            <w:hideMark/>
          </w:tcPr>
          <w:p w14:paraId="5D5C0EB0" w14:textId="77777777" w:rsidR="008B6B35" w:rsidRPr="00B71F92" w:rsidRDefault="008B6B35" w:rsidP="00730932">
            <w:pPr>
              <w:spacing w:after="0" w:line="240" w:lineRule="auto"/>
              <w:jc w:val="right"/>
              <w:rPr>
                <w:rFonts w:eastAsia="Times New Roman"/>
                <w:sz w:val="18"/>
                <w:szCs w:val="18"/>
              </w:rPr>
            </w:pPr>
            <w:r w:rsidRPr="00B71F92">
              <w:rPr>
                <w:sz w:val="18"/>
                <w:szCs w:val="18"/>
              </w:rPr>
              <w:t>1.73</w:t>
            </w:r>
          </w:p>
        </w:tc>
        <w:tc>
          <w:tcPr>
            <w:tcW w:w="153" w:type="pct"/>
            <w:tcBorders>
              <w:top w:val="nil"/>
              <w:left w:val="single" w:sz="12" w:space="0" w:color="auto"/>
              <w:bottom w:val="nil"/>
            </w:tcBorders>
            <w:noWrap/>
            <w:vAlign w:val="center"/>
          </w:tcPr>
          <w:p w14:paraId="2FAC68D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043EDBA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A7E079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FF6D95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BFDC1F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107F4C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94574E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8A2346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1C2457E" w14:textId="77777777" w:rsidR="008B6B35" w:rsidRPr="00B71F92" w:rsidRDefault="008B6B35" w:rsidP="00730932">
            <w:pPr>
              <w:spacing w:after="0" w:line="240" w:lineRule="auto"/>
              <w:jc w:val="right"/>
              <w:rPr>
                <w:rFonts w:eastAsia="Times New Roman"/>
                <w:sz w:val="18"/>
                <w:szCs w:val="18"/>
              </w:rPr>
            </w:pPr>
            <w:r w:rsidRPr="00B71F92">
              <w:rPr>
                <w:sz w:val="18"/>
                <w:szCs w:val="18"/>
              </w:rPr>
              <w:t>0.56</w:t>
            </w:r>
          </w:p>
        </w:tc>
        <w:tc>
          <w:tcPr>
            <w:tcW w:w="153" w:type="pct"/>
            <w:tcBorders>
              <w:top w:val="nil"/>
              <w:bottom w:val="nil"/>
              <w:right w:val="single" w:sz="6" w:space="0" w:color="auto"/>
            </w:tcBorders>
            <w:noWrap/>
            <w:vAlign w:val="bottom"/>
          </w:tcPr>
          <w:p w14:paraId="64F0AAF8" w14:textId="77777777" w:rsidR="008B6B35" w:rsidRPr="00B71F92" w:rsidRDefault="008B6B35" w:rsidP="00730932">
            <w:pPr>
              <w:spacing w:after="0" w:line="240" w:lineRule="auto"/>
              <w:jc w:val="right"/>
              <w:rPr>
                <w:rFonts w:eastAsia="Times New Roman"/>
                <w:sz w:val="18"/>
                <w:szCs w:val="18"/>
              </w:rPr>
            </w:pPr>
            <w:r w:rsidRPr="00B71F92">
              <w:rPr>
                <w:sz w:val="18"/>
                <w:szCs w:val="18"/>
              </w:rPr>
              <w:t>2.45</w:t>
            </w:r>
          </w:p>
        </w:tc>
        <w:tc>
          <w:tcPr>
            <w:tcW w:w="153" w:type="pct"/>
            <w:tcBorders>
              <w:top w:val="nil"/>
              <w:left w:val="single" w:sz="6" w:space="0" w:color="auto"/>
              <w:bottom w:val="nil"/>
            </w:tcBorders>
            <w:noWrap/>
            <w:vAlign w:val="center"/>
          </w:tcPr>
          <w:p w14:paraId="7FDBCEC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2E98643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74A37A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6544C93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AE7555D" w14:textId="77777777" w:rsidR="008B6B35" w:rsidRPr="00B71F92" w:rsidRDefault="008B6B35" w:rsidP="00730932">
            <w:pPr>
              <w:spacing w:after="0" w:line="240" w:lineRule="auto"/>
              <w:jc w:val="right"/>
              <w:rPr>
                <w:rFonts w:eastAsia="Times New Roman"/>
                <w:sz w:val="18"/>
                <w:szCs w:val="18"/>
              </w:rPr>
            </w:pPr>
            <w:r w:rsidRPr="00B71F92">
              <w:rPr>
                <w:sz w:val="18"/>
                <w:szCs w:val="18"/>
              </w:rPr>
              <w:t>-0.54</w:t>
            </w:r>
          </w:p>
        </w:tc>
        <w:tc>
          <w:tcPr>
            <w:tcW w:w="153" w:type="pct"/>
            <w:tcBorders>
              <w:top w:val="nil"/>
              <w:bottom w:val="nil"/>
              <w:right w:val="single" w:sz="6" w:space="0" w:color="auto"/>
            </w:tcBorders>
            <w:noWrap/>
            <w:vAlign w:val="bottom"/>
          </w:tcPr>
          <w:p w14:paraId="37C28E3A" w14:textId="77777777" w:rsidR="008B6B35" w:rsidRPr="00B71F92" w:rsidRDefault="008B6B35" w:rsidP="00730932">
            <w:pPr>
              <w:spacing w:after="0" w:line="240" w:lineRule="auto"/>
              <w:jc w:val="right"/>
              <w:rPr>
                <w:rFonts w:eastAsia="Times New Roman"/>
                <w:sz w:val="18"/>
                <w:szCs w:val="18"/>
              </w:rPr>
            </w:pPr>
            <w:r w:rsidRPr="00B71F92">
              <w:rPr>
                <w:sz w:val="18"/>
                <w:szCs w:val="18"/>
              </w:rPr>
              <w:t>-2.50</w:t>
            </w:r>
          </w:p>
        </w:tc>
        <w:tc>
          <w:tcPr>
            <w:tcW w:w="153" w:type="pct"/>
            <w:tcBorders>
              <w:top w:val="nil"/>
              <w:left w:val="single" w:sz="6" w:space="0" w:color="auto"/>
              <w:bottom w:val="nil"/>
            </w:tcBorders>
            <w:noWrap/>
            <w:vAlign w:val="center"/>
          </w:tcPr>
          <w:p w14:paraId="3DD71ED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0C5DFF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22CD3E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4CC9227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5B3C690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3797038C" w14:textId="77777777" w:rsidR="008B6B35" w:rsidRPr="00B71F92" w:rsidRDefault="008B6B35" w:rsidP="00730932">
            <w:pPr>
              <w:spacing w:after="0" w:line="240" w:lineRule="auto"/>
              <w:jc w:val="right"/>
              <w:rPr>
                <w:rFonts w:eastAsia="Times New Roman"/>
                <w:sz w:val="18"/>
                <w:szCs w:val="18"/>
              </w:rPr>
            </w:pPr>
          </w:p>
        </w:tc>
      </w:tr>
      <w:tr w:rsidR="008B6B35" w:rsidRPr="00B71F92" w14:paraId="10DAA891" w14:textId="77777777" w:rsidTr="002F5607">
        <w:trPr>
          <w:trHeight w:val="230"/>
          <w:jc w:val="center"/>
        </w:trPr>
        <w:tc>
          <w:tcPr>
            <w:tcW w:w="1221" w:type="pct"/>
            <w:tcBorders>
              <w:top w:val="nil"/>
              <w:bottom w:val="nil"/>
              <w:right w:val="single" w:sz="12" w:space="0" w:color="auto"/>
            </w:tcBorders>
            <w:noWrap/>
            <w:vAlign w:val="center"/>
            <w:hideMark/>
          </w:tcPr>
          <w:p w14:paraId="5822CCB2"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Older (Adults 65+)</w:t>
            </w:r>
          </w:p>
        </w:tc>
        <w:tc>
          <w:tcPr>
            <w:tcW w:w="171" w:type="pct"/>
            <w:tcBorders>
              <w:top w:val="nil"/>
              <w:left w:val="single" w:sz="12" w:space="0" w:color="auto"/>
              <w:bottom w:val="nil"/>
            </w:tcBorders>
            <w:noWrap/>
            <w:vAlign w:val="bottom"/>
            <w:hideMark/>
          </w:tcPr>
          <w:p w14:paraId="4A13A414" w14:textId="77777777" w:rsidR="008B6B35" w:rsidRPr="00B71F92" w:rsidRDefault="008B6B35" w:rsidP="00730932">
            <w:pPr>
              <w:spacing w:after="0" w:line="240" w:lineRule="auto"/>
              <w:jc w:val="right"/>
              <w:rPr>
                <w:rFonts w:eastAsia="Times New Roman"/>
                <w:sz w:val="18"/>
                <w:szCs w:val="18"/>
              </w:rPr>
            </w:pPr>
            <w:r w:rsidRPr="00B71F92">
              <w:rPr>
                <w:sz w:val="18"/>
                <w:szCs w:val="18"/>
              </w:rPr>
              <w:t>-0.90</w:t>
            </w:r>
          </w:p>
        </w:tc>
        <w:tc>
          <w:tcPr>
            <w:tcW w:w="155" w:type="pct"/>
            <w:tcBorders>
              <w:top w:val="nil"/>
              <w:bottom w:val="nil"/>
              <w:right w:val="single" w:sz="12" w:space="0" w:color="auto"/>
            </w:tcBorders>
            <w:noWrap/>
            <w:vAlign w:val="bottom"/>
            <w:hideMark/>
          </w:tcPr>
          <w:p w14:paraId="6E8A5DD1" w14:textId="77777777" w:rsidR="008B6B35" w:rsidRPr="00B71F92" w:rsidRDefault="008B6B35" w:rsidP="00730932">
            <w:pPr>
              <w:spacing w:after="0" w:line="240" w:lineRule="auto"/>
              <w:jc w:val="right"/>
              <w:rPr>
                <w:rFonts w:eastAsia="Times New Roman"/>
                <w:sz w:val="18"/>
                <w:szCs w:val="18"/>
              </w:rPr>
            </w:pPr>
            <w:r w:rsidRPr="00B71F92">
              <w:rPr>
                <w:sz w:val="18"/>
                <w:szCs w:val="18"/>
              </w:rPr>
              <w:t>-9.66</w:t>
            </w:r>
          </w:p>
        </w:tc>
        <w:tc>
          <w:tcPr>
            <w:tcW w:w="153" w:type="pct"/>
            <w:tcBorders>
              <w:top w:val="nil"/>
              <w:left w:val="single" w:sz="12" w:space="0" w:color="auto"/>
              <w:bottom w:val="nil"/>
            </w:tcBorders>
            <w:noWrap/>
            <w:vAlign w:val="center"/>
          </w:tcPr>
          <w:p w14:paraId="4D3E10D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6119C48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34954B81" w14:textId="77777777" w:rsidR="008B6B35" w:rsidRPr="00B71F92" w:rsidRDefault="008B6B35" w:rsidP="00730932">
            <w:pPr>
              <w:spacing w:after="0" w:line="240" w:lineRule="auto"/>
              <w:jc w:val="right"/>
              <w:rPr>
                <w:rFonts w:eastAsia="Times New Roman"/>
                <w:sz w:val="18"/>
                <w:szCs w:val="18"/>
              </w:rPr>
            </w:pPr>
            <w:r w:rsidRPr="00B71F92">
              <w:rPr>
                <w:sz w:val="18"/>
                <w:szCs w:val="18"/>
              </w:rPr>
              <w:t>-1.13</w:t>
            </w:r>
          </w:p>
        </w:tc>
        <w:tc>
          <w:tcPr>
            <w:tcW w:w="153" w:type="pct"/>
            <w:tcBorders>
              <w:top w:val="nil"/>
              <w:bottom w:val="nil"/>
              <w:right w:val="single" w:sz="6" w:space="0" w:color="auto"/>
            </w:tcBorders>
            <w:noWrap/>
            <w:vAlign w:val="bottom"/>
          </w:tcPr>
          <w:p w14:paraId="5E7E733F" w14:textId="77777777" w:rsidR="008B6B35" w:rsidRPr="00B71F92" w:rsidRDefault="008B6B35" w:rsidP="00730932">
            <w:pPr>
              <w:spacing w:after="0" w:line="240" w:lineRule="auto"/>
              <w:jc w:val="right"/>
              <w:rPr>
                <w:rFonts w:eastAsia="Times New Roman"/>
                <w:sz w:val="18"/>
                <w:szCs w:val="18"/>
              </w:rPr>
            </w:pPr>
            <w:r w:rsidRPr="00B71F92">
              <w:rPr>
                <w:sz w:val="18"/>
                <w:szCs w:val="18"/>
              </w:rPr>
              <w:t>-3.25</w:t>
            </w:r>
          </w:p>
        </w:tc>
        <w:tc>
          <w:tcPr>
            <w:tcW w:w="153" w:type="pct"/>
            <w:tcBorders>
              <w:top w:val="nil"/>
              <w:left w:val="single" w:sz="6" w:space="0" w:color="auto"/>
              <w:bottom w:val="nil"/>
            </w:tcBorders>
            <w:noWrap/>
            <w:vAlign w:val="bottom"/>
          </w:tcPr>
          <w:p w14:paraId="34181A7E" w14:textId="77777777" w:rsidR="008B6B35" w:rsidRPr="00B71F92" w:rsidRDefault="008B6B35" w:rsidP="00730932">
            <w:pPr>
              <w:spacing w:after="0" w:line="240" w:lineRule="auto"/>
              <w:jc w:val="right"/>
              <w:rPr>
                <w:rFonts w:eastAsia="Times New Roman"/>
                <w:sz w:val="18"/>
                <w:szCs w:val="18"/>
              </w:rPr>
            </w:pPr>
            <w:r w:rsidRPr="00B71F92">
              <w:rPr>
                <w:sz w:val="18"/>
                <w:szCs w:val="18"/>
              </w:rPr>
              <w:t>-0.40</w:t>
            </w:r>
          </w:p>
        </w:tc>
        <w:tc>
          <w:tcPr>
            <w:tcW w:w="153" w:type="pct"/>
            <w:tcBorders>
              <w:top w:val="nil"/>
              <w:bottom w:val="nil"/>
              <w:right w:val="single" w:sz="6" w:space="0" w:color="auto"/>
            </w:tcBorders>
            <w:noWrap/>
            <w:vAlign w:val="bottom"/>
          </w:tcPr>
          <w:p w14:paraId="1BBD2F1D" w14:textId="77777777" w:rsidR="008B6B35" w:rsidRPr="00B71F92" w:rsidRDefault="008B6B35" w:rsidP="00730932">
            <w:pPr>
              <w:spacing w:after="0" w:line="240" w:lineRule="auto"/>
              <w:jc w:val="right"/>
              <w:rPr>
                <w:rFonts w:eastAsia="Times New Roman"/>
                <w:sz w:val="18"/>
                <w:szCs w:val="18"/>
              </w:rPr>
            </w:pPr>
            <w:r w:rsidRPr="00B71F92">
              <w:rPr>
                <w:sz w:val="18"/>
                <w:szCs w:val="18"/>
              </w:rPr>
              <w:t>-2.31</w:t>
            </w:r>
          </w:p>
        </w:tc>
        <w:tc>
          <w:tcPr>
            <w:tcW w:w="153" w:type="pct"/>
            <w:tcBorders>
              <w:top w:val="nil"/>
              <w:left w:val="single" w:sz="6" w:space="0" w:color="auto"/>
              <w:bottom w:val="nil"/>
            </w:tcBorders>
            <w:noWrap/>
            <w:vAlign w:val="bottom"/>
          </w:tcPr>
          <w:p w14:paraId="43C52F1F" w14:textId="77777777" w:rsidR="008B6B35" w:rsidRPr="00B71F92" w:rsidRDefault="008B6B35" w:rsidP="00730932">
            <w:pPr>
              <w:spacing w:after="0" w:line="240" w:lineRule="auto"/>
              <w:jc w:val="right"/>
              <w:rPr>
                <w:rFonts w:eastAsia="Times New Roman"/>
                <w:sz w:val="18"/>
                <w:szCs w:val="18"/>
              </w:rPr>
            </w:pPr>
            <w:r w:rsidRPr="00B71F92">
              <w:rPr>
                <w:sz w:val="18"/>
                <w:szCs w:val="18"/>
              </w:rPr>
              <w:t>-1.17</w:t>
            </w:r>
          </w:p>
        </w:tc>
        <w:tc>
          <w:tcPr>
            <w:tcW w:w="153" w:type="pct"/>
            <w:tcBorders>
              <w:top w:val="nil"/>
              <w:bottom w:val="nil"/>
              <w:right w:val="single" w:sz="6" w:space="0" w:color="auto"/>
            </w:tcBorders>
            <w:noWrap/>
            <w:vAlign w:val="bottom"/>
          </w:tcPr>
          <w:p w14:paraId="7EAD8BF4" w14:textId="77777777" w:rsidR="008B6B35" w:rsidRPr="00B71F92" w:rsidRDefault="008B6B35" w:rsidP="00730932">
            <w:pPr>
              <w:spacing w:after="0" w:line="240" w:lineRule="auto"/>
              <w:jc w:val="right"/>
              <w:rPr>
                <w:rFonts w:eastAsia="Times New Roman"/>
                <w:sz w:val="18"/>
                <w:szCs w:val="18"/>
              </w:rPr>
            </w:pPr>
            <w:r w:rsidRPr="00B71F92">
              <w:rPr>
                <w:sz w:val="18"/>
                <w:szCs w:val="18"/>
              </w:rPr>
              <w:t>-2.98</w:t>
            </w:r>
          </w:p>
        </w:tc>
        <w:tc>
          <w:tcPr>
            <w:tcW w:w="153" w:type="pct"/>
            <w:tcBorders>
              <w:top w:val="nil"/>
              <w:left w:val="single" w:sz="6" w:space="0" w:color="auto"/>
              <w:bottom w:val="nil"/>
            </w:tcBorders>
            <w:noWrap/>
            <w:vAlign w:val="bottom"/>
          </w:tcPr>
          <w:p w14:paraId="62DF0BB8" w14:textId="77777777" w:rsidR="008B6B35" w:rsidRPr="00B71F92" w:rsidRDefault="008B6B35" w:rsidP="00730932">
            <w:pPr>
              <w:spacing w:after="0" w:line="240" w:lineRule="auto"/>
              <w:jc w:val="right"/>
              <w:rPr>
                <w:rFonts w:eastAsia="Times New Roman"/>
                <w:sz w:val="18"/>
                <w:szCs w:val="18"/>
              </w:rPr>
            </w:pPr>
            <w:r w:rsidRPr="00B71F92">
              <w:rPr>
                <w:sz w:val="18"/>
                <w:szCs w:val="18"/>
              </w:rPr>
              <w:t>1.38</w:t>
            </w:r>
          </w:p>
        </w:tc>
        <w:tc>
          <w:tcPr>
            <w:tcW w:w="153" w:type="pct"/>
            <w:tcBorders>
              <w:top w:val="nil"/>
              <w:bottom w:val="nil"/>
              <w:right w:val="single" w:sz="6" w:space="0" w:color="auto"/>
            </w:tcBorders>
            <w:noWrap/>
            <w:vAlign w:val="bottom"/>
          </w:tcPr>
          <w:p w14:paraId="21D18A41" w14:textId="77777777" w:rsidR="008B6B35" w:rsidRPr="00B71F92" w:rsidRDefault="008B6B35" w:rsidP="00730932">
            <w:pPr>
              <w:spacing w:after="0" w:line="240" w:lineRule="auto"/>
              <w:jc w:val="right"/>
              <w:rPr>
                <w:rFonts w:eastAsia="Times New Roman"/>
                <w:sz w:val="18"/>
                <w:szCs w:val="18"/>
              </w:rPr>
            </w:pPr>
            <w:r w:rsidRPr="00B71F92">
              <w:rPr>
                <w:sz w:val="18"/>
                <w:szCs w:val="18"/>
              </w:rPr>
              <w:t>4.94</w:t>
            </w:r>
          </w:p>
        </w:tc>
        <w:tc>
          <w:tcPr>
            <w:tcW w:w="153" w:type="pct"/>
            <w:tcBorders>
              <w:top w:val="nil"/>
              <w:left w:val="single" w:sz="6" w:space="0" w:color="auto"/>
              <w:bottom w:val="nil"/>
            </w:tcBorders>
            <w:noWrap/>
            <w:vAlign w:val="center"/>
          </w:tcPr>
          <w:p w14:paraId="7EB1B57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028C0FA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241E0D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445ABFF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8844CBC" w14:textId="77777777" w:rsidR="008B6B35" w:rsidRPr="00B71F92" w:rsidRDefault="008B6B35" w:rsidP="00730932">
            <w:pPr>
              <w:spacing w:after="0" w:line="240" w:lineRule="auto"/>
              <w:jc w:val="right"/>
              <w:rPr>
                <w:rFonts w:eastAsia="Times New Roman"/>
                <w:sz w:val="18"/>
                <w:szCs w:val="18"/>
              </w:rPr>
            </w:pPr>
            <w:r w:rsidRPr="00B71F92">
              <w:rPr>
                <w:sz w:val="18"/>
                <w:szCs w:val="18"/>
              </w:rPr>
              <w:t>-0.41</w:t>
            </w:r>
          </w:p>
        </w:tc>
        <w:tc>
          <w:tcPr>
            <w:tcW w:w="153" w:type="pct"/>
            <w:tcBorders>
              <w:top w:val="nil"/>
              <w:bottom w:val="nil"/>
              <w:right w:val="single" w:sz="6" w:space="0" w:color="auto"/>
            </w:tcBorders>
            <w:noWrap/>
            <w:vAlign w:val="bottom"/>
          </w:tcPr>
          <w:p w14:paraId="3680C3DB" w14:textId="77777777" w:rsidR="008B6B35" w:rsidRPr="00B71F92" w:rsidRDefault="008B6B35" w:rsidP="00730932">
            <w:pPr>
              <w:spacing w:after="0" w:line="240" w:lineRule="auto"/>
              <w:jc w:val="right"/>
              <w:rPr>
                <w:rFonts w:eastAsia="Times New Roman"/>
                <w:sz w:val="18"/>
                <w:szCs w:val="18"/>
              </w:rPr>
            </w:pPr>
            <w:r w:rsidRPr="00B71F92">
              <w:rPr>
                <w:sz w:val="18"/>
                <w:szCs w:val="18"/>
              </w:rPr>
              <w:t>-2.29</w:t>
            </w:r>
          </w:p>
        </w:tc>
        <w:tc>
          <w:tcPr>
            <w:tcW w:w="153" w:type="pct"/>
            <w:tcBorders>
              <w:top w:val="nil"/>
              <w:left w:val="single" w:sz="6" w:space="0" w:color="auto"/>
              <w:bottom w:val="nil"/>
            </w:tcBorders>
            <w:noWrap/>
            <w:vAlign w:val="bottom"/>
          </w:tcPr>
          <w:p w14:paraId="04E67032" w14:textId="77777777" w:rsidR="008B6B35" w:rsidRPr="00B71F92" w:rsidRDefault="008B6B35" w:rsidP="00730932">
            <w:pPr>
              <w:spacing w:after="0" w:line="240" w:lineRule="auto"/>
              <w:jc w:val="right"/>
              <w:rPr>
                <w:rFonts w:eastAsia="Times New Roman"/>
                <w:sz w:val="18"/>
                <w:szCs w:val="18"/>
              </w:rPr>
            </w:pPr>
            <w:r w:rsidRPr="00B71F92">
              <w:rPr>
                <w:sz w:val="18"/>
                <w:szCs w:val="18"/>
              </w:rPr>
              <w:t>0.67</w:t>
            </w:r>
          </w:p>
        </w:tc>
        <w:tc>
          <w:tcPr>
            <w:tcW w:w="153" w:type="pct"/>
            <w:tcBorders>
              <w:top w:val="nil"/>
              <w:bottom w:val="nil"/>
              <w:right w:val="single" w:sz="6" w:space="0" w:color="auto"/>
            </w:tcBorders>
            <w:noWrap/>
            <w:vAlign w:val="bottom"/>
          </w:tcPr>
          <w:p w14:paraId="176AD428" w14:textId="77777777" w:rsidR="008B6B35" w:rsidRPr="00B71F92" w:rsidRDefault="008B6B35" w:rsidP="00730932">
            <w:pPr>
              <w:spacing w:after="0" w:line="240" w:lineRule="auto"/>
              <w:jc w:val="right"/>
              <w:rPr>
                <w:rFonts w:eastAsia="Times New Roman"/>
                <w:sz w:val="18"/>
                <w:szCs w:val="18"/>
              </w:rPr>
            </w:pPr>
            <w:r w:rsidRPr="00B71F92">
              <w:rPr>
                <w:sz w:val="18"/>
                <w:szCs w:val="18"/>
              </w:rPr>
              <w:t>2.41</w:t>
            </w:r>
          </w:p>
        </w:tc>
        <w:tc>
          <w:tcPr>
            <w:tcW w:w="153" w:type="pct"/>
            <w:tcBorders>
              <w:top w:val="nil"/>
              <w:left w:val="single" w:sz="6" w:space="0" w:color="auto"/>
              <w:bottom w:val="nil"/>
            </w:tcBorders>
            <w:noWrap/>
            <w:vAlign w:val="bottom"/>
          </w:tcPr>
          <w:p w14:paraId="7859B987" w14:textId="77777777" w:rsidR="008B6B35" w:rsidRPr="00B71F92" w:rsidRDefault="008B6B35" w:rsidP="00730932">
            <w:pPr>
              <w:spacing w:after="0" w:line="240" w:lineRule="auto"/>
              <w:jc w:val="right"/>
              <w:rPr>
                <w:rFonts w:eastAsia="Times New Roman"/>
                <w:sz w:val="18"/>
                <w:szCs w:val="18"/>
              </w:rPr>
            </w:pPr>
            <w:r w:rsidRPr="00B71F92">
              <w:rPr>
                <w:sz w:val="18"/>
                <w:szCs w:val="18"/>
              </w:rPr>
              <w:t>0.71</w:t>
            </w:r>
          </w:p>
        </w:tc>
        <w:tc>
          <w:tcPr>
            <w:tcW w:w="153" w:type="pct"/>
            <w:tcBorders>
              <w:top w:val="nil"/>
              <w:bottom w:val="nil"/>
              <w:right w:val="single" w:sz="8" w:space="0" w:color="auto"/>
            </w:tcBorders>
            <w:noWrap/>
            <w:vAlign w:val="bottom"/>
          </w:tcPr>
          <w:p w14:paraId="252F5652" w14:textId="77777777" w:rsidR="008B6B35" w:rsidRPr="00B71F92" w:rsidRDefault="008B6B35" w:rsidP="00730932">
            <w:pPr>
              <w:spacing w:after="0" w:line="240" w:lineRule="auto"/>
              <w:jc w:val="right"/>
              <w:rPr>
                <w:rFonts w:eastAsia="Times New Roman"/>
                <w:sz w:val="18"/>
                <w:szCs w:val="18"/>
              </w:rPr>
            </w:pPr>
            <w:r w:rsidRPr="00B71F92">
              <w:rPr>
                <w:sz w:val="18"/>
                <w:szCs w:val="18"/>
              </w:rPr>
              <w:t>3.26</w:t>
            </w:r>
          </w:p>
        </w:tc>
        <w:tc>
          <w:tcPr>
            <w:tcW w:w="153" w:type="pct"/>
            <w:tcBorders>
              <w:top w:val="nil"/>
              <w:left w:val="single" w:sz="8" w:space="0" w:color="auto"/>
              <w:bottom w:val="nil"/>
            </w:tcBorders>
            <w:vAlign w:val="bottom"/>
          </w:tcPr>
          <w:p w14:paraId="240F5F62" w14:textId="77777777" w:rsidR="008B6B35" w:rsidRPr="00B71F92" w:rsidRDefault="008B6B35" w:rsidP="00730932">
            <w:pPr>
              <w:spacing w:after="0" w:line="240" w:lineRule="auto"/>
              <w:jc w:val="right"/>
              <w:rPr>
                <w:rFonts w:eastAsia="Times New Roman"/>
                <w:sz w:val="18"/>
                <w:szCs w:val="18"/>
              </w:rPr>
            </w:pPr>
            <w:r w:rsidRPr="00B71F92">
              <w:rPr>
                <w:sz w:val="18"/>
                <w:szCs w:val="18"/>
              </w:rPr>
              <w:t>-0.59</w:t>
            </w:r>
          </w:p>
        </w:tc>
        <w:tc>
          <w:tcPr>
            <w:tcW w:w="206" w:type="pct"/>
            <w:tcBorders>
              <w:top w:val="nil"/>
              <w:bottom w:val="nil"/>
            </w:tcBorders>
            <w:vAlign w:val="bottom"/>
          </w:tcPr>
          <w:p w14:paraId="7CCAF309" w14:textId="77777777" w:rsidR="008B6B35" w:rsidRPr="00B71F92" w:rsidRDefault="008B6B35" w:rsidP="00730932">
            <w:pPr>
              <w:spacing w:after="0" w:line="240" w:lineRule="auto"/>
              <w:jc w:val="right"/>
              <w:rPr>
                <w:rFonts w:eastAsia="Times New Roman"/>
                <w:sz w:val="18"/>
                <w:szCs w:val="18"/>
              </w:rPr>
            </w:pPr>
            <w:r w:rsidRPr="00B71F92">
              <w:rPr>
                <w:sz w:val="18"/>
                <w:szCs w:val="18"/>
              </w:rPr>
              <w:t>-3.24</w:t>
            </w:r>
          </w:p>
        </w:tc>
      </w:tr>
      <w:tr w:rsidR="008B6B35" w:rsidRPr="00B71F92" w14:paraId="68C1C68F" w14:textId="77777777" w:rsidTr="002F5607">
        <w:trPr>
          <w:trHeight w:val="230"/>
          <w:jc w:val="center"/>
        </w:trPr>
        <w:tc>
          <w:tcPr>
            <w:tcW w:w="1221" w:type="pct"/>
            <w:tcBorders>
              <w:top w:val="nil"/>
              <w:bottom w:val="nil"/>
              <w:right w:val="single" w:sz="12" w:space="0" w:color="auto"/>
            </w:tcBorders>
            <w:noWrap/>
            <w:vAlign w:val="center"/>
            <w:hideMark/>
          </w:tcPr>
          <w:p w14:paraId="2F8185BD"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Older (Adults 65+) * 2021 Shift</w:t>
            </w:r>
          </w:p>
        </w:tc>
        <w:tc>
          <w:tcPr>
            <w:tcW w:w="171" w:type="pct"/>
            <w:tcBorders>
              <w:top w:val="nil"/>
              <w:left w:val="single" w:sz="12" w:space="0" w:color="auto"/>
              <w:bottom w:val="nil"/>
            </w:tcBorders>
            <w:noWrap/>
            <w:vAlign w:val="bottom"/>
            <w:hideMark/>
          </w:tcPr>
          <w:p w14:paraId="16F46CF1" w14:textId="77777777" w:rsidR="008B6B35" w:rsidRPr="00B71F92" w:rsidRDefault="008B6B35" w:rsidP="00730932">
            <w:pPr>
              <w:spacing w:after="0" w:line="240" w:lineRule="auto"/>
              <w:jc w:val="right"/>
              <w:rPr>
                <w:rFonts w:eastAsia="Times New Roman"/>
                <w:sz w:val="18"/>
                <w:szCs w:val="18"/>
              </w:rPr>
            </w:pPr>
            <w:r w:rsidRPr="00B71F92">
              <w:rPr>
                <w:sz w:val="18"/>
                <w:szCs w:val="18"/>
              </w:rPr>
              <w:t>-0.25</w:t>
            </w:r>
          </w:p>
        </w:tc>
        <w:tc>
          <w:tcPr>
            <w:tcW w:w="155" w:type="pct"/>
            <w:tcBorders>
              <w:top w:val="nil"/>
              <w:bottom w:val="nil"/>
              <w:right w:val="single" w:sz="12" w:space="0" w:color="auto"/>
            </w:tcBorders>
            <w:noWrap/>
            <w:vAlign w:val="bottom"/>
            <w:hideMark/>
          </w:tcPr>
          <w:p w14:paraId="3A0425C1" w14:textId="77777777" w:rsidR="008B6B35" w:rsidRPr="00B71F92" w:rsidRDefault="008B6B35" w:rsidP="00730932">
            <w:pPr>
              <w:spacing w:after="0" w:line="240" w:lineRule="auto"/>
              <w:jc w:val="right"/>
              <w:rPr>
                <w:rFonts w:eastAsia="Times New Roman"/>
                <w:sz w:val="18"/>
                <w:szCs w:val="18"/>
              </w:rPr>
            </w:pPr>
            <w:r w:rsidRPr="00B71F92">
              <w:rPr>
                <w:sz w:val="18"/>
                <w:szCs w:val="18"/>
              </w:rPr>
              <w:t>-1.95</w:t>
            </w:r>
          </w:p>
        </w:tc>
        <w:tc>
          <w:tcPr>
            <w:tcW w:w="153" w:type="pct"/>
            <w:tcBorders>
              <w:top w:val="nil"/>
              <w:left w:val="single" w:sz="12" w:space="0" w:color="auto"/>
              <w:bottom w:val="nil"/>
            </w:tcBorders>
            <w:noWrap/>
            <w:vAlign w:val="center"/>
          </w:tcPr>
          <w:p w14:paraId="4C292C8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629E724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739357A6" w14:textId="77777777" w:rsidR="008B6B35" w:rsidRPr="00B71F92" w:rsidRDefault="008B6B35" w:rsidP="00730932">
            <w:pPr>
              <w:spacing w:after="0" w:line="240" w:lineRule="auto"/>
              <w:jc w:val="right"/>
              <w:rPr>
                <w:rFonts w:eastAsia="Times New Roman"/>
                <w:sz w:val="18"/>
                <w:szCs w:val="18"/>
              </w:rPr>
            </w:pPr>
            <w:r w:rsidRPr="00B71F92">
              <w:rPr>
                <w:sz w:val="18"/>
                <w:szCs w:val="18"/>
              </w:rPr>
              <w:t>0.75</w:t>
            </w:r>
          </w:p>
        </w:tc>
        <w:tc>
          <w:tcPr>
            <w:tcW w:w="153" w:type="pct"/>
            <w:tcBorders>
              <w:top w:val="nil"/>
              <w:bottom w:val="nil"/>
              <w:right w:val="single" w:sz="6" w:space="0" w:color="auto"/>
            </w:tcBorders>
            <w:noWrap/>
            <w:vAlign w:val="bottom"/>
          </w:tcPr>
          <w:p w14:paraId="7696622E" w14:textId="77777777" w:rsidR="008B6B35" w:rsidRPr="00B71F92" w:rsidRDefault="008B6B35" w:rsidP="00730932">
            <w:pPr>
              <w:spacing w:after="0" w:line="240" w:lineRule="auto"/>
              <w:jc w:val="right"/>
              <w:rPr>
                <w:rFonts w:eastAsia="Times New Roman"/>
                <w:sz w:val="18"/>
                <w:szCs w:val="18"/>
              </w:rPr>
            </w:pPr>
            <w:r w:rsidRPr="00B71F92">
              <w:rPr>
                <w:sz w:val="18"/>
                <w:szCs w:val="18"/>
              </w:rPr>
              <w:t>1.86</w:t>
            </w:r>
          </w:p>
        </w:tc>
        <w:tc>
          <w:tcPr>
            <w:tcW w:w="153" w:type="pct"/>
            <w:tcBorders>
              <w:top w:val="nil"/>
              <w:left w:val="single" w:sz="6" w:space="0" w:color="auto"/>
              <w:bottom w:val="nil"/>
            </w:tcBorders>
            <w:noWrap/>
            <w:vAlign w:val="center"/>
          </w:tcPr>
          <w:p w14:paraId="024167B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23390D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2F489A5F" w14:textId="77777777" w:rsidR="008B6B35" w:rsidRPr="00B71F92" w:rsidRDefault="008B6B35" w:rsidP="00730932">
            <w:pPr>
              <w:spacing w:after="0" w:line="240" w:lineRule="auto"/>
              <w:jc w:val="right"/>
              <w:rPr>
                <w:rFonts w:eastAsia="Times New Roman"/>
                <w:sz w:val="18"/>
                <w:szCs w:val="18"/>
              </w:rPr>
            </w:pPr>
            <w:r w:rsidRPr="00B71F92">
              <w:rPr>
                <w:sz w:val="18"/>
                <w:szCs w:val="18"/>
              </w:rPr>
              <w:t>0.72</w:t>
            </w:r>
          </w:p>
        </w:tc>
        <w:tc>
          <w:tcPr>
            <w:tcW w:w="153" w:type="pct"/>
            <w:tcBorders>
              <w:top w:val="nil"/>
              <w:bottom w:val="nil"/>
              <w:right w:val="single" w:sz="6" w:space="0" w:color="auto"/>
            </w:tcBorders>
            <w:noWrap/>
            <w:vAlign w:val="bottom"/>
          </w:tcPr>
          <w:p w14:paraId="0F56E836" w14:textId="77777777" w:rsidR="008B6B35" w:rsidRPr="00B71F92" w:rsidRDefault="008B6B35" w:rsidP="00730932">
            <w:pPr>
              <w:spacing w:after="0" w:line="240" w:lineRule="auto"/>
              <w:jc w:val="right"/>
              <w:rPr>
                <w:rFonts w:eastAsia="Times New Roman"/>
                <w:sz w:val="18"/>
                <w:szCs w:val="18"/>
              </w:rPr>
            </w:pPr>
            <w:r w:rsidRPr="00B71F92">
              <w:rPr>
                <w:sz w:val="18"/>
                <w:szCs w:val="18"/>
              </w:rPr>
              <w:t>1.92</w:t>
            </w:r>
          </w:p>
        </w:tc>
        <w:tc>
          <w:tcPr>
            <w:tcW w:w="153" w:type="pct"/>
            <w:tcBorders>
              <w:top w:val="nil"/>
              <w:left w:val="single" w:sz="6" w:space="0" w:color="auto"/>
              <w:bottom w:val="nil"/>
            </w:tcBorders>
            <w:noWrap/>
            <w:vAlign w:val="bottom"/>
          </w:tcPr>
          <w:p w14:paraId="14170DDA" w14:textId="77777777" w:rsidR="008B6B35" w:rsidRPr="00B71F92" w:rsidRDefault="008B6B35" w:rsidP="00730932">
            <w:pPr>
              <w:spacing w:after="0" w:line="240" w:lineRule="auto"/>
              <w:jc w:val="right"/>
              <w:rPr>
                <w:rFonts w:eastAsia="Times New Roman"/>
                <w:sz w:val="18"/>
                <w:szCs w:val="18"/>
              </w:rPr>
            </w:pPr>
            <w:r w:rsidRPr="00B71F92">
              <w:rPr>
                <w:sz w:val="18"/>
                <w:szCs w:val="18"/>
              </w:rPr>
              <w:t>-0.53</w:t>
            </w:r>
          </w:p>
        </w:tc>
        <w:tc>
          <w:tcPr>
            <w:tcW w:w="153" w:type="pct"/>
            <w:tcBorders>
              <w:top w:val="nil"/>
              <w:bottom w:val="nil"/>
              <w:right w:val="single" w:sz="6" w:space="0" w:color="auto"/>
            </w:tcBorders>
            <w:noWrap/>
            <w:vAlign w:val="bottom"/>
          </w:tcPr>
          <w:p w14:paraId="537B1A71" w14:textId="77777777" w:rsidR="008B6B35" w:rsidRPr="00B71F92" w:rsidRDefault="008B6B35" w:rsidP="00730932">
            <w:pPr>
              <w:spacing w:after="0" w:line="240" w:lineRule="auto"/>
              <w:jc w:val="right"/>
              <w:rPr>
                <w:rFonts w:eastAsia="Times New Roman"/>
                <w:sz w:val="18"/>
                <w:szCs w:val="18"/>
              </w:rPr>
            </w:pPr>
            <w:r w:rsidRPr="00B71F92">
              <w:rPr>
                <w:sz w:val="18"/>
                <w:szCs w:val="18"/>
              </w:rPr>
              <w:t>-1.84</w:t>
            </w:r>
          </w:p>
        </w:tc>
        <w:tc>
          <w:tcPr>
            <w:tcW w:w="153" w:type="pct"/>
            <w:tcBorders>
              <w:top w:val="nil"/>
              <w:left w:val="single" w:sz="6" w:space="0" w:color="auto"/>
              <w:bottom w:val="nil"/>
            </w:tcBorders>
            <w:noWrap/>
            <w:vAlign w:val="center"/>
          </w:tcPr>
          <w:p w14:paraId="34B24E5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37756CE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EDEA97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2F17F6C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4562DAC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C6FDDC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6A9B30AB" w14:textId="77777777" w:rsidR="008B6B35" w:rsidRPr="00B71F92" w:rsidRDefault="008B6B35" w:rsidP="00730932">
            <w:pPr>
              <w:spacing w:after="0" w:line="240" w:lineRule="auto"/>
              <w:jc w:val="right"/>
              <w:rPr>
                <w:rFonts w:eastAsia="Times New Roman"/>
                <w:sz w:val="18"/>
                <w:szCs w:val="18"/>
              </w:rPr>
            </w:pPr>
            <w:r w:rsidRPr="00B71F92">
              <w:rPr>
                <w:sz w:val="18"/>
                <w:szCs w:val="18"/>
              </w:rPr>
              <w:t>-0.67</w:t>
            </w:r>
          </w:p>
        </w:tc>
        <w:tc>
          <w:tcPr>
            <w:tcW w:w="153" w:type="pct"/>
            <w:tcBorders>
              <w:top w:val="nil"/>
              <w:bottom w:val="nil"/>
              <w:right w:val="single" w:sz="6" w:space="0" w:color="auto"/>
            </w:tcBorders>
            <w:noWrap/>
            <w:vAlign w:val="bottom"/>
          </w:tcPr>
          <w:p w14:paraId="5EA6FE30" w14:textId="77777777" w:rsidR="008B6B35" w:rsidRPr="00B71F92" w:rsidRDefault="008B6B35" w:rsidP="00730932">
            <w:pPr>
              <w:spacing w:after="0" w:line="240" w:lineRule="auto"/>
              <w:jc w:val="right"/>
              <w:rPr>
                <w:rFonts w:eastAsia="Times New Roman"/>
                <w:sz w:val="18"/>
                <w:szCs w:val="18"/>
              </w:rPr>
            </w:pPr>
            <w:r w:rsidRPr="00B71F92">
              <w:rPr>
                <w:sz w:val="18"/>
                <w:szCs w:val="18"/>
              </w:rPr>
              <w:t>-2.09</w:t>
            </w:r>
          </w:p>
        </w:tc>
        <w:tc>
          <w:tcPr>
            <w:tcW w:w="153" w:type="pct"/>
            <w:tcBorders>
              <w:top w:val="nil"/>
              <w:left w:val="single" w:sz="6" w:space="0" w:color="auto"/>
              <w:bottom w:val="nil"/>
            </w:tcBorders>
            <w:noWrap/>
            <w:vAlign w:val="center"/>
          </w:tcPr>
          <w:p w14:paraId="4772711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0C6A8B8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6E76942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561E7029" w14:textId="77777777" w:rsidR="008B6B35" w:rsidRPr="00B71F92" w:rsidRDefault="008B6B35" w:rsidP="00730932">
            <w:pPr>
              <w:spacing w:after="0" w:line="240" w:lineRule="auto"/>
              <w:jc w:val="right"/>
              <w:rPr>
                <w:rFonts w:eastAsia="Times New Roman"/>
                <w:sz w:val="18"/>
                <w:szCs w:val="18"/>
              </w:rPr>
            </w:pPr>
          </w:p>
        </w:tc>
      </w:tr>
      <w:tr w:rsidR="008B6B35" w:rsidRPr="00B71F92" w14:paraId="6D25D414" w14:textId="77777777" w:rsidTr="002F5607">
        <w:trPr>
          <w:trHeight w:val="230"/>
          <w:jc w:val="center"/>
        </w:trPr>
        <w:tc>
          <w:tcPr>
            <w:tcW w:w="1221" w:type="pct"/>
            <w:tcBorders>
              <w:top w:val="nil"/>
              <w:bottom w:val="nil"/>
              <w:right w:val="single" w:sz="12" w:space="0" w:color="auto"/>
            </w:tcBorders>
            <w:noWrap/>
            <w:vAlign w:val="center"/>
            <w:hideMark/>
          </w:tcPr>
          <w:p w14:paraId="6CEB4AD7"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Older (Adults 65+) * 2023 Shift</w:t>
            </w:r>
          </w:p>
        </w:tc>
        <w:tc>
          <w:tcPr>
            <w:tcW w:w="171" w:type="pct"/>
            <w:tcBorders>
              <w:top w:val="nil"/>
              <w:left w:val="single" w:sz="12" w:space="0" w:color="auto"/>
              <w:bottom w:val="nil"/>
            </w:tcBorders>
            <w:noWrap/>
            <w:vAlign w:val="bottom"/>
            <w:hideMark/>
          </w:tcPr>
          <w:p w14:paraId="19A313B7" w14:textId="77777777" w:rsidR="008B6B35" w:rsidRPr="00B71F92" w:rsidRDefault="008B6B35" w:rsidP="00730932">
            <w:pPr>
              <w:spacing w:after="0" w:line="240" w:lineRule="auto"/>
              <w:jc w:val="right"/>
              <w:rPr>
                <w:rFonts w:eastAsia="Times New Roman"/>
                <w:sz w:val="18"/>
                <w:szCs w:val="18"/>
              </w:rPr>
            </w:pPr>
            <w:r w:rsidRPr="00B71F92">
              <w:rPr>
                <w:sz w:val="18"/>
                <w:szCs w:val="18"/>
              </w:rPr>
              <w:t>0.31</w:t>
            </w:r>
          </w:p>
        </w:tc>
        <w:tc>
          <w:tcPr>
            <w:tcW w:w="155" w:type="pct"/>
            <w:tcBorders>
              <w:top w:val="nil"/>
              <w:bottom w:val="nil"/>
              <w:right w:val="single" w:sz="12" w:space="0" w:color="auto"/>
            </w:tcBorders>
            <w:noWrap/>
            <w:vAlign w:val="bottom"/>
            <w:hideMark/>
          </w:tcPr>
          <w:p w14:paraId="203825D4" w14:textId="77777777" w:rsidR="008B6B35" w:rsidRPr="00B71F92" w:rsidRDefault="008B6B35" w:rsidP="00730932">
            <w:pPr>
              <w:spacing w:after="0" w:line="240" w:lineRule="auto"/>
              <w:jc w:val="right"/>
              <w:rPr>
                <w:rFonts w:eastAsia="Times New Roman"/>
                <w:sz w:val="18"/>
                <w:szCs w:val="18"/>
              </w:rPr>
            </w:pPr>
            <w:r w:rsidRPr="00B71F92">
              <w:rPr>
                <w:sz w:val="18"/>
                <w:szCs w:val="18"/>
              </w:rPr>
              <w:t>2.07</w:t>
            </w:r>
          </w:p>
        </w:tc>
        <w:tc>
          <w:tcPr>
            <w:tcW w:w="153" w:type="pct"/>
            <w:tcBorders>
              <w:top w:val="nil"/>
              <w:left w:val="single" w:sz="12" w:space="0" w:color="auto"/>
              <w:bottom w:val="nil"/>
            </w:tcBorders>
            <w:noWrap/>
            <w:vAlign w:val="center"/>
          </w:tcPr>
          <w:p w14:paraId="2510016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72124F3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374D9E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4D92BB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A6FFF4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5A105F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D6E669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F6184F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7B37E693" w14:textId="77777777" w:rsidR="008B6B35" w:rsidRPr="00B71F92" w:rsidRDefault="008B6B35" w:rsidP="00730932">
            <w:pPr>
              <w:spacing w:after="0" w:line="240" w:lineRule="auto"/>
              <w:jc w:val="right"/>
              <w:rPr>
                <w:rFonts w:eastAsia="Times New Roman"/>
                <w:sz w:val="18"/>
                <w:szCs w:val="18"/>
              </w:rPr>
            </w:pPr>
            <w:r w:rsidRPr="00B71F92">
              <w:rPr>
                <w:sz w:val="18"/>
                <w:szCs w:val="18"/>
              </w:rPr>
              <w:t>0.47</w:t>
            </w:r>
          </w:p>
        </w:tc>
        <w:tc>
          <w:tcPr>
            <w:tcW w:w="153" w:type="pct"/>
            <w:tcBorders>
              <w:top w:val="nil"/>
              <w:bottom w:val="nil"/>
              <w:right w:val="single" w:sz="6" w:space="0" w:color="auto"/>
            </w:tcBorders>
            <w:noWrap/>
            <w:vAlign w:val="bottom"/>
          </w:tcPr>
          <w:p w14:paraId="2A95A198" w14:textId="77777777" w:rsidR="008B6B35" w:rsidRPr="00B71F92" w:rsidRDefault="008B6B35" w:rsidP="00730932">
            <w:pPr>
              <w:spacing w:after="0" w:line="240" w:lineRule="auto"/>
              <w:jc w:val="right"/>
              <w:rPr>
                <w:rFonts w:eastAsia="Times New Roman"/>
                <w:sz w:val="18"/>
                <w:szCs w:val="18"/>
              </w:rPr>
            </w:pPr>
            <w:r w:rsidRPr="00B71F92">
              <w:rPr>
                <w:sz w:val="18"/>
                <w:szCs w:val="18"/>
              </w:rPr>
              <w:t>1.67</w:t>
            </w:r>
          </w:p>
        </w:tc>
        <w:tc>
          <w:tcPr>
            <w:tcW w:w="153" w:type="pct"/>
            <w:tcBorders>
              <w:top w:val="nil"/>
              <w:left w:val="single" w:sz="6" w:space="0" w:color="auto"/>
              <w:bottom w:val="nil"/>
            </w:tcBorders>
            <w:noWrap/>
            <w:vAlign w:val="center"/>
          </w:tcPr>
          <w:p w14:paraId="4965185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466480F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8B3C9F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4457BA7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7499F1E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0E1F00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6C11C2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960AF3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4D2EEF01" w14:textId="77777777" w:rsidR="008B6B35" w:rsidRPr="00B71F92" w:rsidRDefault="008B6B35" w:rsidP="00730932">
            <w:pPr>
              <w:spacing w:after="0" w:line="240" w:lineRule="auto"/>
              <w:jc w:val="right"/>
              <w:rPr>
                <w:rFonts w:eastAsia="Times New Roman"/>
                <w:sz w:val="18"/>
                <w:szCs w:val="18"/>
              </w:rPr>
            </w:pPr>
            <w:r w:rsidRPr="00B71F92">
              <w:rPr>
                <w:sz w:val="18"/>
                <w:szCs w:val="18"/>
              </w:rPr>
              <w:t>-0.96</w:t>
            </w:r>
          </w:p>
        </w:tc>
        <w:tc>
          <w:tcPr>
            <w:tcW w:w="153" w:type="pct"/>
            <w:tcBorders>
              <w:top w:val="nil"/>
              <w:bottom w:val="nil"/>
              <w:right w:val="single" w:sz="8" w:space="0" w:color="auto"/>
            </w:tcBorders>
            <w:noWrap/>
            <w:vAlign w:val="bottom"/>
          </w:tcPr>
          <w:p w14:paraId="1C93D647" w14:textId="77777777" w:rsidR="008B6B35" w:rsidRPr="00B71F92" w:rsidRDefault="008B6B35" w:rsidP="00730932">
            <w:pPr>
              <w:spacing w:after="0" w:line="240" w:lineRule="auto"/>
              <w:jc w:val="right"/>
              <w:rPr>
                <w:rFonts w:eastAsia="Times New Roman"/>
                <w:sz w:val="18"/>
                <w:szCs w:val="18"/>
              </w:rPr>
            </w:pPr>
            <w:r w:rsidRPr="00B71F92">
              <w:rPr>
                <w:sz w:val="18"/>
                <w:szCs w:val="18"/>
              </w:rPr>
              <w:t>-1.88</w:t>
            </w:r>
          </w:p>
        </w:tc>
        <w:tc>
          <w:tcPr>
            <w:tcW w:w="153" w:type="pct"/>
            <w:tcBorders>
              <w:top w:val="nil"/>
              <w:left w:val="single" w:sz="8" w:space="0" w:color="auto"/>
              <w:bottom w:val="nil"/>
            </w:tcBorders>
            <w:vAlign w:val="center"/>
          </w:tcPr>
          <w:p w14:paraId="6E901E4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29E5BA39" w14:textId="77777777" w:rsidR="008B6B35" w:rsidRPr="00B71F92" w:rsidRDefault="008B6B35" w:rsidP="00730932">
            <w:pPr>
              <w:spacing w:after="0" w:line="240" w:lineRule="auto"/>
              <w:jc w:val="right"/>
              <w:rPr>
                <w:rFonts w:eastAsia="Times New Roman"/>
                <w:sz w:val="18"/>
                <w:szCs w:val="18"/>
              </w:rPr>
            </w:pPr>
          </w:p>
        </w:tc>
      </w:tr>
      <w:tr w:rsidR="008B6B35" w:rsidRPr="00B71F92" w14:paraId="608C87E6" w14:textId="77777777" w:rsidTr="002F5607">
        <w:trPr>
          <w:trHeight w:val="230"/>
          <w:jc w:val="center"/>
        </w:trPr>
        <w:tc>
          <w:tcPr>
            <w:tcW w:w="1221" w:type="pct"/>
            <w:tcBorders>
              <w:top w:val="nil"/>
              <w:bottom w:val="nil"/>
              <w:right w:val="single" w:sz="12" w:space="0" w:color="auto"/>
            </w:tcBorders>
            <w:noWrap/>
            <w:vAlign w:val="center"/>
            <w:hideMark/>
          </w:tcPr>
          <w:p w14:paraId="5F45E605"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Extended/multigenerational</w:t>
            </w:r>
          </w:p>
        </w:tc>
        <w:tc>
          <w:tcPr>
            <w:tcW w:w="171" w:type="pct"/>
            <w:tcBorders>
              <w:top w:val="nil"/>
              <w:left w:val="single" w:sz="12" w:space="0" w:color="auto"/>
              <w:bottom w:val="nil"/>
            </w:tcBorders>
            <w:noWrap/>
            <w:vAlign w:val="bottom"/>
            <w:hideMark/>
          </w:tcPr>
          <w:p w14:paraId="1796373E" w14:textId="77777777" w:rsidR="008B6B35" w:rsidRPr="00B71F92" w:rsidRDefault="008B6B35" w:rsidP="00730932">
            <w:pPr>
              <w:spacing w:after="0" w:line="240" w:lineRule="auto"/>
              <w:jc w:val="right"/>
              <w:rPr>
                <w:rFonts w:eastAsia="Times New Roman"/>
                <w:sz w:val="18"/>
                <w:szCs w:val="18"/>
              </w:rPr>
            </w:pPr>
            <w:r w:rsidRPr="00B71F92">
              <w:rPr>
                <w:sz w:val="18"/>
                <w:szCs w:val="18"/>
              </w:rPr>
              <w:t>-0.58</w:t>
            </w:r>
          </w:p>
        </w:tc>
        <w:tc>
          <w:tcPr>
            <w:tcW w:w="155" w:type="pct"/>
            <w:tcBorders>
              <w:top w:val="nil"/>
              <w:bottom w:val="nil"/>
              <w:right w:val="single" w:sz="12" w:space="0" w:color="auto"/>
            </w:tcBorders>
            <w:noWrap/>
            <w:vAlign w:val="bottom"/>
            <w:hideMark/>
          </w:tcPr>
          <w:p w14:paraId="78D20ECD" w14:textId="77777777" w:rsidR="008B6B35" w:rsidRPr="00B71F92" w:rsidRDefault="008B6B35" w:rsidP="00730932">
            <w:pPr>
              <w:spacing w:after="0" w:line="240" w:lineRule="auto"/>
              <w:jc w:val="right"/>
              <w:rPr>
                <w:rFonts w:eastAsia="Times New Roman"/>
                <w:sz w:val="18"/>
                <w:szCs w:val="18"/>
              </w:rPr>
            </w:pPr>
            <w:r w:rsidRPr="00B71F92">
              <w:rPr>
                <w:sz w:val="18"/>
                <w:szCs w:val="18"/>
              </w:rPr>
              <w:t>-9.24</w:t>
            </w:r>
          </w:p>
        </w:tc>
        <w:tc>
          <w:tcPr>
            <w:tcW w:w="153" w:type="pct"/>
            <w:tcBorders>
              <w:top w:val="nil"/>
              <w:left w:val="single" w:sz="12" w:space="0" w:color="auto"/>
              <w:bottom w:val="nil"/>
            </w:tcBorders>
            <w:noWrap/>
            <w:vAlign w:val="center"/>
          </w:tcPr>
          <w:p w14:paraId="2D8EC10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58906C2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3791237A" w14:textId="77777777" w:rsidR="008B6B35" w:rsidRPr="00B71F92" w:rsidRDefault="008B6B35" w:rsidP="00730932">
            <w:pPr>
              <w:spacing w:after="0" w:line="240" w:lineRule="auto"/>
              <w:jc w:val="right"/>
              <w:rPr>
                <w:rFonts w:eastAsia="Times New Roman"/>
                <w:sz w:val="18"/>
                <w:szCs w:val="18"/>
              </w:rPr>
            </w:pPr>
            <w:r w:rsidRPr="00B71F92">
              <w:rPr>
                <w:sz w:val="18"/>
                <w:szCs w:val="18"/>
              </w:rPr>
              <w:t>-0.59</w:t>
            </w:r>
          </w:p>
        </w:tc>
        <w:tc>
          <w:tcPr>
            <w:tcW w:w="153" w:type="pct"/>
            <w:tcBorders>
              <w:top w:val="nil"/>
              <w:bottom w:val="nil"/>
              <w:right w:val="single" w:sz="6" w:space="0" w:color="auto"/>
            </w:tcBorders>
            <w:noWrap/>
            <w:vAlign w:val="bottom"/>
          </w:tcPr>
          <w:p w14:paraId="560AD1F7" w14:textId="77777777" w:rsidR="008B6B35" w:rsidRPr="00B71F92" w:rsidRDefault="008B6B35" w:rsidP="00730932">
            <w:pPr>
              <w:spacing w:after="0" w:line="240" w:lineRule="auto"/>
              <w:jc w:val="right"/>
              <w:rPr>
                <w:rFonts w:eastAsia="Times New Roman"/>
                <w:sz w:val="18"/>
                <w:szCs w:val="18"/>
              </w:rPr>
            </w:pPr>
            <w:r w:rsidRPr="00B71F92">
              <w:rPr>
                <w:sz w:val="18"/>
                <w:szCs w:val="18"/>
              </w:rPr>
              <w:t>-2.32</w:t>
            </w:r>
          </w:p>
        </w:tc>
        <w:tc>
          <w:tcPr>
            <w:tcW w:w="153" w:type="pct"/>
            <w:tcBorders>
              <w:top w:val="nil"/>
              <w:left w:val="single" w:sz="6" w:space="0" w:color="auto"/>
              <w:bottom w:val="nil"/>
            </w:tcBorders>
            <w:noWrap/>
            <w:vAlign w:val="bottom"/>
          </w:tcPr>
          <w:p w14:paraId="7825D7FB" w14:textId="77777777" w:rsidR="008B6B35" w:rsidRPr="00B71F92" w:rsidRDefault="008B6B35" w:rsidP="00730932">
            <w:pPr>
              <w:spacing w:after="0" w:line="240" w:lineRule="auto"/>
              <w:jc w:val="right"/>
              <w:rPr>
                <w:rFonts w:eastAsia="Times New Roman"/>
                <w:sz w:val="18"/>
                <w:szCs w:val="18"/>
              </w:rPr>
            </w:pPr>
            <w:r w:rsidRPr="00B71F92">
              <w:rPr>
                <w:sz w:val="18"/>
                <w:szCs w:val="18"/>
              </w:rPr>
              <w:t>-0.71</w:t>
            </w:r>
          </w:p>
        </w:tc>
        <w:tc>
          <w:tcPr>
            <w:tcW w:w="153" w:type="pct"/>
            <w:tcBorders>
              <w:top w:val="nil"/>
              <w:bottom w:val="nil"/>
              <w:right w:val="single" w:sz="6" w:space="0" w:color="auto"/>
            </w:tcBorders>
            <w:noWrap/>
            <w:vAlign w:val="bottom"/>
          </w:tcPr>
          <w:p w14:paraId="5EDB9D8F" w14:textId="77777777" w:rsidR="008B6B35" w:rsidRPr="00B71F92" w:rsidRDefault="008B6B35" w:rsidP="00730932">
            <w:pPr>
              <w:spacing w:after="0" w:line="240" w:lineRule="auto"/>
              <w:jc w:val="right"/>
              <w:rPr>
                <w:rFonts w:eastAsia="Times New Roman"/>
                <w:sz w:val="18"/>
                <w:szCs w:val="18"/>
              </w:rPr>
            </w:pPr>
            <w:r w:rsidRPr="00B71F92">
              <w:rPr>
                <w:sz w:val="18"/>
                <w:szCs w:val="18"/>
              </w:rPr>
              <w:t>-2.34</w:t>
            </w:r>
          </w:p>
        </w:tc>
        <w:tc>
          <w:tcPr>
            <w:tcW w:w="153" w:type="pct"/>
            <w:tcBorders>
              <w:top w:val="nil"/>
              <w:left w:val="single" w:sz="6" w:space="0" w:color="auto"/>
              <w:bottom w:val="nil"/>
            </w:tcBorders>
            <w:noWrap/>
            <w:vAlign w:val="bottom"/>
          </w:tcPr>
          <w:p w14:paraId="2A386E03" w14:textId="77777777" w:rsidR="008B6B35" w:rsidRPr="00B71F92" w:rsidRDefault="008B6B35" w:rsidP="00730932">
            <w:pPr>
              <w:spacing w:after="0" w:line="240" w:lineRule="auto"/>
              <w:jc w:val="right"/>
              <w:rPr>
                <w:rFonts w:eastAsia="Times New Roman"/>
                <w:sz w:val="18"/>
                <w:szCs w:val="18"/>
              </w:rPr>
            </w:pPr>
            <w:r w:rsidRPr="00B71F92">
              <w:rPr>
                <w:sz w:val="18"/>
                <w:szCs w:val="18"/>
              </w:rPr>
              <w:t>-0.40</w:t>
            </w:r>
          </w:p>
        </w:tc>
        <w:tc>
          <w:tcPr>
            <w:tcW w:w="153" w:type="pct"/>
            <w:tcBorders>
              <w:top w:val="nil"/>
              <w:bottom w:val="nil"/>
              <w:right w:val="single" w:sz="6" w:space="0" w:color="auto"/>
            </w:tcBorders>
            <w:noWrap/>
            <w:vAlign w:val="bottom"/>
          </w:tcPr>
          <w:p w14:paraId="51E1349E" w14:textId="77777777" w:rsidR="008B6B35" w:rsidRPr="00B71F92" w:rsidRDefault="008B6B35" w:rsidP="00730932">
            <w:pPr>
              <w:spacing w:after="0" w:line="240" w:lineRule="auto"/>
              <w:jc w:val="right"/>
              <w:rPr>
                <w:rFonts w:eastAsia="Times New Roman"/>
                <w:sz w:val="18"/>
                <w:szCs w:val="18"/>
              </w:rPr>
            </w:pPr>
            <w:r w:rsidRPr="00B71F92">
              <w:rPr>
                <w:sz w:val="18"/>
                <w:szCs w:val="18"/>
              </w:rPr>
              <w:t>-2.98</w:t>
            </w:r>
          </w:p>
        </w:tc>
        <w:tc>
          <w:tcPr>
            <w:tcW w:w="153" w:type="pct"/>
            <w:tcBorders>
              <w:top w:val="nil"/>
              <w:left w:val="single" w:sz="6" w:space="0" w:color="auto"/>
              <w:bottom w:val="nil"/>
            </w:tcBorders>
            <w:noWrap/>
            <w:vAlign w:val="center"/>
          </w:tcPr>
          <w:p w14:paraId="47AC6ED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D24CEA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817A38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4DE9058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F85C83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4A5E93F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96018C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6A2F87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52297DE" w14:textId="77777777" w:rsidR="008B6B35" w:rsidRPr="00B71F92" w:rsidRDefault="008B6B35" w:rsidP="00730932">
            <w:pPr>
              <w:spacing w:after="0" w:line="240" w:lineRule="auto"/>
              <w:jc w:val="right"/>
              <w:rPr>
                <w:rFonts w:eastAsia="Times New Roman"/>
                <w:sz w:val="18"/>
                <w:szCs w:val="18"/>
              </w:rPr>
            </w:pPr>
            <w:r w:rsidRPr="00B71F92">
              <w:rPr>
                <w:sz w:val="18"/>
                <w:szCs w:val="18"/>
              </w:rPr>
              <w:t>0.74</w:t>
            </w:r>
          </w:p>
        </w:tc>
        <w:tc>
          <w:tcPr>
            <w:tcW w:w="153" w:type="pct"/>
            <w:tcBorders>
              <w:top w:val="nil"/>
              <w:bottom w:val="nil"/>
              <w:right w:val="single" w:sz="6" w:space="0" w:color="auto"/>
            </w:tcBorders>
            <w:noWrap/>
            <w:vAlign w:val="bottom"/>
          </w:tcPr>
          <w:p w14:paraId="6B28E0AF" w14:textId="77777777" w:rsidR="008B6B35" w:rsidRPr="00B71F92" w:rsidRDefault="008B6B35" w:rsidP="00730932">
            <w:pPr>
              <w:spacing w:after="0" w:line="240" w:lineRule="auto"/>
              <w:jc w:val="right"/>
              <w:rPr>
                <w:rFonts w:eastAsia="Times New Roman"/>
                <w:sz w:val="18"/>
                <w:szCs w:val="18"/>
              </w:rPr>
            </w:pPr>
            <w:r w:rsidRPr="00B71F92">
              <w:rPr>
                <w:sz w:val="18"/>
                <w:szCs w:val="18"/>
              </w:rPr>
              <w:t>2.49</w:t>
            </w:r>
          </w:p>
        </w:tc>
        <w:tc>
          <w:tcPr>
            <w:tcW w:w="153" w:type="pct"/>
            <w:tcBorders>
              <w:top w:val="nil"/>
              <w:left w:val="single" w:sz="6" w:space="0" w:color="auto"/>
              <w:bottom w:val="nil"/>
            </w:tcBorders>
            <w:noWrap/>
            <w:vAlign w:val="bottom"/>
          </w:tcPr>
          <w:p w14:paraId="1A408CE4" w14:textId="77777777" w:rsidR="008B6B35" w:rsidRPr="00B71F92" w:rsidRDefault="008B6B35" w:rsidP="00730932">
            <w:pPr>
              <w:spacing w:after="0" w:line="240" w:lineRule="auto"/>
              <w:jc w:val="right"/>
              <w:rPr>
                <w:rFonts w:eastAsia="Times New Roman"/>
                <w:sz w:val="18"/>
                <w:szCs w:val="18"/>
              </w:rPr>
            </w:pPr>
            <w:r w:rsidRPr="00B71F92">
              <w:rPr>
                <w:sz w:val="18"/>
                <w:szCs w:val="18"/>
              </w:rPr>
              <w:t>0.61</w:t>
            </w:r>
          </w:p>
        </w:tc>
        <w:tc>
          <w:tcPr>
            <w:tcW w:w="153" w:type="pct"/>
            <w:tcBorders>
              <w:top w:val="nil"/>
              <w:bottom w:val="nil"/>
              <w:right w:val="single" w:sz="8" w:space="0" w:color="auto"/>
            </w:tcBorders>
            <w:noWrap/>
            <w:vAlign w:val="bottom"/>
          </w:tcPr>
          <w:p w14:paraId="3969CF49" w14:textId="77777777" w:rsidR="008B6B35" w:rsidRPr="00B71F92" w:rsidRDefault="008B6B35" w:rsidP="00730932">
            <w:pPr>
              <w:spacing w:after="0" w:line="240" w:lineRule="auto"/>
              <w:jc w:val="right"/>
              <w:rPr>
                <w:rFonts w:eastAsia="Times New Roman"/>
                <w:sz w:val="18"/>
                <w:szCs w:val="18"/>
              </w:rPr>
            </w:pPr>
            <w:r w:rsidRPr="00B71F92">
              <w:rPr>
                <w:sz w:val="18"/>
                <w:szCs w:val="18"/>
              </w:rPr>
              <w:t>2.07</w:t>
            </w:r>
          </w:p>
        </w:tc>
        <w:tc>
          <w:tcPr>
            <w:tcW w:w="153" w:type="pct"/>
            <w:tcBorders>
              <w:top w:val="nil"/>
              <w:left w:val="single" w:sz="8" w:space="0" w:color="auto"/>
              <w:bottom w:val="nil"/>
            </w:tcBorders>
            <w:vAlign w:val="center"/>
          </w:tcPr>
          <w:p w14:paraId="2B41EFC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1B993B81" w14:textId="77777777" w:rsidR="008B6B35" w:rsidRPr="00B71F92" w:rsidRDefault="008B6B35" w:rsidP="00730932">
            <w:pPr>
              <w:spacing w:after="0" w:line="240" w:lineRule="auto"/>
              <w:jc w:val="right"/>
              <w:rPr>
                <w:rFonts w:eastAsia="Times New Roman"/>
                <w:sz w:val="18"/>
                <w:szCs w:val="18"/>
              </w:rPr>
            </w:pPr>
          </w:p>
        </w:tc>
      </w:tr>
      <w:tr w:rsidR="008B6B35" w:rsidRPr="00B71F92" w14:paraId="46CB7007" w14:textId="77777777" w:rsidTr="002F5607">
        <w:trPr>
          <w:trHeight w:val="230"/>
          <w:jc w:val="center"/>
        </w:trPr>
        <w:tc>
          <w:tcPr>
            <w:tcW w:w="1221" w:type="pct"/>
            <w:tcBorders>
              <w:top w:val="nil"/>
              <w:bottom w:val="nil"/>
              <w:right w:val="single" w:sz="12" w:space="0" w:color="auto"/>
            </w:tcBorders>
            <w:noWrap/>
            <w:vAlign w:val="center"/>
            <w:hideMark/>
          </w:tcPr>
          <w:p w14:paraId="0A4659B3"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Extended/multigenerational * 2021 Shift</w:t>
            </w:r>
          </w:p>
        </w:tc>
        <w:tc>
          <w:tcPr>
            <w:tcW w:w="171" w:type="pct"/>
            <w:tcBorders>
              <w:top w:val="nil"/>
              <w:left w:val="single" w:sz="12" w:space="0" w:color="auto"/>
              <w:bottom w:val="nil"/>
            </w:tcBorders>
            <w:noWrap/>
            <w:vAlign w:val="center"/>
            <w:hideMark/>
          </w:tcPr>
          <w:p w14:paraId="47EBE50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12" w:space="0" w:color="auto"/>
            </w:tcBorders>
            <w:noWrap/>
            <w:vAlign w:val="center"/>
            <w:hideMark/>
          </w:tcPr>
          <w:p w14:paraId="3FBDC51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6E3FAA4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1B7416E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4F9E41F3" w14:textId="77777777" w:rsidR="008B6B35" w:rsidRPr="00B71F92" w:rsidRDefault="008B6B35" w:rsidP="00730932">
            <w:pPr>
              <w:spacing w:after="0" w:line="240" w:lineRule="auto"/>
              <w:jc w:val="right"/>
              <w:rPr>
                <w:rFonts w:eastAsia="Times New Roman"/>
                <w:sz w:val="18"/>
                <w:szCs w:val="18"/>
              </w:rPr>
            </w:pPr>
            <w:r w:rsidRPr="00B71F92">
              <w:rPr>
                <w:sz w:val="18"/>
                <w:szCs w:val="18"/>
              </w:rPr>
              <w:t>0.50</w:t>
            </w:r>
          </w:p>
        </w:tc>
        <w:tc>
          <w:tcPr>
            <w:tcW w:w="153" w:type="pct"/>
            <w:tcBorders>
              <w:top w:val="nil"/>
              <w:bottom w:val="nil"/>
              <w:right w:val="single" w:sz="6" w:space="0" w:color="auto"/>
            </w:tcBorders>
            <w:noWrap/>
            <w:vAlign w:val="bottom"/>
          </w:tcPr>
          <w:p w14:paraId="0554F86C" w14:textId="77777777" w:rsidR="008B6B35" w:rsidRPr="00B71F92" w:rsidRDefault="008B6B35" w:rsidP="00730932">
            <w:pPr>
              <w:spacing w:after="0" w:line="240" w:lineRule="auto"/>
              <w:jc w:val="right"/>
              <w:rPr>
                <w:rFonts w:eastAsia="Times New Roman"/>
                <w:sz w:val="18"/>
                <w:szCs w:val="18"/>
              </w:rPr>
            </w:pPr>
            <w:r w:rsidRPr="00B71F92">
              <w:rPr>
                <w:sz w:val="18"/>
                <w:szCs w:val="18"/>
              </w:rPr>
              <w:t>1.81</w:t>
            </w:r>
          </w:p>
        </w:tc>
        <w:tc>
          <w:tcPr>
            <w:tcW w:w="153" w:type="pct"/>
            <w:tcBorders>
              <w:top w:val="nil"/>
              <w:left w:val="single" w:sz="6" w:space="0" w:color="auto"/>
              <w:bottom w:val="nil"/>
            </w:tcBorders>
            <w:noWrap/>
            <w:vAlign w:val="bottom"/>
          </w:tcPr>
          <w:p w14:paraId="27CB055A" w14:textId="77777777" w:rsidR="008B6B35" w:rsidRPr="00B71F92" w:rsidRDefault="008B6B35" w:rsidP="00730932">
            <w:pPr>
              <w:spacing w:after="0" w:line="240" w:lineRule="auto"/>
              <w:jc w:val="right"/>
              <w:rPr>
                <w:rFonts w:eastAsia="Times New Roman"/>
                <w:sz w:val="18"/>
                <w:szCs w:val="18"/>
              </w:rPr>
            </w:pPr>
            <w:r w:rsidRPr="00B71F92">
              <w:rPr>
                <w:sz w:val="18"/>
                <w:szCs w:val="18"/>
              </w:rPr>
              <w:t>0.69</w:t>
            </w:r>
          </w:p>
        </w:tc>
        <w:tc>
          <w:tcPr>
            <w:tcW w:w="153" w:type="pct"/>
            <w:tcBorders>
              <w:top w:val="nil"/>
              <w:bottom w:val="nil"/>
              <w:right w:val="single" w:sz="6" w:space="0" w:color="auto"/>
            </w:tcBorders>
            <w:noWrap/>
            <w:vAlign w:val="bottom"/>
          </w:tcPr>
          <w:p w14:paraId="3299176D" w14:textId="77777777" w:rsidR="008B6B35" w:rsidRPr="00B71F92" w:rsidRDefault="008B6B35" w:rsidP="00730932">
            <w:pPr>
              <w:spacing w:after="0" w:line="240" w:lineRule="auto"/>
              <w:jc w:val="right"/>
              <w:rPr>
                <w:rFonts w:eastAsia="Times New Roman"/>
                <w:sz w:val="18"/>
                <w:szCs w:val="18"/>
              </w:rPr>
            </w:pPr>
            <w:r w:rsidRPr="00B71F92">
              <w:rPr>
                <w:sz w:val="18"/>
                <w:szCs w:val="18"/>
              </w:rPr>
              <w:t>2.11</w:t>
            </w:r>
          </w:p>
        </w:tc>
        <w:tc>
          <w:tcPr>
            <w:tcW w:w="153" w:type="pct"/>
            <w:tcBorders>
              <w:top w:val="nil"/>
              <w:left w:val="single" w:sz="6" w:space="0" w:color="auto"/>
              <w:bottom w:val="nil"/>
            </w:tcBorders>
            <w:noWrap/>
            <w:vAlign w:val="center"/>
          </w:tcPr>
          <w:p w14:paraId="3624803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158CDF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6E1ADA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AD0D43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869F9F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64A6D36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F09782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59543B0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F6A405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A33CCB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304119F1" w14:textId="77777777" w:rsidR="008B6B35" w:rsidRPr="00B71F92" w:rsidRDefault="008B6B35" w:rsidP="00730932">
            <w:pPr>
              <w:spacing w:after="0" w:line="240" w:lineRule="auto"/>
              <w:jc w:val="right"/>
              <w:rPr>
                <w:rFonts w:eastAsia="Times New Roman"/>
                <w:sz w:val="18"/>
                <w:szCs w:val="18"/>
              </w:rPr>
            </w:pPr>
            <w:r w:rsidRPr="00B71F92">
              <w:rPr>
                <w:sz w:val="18"/>
                <w:szCs w:val="18"/>
              </w:rPr>
              <w:t>-0.76</w:t>
            </w:r>
          </w:p>
        </w:tc>
        <w:tc>
          <w:tcPr>
            <w:tcW w:w="153" w:type="pct"/>
            <w:tcBorders>
              <w:top w:val="nil"/>
              <w:bottom w:val="nil"/>
              <w:right w:val="single" w:sz="6" w:space="0" w:color="auto"/>
            </w:tcBorders>
            <w:noWrap/>
            <w:vAlign w:val="bottom"/>
          </w:tcPr>
          <w:p w14:paraId="4C8CF277" w14:textId="77777777" w:rsidR="008B6B35" w:rsidRPr="00B71F92" w:rsidRDefault="008B6B35" w:rsidP="00730932">
            <w:pPr>
              <w:spacing w:after="0" w:line="240" w:lineRule="auto"/>
              <w:jc w:val="right"/>
              <w:rPr>
                <w:rFonts w:eastAsia="Times New Roman"/>
                <w:sz w:val="18"/>
                <w:szCs w:val="18"/>
              </w:rPr>
            </w:pPr>
            <w:r w:rsidRPr="00B71F92">
              <w:rPr>
                <w:sz w:val="18"/>
                <w:szCs w:val="18"/>
              </w:rPr>
              <w:t>-2.23</w:t>
            </w:r>
          </w:p>
        </w:tc>
        <w:tc>
          <w:tcPr>
            <w:tcW w:w="153" w:type="pct"/>
            <w:tcBorders>
              <w:top w:val="nil"/>
              <w:left w:val="single" w:sz="6" w:space="0" w:color="auto"/>
              <w:bottom w:val="nil"/>
            </w:tcBorders>
            <w:noWrap/>
            <w:vAlign w:val="bottom"/>
          </w:tcPr>
          <w:p w14:paraId="563E96BF" w14:textId="77777777" w:rsidR="008B6B35" w:rsidRPr="00B71F92" w:rsidRDefault="008B6B35" w:rsidP="00730932">
            <w:pPr>
              <w:spacing w:after="0" w:line="240" w:lineRule="auto"/>
              <w:jc w:val="right"/>
              <w:rPr>
                <w:rFonts w:eastAsia="Times New Roman"/>
                <w:sz w:val="18"/>
                <w:szCs w:val="18"/>
              </w:rPr>
            </w:pPr>
            <w:r w:rsidRPr="00B71F92">
              <w:rPr>
                <w:sz w:val="18"/>
                <w:szCs w:val="18"/>
              </w:rPr>
              <w:t>-0.79</w:t>
            </w:r>
          </w:p>
        </w:tc>
        <w:tc>
          <w:tcPr>
            <w:tcW w:w="153" w:type="pct"/>
            <w:tcBorders>
              <w:top w:val="nil"/>
              <w:bottom w:val="nil"/>
              <w:right w:val="single" w:sz="8" w:space="0" w:color="auto"/>
            </w:tcBorders>
            <w:noWrap/>
            <w:vAlign w:val="bottom"/>
          </w:tcPr>
          <w:p w14:paraId="3A29FD38" w14:textId="77777777" w:rsidR="008B6B35" w:rsidRPr="00B71F92" w:rsidRDefault="008B6B35" w:rsidP="00730932">
            <w:pPr>
              <w:spacing w:after="0" w:line="240" w:lineRule="auto"/>
              <w:jc w:val="right"/>
              <w:rPr>
                <w:rFonts w:eastAsia="Times New Roman"/>
                <w:sz w:val="18"/>
                <w:szCs w:val="18"/>
              </w:rPr>
            </w:pPr>
            <w:r w:rsidRPr="00B71F92">
              <w:rPr>
                <w:sz w:val="18"/>
                <w:szCs w:val="18"/>
              </w:rPr>
              <w:t>-2.20</w:t>
            </w:r>
          </w:p>
        </w:tc>
        <w:tc>
          <w:tcPr>
            <w:tcW w:w="153" w:type="pct"/>
            <w:tcBorders>
              <w:top w:val="nil"/>
              <w:left w:val="single" w:sz="8" w:space="0" w:color="auto"/>
              <w:bottom w:val="nil"/>
            </w:tcBorders>
            <w:vAlign w:val="center"/>
          </w:tcPr>
          <w:p w14:paraId="77E4336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089492AB" w14:textId="77777777" w:rsidR="008B6B35" w:rsidRPr="00B71F92" w:rsidRDefault="008B6B35" w:rsidP="00730932">
            <w:pPr>
              <w:spacing w:after="0" w:line="240" w:lineRule="auto"/>
              <w:jc w:val="right"/>
              <w:rPr>
                <w:rFonts w:eastAsia="Times New Roman"/>
                <w:sz w:val="18"/>
                <w:szCs w:val="18"/>
              </w:rPr>
            </w:pPr>
          </w:p>
        </w:tc>
      </w:tr>
      <w:tr w:rsidR="008B6B35" w:rsidRPr="00B71F92" w14:paraId="4DA22761" w14:textId="77777777" w:rsidTr="002F5607">
        <w:trPr>
          <w:trHeight w:val="230"/>
          <w:jc w:val="center"/>
        </w:trPr>
        <w:tc>
          <w:tcPr>
            <w:tcW w:w="1221" w:type="pct"/>
            <w:tcBorders>
              <w:top w:val="nil"/>
              <w:bottom w:val="nil"/>
              <w:right w:val="single" w:sz="12" w:space="0" w:color="auto"/>
            </w:tcBorders>
            <w:noWrap/>
            <w:vAlign w:val="center"/>
            <w:hideMark/>
          </w:tcPr>
          <w:p w14:paraId="0595A872"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Extended/multigenerational * 2023 Shift</w:t>
            </w:r>
          </w:p>
        </w:tc>
        <w:tc>
          <w:tcPr>
            <w:tcW w:w="171" w:type="pct"/>
            <w:tcBorders>
              <w:top w:val="nil"/>
              <w:left w:val="single" w:sz="12" w:space="0" w:color="auto"/>
              <w:bottom w:val="nil"/>
            </w:tcBorders>
            <w:noWrap/>
            <w:vAlign w:val="bottom"/>
            <w:hideMark/>
          </w:tcPr>
          <w:p w14:paraId="596BC01B" w14:textId="77777777" w:rsidR="008B6B35" w:rsidRPr="00B71F92" w:rsidRDefault="008B6B35" w:rsidP="00730932">
            <w:pPr>
              <w:spacing w:after="0" w:line="240" w:lineRule="auto"/>
              <w:jc w:val="right"/>
              <w:rPr>
                <w:rFonts w:eastAsia="Times New Roman"/>
                <w:sz w:val="18"/>
                <w:szCs w:val="18"/>
              </w:rPr>
            </w:pPr>
            <w:r w:rsidRPr="00B71F92">
              <w:rPr>
                <w:sz w:val="18"/>
                <w:szCs w:val="18"/>
              </w:rPr>
              <w:t>0.12</w:t>
            </w:r>
          </w:p>
        </w:tc>
        <w:tc>
          <w:tcPr>
            <w:tcW w:w="155" w:type="pct"/>
            <w:tcBorders>
              <w:top w:val="nil"/>
              <w:bottom w:val="nil"/>
              <w:right w:val="single" w:sz="12" w:space="0" w:color="auto"/>
            </w:tcBorders>
            <w:noWrap/>
            <w:vAlign w:val="bottom"/>
            <w:hideMark/>
          </w:tcPr>
          <w:p w14:paraId="15B5A979" w14:textId="77777777" w:rsidR="008B6B35" w:rsidRPr="00B71F92" w:rsidRDefault="008B6B35" w:rsidP="00730932">
            <w:pPr>
              <w:spacing w:after="0" w:line="240" w:lineRule="auto"/>
              <w:jc w:val="right"/>
              <w:rPr>
                <w:rFonts w:eastAsia="Times New Roman"/>
                <w:sz w:val="18"/>
                <w:szCs w:val="18"/>
              </w:rPr>
            </w:pPr>
            <w:r w:rsidRPr="00B71F92">
              <w:rPr>
                <w:sz w:val="18"/>
                <w:szCs w:val="18"/>
              </w:rPr>
              <w:t>1.66</w:t>
            </w:r>
          </w:p>
        </w:tc>
        <w:tc>
          <w:tcPr>
            <w:tcW w:w="153" w:type="pct"/>
            <w:tcBorders>
              <w:top w:val="nil"/>
              <w:left w:val="single" w:sz="12" w:space="0" w:color="auto"/>
              <w:bottom w:val="nil"/>
            </w:tcBorders>
            <w:noWrap/>
            <w:vAlign w:val="center"/>
          </w:tcPr>
          <w:p w14:paraId="75333C6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49A042A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429222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9113D0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55F8BE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D875D5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0D14711B"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3" w:type="pct"/>
            <w:tcBorders>
              <w:top w:val="nil"/>
              <w:bottom w:val="nil"/>
              <w:right w:val="single" w:sz="6" w:space="0" w:color="auto"/>
            </w:tcBorders>
            <w:noWrap/>
            <w:vAlign w:val="bottom"/>
          </w:tcPr>
          <w:p w14:paraId="6443C983" w14:textId="77777777" w:rsidR="008B6B35" w:rsidRPr="00B71F92" w:rsidRDefault="008B6B35" w:rsidP="00730932">
            <w:pPr>
              <w:spacing w:after="0" w:line="240" w:lineRule="auto"/>
              <w:jc w:val="right"/>
              <w:rPr>
                <w:rFonts w:eastAsia="Times New Roman"/>
                <w:sz w:val="18"/>
                <w:szCs w:val="18"/>
              </w:rPr>
            </w:pPr>
            <w:r w:rsidRPr="00B71F92">
              <w:rPr>
                <w:sz w:val="18"/>
                <w:szCs w:val="18"/>
              </w:rPr>
              <w:t>1.90</w:t>
            </w:r>
          </w:p>
        </w:tc>
        <w:tc>
          <w:tcPr>
            <w:tcW w:w="153" w:type="pct"/>
            <w:tcBorders>
              <w:top w:val="nil"/>
              <w:left w:val="single" w:sz="6" w:space="0" w:color="auto"/>
              <w:bottom w:val="nil"/>
            </w:tcBorders>
            <w:noWrap/>
            <w:vAlign w:val="center"/>
          </w:tcPr>
          <w:p w14:paraId="179682F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42B893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53CA98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534054A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5FC050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105A85A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7BC6783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7FF9FD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4A2DEE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74D424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9F5081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28445A2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6144924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1EAC28B3" w14:textId="77777777" w:rsidR="008B6B35" w:rsidRPr="00B71F92" w:rsidRDefault="008B6B35" w:rsidP="00730932">
            <w:pPr>
              <w:spacing w:after="0" w:line="240" w:lineRule="auto"/>
              <w:jc w:val="right"/>
              <w:rPr>
                <w:rFonts w:eastAsia="Times New Roman"/>
                <w:sz w:val="18"/>
                <w:szCs w:val="18"/>
              </w:rPr>
            </w:pPr>
          </w:p>
        </w:tc>
      </w:tr>
      <w:tr w:rsidR="008B6B35" w:rsidRPr="00B71F92" w14:paraId="06157917" w14:textId="77777777" w:rsidTr="002F5607">
        <w:trPr>
          <w:trHeight w:val="230"/>
          <w:jc w:val="center"/>
        </w:trPr>
        <w:tc>
          <w:tcPr>
            <w:tcW w:w="1221" w:type="pct"/>
            <w:tcBorders>
              <w:top w:val="nil"/>
              <w:bottom w:val="nil"/>
              <w:right w:val="single" w:sz="12" w:space="0" w:color="auto"/>
            </w:tcBorders>
            <w:noWrap/>
            <w:vAlign w:val="center"/>
            <w:hideMark/>
          </w:tcPr>
          <w:p w14:paraId="60CD9199" w14:textId="77777777" w:rsidR="008B6B35" w:rsidRPr="00B71F92" w:rsidRDefault="008B6B35" w:rsidP="00730932">
            <w:pPr>
              <w:spacing w:after="0" w:line="240" w:lineRule="auto"/>
              <w:rPr>
                <w:rFonts w:eastAsia="Times New Roman"/>
                <w:b/>
                <w:bCs/>
                <w:sz w:val="18"/>
                <w:szCs w:val="18"/>
              </w:rPr>
            </w:pPr>
            <w:r w:rsidRPr="00B71F92">
              <w:rPr>
                <w:rFonts w:eastAsia="Times New Roman"/>
                <w:b/>
                <w:bCs/>
                <w:sz w:val="18"/>
                <w:szCs w:val="18"/>
              </w:rPr>
              <w:t xml:space="preserve"> Number of Adults by Gender (2+adults)</w:t>
            </w:r>
          </w:p>
        </w:tc>
        <w:tc>
          <w:tcPr>
            <w:tcW w:w="171" w:type="pct"/>
            <w:tcBorders>
              <w:top w:val="nil"/>
              <w:left w:val="single" w:sz="12" w:space="0" w:color="auto"/>
              <w:bottom w:val="nil"/>
            </w:tcBorders>
            <w:noWrap/>
            <w:vAlign w:val="center"/>
            <w:hideMark/>
          </w:tcPr>
          <w:p w14:paraId="495780DC" w14:textId="77777777" w:rsidR="008B6B35" w:rsidRPr="00B71F92" w:rsidRDefault="008B6B35" w:rsidP="00730932">
            <w:pPr>
              <w:spacing w:after="0" w:line="240" w:lineRule="auto"/>
              <w:jc w:val="right"/>
              <w:rPr>
                <w:rFonts w:eastAsia="Times New Roman"/>
                <w:b/>
                <w:bCs/>
                <w:sz w:val="18"/>
                <w:szCs w:val="18"/>
              </w:rPr>
            </w:pPr>
          </w:p>
        </w:tc>
        <w:tc>
          <w:tcPr>
            <w:tcW w:w="155" w:type="pct"/>
            <w:tcBorders>
              <w:top w:val="nil"/>
              <w:bottom w:val="nil"/>
              <w:right w:val="single" w:sz="12" w:space="0" w:color="auto"/>
            </w:tcBorders>
            <w:noWrap/>
            <w:vAlign w:val="center"/>
            <w:hideMark/>
          </w:tcPr>
          <w:p w14:paraId="3CF74F7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76AF5B85" w14:textId="77777777" w:rsidR="008B6B35" w:rsidRPr="00B71F92" w:rsidRDefault="008B6B35" w:rsidP="00730932">
            <w:pPr>
              <w:spacing w:after="0" w:line="240" w:lineRule="auto"/>
              <w:jc w:val="right"/>
              <w:rPr>
                <w:rFonts w:eastAsia="Times New Roman"/>
                <w:sz w:val="18"/>
                <w:szCs w:val="18"/>
              </w:rPr>
            </w:pPr>
          </w:p>
        </w:tc>
        <w:tc>
          <w:tcPr>
            <w:tcW w:w="156" w:type="pct"/>
            <w:tcBorders>
              <w:top w:val="nil"/>
              <w:bottom w:val="nil"/>
              <w:right w:val="single" w:sz="6" w:space="0" w:color="auto"/>
            </w:tcBorders>
            <w:noWrap/>
            <w:vAlign w:val="center"/>
          </w:tcPr>
          <w:p w14:paraId="4056E35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05D764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7C8F2F3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C12943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0FCCCFF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F53AD6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082FD40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DE616A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6F0056D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B10633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bottom w:val="nil"/>
              <w:right w:val="single" w:sz="6" w:space="0" w:color="auto"/>
            </w:tcBorders>
            <w:noWrap/>
            <w:vAlign w:val="center"/>
          </w:tcPr>
          <w:p w14:paraId="3EBA875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4E749DC" w14:textId="77777777" w:rsidR="008B6B35" w:rsidRPr="00B71F92" w:rsidRDefault="008B6B35" w:rsidP="00730932">
            <w:pPr>
              <w:spacing w:after="0" w:line="240" w:lineRule="auto"/>
              <w:jc w:val="right"/>
              <w:rPr>
                <w:rFonts w:eastAsia="Times New Roman"/>
                <w:sz w:val="18"/>
                <w:szCs w:val="18"/>
              </w:rPr>
            </w:pPr>
          </w:p>
        </w:tc>
        <w:tc>
          <w:tcPr>
            <w:tcW w:w="186" w:type="pct"/>
            <w:tcBorders>
              <w:top w:val="nil"/>
              <w:bottom w:val="nil"/>
              <w:right w:val="single" w:sz="6" w:space="0" w:color="auto"/>
            </w:tcBorders>
            <w:noWrap/>
            <w:vAlign w:val="center"/>
          </w:tcPr>
          <w:p w14:paraId="08093F5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5CE90F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409D2B3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88F35F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5915466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03AADD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8" w:space="0" w:color="auto"/>
            </w:tcBorders>
            <w:noWrap/>
            <w:vAlign w:val="center"/>
          </w:tcPr>
          <w:p w14:paraId="062B00F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3AD00B79" w14:textId="77777777" w:rsidR="008B6B35" w:rsidRPr="00B71F92" w:rsidRDefault="008B6B35" w:rsidP="00730932">
            <w:pPr>
              <w:spacing w:after="0" w:line="240" w:lineRule="auto"/>
              <w:jc w:val="right"/>
              <w:rPr>
                <w:rFonts w:eastAsia="Times New Roman"/>
                <w:sz w:val="18"/>
                <w:szCs w:val="18"/>
              </w:rPr>
            </w:pPr>
          </w:p>
        </w:tc>
        <w:tc>
          <w:tcPr>
            <w:tcW w:w="206" w:type="pct"/>
            <w:tcBorders>
              <w:top w:val="nil"/>
              <w:bottom w:val="nil"/>
            </w:tcBorders>
            <w:vAlign w:val="center"/>
          </w:tcPr>
          <w:p w14:paraId="5A54E657" w14:textId="77777777" w:rsidR="008B6B35" w:rsidRPr="00B71F92" w:rsidRDefault="008B6B35" w:rsidP="00730932">
            <w:pPr>
              <w:spacing w:after="0" w:line="240" w:lineRule="auto"/>
              <w:jc w:val="right"/>
              <w:rPr>
                <w:rFonts w:eastAsia="Times New Roman"/>
                <w:sz w:val="18"/>
                <w:szCs w:val="18"/>
              </w:rPr>
            </w:pPr>
          </w:p>
        </w:tc>
      </w:tr>
      <w:tr w:rsidR="008B6B35" w:rsidRPr="00B71F92" w14:paraId="22DA6D94" w14:textId="77777777" w:rsidTr="002F5607">
        <w:trPr>
          <w:trHeight w:val="230"/>
          <w:jc w:val="center"/>
        </w:trPr>
        <w:tc>
          <w:tcPr>
            <w:tcW w:w="1221" w:type="pct"/>
            <w:tcBorders>
              <w:top w:val="nil"/>
              <w:bottom w:val="nil"/>
              <w:right w:val="single" w:sz="12" w:space="0" w:color="auto"/>
            </w:tcBorders>
            <w:noWrap/>
            <w:vAlign w:val="center"/>
            <w:hideMark/>
          </w:tcPr>
          <w:p w14:paraId="00D326E6"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Single male adult</w:t>
            </w:r>
          </w:p>
        </w:tc>
        <w:tc>
          <w:tcPr>
            <w:tcW w:w="171" w:type="pct"/>
            <w:tcBorders>
              <w:top w:val="nil"/>
              <w:left w:val="single" w:sz="12" w:space="0" w:color="auto"/>
              <w:bottom w:val="nil"/>
            </w:tcBorders>
            <w:noWrap/>
            <w:vAlign w:val="bottom"/>
            <w:hideMark/>
          </w:tcPr>
          <w:p w14:paraId="3F87FA3B" w14:textId="77777777" w:rsidR="008B6B35" w:rsidRPr="00B71F92" w:rsidRDefault="008B6B35" w:rsidP="00730932">
            <w:pPr>
              <w:spacing w:after="0" w:line="240" w:lineRule="auto"/>
              <w:jc w:val="right"/>
              <w:rPr>
                <w:rFonts w:eastAsia="Times New Roman"/>
                <w:sz w:val="18"/>
                <w:szCs w:val="18"/>
              </w:rPr>
            </w:pPr>
            <w:r w:rsidRPr="00B71F92">
              <w:rPr>
                <w:sz w:val="18"/>
                <w:szCs w:val="18"/>
              </w:rPr>
              <w:t>-0.14</w:t>
            </w:r>
          </w:p>
        </w:tc>
        <w:tc>
          <w:tcPr>
            <w:tcW w:w="155" w:type="pct"/>
            <w:tcBorders>
              <w:top w:val="nil"/>
              <w:bottom w:val="nil"/>
              <w:right w:val="single" w:sz="12" w:space="0" w:color="auto"/>
            </w:tcBorders>
            <w:noWrap/>
            <w:vAlign w:val="bottom"/>
            <w:hideMark/>
          </w:tcPr>
          <w:p w14:paraId="5E977782" w14:textId="77777777" w:rsidR="008B6B35" w:rsidRPr="00B71F92" w:rsidRDefault="008B6B35" w:rsidP="00730932">
            <w:pPr>
              <w:spacing w:after="0" w:line="240" w:lineRule="auto"/>
              <w:jc w:val="right"/>
              <w:rPr>
                <w:rFonts w:eastAsia="Times New Roman"/>
                <w:sz w:val="18"/>
                <w:szCs w:val="18"/>
              </w:rPr>
            </w:pPr>
            <w:r w:rsidRPr="00B71F92">
              <w:rPr>
                <w:sz w:val="18"/>
                <w:szCs w:val="18"/>
              </w:rPr>
              <w:t>-2.01</w:t>
            </w:r>
          </w:p>
        </w:tc>
        <w:tc>
          <w:tcPr>
            <w:tcW w:w="153" w:type="pct"/>
            <w:tcBorders>
              <w:top w:val="nil"/>
              <w:left w:val="single" w:sz="12" w:space="0" w:color="auto"/>
              <w:bottom w:val="nil"/>
            </w:tcBorders>
            <w:noWrap/>
            <w:vAlign w:val="center"/>
          </w:tcPr>
          <w:p w14:paraId="73D0A5D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2678283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6AAB957A" w14:textId="77777777" w:rsidR="008B6B35" w:rsidRPr="00B71F92" w:rsidRDefault="008B6B35" w:rsidP="00730932">
            <w:pPr>
              <w:spacing w:after="0" w:line="240" w:lineRule="auto"/>
              <w:jc w:val="right"/>
              <w:rPr>
                <w:rFonts w:eastAsia="Times New Roman"/>
                <w:sz w:val="18"/>
                <w:szCs w:val="18"/>
              </w:rPr>
            </w:pPr>
            <w:r w:rsidRPr="00B71F92">
              <w:rPr>
                <w:sz w:val="18"/>
                <w:szCs w:val="18"/>
              </w:rPr>
              <w:t>-0.16</w:t>
            </w:r>
          </w:p>
        </w:tc>
        <w:tc>
          <w:tcPr>
            <w:tcW w:w="153" w:type="pct"/>
            <w:tcBorders>
              <w:top w:val="nil"/>
              <w:bottom w:val="nil"/>
              <w:right w:val="single" w:sz="6" w:space="0" w:color="auto"/>
            </w:tcBorders>
            <w:noWrap/>
            <w:vAlign w:val="bottom"/>
          </w:tcPr>
          <w:p w14:paraId="53925ECF" w14:textId="77777777" w:rsidR="008B6B35" w:rsidRPr="00B71F92" w:rsidRDefault="008B6B35" w:rsidP="00730932">
            <w:pPr>
              <w:spacing w:after="0" w:line="240" w:lineRule="auto"/>
              <w:jc w:val="right"/>
              <w:rPr>
                <w:rFonts w:eastAsia="Times New Roman"/>
                <w:sz w:val="18"/>
                <w:szCs w:val="18"/>
              </w:rPr>
            </w:pPr>
            <w:r w:rsidRPr="00B71F92">
              <w:rPr>
                <w:sz w:val="18"/>
                <w:szCs w:val="18"/>
              </w:rPr>
              <w:t>-1.71</w:t>
            </w:r>
          </w:p>
        </w:tc>
        <w:tc>
          <w:tcPr>
            <w:tcW w:w="153" w:type="pct"/>
            <w:tcBorders>
              <w:top w:val="nil"/>
              <w:left w:val="single" w:sz="6" w:space="0" w:color="auto"/>
              <w:bottom w:val="nil"/>
            </w:tcBorders>
            <w:noWrap/>
            <w:vAlign w:val="center"/>
          </w:tcPr>
          <w:p w14:paraId="314BFDD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B562EB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444B2E39" w14:textId="77777777" w:rsidR="008B6B35" w:rsidRPr="00B71F92" w:rsidRDefault="008B6B35" w:rsidP="00730932">
            <w:pPr>
              <w:spacing w:after="0" w:line="240" w:lineRule="auto"/>
              <w:jc w:val="right"/>
              <w:rPr>
                <w:rFonts w:eastAsia="Times New Roman"/>
                <w:sz w:val="18"/>
                <w:szCs w:val="18"/>
              </w:rPr>
            </w:pPr>
            <w:r w:rsidRPr="00B71F92">
              <w:rPr>
                <w:sz w:val="18"/>
                <w:szCs w:val="18"/>
              </w:rPr>
              <w:t>-0.53</w:t>
            </w:r>
          </w:p>
        </w:tc>
        <w:tc>
          <w:tcPr>
            <w:tcW w:w="153" w:type="pct"/>
            <w:tcBorders>
              <w:top w:val="nil"/>
              <w:bottom w:val="nil"/>
              <w:right w:val="single" w:sz="6" w:space="0" w:color="auto"/>
            </w:tcBorders>
            <w:noWrap/>
            <w:vAlign w:val="bottom"/>
          </w:tcPr>
          <w:p w14:paraId="13391155" w14:textId="77777777" w:rsidR="008B6B35" w:rsidRPr="00B71F92" w:rsidRDefault="008B6B35" w:rsidP="00730932">
            <w:pPr>
              <w:spacing w:after="0" w:line="240" w:lineRule="auto"/>
              <w:jc w:val="right"/>
              <w:rPr>
                <w:rFonts w:eastAsia="Times New Roman"/>
                <w:sz w:val="18"/>
                <w:szCs w:val="18"/>
              </w:rPr>
            </w:pPr>
            <w:r w:rsidRPr="00B71F92">
              <w:rPr>
                <w:sz w:val="18"/>
                <w:szCs w:val="18"/>
              </w:rPr>
              <w:t>-5.25</w:t>
            </w:r>
          </w:p>
        </w:tc>
        <w:tc>
          <w:tcPr>
            <w:tcW w:w="153" w:type="pct"/>
            <w:tcBorders>
              <w:top w:val="nil"/>
              <w:left w:val="single" w:sz="6" w:space="0" w:color="auto"/>
              <w:bottom w:val="nil"/>
            </w:tcBorders>
            <w:noWrap/>
            <w:vAlign w:val="bottom"/>
          </w:tcPr>
          <w:p w14:paraId="0F5AAE71" w14:textId="77777777" w:rsidR="008B6B35" w:rsidRPr="00B71F92" w:rsidRDefault="008B6B35" w:rsidP="00730932">
            <w:pPr>
              <w:spacing w:after="0" w:line="240" w:lineRule="auto"/>
              <w:jc w:val="right"/>
              <w:rPr>
                <w:rFonts w:eastAsia="Times New Roman"/>
                <w:sz w:val="18"/>
                <w:szCs w:val="18"/>
              </w:rPr>
            </w:pPr>
            <w:r w:rsidRPr="00B71F92">
              <w:rPr>
                <w:sz w:val="18"/>
                <w:szCs w:val="18"/>
              </w:rPr>
              <w:t>0.49</w:t>
            </w:r>
          </w:p>
        </w:tc>
        <w:tc>
          <w:tcPr>
            <w:tcW w:w="153" w:type="pct"/>
            <w:tcBorders>
              <w:top w:val="nil"/>
              <w:bottom w:val="nil"/>
              <w:right w:val="single" w:sz="6" w:space="0" w:color="auto"/>
            </w:tcBorders>
            <w:noWrap/>
            <w:vAlign w:val="bottom"/>
          </w:tcPr>
          <w:p w14:paraId="24E2E03F" w14:textId="77777777" w:rsidR="008B6B35" w:rsidRPr="00B71F92" w:rsidRDefault="008B6B35" w:rsidP="00730932">
            <w:pPr>
              <w:spacing w:after="0" w:line="240" w:lineRule="auto"/>
              <w:jc w:val="right"/>
              <w:rPr>
                <w:rFonts w:eastAsia="Times New Roman"/>
                <w:sz w:val="18"/>
                <w:szCs w:val="18"/>
              </w:rPr>
            </w:pPr>
            <w:r w:rsidRPr="00B71F92">
              <w:rPr>
                <w:sz w:val="18"/>
                <w:szCs w:val="18"/>
              </w:rPr>
              <w:t>2.53</w:t>
            </w:r>
          </w:p>
        </w:tc>
        <w:tc>
          <w:tcPr>
            <w:tcW w:w="153" w:type="pct"/>
            <w:tcBorders>
              <w:top w:val="nil"/>
              <w:left w:val="single" w:sz="6" w:space="0" w:color="auto"/>
              <w:bottom w:val="nil"/>
            </w:tcBorders>
            <w:noWrap/>
            <w:vAlign w:val="center"/>
          </w:tcPr>
          <w:p w14:paraId="2EC1976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53D9D49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66BE331F"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86" w:type="pct"/>
            <w:tcBorders>
              <w:top w:val="nil"/>
              <w:bottom w:val="nil"/>
              <w:right w:val="single" w:sz="6" w:space="0" w:color="auto"/>
            </w:tcBorders>
            <w:noWrap/>
            <w:vAlign w:val="bottom"/>
          </w:tcPr>
          <w:p w14:paraId="29BC0CEC" w14:textId="77777777" w:rsidR="008B6B35" w:rsidRPr="00B71F92" w:rsidRDefault="008B6B35" w:rsidP="00730932">
            <w:pPr>
              <w:spacing w:after="0" w:line="240" w:lineRule="auto"/>
              <w:jc w:val="right"/>
              <w:rPr>
                <w:rFonts w:eastAsia="Times New Roman"/>
                <w:sz w:val="18"/>
                <w:szCs w:val="18"/>
              </w:rPr>
            </w:pPr>
            <w:r w:rsidRPr="00B71F92">
              <w:rPr>
                <w:sz w:val="18"/>
                <w:szCs w:val="18"/>
              </w:rPr>
              <w:t>-1.72</w:t>
            </w:r>
          </w:p>
        </w:tc>
        <w:tc>
          <w:tcPr>
            <w:tcW w:w="152" w:type="pct"/>
            <w:tcBorders>
              <w:top w:val="nil"/>
              <w:left w:val="single" w:sz="6" w:space="0" w:color="auto"/>
              <w:bottom w:val="nil"/>
            </w:tcBorders>
            <w:noWrap/>
            <w:vAlign w:val="center"/>
          </w:tcPr>
          <w:p w14:paraId="2E48795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D642D5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772C2C8F" w14:textId="77777777" w:rsidR="008B6B35" w:rsidRPr="00B71F92" w:rsidRDefault="008B6B35" w:rsidP="00730932">
            <w:pPr>
              <w:spacing w:after="0" w:line="240" w:lineRule="auto"/>
              <w:jc w:val="right"/>
              <w:rPr>
                <w:rFonts w:eastAsia="Times New Roman"/>
                <w:sz w:val="18"/>
                <w:szCs w:val="18"/>
              </w:rPr>
            </w:pPr>
            <w:r w:rsidRPr="00B71F92">
              <w:rPr>
                <w:sz w:val="18"/>
                <w:szCs w:val="18"/>
              </w:rPr>
              <w:t>0.42</w:t>
            </w:r>
          </w:p>
        </w:tc>
        <w:tc>
          <w:tcPr>
            <w:tcW w:w="153" w:type="pct"/>
            <w:tcBorders>
              <w:top w:val="nil"/>
              <w:bottom w:val="nil"/>
              <w:right w:val="single" w:sz="6" w:space="0" w:color="auto"/>
            </w:tcBorders>
            <w:noWrap/>
            <w:vAlign w:val="bottom"/>
          </w:tcPr>
          <w:p w14:paraId="74B64E80" w14:textId="77777777" w:rsidR="008B6B35" w:rsidRPr="00B71F92" w:rsidRDefault="008B6B35" w:rsidP="00730932">
            <w:pPr>
              <w:spacing w:after="0" w:line="240" w:lineRule="auto"/>
              <w:jc w:val="right"/>
              <w:rPr>
                <w:rFonts w:eastAsia="Times New Roman"/>
                <w:sz w:val="18"/>
                <w:szCs w:val="18"/>
              </w:rPr>
            </w:pPr>
            <w:r w:rsidRPr="00B71F92">
              <w:rPr>
                <w:sz w:val="18"/>
                <w:szCs w:val="18"/>
              </w:rPr>
              <w:t>2.19</w:t>
            </w:r>
          </w:p>
        </w:tc>
        <w:tc>
          <w:tcPr>
            <w:tcW w:w="153" w:type="pct"/>
            <w:tcBorders>
              <w:top w:val="nil"/>
              <w:left w:val="single" w:sz="6" w:space="0" w:color="auto"/>
              <w:bottom w:val="nil"/>
            </w:tcBorders>
            <w:noWrap/>
            <w:vAlign w:val="bottom"/>
          </w:tcPr>
          <w:p w14:paraId="10EE7BB7" w14:textId="77777777" w:rsidR="008B6B35" w:rsidRPr="00B71F92" w:rsidRDefault="008B6B35" w:rsidP="00730932">
            <w:pPr>
              <w:spacing w:after="0" w:line="240" w:lineRule="auto"/>
              <w:jc w:val="right"/>
              <w:rPr>
                <w:rFonts w:eastAsia="Times New Roman"/>
                <w:sz w:val="18"/>
                <w:szCs w:val="18"/>
              </w:rPr>
            </w:pPr>
            <w:r w:rsidRPr="00B71F92">
              <w:rPr>
                <w:sz w:val="18"/>
                <w:szCs w:val="18"/>
              </w:rPr>
              <w:t>0.20</w:t>
            </w:r>
          </w:p>
        </w:tc>
        <w:tc>
          <w:tcPr>
            <w:tcW w:w="153" w:type="pct"/>
            <w:tcBorders>
              <w:top w:val="nil"/>
              <w:bottom w:val="nil"/>
              <w:right w:val="single" w:sz="8" w:space="0" w:color="auto"/>
            </w:tcBorders>
            <w:noWrap/>
            <w:vAlign w:val="bottom"/>
          </w:tcPr>
          <w:p w14:paraId="280CCEA9" w14:textId="77777777" w:rsidR="008B6B35" w:rsidRPr="00B71F92" w:rsidRDefault="008B6B35" w:rsidP="00730932">
            <w:pPr>
              <w:spacing w:after="0" w:line="240" w:lineRule="auto"/>
              <w:jc w:val="right"/>
              <w:rPr>
                <w:rFonts w:eastAsia="Times New Roman"/>
                <w:sz w:val="18"/>
                <w:szCs w:val="18"/>
              </w:rPr>
            </w:pPr>
            <w:r w:rsidRPr="00B71F92">
              <w:rPr>
                <w:sz w:val="18"/>
                <w:szCs w:val="18"/>
              </w:rPr>
              <w:t>2.13</w:t>
            </w:r>
          </w:p>
        </w:tc>
        <w:tc>
          <w:tcPr>
            <w:tcW w:w="153" w:type="pct"/>
            <w:tcBorders>
              <w:top w:val="nil"/>
              <w:left w:val="single" w:sz="8" w:space="0" w:color="auto"/>
              <w:bottom w:val="nil"/>
            </w:tcBorders>
            <w:vAlign w:val="center"/>
          </w:tcPr>
          <w:p w14:paraId="0E60DF3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355F44AD" w14:textId="77777777" w:rsidR="008B6B35" w:rsidRPr="00B71F92" w:rsidRDefault="008B6B35" w:rsidP="00730932">
            <w:pPr>
              <w:spacing w:after="0" w:line="240" w:lineRule="auto"/>
              <w:jc w:val="right"/>
              <w:rPr>
                <w:rFonts w:eastAsia="Times New Roman"/>
                <w:sz w:val="18"/>
                <w:szCs w:val="18"/>
              </w:rPr>
            </w:pPr>
          </w:p>
        </w:tc>
      </w:tr>
      <w:tr w:rsidR="008B6B35" w:rsidRPr="00B71F92" w14:paraId="25B7439A" w14:textId="77777777" w:rsidTr="002F5607">
        <w:trPr>
          <w:trHeight w:val="230"/>
          <w:jc w:val="center"/>
        </w:trPr>
        <w:tc>
          <w:tcPr>
            <w:tcW w:w="1221" w:type="pct"/>
            <w:tcBorders>
              <w:top w:val="nil"/>
              <w:bottom w:val="nil"/>
              <w:right w:val="single" w:sz="12" w:space="0" w:color="auto"/>
            </w:tcBorders>
            <w:noWrap/>
            <w:vAlign w:val="center"/>
            <w:hideMark/>
          </w:tcPr>
          <w:p w14:paraId="30AA7A3E"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Single male adult* 2021 Shift</w:t>
            </w:r>
          </w:p>
        </w:tc>
        <w:tc>
          <w:tcPr>
            <w:tcW w:w="171" w:type="pct"/>
            <w:tcBorders>
              <w:top w:val="nil"/>
              <w:left w:val="single" w:sz="12" w:space="0" w:color="auto"/>
              <w:bottom w:val="nil"/>
            </w:tcBorders>
            <w:noWrap/>
            <w:vAlign w:val="bottom"/>
            <w:hideMark/>
          </w:tcPr>
          <w:p w14:paraId="17206E33"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5" w:type="pct"/>
            <w:tcBorders>
              <w:top w:val="nil"/>
              <w:bottom w:val="nil"/>
              <w:right w:val="single" w:sz="12" w:space="0" w:color="auto"/>
            </w:tcBorders>
            <w:noWrap/>
            <w:vAlign w:val="bottom"/>
            <w:hideMark/>
          </w:tcPr>
          <w:p w14:paraId="52304D8D" w14:textId="77777777" w:rsidR="008B6B35" w:rsidRPr="00B71F92" w:rsidRDefault="008B6B35" w:rsidP="00730932">
            <w:pPr>
              <w:spacing w:after="0" w:line="240" w:lineRule="auto"/>
              <w:jc w:val="right"/>
              <w:rPr>
                <w:rFonts w:eastAsia="Times New Roman"/>
                <w:sz w:val="18"/>
                <w:szCs w:val="18"/>
              </w:rPr>
            </w:pPr>
            <w:r w:rsidRPr="00B71F92">
              <w:rPr>
                <w:sz w:val="18"/>
                <w:szCs w:val="18"/>
              </w:rPr>
              <w:t>2.22</w:t>
            </w:r>
          </w:p>
        </w:tc>
        <w:tc>
          <w:tcPr>
            <w:tcW w:w="153" w:type="pct"/>
            <w:tcBorders>
              <w:top w:val="nil"/>
              <w:left w:val="single" w:sz="12" w:space="0" w:color="auto"/>
              <w:bottom w:val="nil"/>
            </w:tcBorders>
            <w:noWrap/>
            <w:vAlign w:val="center"/>
          </w:tcPr>
          <w:p w14:paraId="221C0ED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29710D5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118A86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A01584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0A5569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1F6D54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5613ED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EB4A3F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4301DBE5" w14:textId="77777777" w:rsidR="008B6B35" w:rsidRPr="00B71F92" w:rsidRDefault="008B6B35" w:rsidP="00730932">
            <w:pPr>
              <w:spacing w:after="0" w:line="240" w:lineRule="auto"/>
              <w:jc w:val="right"/>
              <w:rPr>
                <w:rFonts w:eastAsia="Times New Roman"/>
                <w:sz w:val="18"/>
                <w:szCs w:val="18"/>
              </w:rPr>
            </w:pPr>
            <w:r w:rsidRPr="00B71F92">
              <w:rPr>
                <w:sz w:val="18"/>
                <w:szCs w:val="18"/>
              </w:rPr>
              <w:t>-0.39</w:t>
            </w:r>
          </w:p>
        </w:tc>
        <w:tc>
          <w:tcPr>
            <w:tcW w:w="153" w:type="pct"/>
            <w:tcBorders>
              <w:top w:val="nil"/>
              <w:bottom w:val="nil"/>
              <w:right w:val="single" w:sz="6" w:space="0" w:color="auto"/>
            </w:tcBorders>
            <w:noWrap/>
            <w:vAlign w:val="bottom"/>
          </w:tcPr>
          <w:p w14:paraId="395DB263" w14:textId="77777777" w:rsidR="008B6B35" w:rsidRPr="00B71F92" w:rsidRDefault="008B6B35" w:rsidP="00730932">
            <w:pPr>
              <w:spacing w:after="0" w:line="240" w:lineRule="auto"/>
              <w:jc w:val="right"/>
              <w:rPr>
                <w:rFonts w:eastAsia="Times New Roman"/>
                <w:sz w:val="18"/>
                <w:szCs w:val="18"/>
              </w:rPr>
            </w:pPr>
            <w:r w:rsidRPr="00B71F92">
              <w:rPr>
                <w:sz w:val="18"/>
                <w:szCs w:val="18"/>
              </w:rPr>
              <w:t>-1.67</w:t>
            </w:r>
          </w:p>
        </w:tc>
        <w:tc>
          <w:tcPr>
            <w:tcW w:w="153" w:type="pct"/>
            <w:tcBorders>
              <w:top w:val="nil"/>
              <w:left w:val="single" w:sz="6" w:space="0" w:color="auto"/>
              <w:bottom w:val="nil"/>
            </w:tcBorders>
            <w:noWrap/>
            <w:vAlign w:val="center"/>
          </w:tcPr>
          <w:p w14:paraId="5A9163C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16AD544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2882914" w14:textId="77777777" w:rsidR="008B6B35" w:rsidRPr="00B71F92" w:rsidRDefault="008B6B35" w:rsidP="00730932">
            <w:pPr>
              <w:spacing w:after="0" w:line="240" w:lineRule="auto"/>
              <w:jc w:val="right"/>
              <w:rPr>
                <w:rFonts w:eastAsia="Times New Roman"/>
                <w:sz w:val="18"/>
                <w:szCs w:val="18"/>
              </w:rPr>
            </w:pPr>
            <w:r w:rsidRPr="00B71F92">
              <w:rPr>
                <w:sz w:val="18"/>
                <w:szCs w:val="18"/>
              </w:rPr>
              <w:t>0.29</w:t>
            </w:r>
          </w:p>
        </w:tc>
        <w:tc>
          <w:tcPr>
            <w:tcW w:w="186" w:type="pct"/>
            <w:tcBorders>
              <w:top w:val="nil"/>
              <w:bottom w:val="nil"/>
              <w:right w:val="single" w:sz="6" w:space="0" w:color="auto"/>
            </w:tcBorders>
            <w:noWrap/>
            <w:vAlign w:val="bottom"/>
          </w:tcPr>
          <w:p w14:paraId="0C9C9798"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nil"/>
              <w:left w:val="single" w:sz="6" w:space="0" w:color="auto"/>
              <w:bottom w:val="nil"/>
            </w:tcBorders>
            <w:noWrap/>
            <w:vAlign w:val="center"/>
          </w:tcPr>
          <w:p w14:paraId="6E7065F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904234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ECA01F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6BAD3F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861DBF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6D4109B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731DBF8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5748FA4D" w14:textId="77777777" w:rsidR="008B6B35" w:rsidRPr="00B71F92" w:rsidRDefault="008B6B35" w:rsidP="00730932">
            <w:pPr>
              <w:spacing w:after="0" w:line="240" w:lineRule="auto"/>
              <w:jc w:val="right"/>
              <w:rPr>
                <w:rFonts w:eastAsia="Times New Roman"/>
                <w:sz w:val="18"/>
                <w:szCs w:val="18"/>
              </w:rPr>
            </w:pPr>
          </w:p>
        </w:tc>
      </w:tr>
      <w:tr w:rsidR="008B6B35" w:rsidRPr="00B71F92" w14:paraId="38AD69A0" w14:textId="77777777" w:rsidTr="002F5607">
        <w:trPr>
          <w:trHeight w:val="230"/>
          <w:jc w:val="center"/>
        </w:trPr>
        <w:tc>
          <w:tcPr>
            <w:tcW w:w="1221" w:type="pct"/>
            <w:tcBorders>
              <w:top w:val="nil"/>
              <w:bottom w:val="nil"/>
              <w:right w:val="single" w:sz="12" w:space="0" w:color="auto"/>
            </w:tcBorders>
            <w:noWrap/>
            <w:vAlign w:val="center"/>
            <w:hideMark/>
          </w:tcPr>
          <w:p w14:paraId="02A92671"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Single male * 2023 Shift</w:t>
            </w:r>
          </w:p>
        </w:tc>
        <w:tc>
          <w:tcPr>
            <w:tcW w:w="171" w:type="pct"/>
            <w:tcBorders>
              <w:top w:val="nil"/>
              <w:left w:val="single" w:sz="12" w:space="0" w:color="auto"/>
              <w:bottom w:val="nil"/>
            </w:tcBorders>
            <w:noWrap/>
            <w:vAlign w:val="bottom"/>
            <w:hideMark/>
          </w:tcPr>
          <w:p w14:paraId="2E347912" w14:textId="77777777" w:rsidR="008B6B35" w:rsidRPr="00B71F92" w:rsidRDefault="008B6B35" w:rsidP="00730932">
            <w:pPr>
              <w:spacing w:after="0" w:line="240" w:lineRule="auto"/>
              <w:jc w:val="right"/>
              <w:rPr>
                <w:rFonts w:eastAsia="Times New Roman"/>
                <w:sz w:val="18"/>
                <w:szCs w:val="18"/>
              </w:rPr>
            </w:pPr>
            <w:r w:rsidRPr="00B71F92">
              <w:rPr>
                <w:sz w:val="18"/>
                <w:szCs w:val="18"/>
              </w:rPr>
              <w:t>-0.19</w:t>
            </w:r>
          </w:p>
        </w:tc>
        <w:tc>
          <w:tcPr>
            <w:tcW w:w="155" w:type="pct"/>
            <w:tcBorders>
              <w:top w:val="nil"/>
              <w:bottom w:val="nil"/>
              <w:right w:val="single" w:sz="12" w:space="0" w:color="auto"/>
            </w:tcBorders>
            <w:noWrap/>
            <w:vAlign w:val="bottom"/>
            <w:hideMark/>
          </w:tcPr>
          <w:p w14:paraId="2E156DFA" w14:textId="77777777" w:rsidR="008B6B35" w:rsidRPr="00B71F92" w:rsidRDefault="008B6B35" w:rsidP="00730932">
            <w:pPr>
              <w:spacing w:after="0" w:line="240" w:lineRule="auto"/>
              <w:jc w:val="right"/>
              <w:rPr>
                <w:rFonts w:eastAsia="Times New Roman"/>
                <w:sz w:val="18"/>
                <w:szCs w:val="18"/>
              </w:rPr>
            </w:pPr>
            <w:r w:rsidRPr="00B71F92">
              <w:rPr>
                <w:sz w:val="18"/>
                <w:szCs w:val="18"/>
              </w:rPr>
              <w:t>-1.66</w:t>
            </w:r>
          </w:p>
        </w:tc>
        <w:tc>
          <w:tcPr>
            <w:tcW w:w="153" w:type="pct"/>
            <w:tcBorders>
              <w:top w:val="nil"/>
              <w:left w:val="single" w:sz="12" w:space="0" w:color="auto"/>
              <w:bottom w:val="nil"/>
            </w:tcBorders>
            <w:noWrap/>
            <w:vAlign w:val="center"/>
          </w:tcPr>
          <w:p w14:paraId="0728D06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43D015A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0DB626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B5B3F9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6A28D5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5144EF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72735B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643DC2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462CDD8"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vAlign w:val="bottom"/>
          </w:tcPr>
          <w:p w14:paraId="2D7F97FC" w14:textId="77777777" w:rsidR="008B6B35" w:rsidRPr="00B71F92" w:rsidRDefault="008B6B35" w:rsidP="00730932">
            <w:pPr>
              <w:spacing w:after="0" w:line="240" w:lineRule="auto"/>
              <w:jc w:val="right"/>
              <w:rPr>
                <w:rFonts w:eastAsia="Times New Roman"/>
                <w:sz w:val="18"/>
                <w:szCs w:val="18"/>
              </w:rPr>
            </w:pPr>
            <w:r w:rsidRPr="00B71F92">
              <w:rPr>
                <w:sz w:val="18"/>
                <w:szCs w:val="18"/>
              </w:rPr>
              <w:t>1.72</w:t>
            </w:r>
          </w:p>
        </w:tc>
        <w:tc>
          <w:tcPr>
            <w:tcW w:w="153" w:type="pct"/>
            <w:tcBorders>
              <w:top w:val="nil"/>
              <w:left w:val="single" w:sz="6" w:space="0" w:color="auto"/>
              <w:bottom w:val="nil"/>
            </w:tcBorders>
            <w:noWrap/>
            <w:vAlign w:val="center"/>
          </w:tcPr>
          <w:p w14:paraId="12F6611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10F747D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98C859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1EEE7E7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E76C8D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E03B49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F3533C5"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53" w:type="pct"/>
            <w:tcBorders>
              <w:top w:val="nil"/>
              <w:bottom w:val="nil"/>
              <w:right w:val="single" w:sz="6" w:space="0" w:color="auto"/>
            </w:tcBorders>
            <w:noWrap/>
            <w:vAlign w:val="bottom"/>
          </w:tcPr>
          <w:p w14:paraId="570FD7B8" w14:textId="77777777" w:rsidR="008B6B35" w:rsidRPr="00B71F92" w:rsidRDefault="008B6B35" w:rsidP="00730932">
            <w:pPr>
              <w:spacing w:after="0" w:line="240" w:lineRule="auto"/>
              <w:jc w:val="right"/>
              <w:rPr>
                <w:rFonts w:eastAsia="Times New Roman"/>
                <w:sz w:val="18"/>
                <w:szCs w:val="18"/>
              </w:rPr>
            </w:pPr>
            <w:r w:rsidRPr="00B71F92">
              <w:rPr>
                <w:sz w:val="18"/>
                <w:szCs w:val="18"/>
              </w:rPr>
              <w:t>-1.94</w:t>
            </w:r>
          </w:p>
        </w:tc>
        <w:tc>
          <w:tcPr>
            <w:tcW w:w="153" w:type="pct"/>
            <w:tcBorders>
              <w:top w:val="nil"/>
              <w:left w:val="single" w:sz="6" w:space="0" w:color="auto"/>
              <w:bottom w:val="nil"/>
            </w:tcBorders>
            <w:noWrap/>
            <w:vAlign w:val="center"/>
          </w:tcPr>
          <w:p w14:paraId="15D38EC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701A29F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36C893E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47DE5D48" w14:textId="77777777" w:rsidR="008B6B35" w:rsidRPr="00B71F92" w:rsidRDefault="008B6B35" w:rsidP="00730932">
            <w:pPr>
              <w:spacing w:after="0" w:line="240" w:lineRule="auto"/>
              <w:jc w:val="right"/>
              <w:rPr>
                <w:rFonts w:eastAsia="Times New Roman"/>
                <w:sz w:val="18"/>
                <w:szCs w:val="18"/>
              </w:rPr>
            </w:pPr>
          </w:p>
        </w:tc>
      </w:tr>
      <w:tr w:rsidR="008B6B35" w:rsidRPr="00B71F92" w14:paraId="2DA50863" w14:textId="77777777" w:rsidTr="002F5607">
        <w:trPr>
          <w:trHeight w:val="230"/>
          <w:jc w:val="center"/>
        </w:trPr>
        <w:tc>
          <w:tcPr>
            <w:tcW w:w="1221" w:type="pct"/>
            <w:tcBorders>
              <w:top w:val="nil"/>
              <w:bottom w:val="nil"/>
              <w:right w:val="single" w:sz="12" w:space="0" w:color="auto"/>
            </w:tcBorders>
            <w:noWrap/>
            <w:vAlign w:val="center"/>
            <w:hideMark/>
          </w:tcPr>
          <w:p w14:paraId="6FB9EA20"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Single female adult</w:t>
            </w:r>
          </w:p>
        </w:tc>
        <w:tc>
          <w:tcPr>
            <w:tcW w:w="171" w:type="pct"/>
            <w:tcBorders>
              <w:top w:val="nil"/>
              <w:left w:val="single" w:sz="12" w:space="0" w:color="auto"/>
              <w:bottom w:val="nil"/>
            </w:tcBorders>
            <w:noWrap/>
            <w:vAlign w:val="bottom"/>
            <w:hideMark/>
          </w:tcPr>
          <w:p w14:paraId="4A57C702" w14:textId="77777777" w:rsidR="008B6B35" w:rsidRPr="00B71F92" w:rsidRDefault="008B6B35" w:rsidP="00730932">
            <w:pPr>
              <w:spacing w:after="0" w:line="240" w:lineRule="auto"/>
              <w:jc w:val="right"/>
              <w:rPr>
                <w:rFonts w:eastAsia="Times New Roman"/>
                <w:sz w:val="18"/>
                <w:szCs w:val="18"/>
              </w:rPr>
            </w:pPr>
            <w:r w:rsidRPr="00B71F92">
              <w:rPr>
                <w:sz w:val="18"/>
                <w:szCs w:val="18"/>
              </w:rPr>
              <w:t>0.11</w:t>
            </w:r>
          </w:p>
        </w:tc>
        <w:tc>
          <w:tcPr>
            <w:tcW w:w="155" w:type="pct"/>
            <w:tcBorders>
              <w:top w:val="nil"/>
              <w:bottom w:val="nil"/>
              <w:right w:val="single" w:sz="12" w:space="0" w:color="auto"/>
            </w:tcBorders>
            <w:noWrap/>
            <w:vAlign w:val="bottom"/>
            <w:hideMark/>
          </w:tcPr>
          <w:p w14:paraId="247A7B75" w14:textId="77777777" w:rsidR="008B6B35" w:rsidRPr="00B71F92" w:rsidRDefault="008B6B35" w:rsidP="00730932">
            <w:pPr>
              <w:spacing w:after="0" w:line="240" w:lineRule="auto"/>
              <w:jc w:val="right"/>
              <w:rPr>
                <w:rFonts w:eastAsia="Times New Roman"/>
                <w:sz w:val="18"/>
                <w:szCs w:val="18"/>
              </w:rPr>
            </w:pPr>
            <w:r w:rsidRPr="00B71F92">
              <w:rPr>
                <w:sz w:val="18"/>
                <w:szCs w:val="18"/>
              </w:rPr>
              <w:t>2.32</w:t>
            </w:r>
          </w:p>
        </w:tc>
        <w:tc>
          <w:tcPr>
            <w:tcW w:w="153" w:type="pct"/>
            <w:tcBorders>
              <w:top w:val="nil"/>
              <w:left w:val="single" w:sz="12" w:space="0" w:color="auto"/>
              <w:bottom w:val="nil"/>
            </w:tcBorders>
            <w:noWrap/>
            <w:vAlign w:val="center"/>
          </w:tcPr>
          <w:p w14:paraId="09DF084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4C4D5E4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4F271632"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3" w:type="pct"/>
            <w:tcBorders>
              <w:top w:val="nil"/>
              <w:bottom w:val="nil"/>
              <w:right w:val="single" w:sz="6" w:space="0" w:color="auto"/>
            </w:tcBorders>
            <w:noWrap/>
            <w:vAlign w:val="bottom"/>
          </w:tcPr>
          <w:p w14:paraId="298B69C9" w14:textId="77777777" w:rsidR="008B6B35" w:rsidRPr="00B71F92" w:rsidRDefault="008B6B35" w:rsidP="00730932">
            <w:pPr>
              <w:spacing w:after="0" w:line="240" w:lineRule="auto"/>
              <w:jc w:val="right"/>
              <w:rPr>
                <w:rFonts w:eastAsia="Times New Roman"/>
                <w:sz w:val="18"/>
                <w:szCs w:val="18"/>
              </w:rPr>
            </w:pPr>
            <w:r w:rsidRPr="00B71F92">
              <w:rPr>
                <w:sz w:val="18"/>
                <w:szCs w:val="18"/>
              </w:rPr>
              <w:t>-2.44</w:t>
            </w:r>
          </w:p>
        </w:tc>
        <w:tc>
          <w:tcPr>
            <w:tcW w:w="153" w:type="pct"/>
            <w:tcBorders>
              <w:top w:val="nil"/>
              <w:left w:val="single" w:sz="6" w:space="0" w:color="auto"/>
              <w:bottom w:val="nil"/>
            </w:tcBorders>
            <w:noWrap/>
            <w:vAlign w:val="center"/>
          </w:tcPr>
          <w:p w14:paraId="646613E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B1603C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569C6726" w14:textId="77777777" w:rsidR="008B6B35" w:rsidRPr="00B71F92" w:rsidRDefault="008B6B35" w:rsidP="00730932">
            <w:pPr>
              <w:spacing w:after="0" w:line="240" w:lineRule="auto"/>
              <w:jc w:val="right"/>
              <w:rPr>
                <w:rFonts w:eastAsia="Times New Roman"/>
                <w:sz w:val="18"/>
                <w:szCs w:val="18"/>
              </w:rPr>
            </w:pPr>
            <w:r w:rsidRPr="00B71F92">
              <w:rPr>
                <w:sz w:val="18"/>
                <w:szCs w:val="18"/>
              </w:rPr>
              <w:t>-0.39</w:t>
            </w:r>
          </w:p>
        </w:tc>
        <w:tc>
          <w:tcPr>
            <w:tcW w:w="153" w:type="pct"/>
            <w:tcBorders>
              <w:top w:val="nil"/>
              <w:bottom w:val="nil"/>
              <w:right w:val="single" w:sz="6" w:space="0" w:color="auto"/>
            </w:tcBorders>
            <w:noWrap/>
            <w:vAlign w:val="bottom"/>
          </w:tcPr>
          <w:p w14:paraId="492E05EE" w14:textId="77777777" w:rsidR="008B6B35" w:rsidRPr="00B71F92" w:rsidRDefault="008B6B35" w:rsidP="00730932">
            <w:pPr>
              <w:spacing w:after="0" w:line="240" w:lineRule="auto"/>
              <w:jc w:val="right"/>
              <w:rPr>
                <w:rFonts w:eastAsia="Times New Roman"/>
                <w:sz w:val="18"/>
                <w:szCs w:val="18"/>
              </w:rPr>
            </w:pPr>
            <w:r w:rsidRPr="00B71F92">
              <w:rPr>
                <w:sz w:val="18"/>
                <w:szCs w:val="18"/>
              </w:rPr>
              <w:t>-4.15</w:t>
            </w:r>
          </w:p>
        </w:tc>
        <w:tc>
          <w:tcPr>
            <w:tcW w:w="153" w:type="pct"/>
            <w:tcBorders>
              <w:top w:val="nil"/>
              <w:left w:val="single" w:sz="6" w:space="0" w:color="auto"/>
              <w:bottom w:val="nil"/>
            </w:tcBorders>
            <w:noWrap/>
            <w:vAlign w:val="center"/>
          </w:tcPr>
          <w:p w14:paraId="05A64F3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83A671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392DE3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4462ADA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8ADC8A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5DF84DD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19D0204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07238F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8FFAC3B"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vAlign w:val="bottom"/>
          </w:tcPr>
          <w:p w14:paraId="237F00C4" w14:textId="77777777" w:rsidR="008B6B35" w:rsidRPr="00B71F92" w:rsidRDefault="008B6B35" w:rsidP="00730932">
            <w:pPr>
              <w:spacing w:after="0" w:line="240" w:lineRule="auto"/>
              <w:jc w:val="right"/>
              <w:rPr>
                <w:rFonts w:eastAsia="Times New Roman"/>
                <w:sz w:val="18"/>
                <w:szCs w:val="18"/>
              </w:rPr>
            </w:pPr>
            <w:r w:rsidRPr="00B71F92">
              <w:rPr>
                <w:sz w:val="18"/>
                <w:szCs w:val="18"/>
              </w:rPr>
              <w:t>1.87</w:t>
            </w:r>
          </w:p>
        </w:tc>
        <w:tc>
          <w:tcPr>
            <w:tcW w:w="153" w:type="pct"/>
            <w:tcBorders>
              <w:top w:val="nil"/>
              <w:left w:val="single" w:sz="6" w:space="0" w:color="auto"/>
              <w:bottom w:val="nil"/>
            </w:tcBorders>
            <w:noWrap/>
            <w:vAlign w:val="bottom"/>
          </w:tcPr>
          <w:p w14:paraId="5A4D34EB" w14:textId="77777777" w:rsidR="008B6B35" w:rsidRPr="00B71F92" w:rsidRDefault="008B6B35" w:rsidP="00730932">
            <w:pPr>
              <w:spacing w:after="0" w:line="240" w:lineRule="auto"/>
              <w:jc w:val="right"/>
              <w:rPr>
                <w:rFonts w:eastAsia="Times New Roman"/>
                <w:sz w:val="18"/>
                <w:szCs w:val="18"/>
              </w:rPr>
            </w:pPr>
            <w:r w:rsidRPr="00B71F92">
              <w:rPr>
                <w:sz w:val="18"/>
                <w:szCs w:val="18"/>
              </w:rPr>
              <w:t>0.25</w:t>
            </w:r>
          </w:p>
        </w:tc>
        <w:tc>
          <w:tcPr>
            <w:tcW w:w="153" w:type="pct"/>
            <w:tcBorders>
              <w:top w:val="nil"/>
              <w:bottom w:val="nil"/>
              <w:right w:val="single" w:sz="8" w:space="0" w:color="auto"/>
            </w:tcBorders>
            <w:noWrap/>
            <w:vAlign w:val="bottom"/>
          </w:tcPr>
          <w:p w14:paraId="5EF413C7" w14:textId="77777777" w:rsidR="008B6B35" w:rsidRPr="00B71F92" w:rsidRDefault="008B6B35" w:rsidP="00730932">
            <w:pPr>
              <w:spacing w:after="0" w:line="240" w:lineRule="auto"/>
              <w:jc w:val="right"/>
              <w:rPr>
                <w:rFonts w:eastAsia="Times New Roman"/>
                <w:sz w:val="18"/>
                <w:szCs w:val="18"/>
              </w:rPr>
            </w:pPr>
            <w:r w:rsidRPr="00B71F92">
              <w:rPr>
                <w:sz w:val="18"/>
                <w:szCs w:val="18"/>
              </w:rPr>
              <w:t>1.91</w:t>
            </w:r>
          </w:p>
        </w:tc>
        <w:tc>
          <w:tcPr>
            <w:tcW w:w="153" w:type="pct"/>
            <w:tcBorders>
              <w:top w:val="nil"/>
              <w:left w:val="single" w:sz="8" w:space="0" w:color="auto"/>
              <w:bottom w:val="nil"/>
            </w:tcBorders>
            <w:vAlign w:val="center"/>
          </w:tcPr>
          <w:p w14:paraId="54A7B58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40EBB5AA" w14:textId="77777777" w:rsidR="008B6B35" w:rsidRPr="00B71F92" w:rsidRDefault="008B6B35" w:rsidP="00730932">
            <w:pPr>
              <w:spacing w:after="0" w:line="240" w:lineRule="auto"/>
              <w:jc w:val="right"/>
              <w:rPr>
                <w:rFonts w:eastAsia="Times New Roman"/>
                <w:sz w:val="18"/>
                <w:szCs w:val="18"/>
              </w:rPr>
            </w:pPr>
          </w:p>
        </w:tc>
      </w:tr>
      <w:tr w:rsidR="008B6B35" w:rsidRPr="00B71F92" w14:paraId="29538461" w14:textId="77777777" w:rsidTr="002F5607">
        <w:trPr>
          <w:trHeight w:val="230"/>
          <w:jc w:val="center"/>
        </w:trPr>
        <w:tc>
          <w:tcPr>
            <w:tcW w:w="1221" w:type="pct"/>
            <w:tcBorders>
              <w:top w:val="nil"/>
              <w:bottom w:val="nil"/>
              <w:right w:val="single" w:sz="12" w:space="0" w:color="auto"/>
            </w:tcBorders>
            <w:noWrap/>
            <w:vAlign w:val="center"/>
            <w:hideMark/>
          </w:tcPr>
          <w:p w14:paraId="2F3F7856"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Single female adult * 2021 Shift</w:t>
            </w:r>
          </w:p>
        </w:tc>
        <w:tc>
          <w:tcPr>
            <w:tcW w:w="171" w:type="pct"/>
            <w:tcBorders>
              <w:top w:val="nil"/>
              <w:left w:val="single" w:sz="12" w:space="0" w:color="auto"/>
              <w:bottom w:val="nil"/>
            </w:tcBorders>
            <w:noWrap/>
            <w:vAlign w:val="center"/>
            <w:hideMark/>
          </w:tcPr>
          <w:p w14:paraId="30F841D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12" w:space="0" w:color="auto"/>
            </w:tcBorders>
            <w:noWrap/>
            <w:vAlign w:val="center"/>
            <w:hideMark/>
          </w:tcPr>
          <w:p w14:paraId="3F02198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4E9A8D7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1A31C8E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2F5020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C5AFA7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9487F9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D5420E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F7E68E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F8B9CE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A10367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B05810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D343D5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282305B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629FB4D1"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86" w:type="pct"/>
            <w:tcBorders>
              <w:top w:val="nil"/>
              <w:bottom w:val="nil"/>
              <w:right w:val="single" w:sz="6" w:space="0" w:color="auto"/>
            </w:tcBorders>
            <w:noWrap/>
            <w:vAlign w:val="bottom"/>
          </w:tcPr>
          <w:p w14:paraId="23E8A69F" w14:textId="77777777" w:rsidR="008B6B35" w:rsidRPr="00B71F92" w:rsidRDefault="008B6B35" w:rsidP="00730932">
            <w:pPr>
              <w:spacing w:after="0" w:line="240" w:lineRule="auto"/>
              <w:jc w:val="right"/>
              <w:rPr>
                <w:rFonts w:eastAsia="Times New Roman"/>
                <w:sz w:val="18"/>
                <w:szCs w:val="18"/>
              </w:rPr>
            </w:pPr>
            <w:r w:rsidRPr="00B71F92">
              <w:rPr>
                <w:sz w:val="18"/>
                <w:szCs w:val="18"/>
              </w:rPr>
              <w:t>1.67</w:t>
            </w:r>
          </w:p>
        </w:tc>
        <w:tc>
          <w:tcPr>
            <w:tcW w:w="152" w:type="pct"/>
            <w:tcBorders>
              <w:top w:val="nil"/>
              <w:left w:val="single" w:sz="6" w:space="0" w:color="auto"/>
              <w:bottom w:val="nil"/>
            </w:tcBorders>
            <w:noWrap/>
            <w:vAlign w:val="center"/>
          </w:tcPr>
          <w:p w14:paraId="2F4CDC6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2B14A6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680B84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32A214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24AB3E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26E5417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440E7A0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7A6C5706" w14:textId="77777777" w:rsidR="008B6B35" w:rsidRPr="00B71F92" w:rsidRDefault="008B6B35" w:rsidP="00730932">
            <w:pPr>
              <w:spacing w:after="0" w:line="240" w:lineRule="auto"/>
              <w:jc w:val="right"/>
              <w:rPr>
                <w:rFonts w:eastAsia="Times New Roman"/>
                <w:sz w:val="18"/>
                <w:szCs w:val="18"/>
              </w:rPr>
            </w:pPr>
          </w:p>
        </w:tc>
      </w:tr>
      <w:tr w:rsidR="008B6B35" w:rsidRPr="00B71F92" w14:paraId="2AC8C59E" w14:textId="77777777" w:rsidTr="002F5607">
        <w:trPr>
          <w:trHeight w:val="230"/>
          <w:jc w:val="center"/>
        </w:trPr>
        <w:tc>
          <w:tcPr>
            <w:tcW w:w="1221" w:type="pct"/>
            <w:tcBorders>
              <w:top w:val="nil"/>
              <w:bottom w:val="nil"/>
              <w:right w:val="single" w:sz="12" w:space="0" w:color="auto"/>
            </w:tcBorders>
            <w:noWrap/>
            <w:vAlign w:val="center"/>
            <w:hideMark/>
          </w:tcPr>
          <w:p w14:paraId="040A592E"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Single female adult * 2023 Shift</w:t>
            </w:r>
          </w:p>
        </w:tc>
        <w:tc>
          <w:tcPr>
            <w:tcW w:w="171" w:type="pct"/>
            <w:tcBorders>
              <w:top w:val="nil"/>
              <w:left w:val="single" w:sz="12" w:space="0" w:color="auto"/>
              <w:bottom w:val="nil"/>
            </w:tcBorders>
            <w:noWrap/>
            <w:vAlign w:val="center"/>
            <w:hideMark/>
          </w:tcPr>
          <w:p w14:paraId="1C0BE85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12" w:space="0" w:color="auto"/>
            </w:tcBorders>
            <w:noWrap/>
            <w:vAlign w:val="center"/>
            <w:hideMark/>
          </w:tcPr>
          <w:p w14:paraId="0FDC448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103D54A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1BE6005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1A893E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B3ECD8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35F67E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E218A5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7C516C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F06BA3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0228A2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819C5A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FC0F50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288416E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E70942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6FEFB6D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A47264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6957F6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6046C440" w14:textId="77777777" w:rsidR="008B6B35" w:rsidRPr="00B71F92" w:rsidRDefault="008B6B35" w:rsidP="00730932">
            <w:pPr>
              <w:spacing w:after="0" w:line="240" w:lineRule="auto"/>
              <w:jc w:val="right"/>
              <w:rPr>
                <w:rFonts w:eastAsia="Times New Roman"/>
                <w:sz w:val="18"/>
                <w:szCs w:val="18"/>
              </w:rPr>
            </w:pPr>
            <w:r w:rsidRPr="00B71F92">
              <w:rPr>
                <w:sz w:val="18"/>
                <w:szCs w:val="18"/>
              </w:rPr>
              <w:t>-0.23</w:t>
            </w:r>
          </w:p>
        </w:tc>
        <w:tc>
          <w:tcPr>
            <w:tcW w:w="153" w:type="pct"/>
            <w:tcBorders>
              <w:top w:val="nil"/>
              <w:bottom w:val="nil"/>
              <w:right w:val="single" w:sz="6" w:space="0" w:color="auto"/>
            </w:tcBorders>
            <w:noWrap/>
            <w:vAlign w:val="bottom"/>
          </w:tcPr>
          <w:p w14:paraId="15E3C011" w14:textId="77777777" w:rsidR="008B6B35" w:rsidRPr="00B71F92" w:rsidRDefault="008B6B35" w:rsidP="00730932">
            <w:pPr>
              <w:spacing w:after="0" w:line="240" w:lineRule="auto"/>
              <w:jc w:val="right"/>
              <w:rPr>
                <w:rFonts w:eastAsia="Times New Roman"/>
                <w:sz w:val="18"/>
                <w:szCs w:val="18"/>
              </w:rPr>
            </w:pPr>
            <w:r w:rsidRPr="00B71F92">
              <w:rPr>
                <w:sz w:val="18"/>
                <w:szCs w:val="18"/>
              </w:rPr>
              <w:t>-1.67</w:t>
            </w:r>
          </w:p>
        </w:tc>
        <w:tc>
          <w:tcPr>
            <w:tcW w:w="153" w:type="pct"/>
            <w:tcBorders>
              <w:top w:val="nil"/>
              <w:left w:val="single" w:sz="6" w:space="0" w:color="auto"/>
              <w:bottom w:val="nil"/>
            </w:tcBorders>
            <w:noWrap/>
            <w:vAlign w:val="center"/>
          </w:tcPr>
          <w:p w14:paraId="5D4C067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48A10F9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65DF360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3F293450" w14:textId="77777777" w:rsidR="008B6B35" w:rsidRPr="00B71F92" w:rsidRDefault="008B6B35" w:rsidP="00730932">
            <w:pPr>
              <w:spacing w:after="0" w:line="240" w:lineRule="auto"/>
              <w:jc w:val="right"/>
              <w:rPr>
                <w:rFonts w:eastAsia="Times New Roman"/>
                <w:sz w:val="18"/>
                <w:szCs w:val="18"/>
              </w:rPr>
            </w:pPr>
          </w:p>
        </w:tc>
      </w:tr>
      <w:tr w:rsidR="008B6B35" w:rsidRPr="00B71F92" w14:paraId="3F805645" w14:textId="77777777" w:rsidTr="002F5607">
        <w:trPr>
          <w:trHeight w:val="230"/>
          <w:jc w:val="center"/>
        </w:trPr>
        <w:tc>
          <w:tcPr>
            <w:tcW w:w="1221" w:type="pct"/>
            <w:tcBorders>
              <w:top w:val="nil"/>
              <w:bottom w:val="nil"/>
              <w:right w:val="single" w:sz="12" w:space="0" w:color="auto"/>
            </w:tcBorders>
            <w:noWrap/>
            <w:vAlign w:val="center"/>
            <w:hideMark/>
          </w:tcPr>
          <w:p w14:paraId="73520F18" w14:textId="77777777" w:rsidR="008B6B35" w:rsidRPr="00B71F92" w:rsidRDefault="008B6B35" w:rsidP="00730932">
            <w:pPr>
              <w:spacing w:after="0" w:line="240" w:lineRule="auto"/>
              <w:rPr>
                <w:rFonts w:eastAsia="Times New Roman"/>
                <w:b/>
                <w:bCs/>
                <w:sz w:val="18"/>
                <w:szCs w:val="18"/>
              </w:rPr>
            </w:pPr>
            <w:r w:rsidRPr="00B71F92">
              <w:rPr>
                <w:rFonts w:eastAsia="Times New Roman"/>
                <w:b/>
                <w:bCs/>
                <w:sz w:val="18"/>
                <w:szCs w:val="18"/>
              </w:rPr>
              <w:t>Presence of Children (No children)</w:t>
            </w:r>
          </w:p>
        </w:tc>
        <w:tc>
          <w:tcPr>
            <w:tcW w:w="171" w:type="pct"/>
            <w:tcBorders>
              <w:top w:val="nil"/>
              <w:left w:val="single" w:sz="12" w:space="0" w:color="auto"/>
              <w:bottom w:val="nil"/>
            </w:tcBorders>
            <w:noWrap/>
            <w:vAlign w:val="center"/>
            <w:hideMark/>
          </w:tcPr>
          <w:p w14:paraId="2E19FD9C" w14:textId="77777777" w:rsidR="008B6B35" w:rsidRPr="00B71F92" w:rsidRDefault="008B6B35" w:rsidP="00730932">
            <w:pPr>
              <w:spacing w:after="0" w:line="240" w:lineRule="auto"/>
              <w:jc w:val="right"/>
              <w:rPr>
                <w:rFonts w:eastAsia="Times New Roman"/>
                <w:b/>
                <w:bCs/>
                <w:sz w:val="18"/>
                <w:szCs w:val="18"/>
              </w:rPr>
            </w:pPr>
          </w:p>
        </w:tc>
        <w:tc>
          <w:tcPr>
            <w:tcW w:w="155" w:type="pct"/>
            <w:tcBorders>
              <w:top w:val="nil"/>
              <w:bottom w:val="nil"/>
              <w:right w:val="single" w:sz="12" w:space="0" w:color="auto"/>
            </w:tcBorders>
            <w:noWrap/>
            <w:vAlign w:val="center"/>
            <w:hideMark/>
          </w:tcPr>
          <w:p w14:paraId="3623271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7DA0240D" w14:textId="77777777" w:rsidR="008B6B35" w:rsidRPr="00B71F92" w:rsidRDefault="008B6B35" w:rsidP="00730932">
            <w:pPr>
              <w:spacing w:after="0" w:line="240" w:lineRule="auto"/>
              <w:jc w:val="right"/>
              <w:rPr>
                <w:rFonts w:eastAsia="Times New Roman"/>
                <w:sz w:val="18"/>
                <w:szCs w:val="18"/>
              </w:rPr>
            </w:pPr>
          </w:p>
        </w:tc>
        <w:tc>
          <w:tcPr>
            <w:tcW w:w="156" w:type="pct"/>
            <w:tcBorders>
              <w:top w:val="nil"/>
              <w:bottom w:val="nil"/>
              <w:right w:val="single" w:sz="6" w:space="0" w:color="auto"/>
            </w:tcBorders>
            <w:noWrap/>
            <w:vAlign w:val="center"/>
          </w:tcPr>
          <w:p w14:paraId="0394007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FE34EF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2E59433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174FEA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705B47A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8D8C7D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2F76FB1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28B6A9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3983DB8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28A5D6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bottom w:val="nil"/>
              <w:right w:val="single" w:sz="6" w:space="0" w:color="auto"/>
            </w:tcBorders>
            <w:noWrap/>
            <w:vAlign w:val="center"/>
          </w:tcPr>
          <w:p w14:paraId="612E3D9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5FCB4E6" w14:textId="77777777" w:rsidR="008B6B35" w:rsidRPr="00B71F92" w:rsidRDefault="008B6B35" w:rsidP="00730932">
            <w:pPr>
              <w:spacing w:after="0" w:line="240" w:lineRule="auto"/>
              <w:jc w:val="right"/>
              <w:rPr>
                <w:rFonts w:eastAsia="Times New Roman"/>
                <w:sz w:val="18"/>
                <w:szCs w:val="18"/>
              </w:rPr>
            </w:pPr>
          </w:p>
        </w:tc>
        <w:tc>
          <w:tcPr>
            <w:tcW w:w="186" w:type="pct"/>
            <w:tcBorders>
              <w:top w:val="nil"/>
              <w:bottom w:val="nil"/>
              <w:right w:val="single" w:sz="6" w:space="0" w:color="auto"/>
            </w:tcBorders>
            <w:noWrap/>
            <w:vAlign w:val="center"/>
          </w:tcPr>
          <w:p w14:paraId="0AB4B18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10A3C1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10B007D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C2A640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114C49F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6BE786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8" w:space="0" w:color="auto"/>
            </w:tcBorders>
            <w:noWrap/>
            <w:vAlign w:val="center"/>
          </w:tcPr>
          <w:p w14:paraId="441CC71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1F0E19B1" w14:textId="77777777" w:rsidR="008B6B35" w:rsidRPr="00B71F92" w:rsidRDefault="008B6B35" w:rsidP="00730932">
            <w:pPr>
              <w:spacing w:after="0" w:line="240" w:lineRule="auto"/>
              <w:jc w:val="right"/>
              <w:rPr>
                <w:rFonts w:eastAsia="Times New Roman"/>
                <w:sz w:val="18"/>
                <w:szCs w:val="18"/>
              </w:rPr>
            </w:pPr>
          </w:p>
        </w:tc>
        <w:tc>
          <w:tcPr>
            <w:tcW w:w="206" w:type="pct"/>
            <w:tcBorders>
              <w:top w:val="nil"/>
              <w:bottom w:val="nil"/>
            </w:tcBorders>
            <w:vAlign w:val="center"/>
          </w:tcPr>
          <w:p w14:paraId="7AFC6374" w14:textId="77777777" w:rsidR="008B6B35" w:rsidRPr="00B71F92" w:rsidRDefault="008B6B35" w:rsidP="00730932">
            <w:pPr>
              <w:spacing w:after="0" w:line="240" w:lineRule="auto"/>
              <w:jc w:val="right"/>
              <w:rPr>
                <w:rFonts w:eastAsia="Times New Roman"/>
                <w:sz w:val="18"/>
                <w:szCs w:val="18"/>
              </w:rPr>
            </w:pPr>
          </w:p>
        </w:tc>
      </w:tr>
      <w:tr w:rsidR="008B6B35" w:rsidRPr="00B71F92" w14:paraId="4E90C406" w14:textId="77777777" w:rsidTr="002F5607">
        <w:trPr>
          <w:trHeight w:val="230"/>
          <w:jc w:val="center"/>
        </w:trPr>
        <w:tc>
          <w:tcPr>
            <w:tcW w:w="1221" w:type="pct"/>
            <w:tcBorders>
              <w:top w:val="nil"/>
              <w:bottom w:val="nil"/>
              <w:right w:val="single" w:sz="12" w:space="0" w:color="auto"/>
            </w:tcBorders>
            <w:noWrap/>
            <w:vAlign w:val="center"/>
            <w:hideMark/>
          </w:tcPr>
          <w:p w14:paraId="397A7C18"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0-4</w:t>
            </w:r>
          </w:p>
        </w:tc>
        <w:tc>
          <w:tcPr>
            <w:tcW w:w="171" w:type="pct"/>
            <w:tcBorders>
              <w:top w:val="nil"/>
              <w:left w:val="single" w:sz="12" w:space="0" w:color="auto"/>
              <w:bottom w:val="nil"/>
            </w:tcBorders>
            <w:noWrap/>
            <w:vAlign w:val="bottom"/>
            <w:hideMark/>
          </w:tcPr>
          <w:p w14:paraId="2AF77531" w14:textId="77777777" w:rsidR="008B6B35" w:rsidRPr="00B71F92" w:rsidRDefault="008B6B35" w:rsidP="00730932">
            <w:pPr>
              <w:spacing w:after="0" w:line="240" w:lineRule="auto"/>
              <w:jc w:val="right"/>
              <w:rPr>
                <w:rFonts w:eastAsia="Times New Roman"/>
                <w:sz w:val="18"/>
                <w:szCs w:val="18"/>
              </w:rPr>
            </w:pPr>
            <w:r w:rsidRPr="00B71F92">
              <w:rPr>
                <w:sz w:val="18"/>
                <w:szCs w:val="18"/>
              </w:rPr>
              <w:t>0.13</w:t>
            </w:r>
          </w:p>
        </w:tc>
        <w:tc>
          <w:tcPr>
            <w:tcW w:w="155" w:type="pct"/>
            <w:tcBorders>
              <w:top w:val="nil"/>
              <w:bottom w:val="nil"/>
              <w:right w:val="single" w:sz="12" w:space="0" w:color="auto"/>
            </w:tcBorders>
            <w:noWrap/>
            <w:vAlign w:val="bottom"/>
            <w:hideMark/>
          </w:tcPr>
          <w:p w14:paraId="7257B5C9" w14:textId="77777777" w:rsidR="008B6B35" w:rsidRPr="00B71F92" w:rsidRDefault="008B6B35" w:rsidP="00730932">
            <w:pPr>
              <w:spacing w:after="0" w:line="240" w:lineRule="auto"/>
              <w:jc w:val="right"/>
              <w:rPr>
                <w:rFonts w:eastAsia="Times New Roman"/>
                <w:sz w:val="18"/>
                <w:szCs w:val="18"/>
              </w:rPr>
            </w:pPr>
            <w:r w:rsidRPr="00B71F92">
              <w:rPr>
                <w:sz w:val="18"/>
                <w:szCs w:val="18"/>
              </w:rPr>
              <w:t>2.23</w:t>
            </w:r>
          </w:p>
        </w:tc>
        <w:tc>
          <w:tcPr>
            <w:tcW w:w="153" w:type="pct"/>
            <w:tcBorders>
              <w:top w:val="nil"/>
              <w:left w:val="single" w:sz="12" w:space="0" w:color="auto"/>
              <w:bottom w:val="nil"/>
            </w:tcBorders>
            <w:noWrap/>
            <w:vAlign w:val="bottom"/>
          </w:tcPr>
          <w:p w14:paraId="29E5C9D2"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6" w:type="pct"/>
            <w:tcBorders>
              <w:top w:val="nil"/>
              <w:bottom w:val="nil"/>
              <w:right w:val="single" w:sz="6" w:space="0" w:color="auto"/>
            </w:tcBorders>
            <w:noWrap/>
            <w:vAlign w:val="bottom"/>
          </w:tcPr>
          <w:p w14:paraId="6F7C430B" w14:textId="77777777" w:rsidR="008B6B35" w:rsidRPr="00B71F92" w:rsidRDefault="008B6B35" w:rsidP="00730932">
            <w:pPr>
              <w:spacing w:after="0" w:line="240" w:lineRule="auto"/>
              <w:jc w:val="right"/>
              <w:rPr>
                <w:rFonts w:eastAsia="Times New Roman"/>
                <w:sz w:val="18"/>
                <w:szCs w:val="18"/>
              </w:rPr>
            </w:pPr>
            <w:r w:rsidRPr="00B71F92">
              <w:rPr>
                <w:sz w:val="18"/>
                <w:szCs w:val="18"/>
              </w:rPr>
              <w:t>-2.32</w:t>
            </w:r>
          </w:p>
        </w:tc>
        <w:tc>
          <w:tcPr>
            <w:tcW w:w="153" w:type="pct"/>
            <w:tcBorders>
              <w:top w:val="nil"/>
              <w:left w:val="single" w:sz="6" w:space="0" w:color="auto"/>
              <w:bottom w:val="nil"/>
            </w:tcBorders>
            <w:noWrap/>
            <w:vAlign w:val="bottom"/>
          </w:tcPr>
          <w:p w14:paraId="0D250153" w14:textId="77777777" w:rsidR="008B6B35" w:rsidRPr="00B71F92" w:rsidRDefault="008B6B35" w:rsidP="00730932">
            <w:pPr>
              <w:spacing w:after="0" w:line="240" w:lineRule="auto"/>
              <w:jc w:val="right"/>
              <w:rPr>
                <w:rFonts w:eastAsia="Times New Roman"/>
                <w:sz w:val="18"/>
                <w:szCs w:val="18"/>
              </w:rPr>
            </w:pPr>
            <w:r w:rsidRPr="00B71F92">
              <w:rPr>
                <w:sz w:val="18"/>
                <w:szCs w:val="18"/>
              </w:rPr>
              <w:t>0.39</w:t>
            </w:r>
          </w:p>
        </w:tc>
        <w:tc>
          <w:tcPr>
            <w:tcW w:w="153" w:type="pct"/>
            <w:tcBorders>
              <w:top w:val="nil"/>
              <w:bottom w:val="nil"/>
              <w:right w:val="single" w:sz="6" w:space="0" w:color="auto"/>
            </w:tcBorders>
            <w:noWrap/>
            <w:vAlign w:val="bottom"/>
          </w:tcPr>
          <w:p w14:paraId="5FB0783C" w14:textId="77777777" w:rsidR="008B6B35" w:rsidRPr="00B71F92" w:rsidRDefault="008B6B35" w:rsidP="00730932">
            <w:pPr>
              <w:spacing w:after="0" w:line="240" w:lineRule="auto"/>
              <w:jc w:val="right"/>
              <w:rPr>
                <w:rFonts w:eastAsia="Times New Roman"/>
                <w:sz w:val="18"/>
                <w:szCs w:val="18"/>
              </w:rPr>
            </w:pPr>
            <w:r w:rsidRPr="00B71F92">
              <w:rPr>
                <w:sz w:val="18"/>
                <w:szCs w:val="18"/>
              </w:rPr>
              <w:t>2.75</w:t>
            </w:r>
          </w:p>
        </w:tc>
        <w:tc>
          <w:tcPr>
            <w:tcW w:w="153" w:type="pct"/>
            <w:tcBorders>
              <w:top w:val="nil"/>
              <w:left w:val="single" w:sz="6" w:space="0" w:color="auto"/>
              <w:bottom w:val="nil"/>
            </w:tcBorders>
            <w:noWrap/>
            <w:vAlign w:val="bottom"/>
          </w:tcPr>
          <w:p w14:paraId="100180A6" w14:textId="77777777" w:rsidR="008B6B35" w:rsidRPr="00B71F92" w:rsidRDefault="008B6B35" w:rsidP="00730932">
            <w:pPr>
              <w:spacing w:after="0" w:line="240" w:lineRule="auto"/>
              <w:jc w:val="right"/>
              <w:rPr>
                <w:rFonts w:eastAsia="Times New Roman"/>
                <w:sz w:val="18"/>
                <w:szCs w:val="18"/>
              </w:rPr>
            </w:pPr>
            <w:r w:rsidRPr="00B71F92">
              <w:rPr>
                <w:sz w:val="18"/>
                <w:szCs w:val="18"/>
              </w:rPr>
              <w:t>0.57</w:t>
            </w:r>
          </w:p>
        </w:tc>
        <w:tc>
          <w:tcPr>
            <w:tcW w:w="153" w:type="pct"/>
            <w:tcBorders>
              <w:top w:val="nil"/>
              <w:bottom w:val="nil"/>
              <w:right w:val="single" w:sz="6" w:space="0" w:color="auto"/>
            </w:tcBorders>
            <w:noWrap/>
            <w:vAlign w:val="bottom"/>
          </w:tcPr>
          <w:p w14:paraId="24B11488" w14:textId="77777777" w:rsidR="008B6B35" w:rsidRPr="00B71F92" w:rsidRDefault="008B6B35" w:rsidP="00730932">
            <w:pPr>
              <w:spacing w:after="0" w:line="240" w:lineRule="auto"/>
              <w:jc w:val="right"/>
              <w:rPr>
                <w:rFonts w:eastAsia="Times New Roman"/>
                <w:sz w:val="18"/>
                <w:szCs w:val="18"/>
              </w:rPr>
            </w:pPr>
            <w:r w:rsidRPr="00B71F92">
              <w:rPr>
                <w:sz w:val="18"/>
                <w:szCs w:val="18"/>
              </w:rPr>
              <w:t>4.01</w:t>
            </w:r>
          </w:p>
        </w:tc>
        <w:tc>
          <w:tcPr>
            <w:tcW w:w="153" w:type="pct"/>
            <w:tcBorders>
              <w:top w:val="nil"/>
              <w:left w:val="single" w:sz="6" w:space="0" w:color="auto"/>
              <w:bottom w:val="nil"/>
            </w:tcBorders>
            <w:noWrap/>
            <w:vAlign w:val="bottom"/>
          </w:tcPr>
          <w:p w14:paraId="386D7009" w14:textId="77777777" w:rsidR="008B6B35" w:rsidRPr="00B71F92" w:rsidRDefault="008B6B35" w:rsidP="00730932">
            <w:pPr>
              <w:spacing w:after="0" w:line="240" w:lineRule="auto"/>
              <w:jc w:val="right"/>
              <w:rPr>
                <w:rFonts w:eastAsia="Times New Roman"/>
                <w:sz w:val="18"/>
                <w:szCs w:val="18"/>
              </w:rPr>
            </w:pPr>
            <w:r w:rsidRPr="00B71F92">
              <w:rPr>
                <w:sz w:val="18"/>
                <w:szCs w:val="18"/>
              </w:rPr>
              <w:t>0.37</w:t>
            </w:r>
          </w:p>
        </w:tc>
        <w:tc>
          <w:tcPr>
            <w:tcW w:w="153" w:type="pct"/>
            <w:tcBorders>
              <w:top w:val="nil"/>
              <w:bottom w:val="nil"/>
              <w:right w:val="single" w:sz="6" w:space="0" w:color="auto"/>
            </w:tcBorders>
            <w:noWrap/>
            <w:vAlign w:val="bottom"/>
          </w:tcPr>
          <w:p w14:paraId="596FDFCF" w14:textId="77777777" w:rsidR="008B6B35" w:rsidRPr="00B71F92" w:rsidRDefault="008B6B35" w:rsidP="00730932">
            <w:pPr>
              <w:spacing w:after="0" w:line="240" w:lineRule="auto"/>
              <w:jc w:val="right"/>
              <w:rPr>
                <w:rFonts w:eastAsia="Times New Roman"/>
                <w:sz w:val="18"/>
                <w:szCs w:val="18"/>
              </w:rPr>
            </w:pPr>
            <w:r w:rsidRPr="00B71F92">
              <w:rPr>
                <w:sz w:val="18"/>
                <w:szCs w:val="18"/>
              </w:rPr>
              <w:t>3.11</w:t>
            </w:r>
          </w:p>
        </w:tc>
        <w:tc>
          <w:tcPr>
            <w:tcW w:w="153" w:type="pct"/>
            <w:tcBorders>
              <w:top w:val="nil"/>
              <w:left w:val="single" w:sz="6" w:space="0" w:color="auto"/>
              <w:bottom w:val="nil"/>
            </w:tcBorders>
            <w:noWrap/>
            <w:vAlign w:val="bottom"/>
          </w:tcPr>
          <w:p w14:paraId="33EA0089" w14:textId="77777777" w:rsidR="008B6B35" w:rsidRPr="00B71F92" w:rsidRDefault="008B6B35" w:rsidP="00730932">
            <w:pPr>
              <w:spacing w:after="0" w:line="240" w:lineRule="auto"/>
              <w:jc w:val="right"/>
              <w:rPr>
                <w:rFonts w:eastAsia="Times New Roman"/>
                <w:sz w:val="18"/>
                <w:szCs w:val="18"/>
              </w:rPr>
            </w:pPr>
            <w:r w:rsidRPr="00B71F92">
              <w:rPr>
                <w:sz w:val="18"/>
                <w:szCs w:val="18"/>
              </w:rPr>
              <w:t>-0.52</w:t>
            </w:r>
          </w:p>
        </w:tc>
        <w:tc>
          <w:tcPr>
            <w:tcW w:w="153" w:type="pct"/>
            <w:tcBorders>
              <w:top w:val="nil"/>
              <w:bottom w:val="nil"/>
              <w:right w:val="single" w:sz="6" w:space="0" w:color="auto"/>
            </w:tcBorders>
            <w:noWrap/>
            <w:vAlign w:val="bottom"/>
          </w:tcPr>
          <w:p w14:paraId="332356AC" w14:textId="77777777" w:rsidR="008B6B35" w:rsidRPr="00B71F92" w:rsidRDefault="008B6B35" w:rsidP="00730932">
            <w:pPr>
              <w:spacing w:after="0" w:line="240" w:lineRule="auto"/>
              <w:jc w:val="right"/>
              <w:rPr>
                <w:rFonts w:eastAsia="Times New Roman"/>
                <w:sz w:val="18"/>
                <w:szCs w:val="18"/>
              </w:rPr>
            </w:pPr>
            <w:r w:rsidRPr="00B71F92">
              <w:rPr>
                <w:sz w:val="18"/>
                <w:szCs w:val="18"/>
              </w:rPr>
              <w:t>-2.41</w:t>
            </w:r>
          </w:p>
        </w:tc>
        <w:tc>
          <w:tcPr>
            <w:tcW w:w="153" w:type="pct"/>
            <w:tcBorders>
              <w:top w:val="nil"/>
              <w:left w:val="single" w:sz="6" w:space="0" w:color="auto"/>
              <w:bottom w:val="nil"/>
            </w:tcBorders>
            <w:noWrap/>
            <w:vAlign w:val="center"/>
          </w:tcPr>
          <w:p w14:paraId="6DC0C23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16E7F85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5C2E461E"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86" w:type="pct"/>
            <w:tcBorders>
              <w:top w:val="nil"/>
              <w:bottom w:val="nil"/>
              <w:right w:val="single" w:sz="6" w:space="0" w:color="auto"/>
            </w:tcBorders>
            <w:noWrap/>
            <w:vAlign w:val="bottom"/>
          </w:tcPr>
          <w:p w14:paraId="7644CF0D" w14:textId="77777777" w:rsidR="008B6B35" w:rsidRPr="00B71F92" w:rsidRDefault="008B6B35" w:rsidP="00730932">
            <w:pPr>
              <w:spacing w:after="0" w:line="240" w:lineRule="auto"/>
              <w:jc w:val="right"/>
              <w:rPr>
                <w:rFonts w:eastAsia="Times New Roman"/>
                <w:sz w:val="18"/>
                <w:szCs w:val="18"/>
              </w:rPr>
            </w:pPr>
            <w:r w:rsidRPr="00B71F92">
              <w:rPr>
                <w:sz w:val="18"/>
                <w:szCs w:val="18"/>
              </w:rPr>
              <w:t>2.57</w:t>
            </w:r>
          </w:p>
        </w:tc>
        <w:tc>
          <w:tcPr>
            <w:tcW w:w="152" w:type="pct"/>
            <w:tcBorders>
              <w:top w:val="nil"/>
              <w:left w:val="single" w:sz="6" w:space="0" w:color="auto"/>
              <w:bottom w:val="nil"/>
            </w:tcBorders>
            <w:noWrap/>
            <w:vAlign w:val="bottom"/>
          </w:tcPr>
          <w:p w14:paraId="48C823FA"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vAlign w:val="bottom"/>
          </w:tcPr>
          <w:p w14:paraId="41190A35" w14:textId="77777777" w:rsidR="008B6B35" w:rsidRPr="00B71F92" w:rsidRDefault="008B6B35" w:rsidP="00730932">
            <w:pPr>
              <w:spacing w:after="0" w:line="240" w:lineRule="auto"/>
              <w:jc w:val="right"/>
              <w:rPr>
                <w:rFonts w:eastAsia="Times New Roman"/>
                <w:sz w:val="18"/>
                <w:szCs w:val="18"/>
              </w:rPr>
            </w:pPr>
            <w:r w:rsidRPr="00B71F92">
              <w:rPr>
                <w:sz w:val="18"/>
                <w:szCs w:val="18"/>
              </w:rPr>
              <w:t>1.94</w:t>
            </w:r>
          </w:p>
        </w:tc>
        <w:tc>
          <w:tcPr>
            <w:tcW w:w="153" w:type="pct"/>
            <w:tcBorders>
              <w:top w:val="nil"/>
              <w:left w:val="single" w:sz="6" w:space="0" w:color="auto"/>
              <w:bottom w:val="nil"/>
            </w:tcBorders>
            <w:noWrap/>
            <w:vAlign w:val="center"/>
          </w:tcPr>
          <w:p w14:paraId="78A96BA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69465D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61410D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5AD8091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bottom"/>
          </w:tcPr>
          <w:p w14:paraId="2CE1752C" w14:textId="77777777" w:rsidR="008B6B35" w:rsidRPr="00B71F92" w:rsidRDefault="008B6B35" w:rsidP="00730932">
            <w:pPr>
              <w:spacing w:after="0" w:line="240" w:lineRule="auto"/>
              <w:jc w:val="right"/>
              <w:rPr>
                <w:rFonts w:eastAsia="Times New Roman"/>
                <w:sz w:val="18"/>
                <w:szCs w:val="18"/>
              </w:rPr>
            </w:pPr>
            <w:r w:rsidRPr="00B71F92">
              <w:rPr>
                <w:sz w:val="18"/>
                <w:szCs w:val="18"/>
              </w:rPr>
              <w:t>0.35</w:t>
            </w:r>
          </w:p>
        </w:tc>
        <w:tc>
          <w:tcPr>
            <w:tcW w:w="206" w:type="pct"/>
            <w:tcBorders>
              <w:top w:val="nil"/>
              <w:bottom w:val="nil"/>
            </w:tcBorders>
            <w:vAlign w:val="bottom"/>
          </w:tcPr>
          <w:p w14:paraId="6058ED34" w14:textId="77777777" w:rsidR="008B6B35" w:rsidRPr="00B71F92" w:rsidRDefault="008B6B35" w:rsidP="00730932">
            <w:pPr>
              <w:spacing w:after="0" w:line="240" w:lineRule="auto"/>
              <w:jc w:val="right"/>
              <w:rPr>
                <w:rFonts w:eastAsia="Times New Roman"/>
                <w:sz w:val="18"/>
                <w:szCs w:val="18"/>
              </w:rPr>
            </w:pPr>
            <w:r w:rsidRPr="00B71F92">
              <w:rPr>
                <w:sz w:val="18"/>
                <w:szCs w:val="18"/>
              </w:rPr>
              <w:t>2.82</w:t>
            </w:r>
          </w:p>
        </w:tc>
      </w:tr>
      <w:tr w:rsidR="008B6B35" w:rsidRPr="00B71F92" w14:paraId="0EE31508" w14:textId="77777777" w:rsidTr="002F5607">
        <w:trPr>
          <w:trHeight w:val="230"/>
          <w:jc w:val="center"/>
        </w:trPr>
        <w:tc>
          <w:tcPr>
            <w:tcW w:w="1221" w:type="pct"/>
            <w:tcBorders>
              <w:top w:val="nil"/>
              <w:bottom w:val="nil"/>
              <w:right w:val="single" w:sz="12" w:space="0" w:color="auto"/>
            </w:tcBorders>
            <w:noWrap/>
            <w:vAlign w:val="center"/>
            <w:hideMark/>
          </w:tcPr>
          <w:p w14:paraId="22BCF5BF"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0-4 * 2021 Shift</w:t>
            </w:r>
          </w:p>
        </w:tc>
        <w:tc>
          <w:tcPr>
            <w:tcW w:w="171" w:type="pct"/>
            <w:tcBorders>
              <w:top w:val="nil"/>
              <w:left w:val="single" w:sz="12" w:space="0" w:color="auto"/>
              <w:bottom w:val="nil"/>
            </w:tcBorders>
            <w:noWrap/>
            <w:vAlign w:val="center"/>
            <w:hideMark/>
          </w:tcPr>
          <w:p w14:paraId="462C528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12" w:space="0" w:color="auto"/>
            </w:tcBorders>
            <w:noWrap/>
            <w:vAlign w:val="center"/>
            <w:hideMark/>
          </w:tcPr>
          <w:p w14:paraId="2D66594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4A7C1C5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1658E34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B138C7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8013049"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0A6460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5DA18E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AFAD20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3591F0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D08355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EF451A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DED733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1969250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1BD30C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020498C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056618E3" w14:textId="77777777" w:rsidR="008B6B35" w:rsidRPr="00B71F92" w:rsidRDefault="008B6B35" w:rsidP="00730932">
            <w:pPr>
              <w:spacing w:after="0" w:line="240" w:lineRule="auto"/>
              <w:jc w:val="right"/>
              <w:rPr>
                <w:rFonts w:eastAsia="Times New Roman"/>
                <w:sz w:val="18"/>
                <w:szCs w:val="18"/>
              </w:rPr>
            </w:pPr>
            <w:r w:rsidRPr="00B71F92">
              <w:rPr>
                <w:sz w:val="18"/>
                <w:szCs w:val="18"/>
              </w:rPr>
              <w:t>-0.68</w:t>
            </w:r>
          </w:p>
        </w:tc>
        <w:tc>
          <w:tcPr>
            <w:tcW w:w="153" w:type="pct"/>
            <w:tcBorders>
              <w:top w:val="nil"/>
              <w:bottom w:val="nil"/>
              <w:right w:val="single" w:sz="6" w:space="0" w:color="auto"/>
            </w:tcBorders>
            <w:noWrap/>
            <w:vAlign w:val="bottom"/>
          </w:tcPr>
          <w:p w14:paraId="38D562FB" w14:textId="77777777" w:rsidR="008B6B35" w:rsidRPr="00B71F92" w:rsidRDefault="008B6B35" w:rsidP="00730932">
            <w:pPr>
              <w:spacing w:after="0" w:line="240" w:lineRule="auto"/>
              <w:jc w:val="right"/>
              <w:rPr>
                <w:rFonts w:eastAsia="Times New Roman"/>
                <w:sz w:val="18"/>
                <w:szCs w:val="18"/>
              </w:rPr>
            </w:pPr>
            <w:r w:rsidRPr="00B71F92">
              <w:rPr>
                <w:sz w:val="18"/>
                <w:szCs w:val="18"/>
              </w:rPr>
              <w:t>-2.43</w:t>
            </w:r>
          </w:p>
        </w:tc>
        <w:tc>
          <w:tcPr>
            <w:tcW w:w="153" w:type="pct"/>
            <w:tcBorders>
              <w:top w:val="nil"/>
              <w:left w:val="single" w:sz="6" w:space="0" w:color="auto"/>
              <w:bottom w:val="nil"/>
            </w:tcBorders>
            <w:noWrap/>
            <w:vAlign w:val="center"/>
          </w:tcPr>
          <w:p w14:paraId="6D430F9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0B9EB4C"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7849B8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75503B0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21F4537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35335F7D" w14:textId="77777777" w:rsidR="008B6B35" w:rsidRPr="00B71F92" w:rsidRDefault="008B6B35" w:rsidP="00730932">
            <w:pPr>
              <w:spacing w:after="0" w:line="240" w:lineRule="auto"/>
              <w:jc w:val="right"/>
              <w:rPr>
                <w:rFonts w:eastAsia="Times New Roman"/>
                <w:sz w:val="18"/>
                <w:szCs w:val="18"/>
              </w:rPr>
            </w:pPr>
          </w:p>
        </w:tc>
      </w:tr>
      <w:tr w:rsidR="008B6B35" w:rsidRPr="00B71F92" w14:paraId="7FA2E7E0" w14:textId="77777777" w:rsidTr="002F5607">
        <w:trPr>
          <w:trHeight w:val="230"/>
          <w:jc w:val="center"/>
        </w:trPr>
        <w:tc>
          <w:tcPr>
            <w:tcW w:w="1221" w:type="pct"/>
            <w:tcBorders>
              <w:top w:val="nil"/>
              <w:bottom w:val="nil"/>
              <w:right w:val="single" w:sz="12" w:space="0" w:color="auto"/>
            </w:tcBorders>
            <w:noWrap/>
            <w:vAlign w:val="center"/>
            <w:hideMark/>
          </w:tcPr>
          <w:p w14:paraId="38AA867C"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0-4 * 2023 Shift</w:t>
            </w:r>
          </w:p>
        </w:tc>
        <w:tc>
          <w:tcPr>
            <w:tcW w:w="171" w:type="pct"/>
            <w:tcBorders>
              <w:top w:val="nil"/>
              <w:left w:val="single" w:sz="12" w:space="0" w:color="auto"/>
              <w:bottom w:val="nil"/>
            </w:tcBorders>
            <w:noWrap/>
            <w:vAlign w:val="center"/>
            <w:hideMark/>
          </w:tcPr>
          <w:p w14:paraId="00F60DD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12" w:space="0" w:color="auto"/>
            </w:tcBorders>
            <w:noWrap/>
            <w:vAlign w:val="center"/>
            <w:hideMark/>
          </w:tcPr>
          <w:p w14:paraId="7A7D3C2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3178AE1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7DBB36D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232CBF1" w14:textId="77777777" w:rsidR="008B6B35" w:rsidRPr="00B71F92" w:rsidRDefault="008B6B35" w:rsidP="00730932">
            <w:pPr>
              <w:spacing w:after="0" w:line="240" w:lineRule="auto"/>
              <w:jc w:val="right"/>
              <w:rPr>
                <w:rFonts w:eastAsia="Times New Roman"/>
                <w:sz w:val="18"/>
                <w:szCs w:val="18"/>
              </w:rPr>
            </w:pPr>
            <w:r w:rsidRPr="00B71F92">
              <w:rPr>
                <w:sz w:val="18"/>
                <w:szCs w:val="18"/>
              </w:rPr>
              <w:t>-0.31</w:t>
            </w:r>
          </w:p>
        </w:tc>
        <w:tc>
          <w:tcPr>
            <w:tcW w:w="153" w:type="pct"/>
            <w:tcBorders>
              <w:top w:val="nil"/>
              <w:bottom w:val="nil"/>
              <w:right w:val="single" w:sz="6" w:space="0" w:color="auto"/>
            </w:tcBorders>
            <w:noWrap/>
            <w:vAlign w:val="bottom"/>
          </w:tcPr>
          <w:p w14:paraId="41C69220" w14:textId="77777777" w:rsidR="008B6B35" w:rsidRPr="00B71F92" w:rsidRDefault="008B6B35" w:rsidP="00730932">
            <w:pPr>
              <w:spacing w:after="0" w:line="240" w:lineRule="auto"/>
              <w:jc w:val="right"/>
              <w:rPr>
                <w:rFonts w:eastAsia="Times New Roman"/>
                <w:sz w:val="18"/>
                <w:szCs w:val="18"/>
              </w:rPr>
            </w:pPr>
            <w:r w:rsidRPr="00B71F92">
              <w:rPr>
                <w:sz w:val="18"/>
                <w:szCs w:val="18"/>
              </w:rPr>
              <w:t>-1.91</w:t>
            </w:r>
          </w:p>
        </w:tc>
        <w:tc>
          <w:tcPr>
            <w:tcW w:w="153" w:type="pct"/>
            <w:tcBorders>
              <w:top w:val="nil"/>
              <w:left w:val="single" w:sz="6" w:space="0" w:color="auto"/>
              <w:bottom w:val="nil"/>
            </w:tcBorders>
            <w:noWrap/>
            <w:vAlign w:val="bottom"/>
          </w:tcPr>
          <w:p w14:paraId="79E0AA97" w14:textId="77777777" w:rsidR="008B6B35" w:rsidRPr="00B71F92" w:rsidRDefault="008B6B35" w:rsidP="00730932">
            <w:pPr>
              <w:spacing w:after="0" w:line="240" w:lineRule="auto"/>
              <w:jc w:val="right"/>
              <w:rPr>
                <w:rFonts w:eastAsia="Times New Roman"/>
                <w:sz w:val="18"/>
                <w:szCs w:val="18"/>
              </w:rPr>
            </w:pPr>
            <w:r w:rsidRPr="00B71F92">
              <w:rPr>
                <w:sz w:val="18"/>
                <w:szCs w:val="18"/>
              </w:rPr>
              <w:t>-1.01</w:t>
            </w:r>
          </w:p>
        </w:tc>
        <w:tc>
          <w:tcPr>
            <w:tcW w:w="153" w:type="pct"/>
            <w:tcBorders>
              <w:top w:val="nil"/>
              <w:bottom w:val="nil"/>
              <w:right w:val="single" w:sz="6" w:space="0" w:color="auto"/>
            </w:tcBorders>
            <w:noWrap/>
            <w:vAlign w:val="bottom"/>
          </w:tcPr>
          <w:p w14:paraId="3AFD624F" w14:textId="77777777" w:rsidR="008B6B35" w:rsidRPr="00B71F92" w:rsidRDefault="008B6B35" w:rsidP="00730932">
            <w:pPr>
              <w:spacing w:after="0" w:line="240" w:lineRule="auto"/>
              <w:jc w:val="right"/>
              <w:rPr>
                <w:rFonts w:eastAsia="Times New Roman"/>
                <w:sz w:val="18"/>
                <w:szCs w:val="18"/>
              </w:rPr>
            </w:pPr>
            <w:r w:rsidRPr="00B71F92">
              <w:rPr>
                <w:sz w:val="18"/>
                <w:szCs w:val="18"/>
              </w:rPr>
              <w:t>-3.80</w:t>
            </w:r>
          </w:p>
        </w:tc>
        <w:tc>
          <w:tcPr>
            <w:tcW w:w="153" w:type="pct"/>
            <w:tcBorders>
              <w:top w:val="nil"/>
              <w:left w:val="single" w:sz="6" w:space="0" w:color="auto"/>
              <w:bottom w:val="nil"/>
            </w:tcBorders>
            <w:noWrap/>
            <w:vAlign w:val="center"/>
          </w:tcPr>
          <w:p w14:paraId="25B1497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D5D239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92C2AC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E711D7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483E83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336FA61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D42ED8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6BA06BC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454840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95A7B7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F3FDD3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016AEB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13AA37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719DCA0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4D5D02A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043BA7D9" w14:textId="77777777" w:rsidR="008B6B35" w:rsidRPr="00B71F92" w:rsidRDefault="008B6B35" w:rsidP="00730932">
            <w:pPr>
              <w:spacing w:after="0" w:line="240" w:lineRule="auto"/>
              <w:jc w:val="right"/>
              <w:rPr>
                <w:rFonts w:eastAsia="Times New Roman"/>
                <w:sz w:val="18"/>
                <w:szCs w:val="18"/>
              </w:rPr>
            </w:pPr>
          </w:p>
        </w:tc>
      </w:tr>
      <w:tr w:rsidR="008B6B35" w:rsidRPr="00B71F92" w14:paraId="4C435E77" w14:textId="77777777" w:rsidTr="002F5607">
        <w:trPr>
          <w:trHeight w:val="230"/>
          <w:jc w:val="center"/>
        </w:trPr>
        <w:tc>
          <w:tcPr>
            <w:tcW w:w="1221" w:type="pct"/>
            <w:tcBorders>
              <w:top w:val="nil"/>
              <w:bottom w:val="nil"/>
              <w:right w:val="single" w:sz="12" w:space="0" w:color="auto"/>
            </w:tcBorders>
            <w:noWrap/>
            <w:vAlign w:val="center"/>
            <w:hideMark/>
          </w:tcPr>
          <w:p w14:paraId="27A6777C"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5-11</w:t>
            </w:r>
          </w:p>
        </w:tc>
        <w:tc>
          <w:tcPr>
            <w:tcW w:w="171" w:type="pct"/>
            <w:tcBorders>
              <w:top w:val="nil"/>
              <w:left w:val="single" w:sz="12" w:space="0" w:color="auto"/>
              <w:bottom w:val="nil"/>
            </w:tcBorders>
            <w:noWrap/>
            <w:vAlign w:val="bottom"/>
            <w:hideMark/>
          </w:tcPr>
          <w:p w14:paraId="3842944F"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5" w:type="pct"/>
            <w:tcBorders>
              <w:top w:val="nil"/>
              <w:bottom w:val="nil"/>
              <w:right w:val="single" w:sz="12" w:space="0" w:color="auto"/>
            </w:tcBorders>
            <w:noWrap/>
            <w:vAlign w:val="bottom"/>
            <w:hideMark/>
          </w:tcPr>
          <w:p w14:paraId="6D406061" w14:textId="77777777" w:rsidR="008B6B35" w:rsidRPr="00B71F92" w:rsidRDefault="008B6B35" w:rsidP="00730932">
            <w:pPr>
              <w:spacing w:after="0" w:line="240" w:lineRule="auto"/>
              <w:jc w:val="right"/>
              <w:rPr>
                <w:rFonts w:eastAsia="Times New Roman"/>
                <w:sz w:val="18"/>
                <w:szCs w:val="18"/>
              </w:rPr>
            </w:pPr>
            <w:r w:rsidRPr="00B71F92">
              <w:rPr>
                <w:sz w:val="18"/>
                <w:szCs w:val="18"/>
              </w:rPr>
              <w:t>-4.58</w:t>
            </w:r>
          </w:p>
        </w:tc>
        <w:tc>
          <w:tcPr>
            <w:tcW w:w="153" w:type="pct"/>
            <w:tcBorders>
              <w:top w:val="nil"/>
              <w:left w:val="single" w:sz="12" w:space="0" w:color="auto"/>
              <w:bottom w:val="nil"/>
            </w:tcBorders>
            <w:noWrap/>
            <w:vAlign w:val="bottom"/>
          </w:tcPr>
          <w:p w14:paraId="59BE6698" w14:textId="77777777" w:rsidR="008B6B35" w:rsidRPr="00B71F92" w:rsidRDefault="008B6B35" w:rsidP="00730932">
            <w:pPr>
              <w:spacing w:after="0" w:line="240" w:lineRule="auto"/>
              <w:jc w:val="right"/>
              <w:rPr>
                <w:rFonts w:eastAsia="Times New Roman"/>
                <w:sz w:val="18"/>
                <w:szCs w:val="18"/>
              </w:rPr>
            </w:pPr>
            <w:r w:rsidRPr="00B71F92">
              <w:rPr>
                <w:sz w:val="18"/>
                <w:szCs w:val="18"/>
              </w:rPr>
              <w:t>-0.35</w:t>
            </w:r>
          </w:p>
        </w:tc>
        <w:tc>
          <w:tcPr>
            <w:tcW w:w="156" w:type="pct"/>
            <w:tcBorders>
              <w:top w:val="nil"/>
              <w:bottom w:val="nil"/>
              <w:right w:val="single" w:sz="6" w:space="0" w:color="auto"/>
            </w:tcBorders>
            <w:noWrap/>
            <w:vAlign w:val="bottom"/>
          </w:tcPr>
          <w:p w14:paraId="7872AAB5" w14:textId="77777777" w:rsidR="008B6B35" w:rsidRPr="00B71F92" w:rsidRDefault="008B6B35" w:rsidP="00730932">
            <w:pPr>
              <w:spacing w:after="0" w:line="240" w:lineRule="auto"/>
              <w:jc w:val="right"/>
              <w:rPr>
                <w:rFonts w:eastAsia="Times New Roman"/>
                <w:sz w:val="18"/>
                <w:szCs w:val="18"/>
              </w:rPr>
            </w:pPr>
            <w:r w:rsidRPr="00B71F92">
              <w:rPr>
                <w:sz w:val="18"/>
                <w:szCs w:val="18"/>
              </w:rPr>
              <w:t>-1.93</w:t>
            </w:r>
          </w:p>
        </w:tc>
        <w:tc>
          <w:tcPr>
            <w:tcW w:w="153" w:type="pct"/>
            <w:tcBorders>
              <w:top w:val="nil"/>
              <w:left w:val="single" w:sz="6" w:space="0" w:color="auto"/>
              <w:bottom w:val="nil"/>
            </w:tcBorders>
            <w:noWrap/>
            <w:vAlign w:val="center"/>
          </w:tcPr>
          <w:p w14:paraId="620BEB9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E5B14F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07413323" w14:textId="77777777" w:rsidR="008B6B35" w:rsidRPr="00B71F92" w:rsidRDefault="008B6B35" w:rsidP="00730932">
            <w:pPr>
              <w:spacing w:after="0" w:line="240" w:lineRule="auto"/>
              <w:jc w:val="right"/>
              <w:rPr>
                <w:rFonts w:eastAsia="Times New Roman"/>
                <w:sz w:val="18"/>
                <w:szCs w:val="18"/>
              </w:rPr>
            </w:pPr>
            <w:r w:rsidRPr="00B71F92">
              <w:rPr>
                <w:sz w:val="18"/>
                <w:szCs w:val="18"/>
              </w:rPr>
              <w:t>0.58</w:t>
            </w:r>
          </w:p>
        </w:tc>
        <w:tc>
          <w:tcPr>
            <w:tcW w:w="153" w:type="pct"/>
            <w:tcBorders>
              <w:top w:val="nil"/>
              <w:bottom w:val="nil"/>
              <w:right w:val="single" w:sz="6" w:space="0" w:color="auto"/>
            </w:tcBorders>
            <w:noWrap/>
            <w:vAlign w:val="bottom"/>
          </w:tcPr>
          <w:p w14:paraId="6B5377B1" w14:textId="77777777" w:rsidR="008B6B35" w:rsidRPr="00B71F92" w:rsidRDefault="008B6B35" w:rsidP="00730932">
            <w:pPr>
              <w:spacing w:after="0" w:line="240" w:lineRule="auto"/>
              <w:jc w:val="right"/>
              <w:rPr>
                <w:rFonts w:eastAsia="Times New Roman"/>
                <w:sz w:val="18"/>
                <w:szCs w:val="18"/>
              </w:rPr>
            </w:pPr>
            <w:r w:rsidRPr="00B71F92">
              <w:rPr>
                <w:sz w:val="18"/>
                <w:szCs w:val="18"/>
              </w:rPr>
              <w:t>2.26</w:t>
            </w:r>
          </w:p>
        </w:tc>
        <w:tc>
          <w:tcPr>
            <w:tcW w:w="153" w:type="pct"/>
            <w:tcBorders>
              <w:top w:val="nil"/>
              <w:left w:val="single" w:sz="6" w:space="0" w:color="auto"/>
              <w:bottom w:val="nil"/>
            </w:tcBorders>
            <w:noWrap/>
            <w:vAlign w:val="bottom"/>
          </w:tcPr>
          <w:p w14:paraId="7C23A10E" w14:textId="77777777" w:rsidR="008B6B35" w:rsidRPr="00B71F92" w:rsidRDefault="008B6B35" w:rsidP="00730932">
            <w:pPr>
              <w:spacing w:after="0" w:line="240" w:lineRule="auto"/>
              <w:jc w:val="right"/>
              <w:rPr>
                <w:rFonts w:eastAsia="Times New Roman"/>
                <w:sz w:val="18"/>
                <w:szCs w:val="18"/>
              </w:rPr>
            </w:pPr>
            <w:r w:rsidRPr="00B71F92">
              <w:rPr>
                <w:sz w:val="18"/>
                <w:szCs w:val="18"/>
              </w:rPr>
              <w:t>0.48</w:t>
            </w:r>
          </w:p>
        </w:tc>
        <w:tc>
          <w:tcPr>
            <w:tcW w:w="153" w:type="pct"/>
            <w:tcBorders>
              <w:top w:val="nil"/>
              <w:bottom w:val="nil"/>
              <w:right w:val="single" w:sz="6" w:space="0" w:color="auto"/>
            </w:tcBorders>
            <w:noWrap/>
            <w:vAlign w:val="bottom"/>
          </w:tcPr>
          <w:p w14:paraId="7DE69BAE" w14:textId="77777777" w:rsidR="008B6B35" w:rsidRPr="00B71F92" w:rsidRDefault="008B6B35" w:rsidP="00730932">
            <w:pPr>
              <w:spacing w:after="0" w:line="240" w:lineRule="auto"/>
              <w:jc w:val="right"/>
              <w:rPr>
                <w:rFonts w:eastAsia="Times New Roman"/>
                <w:sz w:val="18"/>
                <w:szCs w:val="18"/>
              </w:rPr>
            </w:pPr>
            <w:r w:rsidRPr="00B71F92">
              <w:rPr>
                <w:sz w:val="18"/>
                <w:szCs w:val="18"/>
              </w:rPr>
              <w:t>1.91</w:t>
            </w:r>
          </w:p>
        </w:tc>
        <w:tc>
          <w:tcPr>
            <w:tcW w:w="153" w:type="pct"/>
            <w:tcBorders>
              <w:top w:val="nil"/>
              <w:left w:val="single" w:sz="6" w:space="0" w:color="auto"/>
              <w:bottom w:val="nil"/>
            </w:tcBorders>
            <w:noWrap/>
            <w:vAlign w:val="bottom"/>
          </w:tcPr>
          <w:p w14:paraId="12EF5D52" w14:textId="77777777" w:rsidR="008B6B35" w:rsidRPr="00B71F92" w:rsidRDefault="008B6B35" w:rsidP="00730932">
            <w:pPr>
              <w:spacing w:after="0" w:line="240" w:lineRule="auto"/>
              <w:jc w:val="right"/>
              <w:rPr>
                <w:rFonts w:eastAsia="Times New Roman"/>
                <w:sz w:val="18"/>
                <w:szCs w:val="18"/>
              </w:rPr>
            </w:pPr>
            <w:r w:rsidRPr="00B71F92">
              <w:rPr>
                <w:sz w:val="18"/>
                <w:szCs w:val="18"/>
              </w:rPr>
              <w:t>-0.52</w:t>
            </w:r>
          </w:p>
        </w:tc>
        <w:tc>
          <w:tcPr>
            <w:tcW w:w="153" w:type="pct"/>
            <w:tcBorders>
              <w:top w:val="nil"/>
              <w:bottom w:val="nil"/>
              <w:right w:val="single" w:sz="6" w:space="0" w:color="auto"/>
            </w:tcBorders>
            <w:noWrap/>
            <w:vAlign w:val="bottom"/>
          </w:tcPr>
          <w:p w14:paraId="03DBD70E" w14:textId="77777777" w:rsidR="008B6B35" w:rsidRPr="00B71F92" w:rsidRDefault="008B6B35" w:rsidP="00730932">
            <w:pPr>
              <w:spacing w:after="0" w:line="240" w:lineRule="auto"/>
              <w:jc w:val="right"/>
              <w:rPr>
                <w:rFonts w:eastAsia="Times New Roman"/>
                <w:sz w:val="18"/>
                <w:szCs w:val="18"/>
              </w:rPr>
            </w:pPr>
            <w:r w:rsidRPr="00B71F92">
              <w:rPr>
                <w:sz w:val="18"/>
                <w:szCs w:val="18"/>
              </w:rPr>
              <w:t>-2.41</w:t>
            </w:r>
          </w:p>
        </w:tc>
        <w:tc>
          <w:tcPr>
            <w:tcW w:w="153" w:type="pct"/>
            <w:tcBorders>
              <w:top w:val="nil"/>
              <w:left w:val="single" w:sz="6" w:space="0" w:color="auto"/>
              <w:bottom w:val="nil"/>
            </w:tcBorders>
            <w:noWrap/>
            <w:vAlign w:val="bottom"/>
          </w:tcPr>
          <w:p w14:paraId="23D5D368" w14:textId="77777777" w:rsidR="008B6B35" w:rsidRPr="00B71F92" w:rsidRDefault="008B6B35" w:rsidP="00730932">
            <w:pPr>
              <w:spacing w:after="0" w:line="240" w:lineRule="auto"/>
              <w:jc w:val="right"/>
              <w:rPr>
                <w:rFonts w:eastAsia="Times New Roman"/>
                <w:sz w:val="18"/>
                <w:szCs w:val="18"/>
              </w:rPr>
            </w:pPr>
            <w:r w:rsidRPr="00B71F92">
              <w:rPr>
                <w:sz w:val="18"/>
                <w:szCs w:val="18"/>
              </w:rPr>
              <w:t>-0.72</w:t>
            </w:r>
          </w:p>
        </w:tc>
        <w:tc>
          <w:tcPr>
            <w:tcW w:w="152" w:type="pct"/>
            <w:tcBorders>
              <w:top w:val="nil"/>
              <w:bottom w:val="nil"/>
              <w:right w:val="single" w:sz="6" w:space="0" w:color="auto"/>
            </w:tcBorders>
            <w:noWrap/>
            <w:vAlign w:val="bottom"/>
          </w:tcPr>
          <w:p w14:paraId="5D1C13C6" w14:textId="77777777" w:rsidR="008B6B35" w:rsidRPr="00B71F92" w:rsidRDefault="008B6B35" w:rsidP="00730932">
            <w:pPr>
              <w:spacing w:after="0" w:line="240" w:lineRule="auto"/>
              <w:jc w:val="right"/>
              <w:rPr>
                <w:rFonts w:eastAsia="Times New Roman"/>
                <w:sz w:val="18"/>
                <w:szCs w:val="18"/>
              </w:rPr>
            </w:pPr>
            <w:r w:rsidRPr="00B71F92">
              <w:rPr>
                <w:sz w:val="18"/>
                <w:szCs w:val="18"/>
              </w:rPr>
              <w:t>-2.77</w:t>
            </w:r>
          </w:p>
        </w:tc>
        <w:tc>
          <w:tcPr>
            <w:tcW w:w="153" w:type="pct"/>
            <w:tcBorders>
              <w:top w:val="nil"/>
              <w:left w:val="single" w:sz="6" w:space="0" w:color="auto"/>
              <w:bottom w:val="nil"/>
            </w:tcBorders>
            <w:noWrap/>
            <w:vAlign w:val="center"/>
          </w:tcPr>
          <w:p w14:paraId="192F685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4AC2FAD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51EFD0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0DCC77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30DDBBC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578E7E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A6579D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3201463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bottom"/>
          </w:tcPr>
          <w:p w14:paraId="75EF7C87" w14:textId="77777777" w:rsidR="008B6B35" w:rsidRPr="00B71F92" w:rsidRDefault="008B6B35" w:rsidP="00730932">
            <w:pPr>
              <w:spacing w:after="0" w:line="240" w:lineRule="auto"/>
              <w:jc w:val="right"/>
              <w:rPr>
                <w:rFonts w:eastAsia="Times New Roman"/>
                <w:sz w:val="18"/>
                <w:szCs w:val="18"/>
              </w:rPr>
            </w:pPr>
            <w:r w:rsidRPr="00B71F92">
              <w:rPr>
                <w:sz w:val="18"/>
                <w:szCs w:val="18"/>
              </w:rPr>
              <w:t>0.35</w:t>
            </w:r>
          </w:p>
        </w:tc>
        <w:tc>
          <w:tcPr>
            <w:tcW w:w="206" w:type="pct"/>
            <w:tcBorders>
              <w:top w:val="nil"/>
              <w:bottom w:val="nil"/>
            </w:tcBorders>
            <w:vAlign w:val="bottom"/>
          </w:tcPr>
          <w:p w14:paraId="7F892AFE" w14:textId="77777777" w:rsidR="008B6B35" w:rsidRPr="00B71F92" w:rsidRDefault="008B6B35" w:rsidP="00730932">
            <w:pPr>
              <w:spacing w:after="0" w:line="240" w:lineRule="auto"/>
              <w:jc w:val="right"/>
              <w:rPr>
                <w:rFonts w:eastAsia="Times New Roman"/>
                <w:sz w:val="18"/>
                <w:szCs w:val="18"/>
              </w:rPr>
            </w:pPr>
            <w:r w:rsidRPr="00B71F92">
              <w:rPr>
                <w:sz w:val="18"/>
                <w:szCs w:val="18"/>
              </w:rPr>
              <w:t>2.82</w:t>
            </w:r>
          </w:p>
        </w:tc>
      </w:tr>
      <w:tr w:rsidR="008B6B35" w:rsidRPr="00B71F92" w14:paraId="6DC438B2" w14:textId="77777777" w:rsidTr="002F5607">
        <w:trPr>
          <w:trHeight w:val="230"/>
          <w:jc w:val="center"/>
        </w:trPr>
        <w:tc>
          <w:tcPr>
            <w:tcW w:w="1221" w:type="pct"/>
            <w:tcBorders>
              <w:top w:val="nil"/>
              <w:bottom w:val="nil"/>
              <w:right w:val="single" w:sz="12" w:space="0" w:color="auto"/>
            </w:tcBorders>
            <w:noWrap/>
            <w:vAlign w:val="center"/>
            <w:hideMark/>
          </w:tcPr>
          <w:p w14:paraId="4F8BCF60"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5-11 * 2021 Shift</w:t>
            </w:r>
          </w:p>
        </w:tc>
        <w:tc>
          <w:tcPr>
            <w:tcW w:w="171" w:type="pct"/>
            <w:tcBorders>
              <w:top w:val="nil"/>
              <w:left w:val="single" w:sz="12" w:space="0" w:color="auto"/>
              <w:bottom w:val="nil"/>
            </w:tcBorders>
            <w:noWrap/>
            <w:vAlign w:val="center"/>
            <w:hideMark/>
          </w:tcPr>
          <w:p w14:paraId="419F6F0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12" w:space="0" w:color="auto"/>
            </w:tcBorders>
            <w:noWrap/>
            <w:vAlign w:val="center"/>
            <w:hideMark/>
          </w:tcPr>
          <w:p w14:paraId="1C73B25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1D8CA58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37B7905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82991C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DCA6B4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2981DFBA" w14:textId="77777777" w:rsidR="008B6B35" w:rsidRPr="00B71F92" w:rsidRDefault="008B6B35" w:rsidP="00730932">
            <w:pPr>
              <w:spacing w:after="0" w:line="240" w:lineRule="auto"/>
              <w:jc w:val="right"/>
              <w:rPr>
                <w:rFonts w:eastAsia="Times New Roman"/>
                <w:sz w:val="18"/>
                <w:szCs w:val="18"/>
              </w:rPr>
            </w:pPr>
            <w:r w:rsidRPr="00B71F92">
              <w:rPr>
                <w:sz w:val="18"/>
                <w:szCs w:val="18"/>
              </w:rPr>
              <w:t>-0.47</w:t>
            </w:r>
          </w:p>
        </w:tc>
        <w:tc>
          <w:tcPr>
            <w:tcW w:w="153" w:type="pct"/>
            <w:tcBorders>
              <w:top w:val="nil"/>
              <w:bottom w:val="nil"/>
              <w:right w:val="single" w:sz="6" w:space="0" w:color="auto"/>
            </w:tcBorders>
            <w:noWrap/>
            <w:vAlign w:val="bottom"/>
          </w:tcPr>
          <w:p w14:paraId="7670BC1B" w14:textId="77777777" w:rsidR="008B6B35" w:rsidRPr="00B71F92" w:rsidRDefault="008B6B35" w:rsidP="00730932">
            <w:pPr>
              <w:spacing w:after="0" w:line="240" w:lineRule="auto"/>
              <w:jc w:val="right"/>
              <w:rPr>
                <w:rFonts w:eastAsia="Times New Roman"/>
                <w:sz w:val="18"/>
                <w:szCs w:val="18"/>
              </w:rPr>
            </w:pPr>
            <w:r w:rsidRPr="00B71F92">
              <w:rPr>
                <w:sz w:val="18"/>
                <w:szCs w:val="18"/>
              </w:rPr>
              <w:t>-2.15</w:t>
            </w:r>
          </w:p>
        </w:tc>
        <w:tc>
          <w:tcPr>
            <w:tcW w:w="153" w:type="pct"/>
            <w:tcBorders>
              <w:top w:val="nil"/>
              <w:left w:val="single" w:sz="6" w:space="0" w:color="auto"/>
              <w:bottom w:val="nil"/>
            </w:tcBorders>
            <w:noWrap/>
            <w:vAlign w:val="bottom"/>
          </w:tcPr>
          <w:p w14:paraId="5DED5A55" w14:textId="77777777" w:rsidR="008B6B35" w:rsidRPr="00B71F92" w:rsidRDefault="008B6B35" w:rsidP="00730932">
            <w:pPr>
              <w:spacing w:after="0" w:line="240" w:lineRule="auto"/>
              <w:jc w:val="right"/>
              <w:rPr>
                <w:rFonts w:eastAsia="Times New Roman"/>
                <w:sz w:val="18"/>
                <w:szCs w:val="18"/>
              </w:rPr>
            </w:pPr>
            <w:r w:rsidRPr="00B71F92">
              <w:rPr>
                <w:sz w:val="18"/>
                <w:szCs w:val="18"/>
              </w:rPr>
              <w:t>-0.39</w:t>
            </w:r>
          </w:p>
        </w:tc>
        <w:tc>
          <w:tcPr>
            <w:tcW w:w="153" w:type="pct"/>
            <w:tcBorders>
              <w:top w:val="nil"/>
              <w:bottom w:val="nil"/>
              <w:right w:val="single" w:sz="6" w:space="0" w:color="auto"/>
            </w:tcBorders>
            <w:noWrap/>
            <w:vAlign w:val="bottom"/>
          </w:tcPr>
          <w:p w14:paraId="75AF58E6" w14:textId="77777777" w:rsidR="008B6B35" w:rsidRPr="00B71F92" w:rsidRDefault="008B6B35" w:rsidP="00730932">
            <w:pPr>
              <w:spacing w:after="0" w:line="240" w:lineRule="auto"/>
              <w:jc w:val="right"/>
              <w:rPr>
                <w:rFonts w:eastAsia="Times New Roman"/>
                <w:sz w:val="18"/>
                <w:szCs w:val="18"/>
              </w:rPr>
            </w:pPr>
            <w:r w:rsidRPr="00B71F92">
              <w:rPr>
                <w:sz w:val="18"/>
                <w:szCs w:val="18"/>
              </w:rPr>
              <w:t>-2.10</w:t>
            </w:r>
          </w:p>
        </w:tc>
        <w:tc>
          <w:tcPr>
            <w:tcW w:w="153" w:type="pct"/>
            <w:tcBorders>
              <w:top w:val="nil"/>
              <w:left w:val="single" w:sz="6" w:space="0" w:color="auto"/>
              <w:bottom w:val="nil"/>
            </w:tcBorders>
            <w:noWrap/>
            <w:vAlign w:val="center"/>
          </w:tcPr>
          <w:p w14:paraId="62F2709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9D5D5E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B7AD2B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61F3406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4BFA7B9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6365522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410EC398" w14:textId="77777777" w:rsidR="008B6B35" w:rsidRPr="00B71F92" w:rsidRDefault="008B6B35" w:rsidP="00730932">
            <w:pPr>
              <w:spacing w:after="0" w:line="240" w:lineRule="auto"/>
              <w:jc w:val="right"/>
              <w:rPr>
                <w:rFonts w:eastAsia="Times New Roman"/>
                <w:sz w:val="18"/>
                <w:szCs w:val="18"/>
              </w:rPr>
            </w:pPr>
            <w:r w:rsidRPr="00B71F92">
              <w:rPr>
                <w:sz w:val="18"/>
                <w:szCs w:val="18"/>
              </w:rPr>
              <w:t>-0.32</w:t>
            </w:r>
          </w:p>
        </w:tc>
        <w:tc>
          <w:tcPr>
            <w:tcW w:w="153" w:type="pct"/>
            <w:tcBorders>
              <w:top w:val="nil"/>
              <w:bottom w:val="nil"/>
              <w:right w:val="single" w:sz="6" w:space="0" w:color="auto"/>
            </w:tcBorders>
            <w:noWrap/>
            <w:vAlign w:val="bottom"/>
          </w:tcPr>
          <w:p w14:paraId="6E7274FC" w14:textId="77777777" w:rsidR="008B6B35" w:rsidRPr="00B71F92" w:rsidRDefault="008B6B35" w:rsidP="00730932">
            <w:pPr>
              <w:spacing w:after="0" w:line="240" w:lineRule="auto"/>
              <w:jc w:val="right"/>
              <w:rPr>
                <w:rFonts w:eastAsia="Times New Roman"/>
                <w:sz w:val="18"/>
                <w:szCs w:val="18"/>
              </w:rPr>
            </w:pPr>
            <w:r w:rsidRPr="00B71F92">
              <w:rPr>
                <w:sz w:val="18"/>
                <w:szCs w:val="18"/>
              </w:rPr>
              <w:t>-2.05</w:t>
            </w:r>
          </w:p>
        </w:tc>
        <w:tc>
          <w:tcPr>
            <w:tcW w:w="153" w:type="pct"/>
            <w:tcBorders>
              <w:top w:val="nil"/>
              <w:left w:val="single" w:sz="6" w:space="0" w:color="auto"/>
              <w:bottom w:val="nil"/>
            </w:tcBorders>
            <w:noWrap/>
            <w:vAlign w:val="center"/>
          </w:tcPr>
          <w:p w14:paraId="37FECE6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541EE3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D5C537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29FA47B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019DB7E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1AA602C0" w14:textId="77777777" w:rsidR="008B6B35" w:rsidRPr="00B71F92" w:rsidRDefault="008B6B35" w:rsidP="00730932">
            <w:pPr>
              <w:spacing w:after="0" w:line="240" w:lineRule="auto"/>
              <w:jc w:val="right"/>
              <w:rPr>
                <w:rFonts w:eastAsia="Times New Roman"/>
                <w:sz w:val="18"/>
                <w:szCs w:val="18"/>
              </w:rPr>
            </w:pPr>
          </w:p>
        </w:tc>
      </w:tr>
      <w:tr w:rsidR="008B6B35" w:rsidRPr="00B71F92" w14:paraId="21C7FBF3" w14:textId="77777777" w:rsidTr="002F5607">
        <w:trPr>
          <w:trHeight w:val="230"/>
          <w:jc w:val="center"/>
        </w:trPr>
        <w:tc>
          <w:tcPr>
            <w:tcW w:w="1221" w:type="pct"/>
            <w:tcBorders>
              <w:top w:val="nil"/>
              <w:bottom w:val="nil"/>
              <w:right w:val="single" w:sz="12" w:space="0" w:color="auto"/>
            </w:tcBorders>
            <w:noWrap/>
            <w:vAlign w:val="center"/>
            <w:hideMark/>
          </w:tcPr>
          <w:p w14:paraId="1BBFEBCE"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5-11 * 2023 Shift</w:t>
            </w:r>
          </w:p>
        </w:tc>
        <w:tc>
          <w:tcPr>
            <w:tcW w:w="171" w:type="pct"/>
            <w:tcBorders>
              <w:top w:val="nil"/>
              <w:left w:val="single" w:sz="12" w:space="0" w:color="auto"/>
              <w:bottom w:val="nil"/>
            </w:tcBorders>
            <w:noWrap/>
            <w:vAlign w:val="center"/>
            <w:hideMark/>
          </w:tcPr>
          <w:p w14:paraId="2CC605B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12" w:space="0" w:color="auto"/>
            </w:tcBorders>
            <w:noWrap/>
            <w:vAlign w:val="center"/>
            <w:hideMark/>
          </w:tcPr>
          <w:p w14:paraId="43D5388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nil"/>
            </w:tcBorders>
            <w:noWrap/>
            <w:vAlign w:val="center"/>
          </w:tcPr>
          <w:p w14:paraId="65E796F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0096A95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2EEA556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EDA329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43D4CE92" w14:textId="77777777" w:rsidR="008B6B35" w:rsidRPr="00B71F92" w:rsidRDefault="008B6B35" w:rsidP="00730932">
            <w:pPr>
              <w:spacing w:after="0" w:line="240" w:lineRule="auto"/>
              <w:jc w:val="right"/>
              <w:rPr>
                <w:rFonts w:eastAsia="Times New Roman"/>
                <w:sz w:val="18"/>
                <w:szCs w:val="18"/>
              </w:rPr>
            </w:pPr>
            <w:r w:rsidRPr="00B71F92">
              <w:rPr>
                <w:sz w:val="18"/>
                <w:szCs w:val="18"/>
              </w:rPr>
              <w:t>-0.56</w:t>
            </w:r>
          </w:p>
        </w:tc>
        <w:tc>
          <w:tcPr>
            <w:tcW w:w="153" w:type="pct"/>
            <w:tcBorders>
              <w:top w:val="nil"/>
              <w:bottom w:val="nil"/>
              <w:right w:val="single" w:sz="6" w:space="0" w:color="auto"/>
            </w:tcBorders>
            <w:noWrap/>
            <w:vAlign w:val="bottom"/>
          </w:tcPr>
          <w:p w14:paraId="5605A050" w14:textId="77777777" w:rsidR="008B6B35" w:rsidRPr="00B71F92" w:rsidRDefault="008B6B35" w:rsidP="00730932">
            <w:pPr>
              <w:spacing w:after="0" w:line="240" w:lineRule="auto"/>
              <w:jc w:val="right"/>
              <w:rPr>
                <w:rFonts w:eastAsia="Times New Roman"/>
                <w:sz w:val="18"/>
                <w:szCs w:val="18"/>
              </w:rPr>
            </w:pPr>
            <w:r w:rsidRPr="00B71F92">
              <w:rPr>
                <w:sz w:val="18"/>
                <w:szCs w:val="18"/>
              </w:rPr>
              <w:t>-1.66</w:t>
            </w:r>
          </w:p>
        </w:tc>
        <w:tc>
          <w:tcPr>
            <w:tcW w:w="153" w:type="pct"/>
            <w:tcBorders>
              <w:top w:val="nil"/>
              <w:left w:val="single" w:sz="6" w:space="0" w:color="auto"/>
              <w:bottom w:val="nil"/>
            </w:tcBorders>
            <w:noWrap/>
            <w:vAlign w:val="center"/>
          </w:tcPr>
          <w:p w14:paraId="30E3FEC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5B1A00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A5461C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2376B6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320281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6" w:space="0" w:color="auto"/>
            </w:tcBorders>
            <w:noWrap/>
            <w:vAlign w:val="center"/>
          </w:tcPr>
          <w:p w14:paraId="33AF7DE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6E7E0EE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750EF47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9C60BF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DC6EC1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735CCA0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9BF894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401F95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6AC7D10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center"/>
          </w:tcPr>
          <w:p w14:paraId="0EA9EF0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nil"/>
            </w:tcBorders>
            <w:vAlign w:val="center"/>
          </w:tcPr>
          <w:p w14:paraId="2842B289" w14:textId="77777777" w:rsidR="008B6B35" w:rsidRPr="00B71F92" w:rsidRDefault="008B6B35" w:rsidP="00730932">
            <w:pPr>
              <w:spacing w:after="0" w:line="240" w:lineRule="auto"/>
              <w:jc w:val="right"/>
              <w:rPr>
                <w:rFonts w:eastAsia="Times New Roman"/>
                <w:sz w:val="18"/>
                <w:szCs w:val="18"/>
              </w:rPr>
            </w:pPr>
          </w:p>
        </w:tc>
      </w:tr>
      <w:tr w:rsidR="008B6B35" w:rsidRPr="00B71F92" w14:paraId="435D1713" w14:textId="77777777" w:rsidTr="002F5607">
        <w:trPr>
          <w:trHeight w:val="230"/>
          <w:jc w:val="center"/>
        </w:trPr>
        <w:tc>
          <w:tcPr>
            <w:tcW w:w="1221" w:type="pct"/>
            <w:tcBorders>
              <w:top w:val="nil"/>
              <w:bottom w:val="nil"/>
              <w:right w:val="single" w:sz="12" w:space="0" w:color="auto"/>
            </w:tcBorders>
            <w:noWrap/>
            <w:vAlign w:val="center"/>
            <w:hideMark/>
          </w:tcPr>
          <w:p w14:paraId="10196C60"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12-17</w:t>
            </w:r>
          </w:p>
        </w:tc>
        <w:tc>
          <w:tcPr>
            <w:tcW w:w="171" w:type="pct"/>
            <w:tcBorders>
              <w:top w:val="nil"/>
              <w:left w:val="single" w:sz="12" w:space="0" w:color="auto"/>
              <w:bottom w:val="nil"/>
            </w:tcBorders>
            <w:noWrap/>
            <w:vAlign w:val="bottom"/>
            <w:hideMark/>
          </w:tcPr>
          <w:p w14:paraId="3A5F6336"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5" w:type="pct"/>
            <w:tcBorders>
              <w:top w:val="nil"/>
              <w:bottom w:val="nil"/>
              <w:right w:val="single" w:sz="12" w:space="0" w:color="auto"/>
            </w:tcBorders>
            <w:noWrap/>
            <w:vAlign w:val="bottom"/>
            <w:hideMark/>
          </w:tcPr>
          <w:p w14:paraId="786DDB44" w14:textId="77777777" w:rsidR="008B6B35" w:rsidRPr="00B71F92" w:rsidRDefault="008B6B35" w:rsidP="00730932">
            <w:pPr>
              <w:spacing w:after="0" w:line="240" w:lineRule="auto"/>
              <w:jc w:val="right"/>
              <w:rPr>
                <w:rFonts w:eastAsia="Times New Roman"/>
                <w:sz w:val="18"/>
                <w:szCs w:val="18"/>
              </w:rPr>
            </w:pPr>
            <w:r w:rsidRPr="00B71F92">
              <w:rPr>
                <w:sz w:val="18"/>
                <w:szCs w:val="18"/>
              </w:rPr>
              <w:t>-4.58</w:t>
            </w:r>
          </w:p>
        </w:tc>
        <w:tc>
          <w:tcPr>
            <w:tcW w:w="153" w:type="pct"/>
            <w:tcBorders>
              <w:top w:val="nil"/>
              <w:left w:val="single" w:sz="12" w:space="0" w:color="auto"/>
              <w:bottom w:val="nil"/>
            </w:tcBorders>
            <w:noWrap/>
            <w:vAlign w:val="center"/>
          </w:tcPr>
          <w:p w14:paraId="2981B8F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nil"/>
              <w:right w:val="single" w:sz="6" w:space="0" w:color="auto"/>
            </w:tcBorders>
            <w:noWrap/>
            <w:vAlign w:val="center"/>
          </w:tcPr>
          <w:p w14:paraId="70A0A52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DEBC9F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9AEEC3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6A875F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7C1330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19CE9DC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686E0A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bottom"/>
          </w:tcPr>
          <w:p w14:paraId="1F6499CB" w14:textId="77777777" w:rsidR="008B6B35" w:rsidRPr="00B71F92" w:rsidRDefault="008B6B35" w:rsidP="00730932">
            <w:pPr>
              <w:spacing w:after="0" w:line="240" w:lineRule="auto"/>
              <w:jc w:val="right"/>
              <w:rPr>
                <w:rFonts w:eastAsia="Times New Roman"/>
                <w:sz w:val="18"/>
                <w:szCs w:val="18"/>
              </w:rPr>
            </w:pPr>
            <w:r w:rsidRPr="00B71F92">
              <w:rPr>
                <w:sz w:val="18"/>
                <w:szCs w:val="18"/>
              </w:rPr>
              <w:t>-0.52</w:t>
            </w:r>
          </w:p>
        </w:tc>
        <w:tc>
          <w:tcPr>
            <w:tcW w:w="153" w:type="pct"/>
            <w:tcBorders>
              <w:top w:val="nil"/>
              <w:bottom w:val="nil"/>
              <w:right w:val="single" w:sz="6" w:space="0" w:color="auto"/>
            </w:tcBorders>
            <w:noWrap/>
            <w:vAlign w:val="bottom"/>
          </w:tcPr>
          <w:p w14:paraId="716CCCA5" w14:textId="77777777" w:rsidR="008B6B35" w:rsidRPr="00B71F92" w:rsidRDefault="008B6B35" w:rsidP="00730932">
            <w:pPr>
              <w:spacing w:after="0" w:line="240" w:lineRule="auto"/>
              <w:jc w:val="right"/>
              <w:rPr>
                <w:rFonts w:eastAsia="Times New Roman"/>
                <w:sz w:val="18"/>
                <w:szCs w:val="18"/>
              </w:rPr>
            </w:pPr>
            <w:r w:rsidRPr="00B71F92">
              <w:rPr>
                <w:sz w:val="18"/>
                <w:szCs w:val="18"/>
              </w:rPr>
              <w:t>-2.41</w:t>
            </w:r>
          </w:p>
        </w:tc>
        <w:tc>
          <w:tcPr>
            <w:tcW w:w="153" w:type="pct"/>
            <w:tcBorders>
              <w:top w:val="nil"/>
              <w:left w:val="single" w:sz="6" w:space="0" w:color="auto"/>
              <w:bottom w:val="nil"/>
            </w:tcBorders>
            <w:noWrap/>
            <w:vAlign w:val="bottom"/>
          </w:tcPr>
          <w:p w14:paraId="75F3D637" w14:textId="77777777" w:rsidR="008B6B35" w:rsidRPr="00B71F92" w:rsidRDefault="008B6B35" w:rsidP="00730932">
            <w:pPr>
              <w:spacing w:after="0" w:line="240" w:lineRule="auto"/>
              <w:jc w:val="right"/>
              <w:rPr>
                <w:rFonts w:eastAsia="Times New Roman"/>
                <w:sz w:val="18"/>
                <w:szCs w:val="18"/>
              </w:rPr>
            </w:pPr>
            <w:r w:rsidRPr="00B71F92">
              <w:rPr>
                <w:sz w:val="18"/>
                <w:szCs w:val="18"/>
              </w:rPr>
              <w:t>-0.72</w:t>
            </w:r>
          </w:p>
        </w:tc>
        <w:tc>
          <w:tcPr>
            <w:tcW w:w="152" w:type="pct"/>
            <w:tcBorders>
              <w:top w:val="nil"/>
              <w:bottom w:val="nil"/>
              <w:right w:val="single" w:sz="6" w:space="0" w:color="auto"/>
            </w:tcBorders>
            <w:noWrap/>
            <w:vAlign w:val="bottom"/>
          </w:tcPr>
          <w:p w14:paraId="266DFAFC" w14:textId="77777777" w:rsidR="008B6B35" w:rsidRPr="00B71F92" w:rsidRDefault="008B6B35" w:rsidP="00730932">
            <w:pPr>
              <w:spacing w:after="0" w:line="240" w:lineRule="auto"/>
              <w:jc w:val="right"/>
              <w:rPr>
                <w:rFonts w:eastAsia="Times New Roman"/>
                <w:sz w:val="18"/>
                <w:szCs w:val="18"/>
              </w:rPr>
            </w:pPr>
            <w:r w:rsidRPr="00B71F92">
              <w:rPr>
                <w:sz w:val="18"/>
                <w:szCs w:val="18"/>
              </w:rPr>
              <w:t>-2.77</w:t>
            </w:r>
          </w:p>
        </w:tc>
        <w:tc>
          <w:tcPr>
            <w:tcW w:w="153" w:type="pct"/>
            <w:tcBorders>
              <w:top w:val="nil"/>
              <w:left w:val="single" w:sz="6" w:space="0" w:color="auto"/>
              <w:bottom w:val="nil"/>
            </w:tcBorders>
            <w:noWrap/>
            <w:vAlign w:val="center"/>
          </w:tcPr>
          <w:p w14:paraId="64426AE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nil"/>
              <w:right w:val="single" w:sz="6" w:space="0" w:color="auto"/>
            </w:tcBorders>
            <w:noWrap/>
            <w:vAlign w:val="center"/>
          </w:tcPr>
          <w:p w14:paraId="630B826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4B96472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F34F45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0D8F996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8FC194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nil"/>
            </w:tcBorders>
            <w:noWrap/>
            <w:vAlign w:val="center"/>
          </w:tcPr>
          <w:p w14:paraId="5A624FA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8" w:space="0" w:color="auto"/>
            </w:tcBorders>
            <w:noWrap/>
            <w:vAlign w:val="center"/>
          </w:tcPr>
          <w:p w14:paraId="0896562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nil"/>
            </w:tcBorders>
            <w:vAlign w:val="bottom"/>
          </w:tcPr>
          <w:p w14:paraId="0A737DD2" w14:textId="77777777" w:rsidR="008B6B35" w:rsidRPr="00B71F92" w:rsidRDefault="008B6B35" w:rsidP="00730932">
            <w:pPr>
              <w:spacing w:after="0" w:line="240" w:lineRule="auto"/>
              <w:jc w:val="right"/>
              <w:rPr>
                <w:rFonts w:eastAsia="Times New Roman"/>
                <w:sz w:val="18"/>
                <w:szCs w:val="18"/>
              </w:rPr>
            </w:pPr>
            <w:r w:rsidRPr="00B71F92">
              <w:rPr>
                <w:sz w:val="18"/>
                <w:szCs w:val="18"/>
              </w:rPr>
              <w:t>0.35</w:t>
            </w:r>
          </w:p>
        </w:tc>
        <w:tc>
          <w:tcPr>
            <w:tcW w:w="206" w:type="pct"/>
            <w:tcBorders>
              <w:top w:val="nil"/>
              <w:bottom w:val="nil"/>
            </w:tcBorders>
            <w:vAlign w:val="bottom"/>
          </w:tcPr>
          <w:p w14:paraId="0BAE937F" w14:textId="77777777" w:rsidR="008B6B35" w:rsidRPr="00B71F92" w:rsidRDefault="008B6B35" w:rsidP="00730932">
            <w:pPr>
              <w:spacing w:after="0" w:line="240" w:lineRule="auto"/>
              <w:jc w:val="right"/>
              <w:rPr>
                <w:rFonts w:eastAsia="Times New Roman"/>
                <w:sz w:val="18"/>
                <w:szCs w:val="18"/>
              </w:rPr>
            </w:pPr>
            <w:r w:rsidRPr="00B71F92">
              <w:rPr>
                <w:sz w:val="18"/>
                <w:szCs w:val="18"/>
              </w:rPr>
              <w:t>2.82</w:t>
            </w:r>
          </w:p>
        </w:tc>
      </w:tr>
      <w:tr w:rsidR="008B6B35" w:rsidRPr="00B71F92" w14:paraId="1757E848" w14:textId="77777777" w:rsidTr="002F5607">
        <w:trPr>
          <w:trHeight w:val="230"/>
          <w:jc w:val="center"/>
        </w:trPr>
        <w:tc>
          <w:tcPr>
            <w:tcW w:w="1221" w:type="pct"/>
            <w:tcBorders>
              <w:top w:val="nil"/>
              <w:bottom w:val="single" w:sz="12" w:space="0" w:color="auto"/>
              <w:right w:val="single" w:sz="12" w:space="0" w:color="auto"/>
            </w:tcBorders>
            <w:noWrap/>
            <w:vAlign w:val="center"/>
            <w:hideMark/>
          </w:tcPr>
          <w:p w14:paraId="654B069F"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Children aged 12-17 * 2021 Shift</w:t>
            </w:r>
          </w:p>
        </w:tc>
        <w:tc>
          <w:tcPr>
            <w:tcW w:w="171" w:type="pct"/>
            <w:tcBorders>
              <w:top w:val="nil"/>
              <w:left w:val="single" w:sz="12" w:space="0" w:color="auto"/>
              <w:bottom w:val="single" w:sz="12" w:space="0" w:color="auto"/>
            </w:tcBorders>
            <w:noWrap/>
            <w:vAlign w:val="center"/>
            <w:hideMark/>
          </w:tcPr>
          <w:p w14:paraId="0A49EFF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single" w:sz="12" w:space="0" w:color="auto"/>
              <w:right w:val="single" w:sz="12" w:space="0" w:color="auto"/>
            </w:tcBorders>
            <w:noWrap/>
            <w:vAlign w:val="center"/>
            <w:hideMark/>
          </w:tcPr>
          <w:p w14:paraId="51885171"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12" w:space="0" w:color="auto"/>
              <w:bottom w:val="single" w:sz="12" w:space="0" w:color="auto"/>
            </w:tcBorders>
            <w:noWrap/>
            <w:vAlign w:val="center"/>
          </w:tcPr>
          <w:p w14:paraId="75A92D0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6" w:type="pct"/>
            <w:tcBorders>
              <w:top w:val="nil"/>
              <w:bottom w:val="single" w:sz="12" w:space="0" w:color="auto"/>
              <w:right w:val="single" w:sz="6" w:space="0" w:color="auto"/>
            </w:tcBorders>
            <w:noWrap/>
            <w:vAlign w:val="center"/>
          </w:tcPr>
          <w:p w14:paraId="76320CC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center"/>
          </w:tcPr>
          <w:p w14:paraId="792061C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6A54713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center"/>
          </w:tcPr>
          <w:p w14:paraId="4487A43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22B4BBE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center"/>
          </w:tcPr>
          <w:p w14:paraId="0A98B36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1F2667C2"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center"/>
          </w:tcPr>
          <w:p w14:paraId="1F6736F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55B3C7F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center"/>
          </w:tcPr>
          <w:p w14:paraId="6D0B37B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single" w:sz="12" w:space="0" w:color="auto"/>
              <w:right w:val="single" w:sz="6" w:space="0" w:color="auto"/>
            </w:tcBorders>
            <w:noWrap/>
            <w:vAlign w:val="center"/>
          </w:tcPr>
          <w:p w14:paraId="6264E096"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center"/>
          </w:tcPr>
          <w:p w14:paraId="5308BF6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6" w:type="pct"/>
            <w:tcBorders>
              <w:top w:val="nil"/>
              <w:bottom w:val="single" w:sz="12" w:space="0" w:color="auto"/>
              <w:right w:val="single" w:sz="6" w:space="0" w:color="auto"/>
            </w:tcBorders>
            <w:noWrap/>
            <w:vAlign w:val="center"/>
          </w:tcPr>
          <w:p w14:paraId="11A45F6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vAlign w:val="bottom"/>
          </w:tcPr>
          <w:p w14:paraId="69ED1C6E" w14:textId="77777777" w:rsidR="008B6B35" w:rsidRPr="00B71F92" w:rsidRDefault="008B6B35" w:rsidP="00730932">
            <w:pPr>
              <w:spacing w:after="0" w:line="240" w:lineRule="auto"/>
              <w:jc w:val="right"/>
              <w:rPr>
                <w:rFonts w:eastAsia="Times New Roman"/>
                <w:sz w:val="18"/>
                <w:szCs w:val="18"/>
              </w:rPr>
            </w:pPr>
            <w:r w:rsidRPr="00B71F92">
              <w:rPr>
                <w:sz w:val="18"/>
                <w:szCs w:val="18"/>
              </w:rPr>
              <w:t>-0.32</w:t>
            </w:r>
          </w:p>
        </w:tc>
        <w:tc>
          <w:tcPr>
            <w:tcW w:w="153" w:type="pct"/>
            <w:tcBorders>
              <w:top w:val="nil"/>
              <w:bottom w:val="single" w:sz="12" w:space="0" w:color="auto"/>
              <w:right w:val="single" w:sz="6" w:space="0" w:color="auto"/>
            </w:tcBorders>
            <w:noWrap/>
            <w:vAlign w:val="bottom"/>
          </w:tcPr>
          <w:p w14:paraId="48688745" w14:textId="77777777" w:rsidR="008B6B35" w:rsidRPr="00B71F92" w:rsidRDefault="008B6B35" w:rsidP="00730932">
            <w:pPr>
              <w:spacing w:after="0" w:line="240" w:lineRule="auto"/>
              <w:jc w:val="right"/>
              <w:rPr>
                <w:rFonts w:eastAsia="Times New Roman"/>
                <w:sz w:val="18"/>
                <w:szCs w:val="18"/>
              </w:rPr>
            </w:pPr>
            <w:r w:rsidRPr="00B71F92">
              <w:rPr>
                <w:sz w:val="18"/>
                <w:szCs w:val="18"/>
              </w:rPr>
              <w:t>-2.05</w:t>
            </w:r>
          </w:p>
        </w:tc>
        <w:tc>
          <w:tcPr>
            <w:tcW w:w="153" w:type="pct"/>
            <w:tcBorders>
              <w:top w:val="nil"/>
              <w:left w:val="single" w:sz="6" w:space="0" w:color="auto"/>
              <w:bottom w:val="single" w:sz="12" w:space="0" w:color="auto"/>
            </w:tcBorders>
            <w:noWrap/>
            <w:vAlign w:val="center"/>
          </w:tcPr>
          <w:p w14:paraId="6D1A3DB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22BE01D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6" w:space="0" w:color="auto"/>
              <w:bottom w:val="single" w:sz="12" w:space="0" w:color="auto"/>
            </w:tcBorders>
            <w:noWrap/>
            <w:vAlign w:val="center"/>
          </w:tcPr>
          <w:p w14:paraId="6E59CB8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8" w:space="0" w:color="auto"/>
            </w:tcBorders>
            <w:noWrap/>
            <w:vAlign w:val="center"/>
          </w:tcPr>
          <w:p w14:paraId="05E2EBB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left w:val="single" w:sz="8" w:space="0" w:color="auto"/>
              <w:bottom w:val="single" w:sz="12" w:space="0" w:color="auto"/>
            </w:tcBorders>
            <w:vAlign w:val="center"/>
          </w:tcPr>
          <w:p w14:paraId="6D7A93E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206" w:type="pct"/>
            <w:tcBorders>
              <w:top w:val="nil"/>
              <w:bottom w:val="single" w:sz="12" w:space="0" w:color="auto"/>
            </w:tcBorders>
            <w:vAlign w:val="center"/>
          </w:tcPr>
          <w:p w14:paraId="128870B1" w14:textId="77777777" w:rsidR="008B6B35" w:rsidRPr="00B71F92" w:rsidRDefault="008B6B35" w:rsidP="00730932">
            <w:pPr>
              <w:spacing w:after="0" w:line="240" w:lineRule="auto"/>
              <w:jc w:val="right"/>
              <w:rPr>
                <w:rFonts w:eastAsia="Times New Roman"/>
                <w:sz w:val="18"/>
                <w:szCs w:val="18"/>
              </w:rPr>
            </w:pPr>
          </w:p>
        </w:tc>
      </w:tr>
    </w:tbl>
    <w:p w14:paraId="2276CB8E" w14:textId="77777777" w:rsidR="008B6B35" w:rsidRPr="00B71F92" w:rsidRDefault="008B6B35" w:rsidP="008B6B35">
      <w:pPr>
        <w:spacing w:after="0" w:line="240" w:lineRule="auto"/>
        <w:jc w:val="both"/>
        <w:rPr>
          <w:b/>
          <w:bCs/>
        </w:rPr>
      </w:pPr>
    </w:p>
    <w:p w14:paraId="426BBF4F" w14:textId="77777777" w:rsidR="008B6B35" w:rsidRPr="00B71F92" w:rsidRDefault="008B6B35" w:rsidP="008B6B35">
      <w:pPr>
        <w:rPr>
          <w:b/>
          <w:bCs/>
        </w:rPr>
      </w:pPr>
      <w:r w:rsidRPr="00B71F92">
        <w:rPr>
          <w:b/>
          <w:bCs/>
        </w:rPr>
        <w:br w:type="page"/>
      </w:r>
    </w:p>
    <w:p w14:paraId="4DF867C8" w14:textId="2D694A64" w:rsidR="008B6B35" w:rsidRPr="00B71F92" w:rsidRDefault="008B6B35" w:rsidP="002F5607">
      <w:pPr>
        <w:spacing w:after="120" w:line="240" w:lineRule="auto"/>
        <w:jc w:val="both"/>
        <w:rPr>
          <w:b/>
          <w:bCs/>
        </w:rPr>
      </w:pPr>
      <w:r w:rsidRPr="00B71F92">
        <w:rPr>
          <w:b/>
          <w:bCs/>
        </w:rPr>
        <w:lastRenderedPageBreak/>
        <w:t>Table 3: Main Estimation Results (2/3)</w:t>
      </w:r>
    </w:p>
    <w:p w14:paraId="4DB24C1B" w14:textId="77777777" w:rsidR="008B6B35" w:rsidRPr="00B71F92" w:rsidRDefault="008B6B35" w:rsidP="008B6B35">
      <w:pPr>
        <w:spacing w:after="0" w:line="240" w:lineRule="auto"/>
        <w:jc w:val="both"/>
        <w:rPr>
          <w:b/>
          <w:bCs/>
          <w:sz w:val="4"/>
          <w:szCs w:val="4"/>
        </w:rPr>
      </w:pPr>
    </w:p>
    <w:tbl>
      <w:tblPr>
        <w:tblW w:w="5493" w:type="pct"/>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3465"/>
        <w:gridCol w:w="431"/>
        <w:gridCol w:w="431"/>
        <w:gridCol w:w="516"/>
        <w:gridCol w:w="435"/>
        <w:gridCol w:w="432"/>
        <w:gridCol w:w="520"/>
        <w:gridCol w:w="432"/>
        <w:gridCol w:w="438"/>
        <w:gridCol w:w="432"/>
        <w:gridCol w:w="435"/>
        <w:gridCol w:w="432"/>
        <w:gridCol w:w="435"/>
        <w:gridCol w:w="432"/>
        <w:gridCol w:w="435"/>
        <w:gridCol w:w="432"/>
        <w:gridCol w:w="491"/>
        <w:gridCol w:w="432"/>
        <w:gridCol w:w="435"/>
        <w:gridCol w:w="432"/>
        <w:gridCol w:w="435"/>
        <w:gridCol w:w="432"/>
        <w:gridCol w:w="440"/>
        <w:gridCol w:w="432"/>
        <w:gridCol w:w="543"/>
      </w:tblGrid>
      <w:tr w:rsidR="008B6B35" w:rsidRPr="00B71F92" w14:paraId="297AA956" w14:textId="77777777" w:rsidTr="002F5607">
        <w:trPr>
          <w:trHeight w:val="230"/>
          <w:jc w:val="center"/>
        </w:trPr>
        <w:tc>
          <w:tcPr>
            <w:tcW w:w="1220" w:type="pct"/>
            <w:vMerge w:val="restart"/>
            <w:tcBorders>
              <w:top w:val="single" w:sz="12" w:space="0" w:color="auto"/>
              <w:right w:val="single" w:sz="12" w:space="0" w:color="auto"/>
            </w:tcBorders>
            <w:noWrap/>
            <w:vAlign w:val="center"/>
          </w:tcPr>
          <w:p w14:paraId="4C1E8997" w14:textId="77777777" w:rsidR="008B6B35" w:rsidRPr="00B71F92" w:rsidRDefault="008B6B35" w:rsidP="00730932">
            <w:pPr>
              <w:spacing w:after="0" w:line="240" w:lineRule="auto"/>
              <w:jc w:val="center"/>
              <w:rPr>
                <w:rFonts w:eastAsia="Times New Roman"/>
                <w:b/>
                <w:bCs/>
                <w:sz w:val="18"/>
                <w:szCs w:val="18"/>
                <w:highlight w:val="yellow"/>
              </w:rPr>
            </w:pPr>
            <w:r w:rsidRPr="00B71F92">
              <w:rPr>
                <w:rFonts w:eastAsia="Times New Roman"/>
                <w:sz w:val="18"/>
                <w:szCs w:val="18"/>
              </w:rPr>
              <w:t>Variables (base)</w:t>
            </w:r>
          </w:p>
        </w:tc>
        <w:tc>
          <w:tcPr>
            <w:tcW w:w="303" w:type="pct"/>
            <w:gridSpan w:val="2"/>
            <w:vMerge w:val="restart"/>
            <w:tcBorders>
              <w:top w:val="single" w:sz="12" w:space="0" w:color="auto"/>
              <w:left w:val="single" w:sz="12" w:space="0" w:color="auto"/>
              <w:right w:val="single" w:sz="12" w:space="0" w:color="auto"/>
            </w:tcBorders>
            <w:noWrap/>
            <w:vAlign w:val="center"/>
          </w:tcPr>
          <w:p w14:paraId="4A914145" w14:textId="77777777" w:rsidR="008B6B35" w:rsidRPr="00B71F92" w:rsidRDefault="008B6B35" w:rsidP="00730932">
            <w:pPr>
              <w:spacing w:after="0" w:line="240" w:lineRule="auto"/>
              <w:jc w:val="center"/>
              <w:rPr>
                <w:rFonts w:eastAsia="Times New Roman"/>
                <w:sz w:val="18"/>
                <w:szCs w:val="18"/>
              </w:rPr>
            </w:pPr>
            <w:r w:rsidRPr="00B71F92">
              <w:rPr>
                <w:rFonts w:eastAsia="Times New Roman"/>
                <w:b/>
                <w:bCs/>
                <w:sz w:val="18"/>
                <w:szCs w:val="18"/>
              </w:rPr>
              <w:t>Move Within Two Years</w:t>
            </w:r>
          </w:p>
        </w:tc>
        <w:tc>
          <w:tcPr>
            <w:tcW w:w="3477" w:type="pct"/>
            <w:gridSpan w:val="22"/>
            <w:tcBorders>
              <w:top w:val="single" w:sz="12" w:space="0" w:color="auto"/>
              <w:left w:val="single" w:sz="12" w:space="0" w:color="auto"/>
              <w:bottom w:val="nil"/>
            </w:tcBorders>
            <w:noWrap/>
            <w:vAlign w:val="center"/>
          </w:tcPr>
          <w:p w14:paraId="4181BE9F" w14:textId="77777777" w:rsidR="008B6B35" w:rsidRPr="00B71F92" w:rsidRDefault="008B6B35" w:rsidP="00730932">
            <w:pPr>
              <w:spacing w:after="0" w:line="240" w:lineRule="auto"/>
              <w:jc w:val="center"/>
              <w:rPr>
                <w:rFonts w:eastAsia="Times New Roman"/>
                <w:sz w:val="18"/>
                <w:szCs w:val="18"/>
              </w:rPr>
            </w:pPr>
            <w:r w:rsidRPr="00B71F92">
              <w:rPr>
                <w:rFonts w:eastAsia="Times New Roman"/>
                <w:b/>
                <w:bCs/>
                <w:sz w:val="18"/>
                <w:szCs w:val="18"/>
              </w:rPr>
              <w:t>Reason For Considering a Move</w:t>
            </w:r>
          </w:p>
        </w:tc>
      </w:tr>
      <w:tr w:rsidR="008B6B35" w:rsidRPr="00B71F92" w14:paraId="5B9F7E89" w14:textId="77777777" w:rsidTr="002F5607">
        <w:trPr>
          <w:trHeight w:val="230"/>
          <w:jc w:val="center"/>
        </w:trPr>
        <w:tc>
          <w:tcPr>
            <w:tcW w:w="1220" w:type="pct"/>
            <w:vMerge/>
            <w:tcBorders>
              <w:right w:val="single" w:sz="12" w:space="0" w:color="auto"/>
            </w:tcBorders>
            <w:noWrap/>
            <w:vAlign w:val="center"/>
          </w:tcPr>
          <w:p w14:paraId="61BF1E55" w14:textId="77777777" w:rsidR="008B6B35" w:rsidRPr="00B71F92" w:rsidRDefault="008B6B35" w:rsidP="00730932">
            <w:pPr>
              <w:spacing w:after="0" w:line="240" w:lineRule="auto"/>
              <w:jc w:val="center"/>
              <w:rPr>
                <w:rFonts w:eastAsia="Times New Roman"/>
                <w:b/>
                <w:bCs/>
                <w:sz w:val="18"/>
                <w:szCs w:val="18"/>
                <w:highlight w:val="yellow"/>
              </w:rPr>
            </w:pPr>
          </w:p>
        </w:tc>
        <w:tc>
          <w:tcPr>
            <w:tcW w:w="303" w:type="pct"/>
            <w:gridSpan w:val="2"/>
            <w:vMerge/>
            <w:tcBorders>
              <w:left w:val="single" w:sz="12" w:space="0" w:color="auto"/>
              <w:right w:val="single" w:sz="12" w:space="0" w:color="auto"/>
            </w:tcBorders>
            <w:noWrap/>
            <w:vAlign w:val="center"/>
          </w:tcPr>
          <w:p w14:paraId="7BFB97C4" w14:textId="77777777" w:rsidR="008B6B35" w:rsidRPr="00B71F92" w:rsidRDefault="008B6B35" w:rsidP="00730932">
            <w:pPr>
              <w:spacing w:after="0" w:line="240" w:lineRule="auto"/>
              <w:jc w:val="center"/>
              <w:rPr>
                <w:rFonts w:eastAsia="Times New Roman"/>
                <w:sz w:val="18"/>
                <w:szCs w:val="18"/>
              </w:rPr>
            </w:pPr>
          </w:p>
        </w:tc>
        <w:tc>
          <w:tcPr>
            <w:tcW w:w="976" w:type="pct"/>
            <w:gridSpan w:val="6"/>
            <w:tcBorders>
              <w:top w:val="single" w:sz="12" w:space="0" w:color="auto"/>
              <w:left w:val="single" w:sz="12" w:space="0" w:color="auto"/>
              <w:bottom w:val="nil"/>
              <w:right w:val="single" w:sz="6" w:space="0" w:color="auto"/>
            </w:tcBorders>
            <w:noWrap/>
            <w:vAlign w:val="center"/>
          </w:tcPr>
          <w:p w14:paraId="7DFA21D3"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Proactive Planning</w:t>
            </w:r>
          </w:p>
        </w:tc>
        <w:tc>
          <w:tcPr>
            <w:tcW w:w="1240" w:type="pct"/>
            <w:gridSpan w:val="8"/>
            <w:tcBorders>
              <w:top w:val="single" w:sz="12" w:space="0" w:color="auto"/>
              <w:left w:val="single" w:sz="6" w:space="0" w:color="auto"/>
              <w:bottom w:val="nil"/>
              <w:right w:val="single" w:sz="6" w:space="0" w:color="auto"/>
            </w:tcBorders>
            <w:noWrap/>
            <w:vAlign w:val="center"/>
          </w:tcPr>
          <w:p w14:paraId="7FF0A3F1"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Disconnects Between Preferences and Housing</w:t>
            </w:r>
          </w:p>
        </w:tc>
        <w:tc>
          <w:tcPr>
            <w:tcW w:w="917" w:type="pct"/>
            <w:gridSpan w:val="6"/>
            <w:tcBorders>
              <w:top w:val="single" w:sz="12" w:space="0" w:color="auto"/>
              <w:left w:val="single" w:sz="6" w:space="0" w:color="auto"/>
              <w:bottom w:val="nil"/>
              <w:right w:val="single" w:sz="8" w:space="0" w:color="auto"/>
            </w:tcBorders>
            <w:noWrap/>
            <w:vAlign w:val="center"/>
          </w:tcPr>
          <w:p w14:paraId="4DCE6456"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Triggered Reevaluations</w:t>
            </w:r>
          </w:p>
        </w:tc>
        <w:tc>
          <w:tcPr>
            <w:tcW w:w="343" w:type="pct"/>
            <w:gridSpan w:val="2"/>
            <w:tcBorders>
              <w:top w:val="single" w:sz="12" w:space="0" w:color="auto"/>
              <w:left w:val="single" w:sz="8" w:space="0" w:color="auto"/>
              <w:bottom w:val="nil"/>
            </w:tcBorders>
            <w:vAlign w:val="center"/>
          </w:tcPr>
          <w:p w14:paraId="01EC26F7"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Forced Relocations</w:t>
            </w:r>
          </w:p>
        </w:tc>
      </w:tr>
      <w:tr w:rsidR="008B6B35" w:rsidRPr="00B71F92" w14:paraId="09EE4F6B" w14:textId="77777777" w:rsidTr="002F5607">
        <w:trPr>
          <w:trHeight w:val="230"/>
          <w:jc w:val="center"/>
        </w:trPr>
        <w:tc>
          <w:tcPr>
            <w:tcW w:w="1220" w:type="pct"/>
            <w:vMerge/>
            <w:tcBorders>
              <w:right w:val="single" w:sz="12" w:space="0" w:color="auto"/>
            </w:tcBorders>
            <w:noWrap/>
            <w:vAlign w:val="center"/>
          </w:tcPr>
          <w:p w14:paraId="10C63F71" w14:textId="77777777" w:rsidR="008B6B35" w:rsidRPr="00B71F92" w:rsidRDefault="008B6B35" w:rsidP="00730932">
            <w:pPr>
              <w:spacing w:after="0" w:line="240" w:lineRule="auto"/>
              <w:jc w:val="center"/>
              <w:rPr>
                <w:rFonts w:eastAsia="Times New Roman"/>
                <w:b/>
                <w:bCs/>
                <w:sz w:val="18"/>
                <w:szCs w:val="18"/>
                <w:highlight w:val="yellow"/>
              </w:rPr>
            </w:pPr>
          </w:p>
        </w:tc>
        <w:tc>
          <w:tcPr>
            <w:tcW w:w="303" w:type="pct"/>
            <w:gridSpan w:val="2"/>
            <w:vMerge/>
            <w:tcBorders>
              <w:left w:val="single" w:sz="12" w:space="0" w:color="auto"/>
              <w:bottom w:val="nil"/>
              <w:right w:val="single" w:sz="12" w:space="0" w:color="auto"/>
            </w:tcBorders>
            <w:noWrap/>
            <w:vAlign w:val="center"/>
          </w:tcPr>
          <w:p w14:paraId="207C8B39" w14:textId="77777777" w:rsidR="008B6B35" w:rsidRPr="00B71F92" w:rsidRDefault="008B6B35" w:rsidP="00730932">
            <w:pPr>
              <w:spacing w:after="0" w:line="240" w:lineRule="auto"/>
              <w:jc w:val="center"/>
              <w:rPr>
                <w:rFonts w:eastAsia="Times New Roman"/>
                <w:sz w:val="18"/>
                <w:szCs w:val="18"/>
              </w:rPr>
            </w:pPr>
          </w:p>
        </w:tc>
        <w:tc>
          <w:tcPr>
            <w:tcW w:w="335" w:type="pct"/>
            <w:gridSpan w:val="2"/>
            <w:tcBorders>
              <w:top w:val="single" w:sz="12" w:space="0" w:color="auto"/>
              <w:left w:val="single" w:sz="12" w:space="0" w:color="auto"/>
              <w:bottom w:val="nil"/>
              <w:right w:val="single" w:sz="6" w:space="0" w:color="auto"/>
            </w:tcBorders>
            <w:noWrap/>
            <w:vAlign w:val="center"/>
          </w:tcPr>
          <w:p w14:paraId="64F5D3E2" w14:textId="77777777" w:rsidR="008B6B35" w:rsidRPr="00B71F92" w:rsidRDefault="008B6B35" w:rsidP="00730932">
            <w:pPr>
              <w:spacing w:after="0" w:line="240" w:lineRule="auto"/>
              <w:jc w:val="center"/>
              <w:rPr>
                <w:rFonts w:eastAsia="Times New Roman"/>
                <w:sz w:val="18"/>
                <w:szCs w:val="18"/>
              </w:rPr>
            </w:pPr>
            <w:r w:rsidRPr="00B71F92">
              <w:rPr>
                <w:sz w:val="18"/>
                <w:szCs w:val="18"/>
              </w:rPr>
              <w:t>Better access to work</w:t>
            </w:r>
          </w:p>
        </w:tc>
        <w:tc>
          <w:tcPr>
            <w:tcW w:w="335" w:type="pct"/>
            <w:gridSpan w:val="2"/>
            <w:tcBorders>
              <w:top w:val="single" w:sz="12" w:space="0" w:color="auto"/>
              <w:left w:val="single" w:sz="6" w:space="0" w:color="auto"/>
              <w:bottom w:val="nil"/>
              <w:right w:val="single" w:sz="6" w:space="0" w:color="auto"/>
            </w:tcBorders>
            <w:noWrap/>
            <w:vAlign w:val="center"/>
          </w:tcPr>
          <w:p w14:paraId="45CE7E8F" w14:textId="77777777" w:rsidR="008B6B35" w:rsidRPr="00B71F92" w:rsidRDefault="008B6B35" w:rsidP="00730932">
            <w:pPr>
              <w:spacing w:after="0" w:line="240" w:lineRule="auto"/>
              <w:jc w:val="center"/>
              <w:rPr>
                <w:rFonts w:eastAsia="Times New Roman"/>
                <w:sz w:val="18"/>
                <w:szCs w:val="18"/>
              </w:rPr>
            </w:pPr>
            <w:r w:rsidRPr="00B71F92">
              <w:rPr>
                <w:sz w:val="18"/>
                <w:szCs w:val="18"/>
              </w:rPr>
              <w:t>Upgrade or buy a home</w:t>
            </w:r>
          </w:p>
        </w:tc>
        <w:tc>
          <w:tcPr>
            <w:tcW w:w="306" w:type="pct"/>
            <w:gridSpan w:val="2"/>
            <w:tcBorders>
              <w:top w:val="single" w:sz="12" w:space="0" w:color="auto"/>
              <w:left w:val="single" w:sz="6" w:space="0" w:color="auto"/>
              <w:bottom w:val="nil"/>
              <w:right w:val="single" w:sz="6" w:space="0" w:color="auto"/>
            </w:tcBorders>
            <w:noWrap/>
            <w:vAlign w:val="center"/>
          </w:tcPr>
          <w:p w14:paraId="1DDA1EA6" w14:textId="77777777" w:rsidR="008B6B35" w:rsidRPr="00B71F92" w:rsidRDefault="008B6B35" w:rsidP="00730932">
            <w:pPr>
              <w:spacing w:after="0" w:line="240" w:lineRule="auto"/>
              <w:jc w:val="center"/>
              <w:rPr>
                <w:rFonts w:eastAsia="Times New Roman"/>
                <w:sz w:val="18"/>
                <w:szCs w:val="18"/>
              </w:rPr>
            </w:pPr>
            <w:r w:rsidRPr="00B71F92">
              <w:rPr>
                <w:sz w:val="18"/>
                <w:szCs w:val="18"/>
              </w:rPr>
              <w:t>Change in who you live with</w:t>
            </w:r>
          </w:p>
        </w:tc>
        <w:tc>
          <w:tcPr>
            <w:tcW w:w="305" w:type="pct"/>
            <w:gridSpan w:val="2"/>
            <w:tcBorders>
              <w:top w:val="single" w:sz="12" w:space="0" w:color="auto"/>
              <w:left w:val="single" w:sz="6" w:space="0" w:color="auto"/>
              <w:bottom w:val="nil"/>
              <w:right w:val="single" w:sz="6" w:space="0" w:color="auto"/>
            </w:tcBorders>
            <w:noWrap/>
            <w:vAlign w:val="center"/>
          </w:tcPr>
          <w:p w14:paraId="53D692F5" w14:textId="77777777" w:rsidR="008B6B35" w:rsidRPr="00B71F92" w:rsidRDefault="008B6B35" w:rsidP="00730932">
            <w:pPr>
              <w:spacing w:after="0" w:line="240" w:lineRule="auto"/>
              <w:jc w:val="center"/>
              <w:rPr>
                <w:rFonts w:eastAsia="Times New Roman"/>
                <w:sz w:val="18"/>
                <w:szCs w:val="18"/>
              </w:rPr>
            </w:pPr>
            <w:r w:rsidRPr="00B71F92">
              <w:rPr>
                <w:sz w:val="18"/>
                <w:szCs w:val="18"/>
              </w:rPr>
              <w:t>Need for more space</w:t>
            </w:r>
          </w:p>
        </w:tc>
        <w:tc>
          <w:tcPr>
            <w:tcW w:w="305" w:type="pct"/>
            <w:gridSpan w:val="2"/>
            <w:tcBorders>
              <w:top w:val="single" w:sz="12" w:space="0" w:color="auto"/>
              <w:left w:val="single" w:sz="6" w:space="0" w:color="auto"/>
              <w:bottom w:val="nil"/>
              <w:right w:val="single" w:sz="6" w:space="0" w:color="auto"/>
            </w:tcBorders>
            <w:noWrap/>
            <w:vAlign w:val="center"/>
          </w:tcPr>
          <w:p w14:paraId="69D093DF" w14:textId="77777777" w:rsidR="008B6B35" w:rsidRPr="00B71F92" w:rsidRDefault="008B6B35" w:rsidP="00730932">
            <w:pPr>
              <w:spacing w:after="0" w:line="240" w:lineRule="auto"/>
              <w:jc w:val="center"/>
              <w:rPr>
                <w:rFonts w:eastAsia="Times New Roman"/>
                <w:sz w:val="18"/>
                <w:szCs w:val="18"/>
              </w:rPr>
            </w:pPr>
            <w:r w:rsidRPr="00B71F92">
              <w:rPr>
                <w:sz w:val="18"/>
                <w:szCs w:val="18"/>
              </w:rPr>
              <w:t>Need for less space</w:t>
            </w:r>
          </w:p>
        </w:tc>
        <w:tc>
          <w:tcPr>
            <w:tcW w:w="305" w:type="pct"/>
            <w:gridSpan w:val="2"/>
            <w:tcBorders>
              <w:top w:val="single" w:sz="12" w:space="0" w:color="auto"/>
              <w:left w:val="single" w:sz="6" w:space="0" w:color="auto"/>
              <w:bottom w:val="nil"/>
              <w:right w:val="single" w:sz="6" w:space="0" w:color="auto"/>
            </w:tcBorders>
            <w:noWrap/>
            <w:vAlign w:val="center"/>
          </w:tcPr>
          <w:p w14:paraId="01C5CE2C" w14:textId="77777777" w:rsidR="008B6B35" w:rsidRPr="00B71F92" w:rsidRDefault="008B6B35" w:rsidP="00730932">
            <w:pPr>
              <w:spacing w:after="0" w:line="240" w:lineRule="auto"/>
              <w:jc w:val="center"/>
              <w:rPr>
                <w:rFonts w:eastAsia="Times New Roman"/>
                <w:sz w:val="18"/>
                <w:szCs w:val="18"/>
              </w:rPr>
            </w:pPr>
            <w:r w:rsidRPr="00B71F92">
              <w:rPr>
                <w:sz w:val="18"/>
                <w:szCs w:val="18"/>
              </w:rPr>
              <w:t>Better access to amenities</w:t>
            </w:r>
          </w:p>
        </w:tc>
        <w:tc>
          <w:tcPr>
            <w:tcW w:w="325" w:type="pct"/>
            <w:gridSpan w:val="2"/>
            <w:tcBorders>
              <w:top w:val="single" w:sz="12" w:space="0" w:color="auto"/>
              <w:left w:val="single" w:sz="6" w:space="0" w:color="auto"/>
              <w:bottom w:val="nil"/>
              <w:right w:val="single" w:sz="6" w:space="0" w:color="auto"/>
            </w:tcBorders>
            <w:noWrap/>
            <w:vAlign w:val="center"/>
          </w:tcPr>
          <w:p w14:paraId="1C8320A3" w14:textId="77777777" w:rsidR="008B6B35" w:rsidRPr="00B71F92" w:rsidRDefault="008B6B35" w:rsidP="00730932">
            <w:pPr>
              <w:spacing w:after="0" w:line="240" w:lineRule="auto"/>
              <w:jc w:val="center"/>
              <w:rPr>
                <w:rFonts w:eastAsia="Times New Roman"/>
                <w:sz w:val="18"/>
                <w:szCs w:val="18"/>
              </w:rPr>
            </w:pPr>
            <w:r w:rsidRPr="00B71F92">
              <w:rPr>
                <w:sz w:val="18"/>
                <w:szCs w:val="18"/>
              </w:rPr>
              <w:t>Concerns about safety or crime</w:t>
            </w:r>
          </w:p>
        </w:tc>
        <w:tc>
          <w:tcPr>
            <w:tcW w:w="305" w:type="pct"/>
            <w:gridSpan w:val="2"/>
            <w:tcBorders>
              <w:top w:val="single" w:sz="12" w:space="0" w:color="auto"/>
              <w:left w:val="single" w:sz="6" w:space="0" w:color="auto"/>
              <w:bottom w:val="nil"/>
              <w:right w:val="single" w:sz="6" w:space="0" w:color="auto"/>
            </w:tcBorders>
            <w:noWrap/>
            <w:vAlign w:val="center"/>
          </w:tcPr>
          <w:p w14:paraId="6D87DEF6" w14:textId="77777777" w:rsidR="008B6B35" w:rsidRPr="00B71F92" w:rsidRDefault="008B6B35" w:rsidP="00730932">
            <w:pPr>
              <w:spacing w:after="0" w:line="240" w:lineRule="auto"/>
              <w:jc w:val="center"/>
              <w:rPr>
                <w:rFonts w:eastAsia="Times New Roman"/>
                <w:sz w:val="18"/>
                <w:szCs w:val="18"/>
              </w:rPr>
            </w:pPr>
            <w:r w:rsidRPr="00B71F92">
              <w:rPr>
                <w:sz w:val="18"/>
                <w:szCs w:val="18"/>
              </w:rPr>
              <w:t>Increase in housing costs</w:t>
            </w:r>
          </w:p>
        </w:tc>
        <w:tc>
          <w:tcPr>
            <w:tcW w:w="305" w:type="pct"/>
            <w:gridSpan w:val="2"/>
            <w:tcBorders>
              <w:top w:val="single" w:sz="12" w:space="0" w:color="auto"/>
              <w:left w:val="single" w:sz="6" w:space="0" w:color="auto"/>
              <w:bottom w:val="nil"/>
              <w:right w:val="single" w:sz="6" w:space="0" w:color="auto"/>
            </w:tcBorders>
            <w:noWrap/>
            <w:vAlign w:val="center"/>
          </w:tcPr>
          <w:p w14:paraId="10817ABB" w14:textId="77777777" w:rsidR="008B6B35" w:rsidRPr="00B71F92" w:rsidRDefault="008B6B35" w:rsidP="00730932">
            <w:pPr>
              <w:spacing w:after="0" w:line="240" w:lineRule="auto"/>
              <w:jc w:val="center"/>
              <w:rPr>
                <w:rFonts w:eastAsia="Times New Roman"/>
                <w:sz w:val="18"/>
                <w:szCs w:val="18"/>
              </w:rPr>
            </w:pPr>
            <w:r w:rsidRPr="00B71F92">
              <w:rPr>
                <w:sz w:val="18"/>
                <w:szCs w:val="18"/>
              </w:rPr>
              <w:t>Change in income or finances</w:t>
            </w:r>
          </w:p>
        </w:tc>
        <w:tc>
          <w:tcPr>
            <w:tcW w:w="307" w:type="pct"/>
            <w:gridSpan w:val="2"/>
            <w:tcBorders>
              <w:top w:val="single" w:sz="12" w:space="0" w:color="auto"/>
              <w:left w:val="single" w:sz="6" w:space="0" w:color="auto"/>
              <w:bottom w:val="nil"/>
              <w:right w:val="single" w:sz="8" w:space="0" w:color="auto"/>
            </w:tcBorders>
            <w:noWrap/>
            <w:vAlign w:val="center"/>
          </w:tcPr>
          <w:p w14:paraId="524E190C" w14:textId="77777777" w:rsidR="008B6B35" w:rsidRPr="00B71F92" w:rsidRDefault="008B6B35" w:rsidP="00730932">
            <w:pPr>
              <w:spacing w:after="0" w:line="240" w:lineRule="auto"/>
              <w:jc w:val="center"/>
              <w:rPr>
                <w:rFonts w:eastAsia="Times New Roman"/>
                <w:sz w:val="18"/>
                <w:szCs w:val="18"/>
              </w:rPr>
            </w:pPr>
            <w:r w:rsidRPr="00B71F92">
              <w:rPr>
                <w:sz w:val="18"/>
                <w:szCs w:val="18"/>
              </w:rPr>
              <w:t>Friends leaving</w:t>
            </w:r>
          </w:p>
        </w:tc>
        <w:tc>
          <w:tcPr>
            <w:tcW w:w="343" w:type="pct"/>
            <w:gridSpan w:val="2"/>
            <w:tcBorders>
              <w:top w:val="single" w:sz="12" w:space="0" w:color="auto"/>
              <w:left w:val="single" w:sz="8" w:space="0" w:color="auto"/>
              <w:bottom w:val="nil"/>
            </w:tcBorders>
            <w:vAlign w:val="center"/>
          </w:tcPr>
          <w:p w14:paraId="1923B548" w14:textId="77777777" w:rsidR="008B6B35" w:rsidRPr="00B71F92" w:rsidRDefault="008B6B35" w:rsidP="00730932">
            <w:pPr>
              <w:spacing w:after="0" w:line="240" w:lineRule="auto"/>
              <w:jc w:val="center"/>
              <w:rPr>
                <w:rFonts w:eastAsia="Times New Roman"/>
                <w:sz w:val="18"/>
                <w:szCs w:val="18"/>
              </w:rPr>
            </w:pPr>
            <w:r w:rsidRPr="00B71F92">
              <w:rPr>
                <w:sz w:val="18"/>
                <w:szCs w:val="18"/>
              </w:rPr>
              <w:t>Threat of being forced to move out</w:t>
            </w:r>
          </w:p>
        </w:tc>
      </w:tr>
      <w:tr w:rsidR="008B6B35" w:rsidRPr="00B71F92" w14:paraId="5571999E" w14:textId="77777777" w:rsidTr="002F5607">
        <w:trPr>
          <w:trHeight w:val="230"/>
          <w:jc w:val="center"/>
        </w:trPr>
        <w:tc>
          <w:tcPr>
            <w:tcW w:w="1220" w:type="pct"/>
            <w:vMerge/>
            <w:tcBorders>
              <w:bottom w:val="single" w:sz="12" w:space="0" w:color="auto"/>
              <w:right w:val="single" w:sz="12" w:space="0" w:color="auto"/>
            </w:tcBorders>
            <w:noWrap/>
            <w:vAlign w:val="center"/>
          </w:tcPr>
          <w:p w14:paraId="1669818F" w14:textId="77777777" w:rsidR="008B6B35" w:rsidRPr="00B71F92" w:rsidRDefault="008B6B35" w:rsidP="00730932">
            <w:pPr>
              <w:spacing w:after="0" w:line="240" w:lineRule="auto"/>
              <w:rPr>
                <w:rFonts w:eastAsia="Times New Roman"/>
                <w:b/>
                <w:bCs/>
                <w:sz w:val="18"/>
                <w:szCs w:val="18"/>
                <w:highlight w:val="yellow"/>
              </w:rPr>
            </w:pPr>
          </w:p>
        </w:tc>
        <w:tc>
          <w:tcPr>
            <w:tcW w:w="152" w:type="pct"/>
            <w:tcBorders>
              <w:top w:val="single" w:sz="12" w:space="0" w:color="auto"/>
              <w:left w:val="single" w:sz="12" w:space="0" w:color="auto"/>
              <w:bottom w:val="single" w:sz="12" w:space="0" w:color="auto"/>
            </w:tcBorders>
            <w:noWrap/>
            <w:vAlign w:val="bottom"/>
          </w:tcPr>
          <w:p w14:paraId="689BFB9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2" w:type="pct"/>
            <w:tcBorders>
              <w:top w:val="single" w:sz="12" w:space="0" w:color="auto"/>
              <w:bottom w:val="single" w:sz="12" w:space="0" w:color="auto"/>
              <w:right w:val="single" w:sz="12" w:space="0" w:color="auto"/>
            </w:tcBorders>
            <w:noWrap/>
            <w:vAlign w:val="bottom"/>
          </w:tcPr>
          <w:p w14:paraId="430F322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82" w:type="pct"/>
            <w:tcBorders>
              <w:top w:val="single" w:sz="12" w:space="0" w:color="auto"/>
              <w:left w:val="single" w:sz="12" w:space="0" w:color="auto"/>
              <w:bottom w:val="single" w:sz="12" w:space="0" w:color="auto"/>
            </w:tcBorders>
            <w:noWrap/>
            <w:vAlign w:val="bottom"/>
          </w:tcPr>
          <w:p w14:paraId="3905119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1281740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0B4CE8A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83" w:type="pct"/>
            <w:tcBorders>
              <w:top w:val="single" w:sz="12" w:space="0" w:color="auto"/>
              <w:bottom w:val="single" w:sz="12" w:space="0" w:color="auto"/>
              <w:right w:val="single" w:sz="6" w:space="0" w:color="auto"/>
            </w:tcBorders>
            <w:noWrap/>
            <w:vAlign w:val="bottom"/>
          </w:tcPr>
          <w:p w14:paraId="20869D7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6753EB0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4" w:type="pct"/>
            <w:tcBorders>
              <w:top w:val="single" w:sz="12" w:space="0" w:color="auto"/>
              <w:bottom w:val="single" w:sz="12" w:space="0" w:color="auto"/>
              <w:right w:val="single" w:sz="6" w:space="0" w:color="auto"/>
            </w:tcBorders>
            <w:noWrap/>
            <w:vAlign w:val="bottom"/>
          </w:tcPr>
          <w:p w14:paraId="196C044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5FECA2A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1428EDD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0138E65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7EE84E0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31070B0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763F343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71C2AA3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73" w:type="pct"/>
            <w:tcBorders>
              <w:top w:val="single" w:sz="12" w:space="0" w:color="auto"/>
              <w:bottom w:val="single" w:sz="12" w:space="0" w:color="auto"/>
              <w:right w:val="single" w:sz="6" w:space="0" w:color="auto"/>
            </w:tcBorders>
            <w:noWrap/>
            <w:vAlign w:val="bottom"/>
          </w:tcPr>
          <w:p w14:paraId="540925F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7E019BA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1EBCBD8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49C044C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701A6FF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4147088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55" w:type="pct"/>
            <w:tcBorders>
              <w:top w:val="single" w:sz="12" w:space="0" w:color="auto"/>
              <w:bottom w:val="single" w:sz="12" w:space="0" w:color="auto"/>
              <w:right w:val="single" w:sz="8" w:space="0" w:color="auto"/>
            </w:tcBorders>
            <w:noWrap/>
            <w:vAlign w:val="bottom"/>
          </w:tcPr>
          <w:p w14:paraId="5D1E6E1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c>
          <w:tcPr>
            <w:tcW w:w="152" w:type="pct"/>
            <w:tcBorders>
              <w:top w:val="single" w:sz="12" w:space="0" w:color="auto"/>
              <w:left w:val="single" w:sz="8" w:space="0" w:color="auto"/>
              <w:bottom w:val="single" w:sz="12" w:space="0" w:color="auto"/>
            </w:tcBorders>
            <w:vAlign w:val="bottom"/>
          </w:tcPr>
          <w:p w14:paraId="7371724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Coeff.</w:t>
            </w:r>
          </w:p>
        </w:tc>
        <w:tc>
          <w:tcPr>
            <w:tcW w:w="191" w:type="pct"/>
            <w:tcBorders>
              <w:top w:val="single" w:sz="12" w:space="0" w:color="auto"/>
              <w:bottom w:val="single" w:sz="12" w:space="0" w:color="auto"/>
            </w:tcBorders>
            <w:vAlign w:val="bottom"/>
          </w:tcPr>
          <w:p w14:paraId="623990B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6"/>
                <w:szCs w:val="16"/>
              </w:rPr>
              <w:t>t-stat</w:t>
            </w:r>
          </w:p>
        </w:tc>
      </w:tr>
      <w:tr w:rsidR="008B6B35" w:rsidRPr="00B71F92" w14:paraId="7D465071" w14:textId="77777777" w:rsidTr="002F5607">
        <w:trPr>
          <w:trHeight w:val="230"/>
          <w:jc w:val="center"/>
        </w:trPr>
        <w:tc>
          <w:tcPr>
            <w:tcW w:w="5000" w:type="pct"/>
            <w:gridSpan w:val="25"/>
            <w:tcBorders>
              <w:top w:val="single" w:sz="12" w:space="0" w:color="auto"/>
              <w:bottom w:val="single" w:sz="4" w:space="0" w:color="auto"/>
            </w:tcBorders>
            <w:noWrap/>
            <w:vAlign w:val="center"/>
          </w:tcPr>
          <w:p w14:paraId="021F13C6" w14:textId="77777777" w:rsidR="008B6B35" w:rsidRPr="00B71F92" w:rsidRDefault="008B6B35" w:rsidP="00730932">
            <w:pPr>
              <w:spacing w:after="0" w:line="240" w:lineRule="auto"/>
              <w:rPr>
                <w:rFonts w:eastAsia="Times New Roman"/>
                <w:sz w:val="18"/>
                <w:szCs w:val="18"/>
              </w:rPr>
            </w:pPr>
            <w:r w:rsidRPr="00B71F92">
              <w:rPr>
                <w:b/>
                <w:bCs/>
                <w:i/>
                <w:iCs/>
                <w:sz w:val="18"/>
                <w:szCs w:val="18"/>
              </w:rPr>
              <w:t>Employment-Related and Education Variables</w:t>
            </w:r>
          </w:p>
        </w:tc>
      </w:tr>
      <w:tr w:rsidR="008B6B35" w:rsidRPr="00B71F92" w14:paraId="67E38063" w14:textId="77777777" w:rsidTr="002F5607">
        <w:trPr>
          <w:trHeight w:val="230"/>
          <w:jc w:val="center"/>
        </w:trPr>
        <w:tc>
          <w:tcPr>
            <w:tcW w:w="1220" w:type="pct"/>
            <w:tcBorders>
              <w:top w:val="single" w:sz="4" w:space="0" w:color="auto"/>
              <w:bottom w:val="nil"/>
              <w:right w:val="single" w:sz="12" w:space="0" w:color="auto"/>
            </w:tcBorders>
            <w:noWrap/>
            <w:vAlign w:val="center"/>
          </w:tcPr>
          <w:p w14:paraId="0D890421" w14:textId="77777777" w:rsidR="008B6B35" w:rsidRPr="00B71F92" w:rsidRDefault="008B6B35" w:rsidP="00730932">
            <w:pPr>
              <w:spacing w:after="0" w:line="240" w:lineRule="auto"/>
              <w:rPr>
                <w:rFonts w:eastAsia="Times New Roman"/>
                <w:b/>
                <w:bCs/>
                <w:sz w:val="18"/>
                <w:szCs w:val="18"/>
              </w:rPr>
            </w:pPr>
            <w:r w:rsidRPr="00B71F92">
              <w:rPr>
                <w:rFonts w:eastAsia="Times New Roman"/>
                <w:b/>
                <w:bCs/>
                <w:sz w:val="18"/>
                <w:szCs w:val="18"/>
              </w:rPr>
              <w:t>Employment (no adult employed)</w:t>
            </w:r>
          </w:p>
        </w:tc>
        <w:tc>
          <w:tcPr>
            <w:tcW w:w="152" w:type="pct"/>
            <w:tcBorders>
              <w:top w:val="single" w:sz="4" w:space="0" w:color="auto"/>
              <w:left w:val="single" w:sz="12" w:space="0" w:color="auto"/>
              <w:bottom w:val="nil"/>
            </w:tcBorders>
            <w:noWrap/>
            <w:vAlign w:val="center"/>
          </w:tcPr>
          <w:p w14:paraId="5C7020F5"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bottom w:val="nil"/>
              <w:right w:val="single" w:sz="12" w:space="0" w:color="auto"/>
            </w:tcBorders>
            <w:noWrap/>
            <w:vAlign w:val="center"/>
          </w:tcPr>
          <w:p w14:paraId="54AD2EF8" w14:textId="77777777" w:rsidR="008B6B35" w:rsidRPr="00B71F92" w:rsidRDefault="008B6B35" w:rsidP="00730932">
            <w:pPr>
              <w:spacing w:after="0" w:line="240" w:lineRule="auto"/>
              <w:jc w:val="right"/>
              <w:rPr>
                <w:rFonts w:eastAsia="Times New Roman"/>
                <w:sz w:val="18"/>
                <w:szCs w:val="18"/>
              </w:rPr>
            </w:pPr>
          </w:p>
        </w:tc>
        <w:tc>
          <w:tcPr>
            <w:tcW w:w="182" w:type="pct"/>
            <w:tcBorders>
              <w:top w:val="single" w:sz="4" w:space="0" w:color="auto"/>
              <w:left w:val="single" w:sz="12" w:space="0" w:color="auto"/>
              <w:bottom w:val="nil"/>
            </w:tcBorders>
            <w:noWrap/>
            <w:vAlign w:val="center"/>
          </w:tcPr>
          <w:p w14:paraId="12EFC360"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13270734"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5B4C1AC0" w14:textId="77777777" w:rsidR="008B6B35" w:rsidRPr="00B71F92" w:rsidRDefault="008B6B35" w:rsidP="00730932">
            <w:pPr>
              <w:spacing w:after="0" w:line="240" w:lineRule="auto"/>
              <w:jc w:val="right"/>
              <w:rPr>
                <w:rFonts w:eastAsia="Times New Roman"/>
                <w:sz w:val="18"/>
                <w:szCs w:val="18"/>
              </w:rPr>
            </w:pPr>
          </w:p>
        </w:tc>
        <w:tc>
          <w:tcPr>
            <w:tcW w:w="183" w:type="pct"/>
            <w:tcBorders>
              <w:top w:val="single" w:sz="4" w:space="0" w:color="auto"/>
              <w:bottom w:val="nil"/>
              <w:right w:val="single" w:sz="6" w:space="0" w:color="auto"/>
            </w:tcBorders>
            <w:noWrap/>
            <w:vAlign w:val="center"/>
          </w:tcPr>
          <w:p w14:paraId="11AB0ED2"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6A64444F" w14:textId="77777777" w:rsidR="008B6B35" w:rsidRPr="00B71F92" w:rsidRDefault="008B6B35" w:rsidP="00730932">
            <w:pPr>
              <w:spacing w:after="0" w:line="240" w:lineRule="auto"/>
              <w:jc w:val="right"/>
              <w:rPr>
                <w:rFonts w:eastAsia="Times New Roman"/>
                <w:sz w:val="18"/>
                <w:szCs w:val="18"/>
              </w:rPr>
            </w:pPr>
          </w:p>
        </w:tc>
        <w:tc>
          <w:tcPr>
            <w:tcW w:w="154" w:type="pct"/>
            <w:tcBorders>
              <w:top w:val="single" w:sz="4" w:space="0" w:color="auto"/>
              <w:bottom w:val="nil"/>
              <w:right w:val="single" w:sz="6" w:space="0" w:color="auto"/>
            </w:tcBorders>
            <w:noWrap/>
            <w:vAlign w:val="center"/>
          </w:tcPr>
          <w:p w14:paraId="239D897B"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6DAFF40B"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12324B53"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2E807669"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114B6A05"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152F0D6C"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4922A646"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5151B48E" w14:textId="77777777" w:rsidR="008B6B35" w:rsidRPr="00B71F92" w:rsidRDefault="008B6B35" w:rsidP="00730932">
            <w:pPr>
              <w:spacing w:after="0" w:line="240" w:lineRule="auto"/>
              <w:jc w:val="right"/>
              <w:rPr>
                <w:rFonts w:eastAsia="Times New Roman"/>
                <w:sz w:val="18"/>
                <w:szCs w:val="18"/>
              </w:rPr>
            </w:pPr>
          </w:p>
        </w:tc>
        <w:tc>
          <w:tcPr>
            <w:tcW w:w="173" w:type="pct"/>
            <w:tcBorders>
              <w:top w:val="single" w:sz="4" w:space="0" w:color="auto"/>
              <w:bottom w:val="nil"/>
              <w:right w:val="single" w:sz="6" w:space="0" w:color="auto"/>
            </w:tcBorders>
            <w:noWrap/>
            <w:vAlign w:val="center"/>
          </w:tcPr>
          <w:p w14:paraId="46887F5B"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7D8AA2BE"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4A924750"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68C69E4E"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26B3F2CD"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60765B7E" w14:textId="77777777" w:rsidR="008B6B35" w:rsidRPr="00B71F92" w:rsidRDefault="008B6B35" w:rsidP="00730932">
            <w:pPr>
              <w:spacing w:after="0" w:line="240" w:lineRule="auto"/>
              <w:jc w:val="right"/>
              <w:rPr>
                <w:rFonts w:eastAsia="Times New Roman"/>
                <w:sz w:val="18"/>
                <w:szCs w:val="18"/>
              </w:rPr>
            </w:pPr>
          </w:p>
        </w:tc>
        <w:tc>
          <w:tcPr>
            <w:tcW w:w="155" w:type="pct"/>
            <w:tcBorders>
              <w:top w:val="single" w:sz="4" w:space="0" w:color="auto"/>
              <w:bottom w:val="nil"/>
              <w:right w:val="single" w:sz="8" w:space="0" w:color="auto"/>
            </w:tcBorders>
            <w:noWrap/>
            <w:vAlign w:val="center"/>
          </w:tcPr>
          <w:p w14:paraId="37A0D361"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8" w:space="0" w:color="auto"/>
              <w:bottom w:val="nil"/>
            </w:tcBorders>
            <w:vAlign w:val="center"/>
          </w:tcPr>
          <w:p w14:paraId="2FDA0B94" w14:textId="77777777" w:rsidR="008B6B35" w:rsidRPr="00B71F92" w:rsidRDefault="008B6B35" w:rsidP="00730932">
            <w:pPr>
              <w:spacing w:after="0" w:line="240" w:lineRule="auto"/>
              <w:jc w:val="right"/>
              <w:rPr>
                <w:rFonts w:eastAsia="Times New Roman"/>
                <w:sz w:val="18"/>
                <w:szCs w:val="18"/>
              </w:rPr>
            </w:pPr>
          </w:p>
        </w:tc>
        <w:tc>
          <w:tcPr>
            <w:tcW w:w="191" w:type="pct"/>
            <w:tcBorders>
              <w:top w:val="single" w:sz="4" w:space="0" w:color="auto"/>
              <w:bottom w:val="nil"/>
            </w:tcBorders>
            <w:vAlign w:val="center"/>
          </w:tcPr>
          <w:p w14:paraId="5AFAF05A" w14:textId="77777777" w:rsidR="008B6B35" w:rsidRPr="00B71F92" w:rsidRDefault="008B6B35" w:rsidP="00730932">
            <w:pPr>
              <w:spacing w:after="0" w:line="240" w:lineRule="auto"/>
              <w:jc w:val="right"/>
              <w:rPr>
                <w:rFonts w:eastAsia="Times New Roman"/>
                <w:sz w:val="18"/>
                <w:szCs w:val="18"/>
              </w:rPr>
            </w:pPr>
          </w:p>
        </w:tc>
      </w:tr>
      <w:tr w:rsidR="008B6B35" w:rsidRPr="00B71F92" w14:paraId="3146AAB2" w14:textId="77777777" w:rsidTr="002F5607">
        <w:trPr>
          <w:trHeight w:val="230"/>
          <w:jc w:val="center"/>
        </w:trPr>
        <w:tc>
          <w:tcPr>
            <w:tcW w:w="1220" w:type="pct"/>
            <w:tcBorders>
              <w:top w:val="nil"/>
              <w:bottom w:val="nil"/>
              <w:right w:val="single" w:sz="12" w:space="0" w:color="auto"/>
            </w:tcBorders>
            <w:noWrap/>
            <w:vAlign w:val="center"/>
          </w:tcPr>
          <w:p w14:paraId="1DC1520C"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Presence of employed adult</w:t>
            </w:r>
          </w:p>
        </w:tc>
        <w:tc>
          <w:tcPr>
            <w:tcW w:w="152" w:type="pct"/>
            <w:tcBorders>
              <w:top w:val="nil"/>
              <w:left w:val="single" w:sz="12" w:space="0" w:color="auto"/>
              <w:bottom w:val="nil"/>
            </w:tcBorders>
            <w:noWrap/>
            <w:vAlign w:val="center"/>
          </w:tcPr>
          <w:p w14:paraId="1C75686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5F3333A6"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4A51474A" w14:textId="77777777" w:rsidR="008B6B35" w:rsidRPr="00B71F92" w:rsidRDefault="008B6B35" w:rsidP="00730932">
            <w:pPr>
              <w:spacing w:after="0" w:line="240" w:lineRule="auto"/>
              <w:jc w:val="right"/>
              <w:rPr>
                <w:rFonts w:eastAsia="Times New Roman"/>
                <w:sz w:val="18"/>
                <w:szCs w:val="18"/>
              </w:rPr>
            </w:pPr>
            <w:r w:rsidRPr="00B71F92">
              <w:rPr>
                <w:sz w:val="18"/>
                <w:szCs w:val="18"/>
              </w:rPr>
              <w:t>0.54</w:t>
            </w:r>
          </w:p>
        </w:tc>
        <w:tc>
          <w:tcPr>
            <w:tcW w:w="153" w:type="pct"/>
            <w:tcBorders>
              <w:top w:val="nil"/>
              <w:bottom w:val="nil"/>
              <w:right w:val="single" w:sz="6" w:space="0" w:color="auto"/>
            </w:tcBorders>
            <w:noWrap/>
            <w:vAlign w:val="bottom"/>
          </w:tcPr>
          <w:p w14:paraId="2B28AF83" w14:textId="77777777" w:rsidR="008B6B35" w:rsidRPr="00B71F92" w:rsidRDefault="008B6B35" w:rsidP="00730932">
            <w:pPr>
              <w:spacing w:after="0" w:line="240" w:lineRule="auto"/>
              <w:jc w:val="right"/>
              <w:rPr>
                <w:rFonts w:eastAsia="Times New Roman"/>
                <w:sz w:val="18"/>
                <w:szCs w:val="18"/>
              </w:rPr>
            </w:pPr>
            <w:r w:rsidRPr="00B71F92">
              <w:rPr>
                <w:sz w:val="18"/>
                <w:szCs w:val="18"/>
              </w:rPr>
              <w:t>2.02</w:t>
            </w:r>
          </w:p>
        </w:tc>
        <w:tc>
          <w:tcPr>
            <w:tcW w:w="152" w:type="pct"/>
            <w:tcBorders>
              <w:top w:val="nil"/>
              <w:left w:val="single" w:sz="6" w:space="0" w:color="auto"/>
              <w:bottom w:val="nil"/>
            </w:tcBorders>
            <w:noWrap/>
            <w:vAlign w:val="center"/>
          </w:tcPr>
          <w:p w14:paraId="52E1EEF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409919F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4C855D29"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4" w:type="pct"/>
            <w:tcBorders>
              <w:top w:val="nil"/>
              <w:bottom w:val="nil"/>
              <w:right w:val="single" w:sz="6" w:space="0" w:color="auto"/>
            </w:tcBorders>
            <w:noWrap/>
            <w:vAlign w:val="bottom"/>
          </w:tcPr>
          <w:p w14:paraId="3353DE96" w14:textId="77777777" w:rsidR="008B6B35" w:rsidRPr="00B71F92" w:rsidRDefault="008B6B35" w:rsidP="00730932">
            <w:pPr>
              <w:spacing w:after="0" w:line="240" w:lineRule="auto"/>
              <w:jc w:val="right"/>
              <w:rPr>
                <w:rFonts w:eastAsia="Times New Roman"/>
                <w:sz w:val="18"/>
                <w:szCs w:val="18"/>
              </w:rPr>
            </w:pPr>
            <w:r w:rsidRPr="00B71F92">
              <w:rPr>
                <w:sz w:val="18"/>
                <w:szCs w:val="18"/>
              </w:rPr>
              <w:t>1.82</w:t>
            </w:r>
          </w:p>
        </w:tc>
        <w:tc>
          <w:tcPr>
            <w:tcW w:w="152" w:type="pct"/>
            <w:tcBorders>
              <w:top w:val="nil"/>
              <w:left w:val="single" w:sz="6" w:space="0" w:color="auto"/>
              <w:bottom w:val="nil"/>
            </w:tcBorders>
            <w:noWrap/>
            <w:vAlign w:val="center"/>
          </w:tcPr>
          <w:p w14:paraId="338F018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03A542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28BA901E" w14:textId="77777777" w:rsidR="008B6B35" w:rsidRPr="00B71F92" w:rsidRDefault="008B6B35" w:rsidP="00730932">
            <w:pPr>
              <w:spacing w:after="0" w:line="240" w:lineRule="auto"/>
              <w:jc w:val="right"/>
              <w:rPr>
                <w:rFonts w:eastAsia="Times New Roman"/>
                <w:sz w:val="18"/>
                <w:szCs w:val="18"/>
              </w:rPr>
            </w:pPr>
            <w:r w:rsidRPr="00B71F92">
              <w:rPr>
                <w:sz w:val="18"/>
                <w:szCs w:val="18"/>
              </w:rPr>
              <w:t>-0.60</w:t>
            </w:r>
          </w:p>
        </w:tc>
        <w:tc>
          <w:tcPr>
            <w:tcW w:w="153" w:type="pct"/>
            <w:tcBorders>
              <w:top w:val="nil"/>
              <w:bottom w:val="nil"/>
              <w:right w:val="single" w:sz="6" w:space="0" w:color="auto"/>
            </w:tcBorders>
            <w:noWrap/>
            <w:vAlign w:val="bottom"/>
          </w:tcPr>
          <w:p w14:paraId="18379ABB" w14:textId="77777777" w:rsidR="008B6B35" w:rsidRPr="00B71F92" w:rsidRDefault="008B6B35" w:rsidP="00730932">
            <w:pPr>
              <w:spacing w:after="0" w:line="240" w:lineRule="auto"/>
              <w:jc w:val="right"/>
              <w:rPr>
                <w:rFonts w:eastAsia="Times New Roman"/>
                <w:sz w:val="18"/>
                <w:szCs w:val="18"/>
              </w:rPr>
            </w:pPr>
            <w:r w:rsidRPr="00B71F92">
              <w:rPr>
                <w:sz w:val="18"/>
                <w:szCs w:val="18"/>
              </w:rPr>
              <w:t>-2.21</w:t>
            </w:r>
          </w:p>
        </w:tc>
        <w:tc>
          <w:tcPr>
            <w:tcW w:w="152" w:type="pct"/>
            <w:tcBorders>
              <w:top w:val="nil"/>
              <w:left w:val="single" w:sz="6" w:space="0" w:color="auto"/>
              <w:bottom w:val="nil"/>
            </w:tcBorders>
            <w:noWrap/>
            <w:vAlign w:val="bottom"/>
          </w:tcPr>
          <w:p w14:paraId="2837A485"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3" w:type="pct"/>
            <w:tcBorders>
              <w:top w:val="nil"/>
              <w:bottom w:val="nil"/>
              <w:right w:val="single" w:sz="6" w:space="0" w:color="auto"/>
            </w:tcBorders>
            <w:noWrap/>
            <w:vAlign w:val="bottom"/>
          </w:tcPr>
          <w:p w14:paraId="79AF38B6" w14:textId="77777777" w:rsidR="008B6B35" w:rsidRPr="00B71F92" w:rsidRDefault="008B6B35" w:rsidP="00730932">
            <w:pPr>
              <w:spacing w:after="0" w:line="240" w:lineRule="auto"/>
              <w:jc w:val="right"/>
              <w:rPr>
                <w:rFonts w:eastAsia="Times New Roman"/>
                <w:sz w:val="18"/>
                <w:szCs w:val="18"/>
              </w:rPr>
            </w:pPr>
            <w:r w:rsidRPr="00B71F92">
              <w:rPr>
                <w:sz w:val="18"/>
                <w:szCs w:val="18"/>
              </w:rPr>
              <w:t>1.75</w:t>
            </w:r>
          </w:p>
        </w:tc>
        <w:tc>
          <w:tcPr>
            <w:tcW w:w="152" w:type="pct"/>
            <w:tcBorders>
              <w:top w:val="nil"/>
              <w:left w:val="single" w:sz="6" w:space="0" w:color="auto"/>
              <w:bottom w:val="nil"/>
            </w:tcBorders>
            <w:noWrap/>
            <w:vAlign w:val="bottom"/>
          </w:tcPr>
          <w:p w14:paraId="521F9960" w14:textId="77777777" w:rsidR="008B6B35" w:rsidRPr="00B71F92" w:rsidRDefault="008B6B35" w:rsidP="00730932">
            <w:pPr>
              <w:spacing w:after="0" w:line="240" w:lineRule="auto"/>
              <w:jc w:val="right"/>
              <w:rPr>
                <w:rFonts w:eastAsia="Times New Roman"/>
                <w:sz w:val="18"/>
                <w:szCs w:val="18"/>
              </w:rPr>
            </w:pPr>
            <w:r w:rsidRPr="00B71F92">
              <w:rPr>
                <w:sz w:val="18"/>
                <w:szCs w:val="18"/>
              </w:rPr>
              <w:t>-0.32</w:t>
            </w:r>
          </w:p>
        </w:tc>
        <w:tc>
          <w:tcPr>
            <w:tcW w:w="173" w:type="pct"/>
            <w:tcBorders>
              <w:top w:val="nil"/>
              <w:bottom w:val="nil"/>
              <w:right w:val="single" w:sz="6" w:space="0" w:color="auto"/>
            </w:tcBorders>
            <w:noWrap/>
            <w:vAlign w:val="bottom"/>
          </w:tcPr>
          <w:p w14:paraId="214BCA13" w14:textId="77777777" w:rsidR="008B6B35" w:rsidRPr="00B71F92" w:rsidRDefault="008B6B35" w:rsidP="00730932">
            <w:pPr>
              <w:spacing w:after="0" w:line="240" w:lineRule="auto"/>
              <w:jc w:val="right"/>
              <w:rPr>
                <w:rFonts w:eastAsia="Times New Roman"/>
                <w:sz w:val="18"/>
                <w:szCs w:val="18"/>
              </w:rPr>
            </w:pPr>
            <w:r w:rsidRPr="00B71F92">
              <w:rPr>
                <w:sz w:val="18"/>
                <w:szCs w:val="18"/>
              </w:rPr>
              <w:t>-2.23</w:t>
            </w:r>
          </w:p>
        </w:tc>
        <w:tc>
          <w:tcPr>
            <w:tcW w:w="152" w:type="pct"/>
            <w:tcBorders>
              <w:top w:val="nil"/>
              <w:left w:val="single" w:sz="6" w:space="0" w:color="auto"/>
              <w:bottom w:val="nil"/>
            </w:tcBorders>
            <w:noWrap/>
            <w:vAlign w:val="center"/>
          </w:tcPr>
          <w:p w14:paraId="7393F85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EAB1FB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5EC579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6E8365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757940D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47B9F39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43C1CBA1" w14:textId="77777777" w:rsidR="008B6B35" w:rsidRPr="00B71F92" w:rsidRDefault="008B6B35" w:rsidP="00730932">
            <w:pPr>
              <w:spacing w:after="0" w:line="240" w:lineRule="auto"/>
              <w:jc w:val="right"/>
              <w:rPr>
                <w:rFonts w:eastAsia="Times New Roman"/>
                <w:sz w:val="18"/>
                <w:szCs w:val="18"/>
              </w:rPr>
            </w:pPr>
            <w:r w:rsidRPr="00B71F92">
              <w:rPr>
                <w:sz w:val="18"/>
                <w:szCs w:val="18"/>
              </w:rPr>
              <w:t>-0.49</w:t>
            </w:r>
          </w:p>
        </w:tc>
        <w:tc>
          <w:tcPr>
            <w:tcW w:w="191" w:type="pct"/>
            <w:tcBorders>
              <w:top w:val="nil"/>
              <w:bottom w:val="nil"/>
            </w:tcBorders>
            <w:vAlign w:val="bottom"/>
          </w:tcPr>
          <w:p w14:paraId="7CADC40A" w14:textId="77777777" w:rsidR="008B6B35" w:rsidRPr="00B71F92" w:rsidRDefault="008B6B35" w:rsidP="00730932">
            <w:pPr>
              <w:spacing w:after="0" w:line="240" w:lineRule="auto"/>
              <w:jc w:val="right"/>
              <w:rPr>
                <w:rFonts w:eastAsia="Times New Roman"/>
                <w:sz w:val="18"/>
                <w:szCs w:val="18"/>
              </w:rPr>
            </w:pPr>
            <w:r w:rsidRPr="00B71F92">
              <w:rPr>
                <w:sz w:val="18"/>
                <w:szCs w:val="18"/>
              </w:rPr>
              <w:t>-3.09</w:t>
            </w:r>
          </w:p>
        </w:tc>
      </w:tr>
      <w:tr w:rsidR="008B6B35" w:rsidRPr="00B71F92" w14:paraId="166A80B8" w14:textId="77777777" w:rsidTr="002F5607">
        <w:trPr>
          <w:trHeight w:val="230"/>
          <w:jc w:val="center"/>
        </w:trPr>
        <w:tc>
          <w:tcPr>
            <w:tcW w:w="1220" w:type="pct"/>
            <w:tcBorders>
              <w:top w:val="nil"/>
              <w:bottom w:val="nil"/>
              <w:right w:val="single" w:sz="12" w:space="0" w:color="auto"/>
            </w:tcBorders>
            <w:noWrap/>
            <w:vAlign w:val="center"/>
          </w:tcPr>
          <w:p w14:paraId="7F0F3A43"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Presence of employed adult * 2021 Shift</w:t>
            </w:r>
          </w:p>
        </w:tc>
        <w:tc>
          <w:tcPr>
            <w:tcW w:w="152" w:type="pct"/>
            <w:tcBorders>
              <w:top w:val="nil"/>
              <w:left w:val="single" w:sz="12" w:space="0" w:color="auto"/>
              <w:bottom w:val="nil"/>
            </w:tcBorders>
            <w:noWrap/>
            <w:vAlign w:val="center"/>
          </w:tcPr>
          <w:p w14:paraId="063B271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26581FEF"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1DCDE799" w14:textId="77777777" w:rsidR="008B6B35" w:rsidRPr="00B71F92" w:rsidRDefault="008B6B35" w:rsidP="00730932">
            <w:pPr>
              <w:spacing w:after="0" w:line="240" w:lineRule="auto"/>
              <w:jc w:val="right"/>
              <w:rPr>
                <w:rFonts w:eastAsia="Times New Roman"/>
                <w:sz w:val="18"/>
                <w:szCs w:val="18"/>
              </w:rPr>
            </w:pPr>
            <w:r w:rsidRPr="00B71F92">
              <w:rPr>
                <w:sz w:val="18"/>
                <w:szCs w:val="18"/>
              </w:rPr>
              <w:t>-0.73</w:t>
            </w:r>
          </w:p>
        </w:tc>
        <w:tc>
          <w:tcPr>
            <w:tcW w:w="153" w:type="pct"/>
            <w:tcBorders>
              <w:top w:val="nil"/>
              <w:bottom w:val="nil"/>
              <w:right w:val="single" w:sz="6" w:space="0" w:color="auto"/>
            </w:tcBorders>
            <w:noWrap/>
            <w:vAlign w:val="bottom"/>
          </w:tcPr>
          <w:p w14:paraId="7F3A8EE7" w14:textId="77777777" w:rsidR="008B6B35" w:rsidRPr="00B71F92" w:rsidRDefault="008B6B35" w:rsidP="00730932">
            <w:pPr>
              <w:spacing w:after="0" w:line="240" w:lineRule="auto"/>
              <w:jc w:val="right"/>
              <w:rPr>
                <w:rFonts w:eastAsia="Times New Roman"/>
                <w:sz w:val="18"/>
                <w:szCs w:val="18"/>
              </w:rPr>
            </w:pPr>
            <w:r w:rsidRPr="00B71F92">
              <w:rPr>
                <w:sz w:val="18"/>
                <w:szCs w:val="18"/>
              </w:rPr>
              <w:t>-2.20</w:t>
            </w:r>
          </w:p>
        </w:tc>
        <w:tc>
          <w:tcPr>
            <w:tcW w:w="152" w:type="pct"/>
            <w:tcBorders>
              <w:top w:val="nil"/>
              <w:left w:val="single" w:sz="6" w:space="0" w:color="auto"/>
              <w:bottom w:val="nil"/>
            </w:tcBorders>
            <w:noWrap/>
            <w:vAlign w:val="center"/>
          </w:tcPr>
          <w:p w14:paraId="0489283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1CD84F8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16E979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7ABAA7F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5CA915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7366B9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DC9F6B6" w14:textId="77777777" w:rsidR="008B6B35" w:rsidRPr="00B71F92" w:rsidRDefault="008B6B35" w:rsidP="00730932">
            <w:pPr>
              <w:spacing w:after="0" w:line="240" w:lineRule="auto"/>
              <w:jc w:val="right"/>
              <w:rPr>
                <w:rFonts w:eastAsia="Times New Roman"/>
                <w:sz w:val="18"/>
                <w:szCs w:val="18"/>
              </w:rPr>
            </w:pPr>
            <w:r w:rsidRPr="00B71F92">
              <w:rPr>
                <w:sz w:val="18"/>
                <w:szCs w:val="18"/>
              </w:rPr>
              <w:t>0.42</w:t>
            </w:r>
          </w:p>
        </w:tc>
        <w:tc>
          <w:tcPr>
            <w:tcW w:w="153" w:type="pct"/>
            <w:tcBorders>
              <w:top w:val="nil"/>
              <w:bottom w:val="nil"/>
              <w:right w:val="single" w:sz="6" w:space="0" w:color="auto"/>
            </w:tcBorders>
            <w:noWrap/>
            <w:vAlign w:val="bottom"/>
          </w:tcPr>
          <w:p w14:paraId="780A9E2C" w14:textId="77777777" w:rsidR="008B6B35" w:rsidRPr="00B71F92" w:rsidRDefault="008B6B35" w:rsidP="00730932">
            <w:pPr>
              <w:spacing w:after="0" w:line="240" w:lineRule="auto"/>
              <w:jc w:val="right"/>
              <w:rPr>
                <w:rFonts w:eastAsia="Times New Roman"/>
                <w:sz w:val="18"/>
                <w:szCs w:val="18"/>
              </w:rPr>
            </w:pPr>
            <w:r w:rsidRPr="00B71F92">
              <w:rPr>
                <w:sz w:val="18"/>
                <w:szCs w:val="18"/>
              </w:rPr>
              <w:t>1.82</w:t>
            </w:r>
          </w:p>
        </w:tc>
        <w:tc>
          <w:tcPr>
            <w:tcW w:w="152" w:type="pct"/>
            <w:tcBorders>
              <w:top w:val="nil"/>
              <w:left w:val="single" w:sz="6" w:space="0" w:color="auto"/>
              <w:bottom w:val="nil"/>
            </w:tcBorders>
            <w:noWrap/>
          </w:tcPr>
          <w:p w14:paraId="4A62FA2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223102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6301A5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1E6F317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ACA062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35B41D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7EFA957F"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vAlign w:val="bottom"/>
          </w:tcPr>
          <w:p w14:paraId="6E461DA6" w14:textId="77777777" w:rsidR="008B6B35" w:rsidRPr="00B71F92" w:rsidRDefault="008B6B35" w:rsidP="00730932">
            <w:pPr>
              <w:spacing w:after="0" w:line="240" w:lineRule="auto"/>
              <w:jc w:val="right"/>
              <w:rPr>
                <w:rFonts w:eastAsia="Times New Roman"/>
                <w:sz w:val="18"/>
                <w:szCs w:val="18"/>
              </w:rPr>
            </w:pPr>
            <w:r w:rsidRPr="00B71F92">
              <w:rPr>
                <w:sz w:val="18"/>
                <w:szCs w:val="18"/>
              </w:rPr>
              <w:t>-1.93</w:t>
            </w:r>
          </w:p>
        </w:tc>
        <w:tc>
          <w:tcPr>
            <w:tcW w:w="152" w:type="pct"/>
            <w:tcBorders>
              <w:top w:val="nil"/>
              <w:left w:val="single" w:sz="6" w:space="0" w:color="auto"/>
              <w:bottom w:val="nil"/>
            </w:tcBorders>
            <w:noWrap/>
            <w:vAlign w:val="bottom"/>
          </w:tcPr>
          <w:p w14:paraId="12EC5488" w14:textId="77777777" w:rsidR="008B6B35" w:rsidRPr="00B71F92" w:rsidRDefault="008B6B35" w:rsidP="00730932">
            <w:pPr>
              <w:spacing w:after="0" w:line="240" w:lineRule="auto"/>
              <w:jc w:val="right"/>
              <w:rPr>
                <w:rFonts w:eastAsia="Times New Roman"/>
                <w:sz w:val="18"/>
                <w:szCs w:val="18"/>
              </w:rPr>
            </w:pPr>
            <w:r w:rsidRPr="00B71F92">
              <w:rPr>
                <w:sz w:val="18"/>
                <w:szCs w:val="18"/>
              </w:rPr>
              <w:t>0.48</w:t>
            </w:r>
          </w:p>
        </w:tc>
        <w:tc>
          <w:tcPr>
            <w:tcW w:w="155" w:type="pct"/>
            <w:tcBorders>
              <w:top w:val="nil"/>
              <w:bottom w:val="nil"/>
              <w:right w:val="single" w:sz="8" w:space="0" w:color="auto"/>
            </w:tcBorders>
            <w:noWrap/>
            <w:vAlign w:val="bottom"/>
          </w:tcPr>
          <w:p w14:paraId="0F739630" w14:textId="77777777" w:rsidR="008B6B35" w:rsidRPr="00B71F92" w:rsidRDefault="008B6B35" w:rsidP="00730932">
            <w:pPr>
              <w:spacing w:after="0" w:line="240" w:lineRule="auto"/>
              <w:jc w:val="right"/>
              <w:rPr>
                <w:rFonts w:eastAsia="Times New Roman"/>
                <w:sz w:val="18"/>
                <w:szCs w:val="18"/>
              </w:rPr>
            </w:pPr>
            <w:r w:rsidRPr="00B71F92">
              <w:rPr>
                <w:sz w:val="18"/>
                <w:szCs w:val="18"/>
              </w:rPr>
              <w:t>1.66</w:t>
            </w:r>
          </w:p>
        </w:tc>
        <w:tc>
          <w:tcPr>
            <w:tcW w:w="152" w:type="pct"/>
            <w:tcBorders>
              <w:top w:val="nil"/>
              <w:left w:val="single" w:sz="8" w:space="0" w:color="auto"/>
              <w:bottom w:val="nil"/>
            </w:tcBorders>
            <w:vAlign w:val="center"/>
          </w:tcPr>
          <w:p w14:paraId="60556C6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482D8C41" w14:textId="77777777" w:rsidR="008B6B35" w:rsidRPr="00B71F92" w:rsidRDefault="008B6B35" w:rsidP="00730932">
            <w:pPr>
              <w:spacing w:after="0" w:line="240" w:lineRule="auto"/>
              <w:jc w:val="right"/>
              <w:rPr>
                <w:rFonts w:eastAsia="Times New Roman"/>
                <w:sz w:val="18"/>
                <w:szCs w:val="18"/>
              </w:rPr>
            </w:pPr>
          </w:p>
        </w:tc>
      </w:tr>
      <w:tr w:rsidR="008B6B35" w:rsidRPr="00B71F92" w14:paraId="139672AE" w14:textId="77777777" w:rsidTr="002F5607">
        <w:trPr>
          <w:trHeight w:val="230"/>
          <w:jc w:val="center"/>
        </w:trPr>
        <w:tc>
          <w:tcPr>
            <w:tcW w:w="1220" w:type="pct"/>
            <w:tcBorders>
              <w:top w:val="nil"/>
              <w:bottom w:val="nil"/>
              <w:right w:val="single" w:sz="12" w:space="0" w:color="auto"/>
            </w:tcBorders>
            <w:noWrap/>
            <w:vAlign w:val="center"/>
          </w:tcPr>
          <w:p w14:paraId="0ED8C3ED"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Presence of employed adult * 2023 Shift</w:t>
            </w:r>
          </w:p>
        </w:tc>
        <w:tc>
          <w:tcPr>
            <w:tcW w:w="152" w:type="pct"/>
            <w:tcBorders>
              <w:top w:val="nil"/>
              <w:left w:val="single" w:sz="12" w:space="0" w:color="auto"/>
              <w:bottom w:val="nil"/>
            </w:tcBorders>
            <w:noWrap/>
            <w:vAlign w:val="bottom"/>
          </w:tcPr>
          <w:p w14:paraId="2CE10D9A" w14:textId="77777777" w:rsidR="008B6B35" w:rsidRPr="00B71F92" w:rsidRDefault="008B6B35" w:rsidP="00730932">
            <w:pPr>
              <w:spacing w:after="0" w:line="240" w:lineRule="auto"/>
              <w:jc w:val="right"/>
              <w:rPr>
                <w:rFonts w:eastAsia="Times New Roman"/>
                <w:sz w:val="18"/>
                <w:szCs w:val="18"/>
              </w:rPr>
            </w:pPr>
            <w:r w:rsidRPr="00B71F92">
              <w:rPr>
                <w:sz w:val="18"/>
                <w:szCs w:val="18"/>
              </w:rPr>
              <w:t>0.14</w:t>
            </w:r>
          </w:p>
        </w:tc>
        <w:tc>
          <w:tcPr>
            <w:tcW w:w="152" w:type="pct"/>
            <w:tcBorders>
              <w:top w:val="nil"/>
              <w:bottom w:val="nil"/>
              <w:right w:val="single" w:sz="12" w:space="0" w:color="auto"/>
            </w:tcBorders>
            <w:noWrap/>
            <w:vAlign w:val="bottom"/>
          </w:tcPr>
          <w:p w14:paraId="50D390C1" w14:textId="77777777" w:rsidR="008B6B35" w:rsidRPr="00B71F92" w:rsidRDefault="008B6B35" w:rsidP="00730932">
            <w:pPr>
              <w:spacing w:after="0" w:line="240" w:lineRule="auto"/>
              <w:jc w:val="right"/>
              <w:rPr>
                <w:rFonts w:eastAsia="Times New Roman"/>
                <w:sz w:val="18"/>
                <w:szCs w:val="18"/>
              </w:rPr>
            </w:pPr>
            <w:r w:rsidRPr="00B71F92">
              <w:rPr>
                <w:sz w:val="18"/>
                <w:szCs w:val="18"/>
              </w:rPr>
              <w:t>2.29</w:t>
            </w:r>
          </w:p>
        </w:tc>
        <w:tc>
          <w:tcPr>
            <w:tcW w:w="182" w:type="pct"/>
            <w:tcBorders>
              <w:top w:val="nil"/>
              <w:left w:val="single" w:sz="12" w:space="0" w:color="auto"/>
              <w:bottom w:val="nil"/>
            </w:tcBorders>
            <w:noWrap/>
            <w:vAlign w:val="bottom"/>
          </w:tcPr>
          <w:p w14:paraId="5F6524B6" w14:textId="77777777" w:rsidR="008B6B35" w:rsidRPr="00B71F92" w:rsidRDefault="008B6B35" w:rsidP="00730932">
            <w:pPr>
              <w:spacing w:after="0" w:line="240" w:lineRule="auto"/>
              <w:jc w:val="right"/>
              <w:rPr>
                <w:rFonts w:eastAsia="Times New Roman"/>
                <w:sz w:val="18"/>
                <w:szCs w:val="18"/>
              </w:rPr>
            </w:pPr>
            <w:r w:rsidRPr="00B71F92">
              <w:rPr>
                <w:sz w:val="18"/>
                <w:szCs w:val="18"/>
              </w:rPr>
              <w:t>0.54</w:t>
            </w:r>
          </w:p>
        </w:tc>
        <w:tc>
          <w:tcPr>
            <w:tcW w:w="153" w:type="pct"/>
            <w:tcBorders>
              <w:top w:val="nil"/>
              <w:bottom w:val="nil"/>
              <w:right w:val="single" w:sz="6" w:space="0" w:color="auto"/>
            </w:tcBorders>
            <w:noWrap/>
            <w:vAlign w:val="bottom"/>
          </w:tcPr>
          <w:p w14:paraId="463E49D6" w14:textId="77777777" w:rsidR="008B6B35" w:rsidRPr="00B71F92" w:rsidRDefault="008B6B35" w:rsidP="00730932">
            <w:pPr>
              <w:spacing w:after="0" w:line="240" w:lineRule="auto"/>
              <w:jc w:val="right"/>
              <w:rPr>
                <w:rFonts w:eastAsia="Times New Roman"/>
                <w:sz w:val="18"/>
                <w:szCs w:val="18"/>
              </w:rPr>
            </w:pPr>
            <w:r w:rsidRPr="00B71F92">
              <w:rPr>
                <w:sz w:val="18"/>
                <w:szCs w:val="18"/>
              </w:rPr>
              <w:t>2.00</w:t>
            </w:r>
          </w:p>
        </w:tc>
        <w:tc>
          <w:tcPr>
            <w:tcW w:w="152" w:type="pct"/>
            <w:tcBorders>
              <w:top w:val="nil"/>
              <w:left w:val="single" w:sz="6" w:space="0" w:color="auto"/>
              <w:bottom w:val="nil"/>
            </w:tcBorders>
            <w:noWrap/>
            <w:vAlign w:val="center"/>
          </w:tcPr>
          <w:p w14:paraId="5EA369E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3E23015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FF6229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0099F47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D444B8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011584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474548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DDC82A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F8BE45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4C3C63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0599188C" w14:textId="77777777" w:rsidR="008B6B35" w:rsidRPr="00B71F92" w:rsidRDefault="008B6B35" w:rsidP="00730932">
            <w:pPr>
              <w:spacing w:after="0" w:line="240" w:lineRule="auto"/>
              <w:jc w:val="right"/>
              <w:rPr>
                <w:rFonts w:eastAsia="Times New Roman"/>
                <w:sz w:val="18"/>
                <w:szCs w:val="18"/>
              </w:rPr>
            </w:pPr>
            <w:r w:rsidRPr="00B71F92">
              <w:rPr>
                <w:sz w:val="18"/>
                <w:szCs w:val="18"/>
              </w:rPr>
              <w:t>0.55</w:t>
            </w:r>
          </w:p>
        </w:tc>
        <w:tc>
          <w:tcPr>
            <w:tcW w:w="173" w:type="pct"/>
            <w:tcBorders>
              <w:top w:val="nil"/>
              <w:bottom w:val="nil"/>
              <w:right w:val="single" w:sz="6" w:space="0" w:color="auto"/>
            </w:tcBorders>
            <w:noWrap/>
            <w:vAlign w:val="bottom"/>
          </w:tcPr>
          <w:p w14:paraId="5D4F70C9"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nil"/>
              <w:left w:val="single" w:sz="6" w:space="0" w:color="auto"/>
              <w:bottom w:val="nil"/>
            </w:tcBorders>
            <w:noWrap/>
            <w:vAlign w:val="center"/>
          </w:tcPr>
          <w:p w14:paraId="4BA6C0D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742181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DA3AFA2" w14:textId="77777777" w:rsidR="008B6B35" w:rsidRPr="00B71F92" w:rsidRDefault="008B6B35" w:rsidP="00730932">
            <w:pPr>
              <w:spacing w:after="0" w:line="240" w:lineRule="auto"/>
              <w:jc w:val="right"/>
              <w:rPr>
                <w:rFonts w:eastAsia="Times New Roman"/>
                <w:sz w:val="18"/>
                <w:szCs w:val="18"/>
              </w:rPr>
            </w:pPr>
            <w:r w:rsidRPr="00B71F92">
              <w:rPr>
                <w:sz w:val="18"/>
                <w:szCs w:val="18"/>
              </w:rPr>
              <w:t>-0.42</w:t>
            </w:r>
          </w:p>
        </w:tc>
        <w:tc>
          <w:tcPr>
            <w:tcW w:w="153" w:type="pct"/>
            <w:tcBorders>
              <w:top w:val="nil"/>
              <w:bottom w:val="nil"/>
              <w:right w:val="single" w:sz="6" w:space="0" w:color="auto"/>
            </w:tcBorders>
            <w:noWrap/>
            <w:vAlign w:val="bottom"/>
          </w:tcPr>
          <w:p w14:paraId="2B959BF1" w14:textId="77777777" w:rsidR="008B6B35" w:rsidRPr="00B71F92" w:rsidRDefault="008B6B35" w:rsidP="00730932">
            <w:pPr>
              <w:spacing w:after="0" w:line="240" w:lineRule="auto"/>
              <w:jc w:val="right"/>
              <w:rPr>
                <w:rFonts w:eastAsia="Times New Roman"/>
                <w:sz w:val="18"/>
                <w:szCs w:val="18"/>
              </w:rPr>
            </w:pPr>
            <w:r w:rsidRPr="00B71F92">
              <w:rPr>
                <w:sz w:val="18"/>
                <w:szCs w:val="18"/>
              </w:rPr>
              <w:t>-1.77</w:t>
            </w:r>
          </w:p>
        </w:tc>
        <w:tc>
          <w:tcPr>
            <w:tcW w:w="152" w:type="pct"/>
            <w:tcBorders>
              <w:top w:val="nil"/>
              <w:left w:val="single" w:sz="6" w:space="0" w:color="auto"/>
              <w:bottom w:val="nil"/>
            </w:tcBorders>
            <w:noWrap/>
            <w:vAlign w:val="bottom"/>
          </w:tcPr>
          <w:p w14:paraId="258C27F9" w14:textId="77777777" w:rsidR="008B6B35" w:rsidRPr="00B71F92" w:rsidRDefault="008B6B35" w:rsidP="00730932">
            <w:pPr>
              <w:spacing w:after="0" w:line="240" w:lineRule="auto"/>
              <w:jc w:val="right"/>
              <w:rPr>
                <w:rFonts w:eastAsia="Times New Roman"/>
                <w:sz w:val="18"/>
                <w:szCs w:val="18"/>
              </w:rPr>
            </w:pPr>
            <w:r w:rsidRPr="00B71F92">
              <w:rPr>
                <w:sz w:val="18"/>
                <w:szCs w:val="18"/>
              </w:rPr>
              <w:t>-0.79</w:t>
            </w:r>
          </w:p>
        </w:tc>
        <w:tc>
          <w:tcPr>
            <w:tcW w:w="155" w:type="pct"/>
            <w:tcBorders>
              <w:top w:val="nil"/>
              <w:bottom w:val="nil"/>
              <w:right w:val="single" w:sz="8" w:space="0" w:color="auto"/>
            </w:tcBorders>
            <w:noWrap/>
            <w:vAlign w:val="bottom"/>
          </w:tcPr>
          <w:p w14:paraId="0CE63082" w14:textId="77777777" w:rsidR="008B6B35" w:rsidRPr="00B71F92" w:rsidRDefault="008B6B35" w:rsidP="00730932">
            <w:pPr>
              <w:spacing w:after="0" w:line="240" w:lineRule="auto"/>
              <w:jc w:val="right"/>
              <w:rPr>
                <w:rFonts w:eastAsia="Times New Roman"/>
                <w:sz w:val="18"/>
                <w:szCs w:val="18"/>
              </w:rPr>
            </w:pPr>
            <w:r w:rsidRPr="00B71F92">
              <w:rPr>
                <w:sz w:val="18"/>
                <w:szCs w:val="18"/>
              </w:rPr>
              <w:t>-1.87</w:t>
            </w:r>
          </w:p>
        </w:tc>
        <w:tc>
          <w:tcPr>
            <w:tcW w:w="152" w:type="pct"/>
            <w:tcBorders>
              <w:top w:val="nil"/>
              <w:left w:val="single" w:sz="8" w:space="0" w:color="auto"/>
              <w:bottom w:val="nil"/>
            </w:tcBorders>
            <w:vAlign w:val="bottom"/>
          </w:tcPr>
          <w:p w14:paraId="75DFB5C7" w14:textId="77777777" w:rsidR="008B6B35" w:rsidRPr="00B71F92" w:rsidRDefault="008B6B35" w:rsidP="00730932">
            <w:pPr>
              <w:spacing w:after="0" w:line="240" w:lineRule="auto"/>
              <w:jc w:val="right"/>
              <w:rPr>
                <w:rFonts w:eastAsia="Times New Roman"/>
                <w:sz w:val="18"/>
                <w:szCs w:val="18"/>
              </w:rPr>
            </w:pPr>
            <w:r w:rsidRPr="00B71F92">
              <w:rPr>
                <w:sz w:val="18"/>
                <w:szCs w:val="18"/>
              </w:rPr>
              <w:t>0.39</w:t>
            </w:r>
          </w:p>
        </w:tc>
        <w:tc>
          <w:tcPr>
            <w:tcW w:w="191" w:type="pct"/>
            <w:tcBorders>
              <w:top w:val="nil"/>
              <w:bottom w:val="nil"/>
            </w:tcBorders>
            <w:vAlign w:val="bottom"/>
          </w:tcPr>
          <w:p w14:paraId="224D893B" w14:textId="77777777" w:rsidR="008B6B35" w:rsidRPr="00B71F92" w:rsidRDefault="008B6B35" w:rsidP="00730932">
            <w:pPr>
              <w:spacing w:after="0" w:line="240" w:lineRule="auto"/>
              <w:jc w:val="right"/>
              <w:rPr>
                <w:rFonts w:eastAsia="Times New Roman"/>
                <w:sz w:val="18"/>
                <w:szCs w:val="18"/>
              </w:rPr>
            </w:pPr>
            <w:r w:rsidRPr="00B71F92">
              <w:rPr>
                <w:sz w:val="18"/>
                <w:szCs w:val="18"/>
              </w:rPr>
              <w:t>1.86</w:t>
            </w:r>
          </w:p>
        </w:tc>
      </w:tr>
      <w:tr w:rsidR="008B6B35" w:rsidRPr="00B71F92" w14:paraId="58612152" w14:textId="77777777" w:rsidTr="002F5607">
        <w:trPr>
          <w:trHeight w:val="230"/>
          <w:jc w:val="center"/>
        </w:trPr>
        <w:tc>
          <w:tcPr>
            <w:tcW w:w="1220" w:type="pct"/>
            <w:tcBorders>
              <w:top w:val="nil"/>
              <w:bottom w:val="nil"/>
              <w:right w:val="single" w:sz="12" w:space="0" w:color="auto"/>
            </w:tcBorders>
            <w:noWrap/>
            <w:vAlign w:val="center"/>
          </w:tcPr>
          <w:p w14:paraId="0DBA3350"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Adult with more than one job</w:t>
            </w:r>
          </w:p>
        </w:tc>
        <w:tc>
          <w:tcPr>
            <w:tcW w:w="152" w:type="pct"/>
            <w:tcBorders>
              <w:top w:val="nil"/>
              <w:left w:val="single" w:sz="12" w:space="0" w:color="auto"/>
              <w:bottom w:val="nil"/>
            </w:tcBorders>
            <w:noWrap/>
            <w:vAlign w:val="bottom"/>
          </w:tcPr>
          <w:p w14:paraId="3B4F3D15" w14:textId="77777777" w:rsidR="008B6B35" w:rsidRPr="00B71F92" w:rsidRDefault="008B6B35" w:rsidP="00730932">
            <w:pPr>
              <w:spacing w:after="0" w:line="240" w:lineRule="auto"/>
              <w:jc w:val="right"/>
              <w:rPr>
                <w:rFonts w:eastAsia="Times New Roman"/>
                <w:sz w:val="18"/>
                <w:szCs w:val="18"/>
              </w:rPr>
            </w:pPr>
            <w:r w:rsidRPr="00B71F92">
              <w:rPr>
                <w:sz w:val="18"/>
                <w:szCs w:val="18"/>
              </w:rPr>
              <w:t>0.11</w:t>
            </w:r>
          </w:p>
        </w:tc>
        <w:tc>
          <w:tcPr>
            <w:tcW w:w="152" w:type="pct"/>
            <w:tcBorders>
              <w:top w:val="nil"/>
              <w:bottom w:val="nil"/>
              <w:right w:val="single" w:sz="12" w:space="0" w:color="auto"/>
            </w:tcBorders>
            <w:noWrap/>
            <w:vAlign w:val="bottom"/>
          </w:tcPr>
          <w:p w14:paraId="69E7313B" w14:textId="77777777" w:rsidR="008B6B35" w:rsidRPr="00B71F92" w:rsidRDefault="008B6B35" w:rsidP="00730932">
            <w:pPr>
              <w:spacing w:after="0" w:line="240" w:lineRule="auto"/>
              <w:jc w:val="right"/>
              <w:rPr>
                <w:rFonts w:eastAsia="Times New Roman"/>
                <w:sz w:val="18"/>
                <w:szCs w:val="18"/>
              </w:rPr>
            </w:pPr>
            <w:r w:rsidRPr="00B71F92">
              <w:rPr>
                <w:sz w:val="18"/>
                <w:szCs w:val="18"/>
              </w:rPr>
              <w:t>2.17</w:t>
            </w:r>
          </w:p>
        </w:tc>
        <w:tc>
          <w:tcPr>
            <w:tcW w:w="182" w:type="pct"/>
            <w:tcBorders>
              <w:top w:val="nil"/>
              <w:left w:val="single" w:sz="12" w:space="0" w:color="auto"/>
              <w:bottom w:val="nil"/>
            </w:tcBorders>
            <w:noWrap/>
            <w:vAlign w:val="bottom"/>
          </w:tcPr>
          <w:p w14:paraId="6558A622" w14:textId="77777777" w:rsidR="008B6B35" w:rsidRPr="00B71F92" w:rsidRDefault="008B6B35" w:rsidP="00730932">
            <w:pPr>
              <w:spacing w:after="0" w:line="240" w:lineRule="auto"/>
              <w:jc w:val="right"/>
              <w:rPr>
                <w:rFonts w:eastAsia="Times New Roman"/>
                <w:sz w:val="18"/>
                <w:szCs w:val="18"/>
              </w:rPr>
            </w:pPr>
            <w:r w:rsidRPr="00B71F92">
              <w:rPr>
                <w:sz w:val="18"/>
                <w:szCs w:val="18"/>
              </w:rPr>
              <w:t>0.20</w:t>
            </w:r>
          </w:p>
        </w:tc>
        <w:tc>
          <w:tcPr>
            <w:tcW w:w="153" w:type="pct"/>
            <w:tcBorders>
              <w:top w:val="nil"/>
              <w:bottom w:val="nil"/>
              <w:right w:val="single" w:sz="6" w:space="0" w:color="auto"/>
            </w:tcBorders>
            <w:noWrap/>
            <w:vAlign w:val="bottom"/>
          </w:tcPr>
          <w:p w14:paraId="14EA504E" w14:textId="77777777" w:rsidR="008B6B35" w:rsidRPr="00B71F92" w:rsidRDefault="008B6B35" w:rsidP="00730932">
            <w:pPr>
              <w:spacing w:after="0" w:line="240" w:lineRule="auto"/>
              <w:jc w:val="right"/>
              <w:rPr>
                <w:rFonts w:eastAsia="Times New Roman"/>
                <w:sz w:val="18"/>
                <w:szCs w:val="18"/>
              </w:rPr>
            </w:pPr>
            <w:r w:rsidRPr="00B71F92">
              <w:rPr>
                <w:sz w:val="18"/>
                <w:szCs w:val="18"/>
              </w:rPr>
              <w:t>1.83</w:t>
            </w:r>
          </w:p>
        </w:tc>
        <w:tc>
          <w:tcPr>
            <w:tcW w:w="152" w:type="pct"/>
            <w:tcBorders>
              <w:top w:val="nil"/>
              <w:left w:val="single" w:sz="6" w:space="0" w:color="auto"/>
              <w:bottom w:val="nil"/>
            </w:tcBorders>
            <w:noWrap/>
            <w:vAlign w:val="center"/>
          </w:tcPr>
          <w:p w14:paraId="7C176DA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29D70ED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A61202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3B1B4E0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218D8F41"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3" w:type="pct"/>
            <w:tcBorders>
              <w:top w:val="nil"/>
              <w:bottom w:val="nil"/>
              <w:right w:val="single" w:sz="6" w:space="0" w:color="auto"/>
            </w:tcBorders>
            <w:noWrap/>
            <w:vAlign w:val="bottom"/>
          </w:tcPr>
          <w:p w14:paraId="4EBD7E3D" w14:textId="77777777" w:rsidR="008B6B35" w:rsidRPr="00B71F92" w:rsidRDefault="008B6B35" w:rsidP="00730932">
            <w:pPr>
              <w:spacing w:after="0" w:line="240" w:lineRule="auto"/>
              <w:jc w:val="right"/>
              <w:rPr>
                <w:rFonts w:eastAsia="Times New Roman"/>
                <w:sz w:val="18"/>
                <w:szCs w:val="18"/>
              </w:rPr>
            </w:pPr>
            <w:r w:rsidRPr="00B71F92">
              <w:rPr>
                <w:sz w:val="18"/>
                <w:szCs w:val="18"/>
              </w:rPr>
              <w:t>1.79</w:t>
            </w:r>
          </w:p>
        </w:tc>
        <w:tc>
          <w:tcPr>
            <w:tcW w:w="152" w:type="pct"/>
            <w:tcBorders>
              <w:top w:val="nil"/>
              <w:left w:val="single" w:sz="6" w:space="0" w:color="auto"/>
              <w:bottom w:val="nil"/>
            </w:tcBorders>
            <w:noWrap/>
            <w:vAlign w:val="center"/>
          </w:tcPr>
          <w:p w14:paraId="56A0CAE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19479C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8107ED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BDDE25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A40988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4B27DE4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3878AA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1DF3DB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3C4EE0BB" w14:textId="77777777" w:rsidR="008B6B35" w:rsidRPr="00B71F92" w:rsidRDefault="008B6B35" w:rsidP="00730932">
            <w:pPr>
              <w:spacing w:after="0" w:line="240" w:lineRule="auto"/>
              <w:jc w:val="right"/>
              <w:rPr>
                <w:rFonts w:eastAsia="Times New Roman"/>
                <w:sz w:val="18"/>
                <w:szCs w:val="18"/>
              </w:rPr>
            </w:pPr>
            <w:r w:rsidRPr="00B71F92">
              <w:rPr>
                <w:sz w:val="18"/>
                <w:szCs w:val="18"/>
              </w:rPr>
              <w:t>0.37</w:t>
            </w:r>
          </w:p>
        </w:tc>
        <w:tc>
          <w:tcPr>
            <w:tcW w:w="153" w:type="pct"/>
            <w:tcBorders>
              <w:top w:val="nil"/>
              <w:bottom w:val="nil"/>
              <w:right w:val="single" w:sz="6" w:space="0" w:color="auto"/>
            </w:tcBorders>
            <w:noWrap/>
            <w:vAlign w:val="bottom"/>
          </w:tcPr>
          <w:p w14:paraId="39104492" w14:textId="77777777" w:rsidR="008B6B35" w:rsidRPr="00B71F92" w:rsidRDefault="008B6B35" w:rsidP="00730932">
            <w:pPr>
              <w:spacing w:after="0" w:line="240" w:lineRule="auto"/>
              <w:jc w:val="right"/>
              <w:rPr>
                <w:rFonts w:eastAsia="Times New Roman"/>
                <w:sz w:val="18"/>
                <w:szCs w:val="18"/>
              </w:rPr>
            </w:pPr>
            <w:r w:rsidRPr="00B71F92">
              <w:rPr>
                <w:sz w:val="18"/>
                <w:szCs w:val="18"/>
              </w:rPr>
              <w:t>2.18</w:t>
            </w:r>
          </w:p>
        </w:tc>
        <w:tc>
          <w:tcPr>
            <w:tcW w:w="152" w:type="pct"/>
            <w:tcBorders>
              <w:top w:val="nil"/>
              <w:left w:val="single" w:sz="6" w:space="0" w:color="auto"/>
              <w:bottom w:val="nil"/>
            </w:tcBorders>
            <w:noWrap/>
            <w:vAlign w:val="center"/>
          </w:tcPr>
          <w:p w14:paraId="4023585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2700465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center"/>
          </w:tcPr>
          <w:p w14:paraId="5097377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5436E0F6" w14:textId="77777777" w:rsidR="008B6B35" w:rsidRPr="00B71F92" w:rsidRDefault="008B6B35" w:rsidP="00730932">
            <w:pPr>
              <w:spacing w:after="0" w:line="240" w:lineRule="auto"/>
              <w:jc w:val="right"/>
              <w:rPr>
                <w:rFonts w:eastAsia="Times New Roman"/>
                <w:sz w:val="18"/>
                <w:szCs w:val="18"/>
              </w:rPr>
            </w:pPr>
          </w:p>
        </w:tc>
      </w:tr>
      <w:tr w:rsidR="008B6B35" w:rsidRPr="00B71F92" w14:paraId="448BCFBF" w14:textId="77777777" w:rsidTr="002F5607">
        <w:trPr>
          <w:trHeight w:val="230"/>
          <w:jc w:val="center"/>
        </w:trPr>
        <w:tc>
          <w:tcPr>
            <w:tcW w:w="1220" w:type="pct"/>
            <w:tcBorders>
              <w:top w:val="nil"/>
              <w:bottom w:val="nil"/>
              <w:right w:val="single" w:sz="12" w:space="0" w:color="auto"/>
            </w:tcBorders>
            <w:noWrap/>
            <w:vAlign w:val="center"/>
          </w:tcPr>
          <w:p w14:paraId="21482C78"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Adult with more than one job * 2021 Shift</w:t>
            </w:r>
          </w:p>
        </w:tc>
        <w:tc>
          <w:tcPr>
            <w:tcW w:w="152" w:type="pct"/>
            <w:tcBorders>
              <w:top w:val="nil"/>
              <w:left w:val="single" w:sz="12" w:space="0" w:color="auto"/>
              <w:bottom w:val="nil"/>
            </w:tcBorders>
            <w:noWrap/>
            <w:vAlign w:val="bottom"/>
          </w:tcPr>
          <w:p w14:paraId="68DEBDB9" w14:textId="77777777" w:rsidR="008B6B35" w:rsidRPr="00B71F92" w:rsidRDefault="008B6B35" w:rsidP="00730932">
            <w:pPr>
              <w:spacing w:after="0" w:line="240" w:lineRule="auto"/>
              <w:jc w:val="right"/>
              <w:rPr>
                <w:rFonts w:eastAsia="Times New Roman"/>
                <w:sz w:val="18"/>
                <w:szCs w:val="18"/>
              </w:rPr>
            </w:pPr>
            <w:r w:rsidRPr="00B71F92">
              <w:rPr>
                <w:sz w:val="18"/>
                <w:szCs w:val="18"/>
              </w:rPr>
              <w:t>-0.15</w:t>
            </w:r>
          </w:p>
        </w:tc>
        <w:tc>
          <w:tcPr>
            <w:tcW w:w="152" w:type="pct"/>
            <w:tcBorders>
              <w:top w:val="nil"/>
              <w:bottom w:val="nil"/>
              <w:right w:val="single" w:sz="12" w:space="0" w:color="auto"/>
            </w:tcBorders>
            <w:noWrap/>
            <w:vAlign w:val="bottom"/>
          </w:tcPr>
          <w:p w14:paraId="44216302" w14:textId="77777777" w:rsidR="008B6B35" w:rsidRPr="00B71F92" w:rsidRDefault="008B6B35" w:rsidP="00730932">
            <w:pPr>
              <w:spacing w:after="0" w:line="240" w:lineRule="auto"/>
              <w:jc w:val="right"/>
              <w:rPr>
                <w:rFonts w:eastAsia="Times New Roman"/>
                <w:sz w:val="18"/>
                <w:szCs w:val="18"/>
              </w:rPr>
            </w:pPr>
            <w:r w:rsidRPr="00B71F92">
              <w:rPr>
                <w:sz w:val="18"/>
                <w:szCs w:val="18"/>
              </w:rPr>
              <w:t>-2.36</w:t>
            </w:r>
          </w:p>
        </w:tc>
        <w:tc>
          <w:tcPr>
            <w:tcW w:w="182" w:type="pct"/>
            <w:tcBorders>
              <w:top w:val="nil"/>
              <w:left w:val="single" w:sz="12" w:space="0" w:color="auto"/>
              <w:bottom w:val="nil"/>
            </w:tcBorders>
            <w:noWrap/>
            <w:vAlign w:val="center"/>
          </w:tcPr>
          <w:p w14:paraId="4FE026C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53CA57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2A3B14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3CD4A05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4419437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183DF5B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C090E68" w14:textId="77777777" w:rsidR="008B6B35" w:rsidRPr="00B71F92" w:rsidRDefault="008B6B35" w:rsidP="00730932">
            <w:pPr>
              <w:spacing w:after="0" w:line="240" w:lineRule="auto"/>
              <w:jc w:val="right"/>
              <w:rPr>
                <w:rFonts w:eastAsia="Times New Roman"/>
                <w:sz w:val="18"/>
                <w:szCs w:val="18"/>
              </w:rPr>
            </w:pPr>
            <w:r w:rsidRPr="00B71F92">
              <w:rPr>
                <w:sz w:val="18"/>
                <w:szCs w:val="18"/>
              </w:rPr>
              <w:t>-0.25</w:t>
            </w:r>
          </w:p>
        </w:tc>
        <w:tc>
          <w:tcPr>
            <w:tcW w:w="153" w:type="pct"/>
            <w:tcBorders>
              <w:top w:val="nil"/>
              <w:bottom w:val="nil"/>
              <w:right w:val="single" w:sz="6" w:space="0" w:color="auto"/>
            </w:tcBorders>
            <w:noWrap/>
            <w:vAlign w:val="bottom"/>
          </w:tcPr>
          <w:p w14:paraId="227A6ED8" w14:textId="77777777" w:rsidR="008B6B35" w:rsidRPr="00B71F92" w:rsidRDefault="008B6B35" w:rsidP="00730932">
            <w:pPr>
              <w:spacing w:after="0" w:line="240" w:lineRule="auto"/>
              <w:jc w:val="right"/>
              <w:rPr>
                <w:rFonts w:eastAsia="Times New Roman"/>
                <w:sz w:val="18"/>
                <w:szCs w:val="18"/>
              </w:rPr>
            </w:pPr>
            <w:r w:rsidRPr="00B71F92">
              <w:rPr>
                <w:sz w:val="18"/>
                <w:szCs w:val="18"/>
              </w:rPr>
              <w:t>-1.82</w:t>
            </w:r>
          </w:p>
        </w:tc>
        <w:tc>
          <w:tcPr>
            <w:tcW w:w="152" w:type="pct"/>
            <w:tcBorders>
              <w:top w:val="nil"/>
              <w:left w:val="single" w:sz="6" w:space="0" w:color="auto"/>
              <w:bottom w:val="nil"/>
            </w:tcBorders>
            <w:noWrap/>
            <w:vAlign w:val="center"/>
          </w:tcPr>
          <w:p w14:paraId="4DFB1DC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5B11AF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663D21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E7E9E5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7A8CF9A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0D5215D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11BDBE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4CFF2C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78A094A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374A46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CD3476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0067014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center"/>
          </w:tcPr>
          <w:p w14:paraId="0AA9BA8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2C65481A" w14:textId="77777777" w:rsidR="008B6B35" w:rsidRPr="00B71F92" w:rsidRDefault="008B6B35" w:rsidP="00730932">
            <w:pPr>
              <w:spacing w:after="0" w:line="240" w:lineRule="auto"/>
              <w:jc w:val="right"/>
              <w:rPr>
                <w:rFonts w:eastAsia="Times New Roman"/>
                <w:sz w:val="18"/>
                <w:szCs w:val="18"/>
              </w:rPr>
            </w:pPr>
          </w:p>
        </w:tc>
      </w:tr>
      <w:tr w:rsidR="008B6B35" w:rsidRPr="00B71F92" w14:paraId="1ED27604" w14:textId="77777777" w:rsidTr="002F5607">
        <w:trPr>
          <w:trHeight w:val="230"/>
          <w:jc w:val="center"/>
        </w:trPr>
        <w:tc>
          <w:tcPr>
            <w:tcW w:w="1220" w:type="pct"/>
            <w:tcBorders>
              <w:top w:val="nil"/>
              <w:bottom w:val="nil"/>
              <w:right w:val="single" w:sz="12" w:space="0" w:color="auto"/>
            </w:tcBorders>
            <w:noWrap/>
            <w:vAlign w:val="center"/>
          </w:tcPr>
          <w:p w14:paraId="42ADB9D3"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Job </w:t>
            </w:r>
            <w:proofErr w:type="gramStart"/>
            <w:r w:rsidRPr="00B71F92">
              <w:rPr>
                <w:rFonts w:eastAsia="Times New Roman"/>
                <w:sz w:val="18"/>
                <w:szCs w:val="18"/>
              </w:rPr>
              <w:t>change</w:t>
            </w:r>
            <w:proofErr w:type="gramEnd"/>
            <w:r w:rsidRPr="00B71F92">
              <w:rPr>
                <w:rFonts w:eastAsia="Times New Roman"/>
                <w:sz w:val="18"/>
                <w:szCs w:val="18"/>
              </w:rPr>
              <w:t xml:space="preserve"> in past five years</w:t>
            </w:r>
          </w:p>
        </w:tc>
        <w:tc>
          <w:tcPr>
            <w:tcW w:w="152" w:type="pct"/>
            <w:tcBorders>
              <w:top w:val="nil"/>
              <w:left w:val="single" w:sz="12" w:space="0" w:color="auto"/>
              <w:bottom w:val="nil"/>
            </w:tcBorders>
            <w:noWrap/>
            <w:vAlign w:val="bottom"/>
          </w:tcPr>
          <w:p w14:paraId="1DBEB74F" w14:textId="77777777" w:rsidR="008B6B35" w:rsidRPr="00B71F92" w:rsidRDefault="008B6B35" w:rsidP="00730932">
            <w:pPr>
              <w:spacing w:after="0" w:line="240" w:lineRule="auto"/>
              <w:jc w:val="right"/>
              <w:rPr>
                <w:rFonts w:eastAsia="Times New Roman"/>
                <w:sz w:val="18"/>
                <w:szCs w:val="18"/>
              </w:rPr>
            </w:pPr>
            <w:r w:rsidRPr="00B71F92">
              <w:rPr>
                <w:sz w:val="18"/>
                <w:szCs w:val="18"/>
              </w:rPr>
              <w:t>0.10</w:t>
            </w:r>
          </w:p>
        </w:tc>
        <w:tc>
          <w:tcPr>
            <w:tcW w:w="152" w:type="pct"/>
            <w:tcBorders>
              <w:top w:val="nil"/>
              <w:bottom w:val="nil"/>
              <w:right w:val="single" w:sz="12" w:space="0" w:color="auto"/>
            </w:tcBorders>
            <w:noWrap/>
            <w:vAlign w:val="bottom"/>
          </w:tcPr>
          <w:p w14:paraId="388B1B81" w14:textId="77777777" w:rsidR="008B6B35" w:rsidRPr="00B71F92" w:rsidRDefault="008B6B35" w:rsidP="00730932">
            <w:pPr>
              <w:spacing w:after="0" w:line="240" w:lineRule="auto"/>
              <w:jc w:val="right"/>
              <w:rPr>
                <w:rFonts w:eastAsia="Times New Roman"/>
                <w:sz w:val="18"/>
                <w:szCs w:val="18"/>
              </w:rPr>
            </w:pPr>
            <w:r w:rsidRPr="00B71F92">
              <w:rPr>
                <w:sz w:val="18"/>
                <w:szCs w:val="18"/>
              </w:rPr>
              <w:t>2.35</w:t>
            </w:r>
          </w:p>
        </w:tc>
        <w:tc>
          <w:tcPr>
            <w:tcW w:w="182" w:type="pct"/>
            <w:tcBorders>
              <w:top w:val="nil"/>
              <w:left w:val="single" w:sz="12" w:space="0" w:color="auto"/>
              <w:bottom w:val="nil"/>
            </w:tcBorders>
            <w:noWrap/>
            <w:vAlign w:val="bottom"/>
          </w:tcPr>
          <w:p w14:paraId="4BAAFA7B" w14:textId="77777777" w:rsidR="008B6B35" w:rsidRPr="00B71F92" w:rsidRDefault="008B6B35" w:rsidP="00730932">
            <w:pPr>
              <w:spacing w:after="0" w:line="240" w:lineRule="auto"/>
              <w:jc w:val="right"/>
              <w:rPr>
                <w:rFonts w:eastAsia="Times New Roman"/>
                <w:sz w:val="18"/>
                <w:szCs w:val="18"/>
              </w:rPr>
            </w:pPr>
            <w:r w:rsidRPr="00B71F92">
              <w:rPr>
                <w:sz w:val="18"/>
                <w:szCs w:val="18"/>
              </w:rPr>
              <w:t>0.18</w:t>
            </w:r>
          </w:p>
        </w:tc>
        <w:tc>
          <w:tcPr>
            <w:tcW w:w="153" w:type="pct"/>
            <w:tcBorders>
              <w:top w:val="nil"/>
              <w:bottom w:val="nil"/>
              <w:right w:val="single" w:sz="6" w:space="0" w:color="auto"/>
            </w:tcBorders>
            <w:noWrap/>
            <w:vAlign w:val="bottom"/>
          </w:tcPr>
          <w:p w14:paraId="7958199F" w14:textId="77777777" w:rsidR="008B6B35" w:rsidRPr="00B71F92" w:rsidRDefault="008B6B35" w:rsidP="00730932">
            <w:pPr>
              <w:spacing w:after="0" w:line="240" w:lineRule="auto"/>
              <w:jc w:val="right"/>
              <w:rPr>
                <w:rFonts w:eastAsia="Times New Roman"/>
                <w:sz w:val="18"/>
                <w:szCs w:val="18"/>
              </w:rPr>
            </w:pPr>
            <w:r w:rsidRPr="00B71F92">
              <w:rPr>
                <w:sz w:val="18"/>
                <w:szCs w:val="18"/>
              </w:rPr>
              <w:t>1.87</w:t>
            </w:r>
          </w:p>
        </w:tc>
        <w:tc>
          <w:tcPr>
            <w:tcW w:w="152" w:type="pct"/>
            <w:tcBorders>
              <w:top w:val="nil"/>
              <w:left w:val="single" w:sz="6" w:space="0" w:color="auto"/>
              <w:bottom w:val="nil"/>
            </w:tcBorders>
            <w:noWrap/>
            <w:vAlign w:val="center"/>
          </w:tcPr>
          <w:p w14:paraId="43DBD9E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6443578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06826D88" w14:textId="77777777" w:rsidR="008B6B35" w:rsidRPr="00B71F92" w:rsidRDefault="008B6B35" w:rsidP="00730932">
            <w:pPr>
              <w:spacing w:after="0" w:line="240" w:lineRule="auto"/>
              <w:jc w:val="right"/>
              <w:rPr>
                <w:rFonts w:eastAsia="Times New Roman"/>
                <w:sz w:val="18"/>
                <w:szCs w:val="18"/>
              </w:rPr>
            </w:pPr>
            <w:r w:rsidRPr="00B71F92">
              <w:rPr>
                <w:sz w:val="18"/>
                <w:szCs w:val="18"/>
              </w:rPr>
              <w:t>0.22</w:t>
            </w:r>
          </w:p>
        </w:tc>
        <w:tc>
          <w:tcPr>
            <w:tcW w:w="154" w:type="pct"/>
            <w:tcBorders>
              <w:top w:val="nil"/>
              <w:bottom w:val="nil"/>
              <w:right w:val="single" w:sz="6" w:space="0" w:color="auto"/>
            </w:tcBorders>
            <w:noWrap/>
            <w:vAlign w:val="bottom"/>
          </w:tcPr>
          <w:p w14:paraId="54B09B73" w14:textId="77777777" w:rsidR="008B6B35" w:rsidRPr="00B71F92" w:rsidRDefault="008B6B35" w:rsidP="00730932">
            <w:pPr>
              <w:spacing w:after="0" w:line="240" w:lineRule="auto"/>
              <w:jc w:val="right"/>
              <w:rPr>
                <w:rFonts w:eastAsia="Times New Roman"/>
                <w:sz w:val="18"/>
                <w:szCs w:val="18"/>
              </w:rPr>
            </w:pPr>
            <w:r w:rsidRPr="00B71F92">
              <w:rPr>
                <w:sz w:val="18"/>
                <w:szCs w:val="18"/>
              </w:rPr>
              <w:t>1.88</w:t>
            </w:r>
          </w:p>
        </w:tc>
        <w:tc>
          <w:tcPr>
            <w:tcW w:w="152" w:type="pct"/>
            <w:tcBorders>
              <w:top w:val="nil"/>
              <w:left w:val="single" w:sz="6" w:space="0" w:color="auto"/>
              <w:bottom w:val="nil"/>
            </w:tcBorders>
            <w:noWrap/>
            <w:vAlign w:val="center"/>
          </w:tcPr>
          <w:p w14:paraId="1648689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2E12C3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436A1F2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9393D9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3FC5BF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361D11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A9FA44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396DAC0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F6D74E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52A1B5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B6750D1"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3" w:type="pct"/>
            <w:tcBorders>
              <w:top w:val="nil"/>
              <w:bottom w:val="nil"/>
              <w:right w:val="single" w:sz="6" w:space="0" w:color="auto"/>
            </w:tcBorders>
            <w:noWrap/>
            <w:vAlign w:val="bottom"/>
          </w:tcPr>
          <w:p w14:paraId="65941998" w14:textId="77777777" w:rsidR="008B6B35" w:rsidRPr="00B71F92" w:rsidRDefault="008B6B35" w:rsidP="00730932">
            <w:pPr>
              <w:spacing w:after="0" w:line="240" w:lineRule="auto"/>
              <w:jc w:val="right"/>
              <w:rPr>
                <w:rFonts w:eastAsia="Times New Roman"/>
                <w:sz w:val="18"/>
                <w:szCs w:val="18"/>
              </w:rPr>
            </w:pPr>
            <w:r w:rsidRPr="00B71F92">
              <w:rPr>
                <w:sz w:val="18"/>
                <w:szCs w:val="18"/>
              </w:rPr>
              <w:t>1.77</w:t>
            </w:r>
          </w:p>
        </w:tc>
        <w:tc>
          <w:tcPr>
            <w:tcW w:w="152" w:type="pct"/>
            <w:tcBorders>
              <w:top w:val="nil"/>
              <w:left w:val="single" w:sz="6" w:space="0" w:color="auto"/>
              <w:bottom w:val="nil"/>
            </w:tcBorders>
            <w:noWrap/>
            <w:vAlign w:val="center"/>
          </w:tcPr>
          <w:p w14:paraId="7DA6DAD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05268FA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center"/>
          </w:tcPr>
          <w:p w14:paraId="3360AA0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1E683553" w14:textId="77777777" w:rsidR="008B6B35" w:rsidRPr="00B71F92" w:rsidRDefault="008B6B35" w:rsidP="00730932">
            <w:pPr>
              <w:spacing w:after="0" w:line="240" w:lineRule="auto"/>
              <w:jc w:val="right"/>
              <w:rPr>
                <w:rFonts w:eastAsia="Times New Roman"/>
                <w:sz w:val="18"/>
                <w:szCs w:val="18"/>
              </w:rPr>
            </w:pPr>
          </w:p>
        </w:tc>
      </w:tr>
      <w:tr w:rsidR="008B6B35" w:rsidRPr="00B71F92" w14:paraId="5BDBCE88" w14:textId="77777777" w:rsidTr="002F5607">
        <w:trPr>
          <w:trHeight w:val="230"/>
          <w:jc w:val="center"/>
        </w:trPr>
        <w:tc>
          <w:tcPr>
            <w:tcW w:w="1220" w:type="pct"/>
            <w:tcBorders>
              <w:top w:val="nil"/>
              <w:bottom w:val="nil"/>
              <w:right w:val="single" w:sz="12" w:space="0" w:color="auto"/>
            </w:tcBorders>
            <w:noWrap/>
            <w:vAlign w:val="center"/>
          </w:tcPr>
          <w:p w14:paraId="0B062829"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Job </w:t>
            </w:r>
            <w:proofErr w:type="gramStart"/>
            <w:r w:rsidRPr="00B71F92">
              <w:rPr>
                <w:rFonts w:eastAsia="Times New Roman"/>
                <w:sz w:val="18"/>
                <w:szCs w:val="18"/>
              </w:rPr>
              <w:t>change</w:t>
            </w:r>
            <w:proofErr w:type="gramEnd"/>
            <w:r w:rsidRPr="00B71F92">
              <w:rPr>
                <w:rFonts w:eastAsia="Times New Roman"/>
                <w:sz w:val="18"/>
                <w:szCs w:val="18"/>
              </w:rPr>
              <w:t xml:space="preserve"> in past five years * 2021 Shift</w:t>
            </w:r>
          </w:p>
        </w:tc>
        <w:tc>
          <w:tcPr>
            <w:tcW w:w="152" w:type="pct"/>
            <w:tcBorders>
              <w:top w:val="nil"/>
              <w:left w:val="single" w:sz="12" w:space="0" w:color="auto"/>
              <w:bottom w:val="nil"/>
            </w:tcBorders>
            <w:noWrap/>
            <w:vAlign w:val="center"/>
          </w:tcPr>
          <w:p w14:paraId="063F62E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48C2A9C9"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center"/>
          </w:tcPr>
          <w:p w14:paraId="6EF86AB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B23FC5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E94CFF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6DFA938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40F9FA8E" w14:textId="77777777" w:rsidR="008B6B35" w:rsidRPr="00B71F92" w:rsidRDefault="008B6B35" w:rsidP="00730932">
            <w:pPr>
              <w:spacing w:after="0" w:line="240" w:lineRule="auto"/>
              <w:jc w:val="right"/>
              <w:rPr>
                <w:rFonts w:eastAsia="Times New Roman"/>
                <w:sz w:val="18"/>
                <w:szCs w:val="18"/>
              </w:rPr>
            </w:pPr>
            <w:r w:rsidRPr="00B71F92">
              <w:rPr>
                <w:sz w:val="18"/>
                <w:szCs w:val="18"/>
              </w:rPr>
              <w:t>-0.17</w:t>
            </w:r>
          </w:p>
        </w:tc>
        <w:tc>
          <w:tcPr>
            <w:tcW w:w="154" w:type="pct"/>
            <w:tcBorders>
              <w:top w:val="nil"/>
              <w:bottom w:val="nil"/>
              <w:right w:val="single" w:sz="6" w:space="0" w:color="auto"/>
            </w:tcBorders>
            <w:noWrap/>
            <w:vAlign w:val="bottom"/>
          </w:tcPr>
          <w:p w14:paraId="510DFE10" w14:textId="77777777" w:rsidR="008B6B35" w:rsidRPr="00B71F92" w:rsidRDefault="008B6B35" w:rsidP="00730932">
            <w:pPr>
              <w:spacing w:after="0" w:line="240" w:lineRule="auto"/>
              <w:jc w:val="right"/>
              <w:rPr>
                <w:rFonts w:eastAsia="Times New Roman"/>
                <w:sz w:val="18"/>
                <w:szCs w:val="18"/>
              </w:rPr>
            </w:pPr>
            <w:r w:rsidRPr="00B71F92">
              <w:rPr>
                <w:sz w:val="18"/>
                <w:szCs w:val="18"/>
              </w:rPr>
              <w:t>-1.99</w:t>
            </w:r>
          </w:p>
        </w:tc>
        <w:tc>
          <w:tcPr>
            <w:tcW w:w="152" w:type="pct"/>
            <w:tcBorders>
              <w:top w:val="nil"/>
              <w:left w:val="single" w:sz="6" w:space="0" w:color="auto"/>
              <w:bottom w:val="nil"/>
            </w:tcBorders>
            <w:noWrap/>
            <w:vAlign w:val="center"/>
          </w:tcPr>
          <w:p w14:paraId="20D89BE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0E1E2E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4CBA18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3005C1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FD979A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51BF3D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1C65B38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04A42B2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917BE4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EEC489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19AABB8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5E8F39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14D702D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1794B10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center"/>
          </w:tcPr>
          <w:p w14:paraId="3E58E30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7309D921" w14:textId="77777777" w:rsidR="008B6B35" w:rsidRPr="00B71F92" w:rsidRDefault="008B6B35" w:rsidP="00730932">
            <w:pPr>
              <w:spacing w:after="0" w:line="240" w:lineRule="auto"/>
              <w:jc w:val="right"/>
              <w:rPr>
                <w:rFonts w:eastAsia="Times New Roman"/>
                <w:sz w:val="18"/>
                <w:szCs w:val="18"/>
              </w:rPr>
            </w:pPr>
          </w:p>
        </w:tc>
      </w:tr>
      <w:tr w:rsidR="008B6B35" w:rsidRPr="00B71F92" w14:paraId="181AA252" w14:textId="77777777" w:rsidTr="002F5607">
        <w:trPr>
          <w:trHeight w:val="230"/>
          <w:jc w:val="center"/>
        </w:trPr>
        <w:tc>
          <w:tcPr>
            <w:tcW w:w="1220" w:type="pct"/>
            <w:tcBorders>
              <w:top w:val="nil"/>
              <w:bottom w:val="nil"/>
              <w:right w:val="single" w:sz="12" w:space="0" w:color="auto"/>
            </w:tcBorders>
            <w:noWrap/>
            <w:vAlign w:val="center"/>
          </w:tcPr>
          <w:p w14:paraId="1A8F27E0"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Job </w:t>
            </w:r>
            <w:proofErr w:type="gramStart"/>
            <w:r w:rsidRPr="00B71F92">
              <w:rPr>
                <w:rFonts w:eastAsia="Times New Roman"/>
                <w:sz w:val="18"/>
                <w:szCs w:val="18"/>
              </w:rPr>
              <w:t>change</w:t>
            </w:r>
            <w:proofErr w:type="gramEnd"/>
            <w:r w:rsidRPr="00B71F92">
              <w:rPr>
                <w:rFonts w:eastAsia="Times New Roman"/>
                <w:sz w:val="18"/>
                <w:szCs w:val="18"/>
              </w:rPr>
              <w:t xml:space="preserve"> in past five years * 2023 Shift</w:t>
            </w:r>
          </w:p>
        </w:tc>
        <w:tc>
          <w:tcPr>
            <w:tcW w:w="152" w:type="pct"/>
            <w:tcBorders>
              <w:top w:val="nil"/>
              <w:left w:val="single" w:sz="12" w:space="0" w:color="auto"/>
              <w:bottom w:val="nil"/>
            </w:tcBorders>
            <w:noWrap/>
            <w:vAlign w:val="bottom"/>
          </w:tcPr>
          <w:p w14:paraId="00F98882" w14:textId="77777777" w:rsidR="008B6B35" w:rsidRPr="00B71F92" w:rsidRDefault="008B6B35" w:rsidP="00730932">
            <w:pPr>
              <w:spacing w:after="0" w:line="240" w:lineRule="auto"/>
              <w:jc w:val="right"/>
              <w:rPr>
                <w:rFonts w:eastAsia="Times New Roman"/>
                <w:sz w:val="18"/>
                <w:szCs w:val="18"/>
              </w:rPr>
            </w:pPr>
            <w:r w:rsidRPr="00B71F92">
              <w:rPr>
                <w:sz w:val="18"/>
                <w:szCs w:val="18"/>
              </w:rPr>
              <w:t>0.13</w:t>
            </w:r>
          </w:p>
        </w:tc>
        <w:tc>
          <w:tcPr>
            <w:tcW w:w="152" w:type="pct"/>
            <w:tcBorders>
              <w:top w:val="nil"/>
              <w:bottom w:val="nil"/>
              <w:right w:val="single" w:sz="12" w:space="0" w:color="auto"/>
            </w:tcBorders>
            <w:noWrap/>
            <w:vAlign w:val="bottom"/>
          </w:tcPr>
          <w:p w14:paraId="7FF68551" w14:textId="77777777" w:rsidR="008B6B35" w:rsidRPr="00B71F92" w:rsidRDefault="008B6B35" w:rsidP="00730932">
            <w:pPr>
              <w:spacing w:after="0" w:line="240" w:lineRule="auto"/>
              <w:jc w:val="right"/>
              <w:rPr>
                <w:rFonts w:eastAsia="Times New Roman"/>
                <w:sz w:val="18"/>
                <w:szCs w:val="18"/>
              </w:rPr>
            </w:pPr>
            <w:r w:rsidRPr="00B71F92">
              <w:rPr>
                <w:sz w:val="18"/>
                <w:szCs w:val="18"/>
              </w:rPr>
              <w:t>1.76</w:t>
            </w:r>
          </w:p>
        </w:tc>
        <w:tc>
          <w:tcPr>
            <w:tcW w:w="182" w:type="pct"/>
            <w:tcBorders>
              <w:top w:val="nil"/>
              <w:left w:val="single" w:sz="12" w:space="0" w:color="auto"/>
              <w:bottom w:val="nil"/>
            </w:tcBorders>
            <w:noWrap/>
            <w:vAlign w:val="bottom"/>
          </w:tcPr>
          <w:p w14:paraId="2F656712" w14:textId="77777777" w:rsidR="008B6B35" w:rsidRPr="00B71F92" w:rsidRDefault="008B6B35" w:rsidP="00730932">
            <w:pPr>
              <w:spacing w:after="0" w:line="240" w:lineRule="auto"/>
              <w:jc w:val="right"/>
              <w:rPr>
                <w:rFonts w:eastAsia="Times New Roman"/>
                <w:sz w:val="18"/>
                <w:szCs w:val="18"/>
              </w:rPr>
            </w:pPr>
            <w:r w:rsidRPr="00B71F92">
              <w:rPr>
                <w:sz w:val="18"/>
                <w:szCs w:val="18"/>
              </w:rPr>
              <w:t>0.27</w:t>
            </w:r>
          </w:p>
        </w:tc>
        <w:tc>
          <w:tcPr>
            <w:tcW w:w="153" w:type="pct"/>
            <w:tcBorders>
              <w:top w:val="nil"/>
              <w:bottom w:val="nil"/>
              <w:right w:val="single" w:sz="6" w:space="0" w:color="auto"/>
            </w:tcBorders>
            <w:noWrap/>
            <w:vAlign w:val="bottom"/>
          </w:tcPr>
          <w:p w14:paraId="602FD91B" w14:textId="77777777" w:rsidR="008B6B35" w:rsidRPr="00B71F92" w:rsidRDefault="008B6B35" w:rsidP="00730932">
            <w:pPr>
              <w:spacing w:after="0" w:line="240" w:lineRule="auto"/>
              <w:jc w:val="right"/>
              <w:rPr>
                <w:rFonts w:eastAsia="Times New Roman"/>
                <w:sz w:val="18"/>
                <w:szCs w:val="18"/>
              </w:rPr>
            </w:pPr>
            <w:r w:rsidRPr="00B71F92">
              <w:rPr>
                <w:sz w:val="18"/>
                <w:szCs w:val="18"/>
              </w:rPr>
              <w:t>1.69</w:t>
            </w:r>
          </w:p>
        </w:tc>
        <w:tc>
          <w:tcPr>
            <w:tcW w:w="152" w:type="pct"/>
            <w:tcBorders>
              <w:top w:val="nil"/>
              <w:left w:val="single" w:sz="6" w:space="0" w:color="auto"/>
              <w:bottom w:val="nil"/>
            </w:tcBorders>
            <w:noWrap/>
            <w:vAlign w:val="center"/>
          </w:tcPr>
          <w:p w14:paraId="26A8CA2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3460493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CE5469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32D16AD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6FB9FA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E29A23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E3FEC5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559DA4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318DE5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C16A10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B2D235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5DB1ED0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DDE8A9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D76CDE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41C58F4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3165C6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BE3AB72" w14:textId="77777777" w:rsidR="008B6B35" w:rsidRPr="00B71F92" w:rsidRDefault="008B6B35" w:rsidP="00730932">
            <w:pPr>
              <w:spacing w:after="0" w:line="240" w:lineRule="auto"/>
              <w:jc w:val="right"/>
              <w:rPr>
                <w:rFonts w:eastAsia="Times New Roman"/>
                <w:sz w:val="18"/>
                <w:szCs w:val="18"/>
              </w:rPr>
            </w:pPr>
            <w:r w:rsidRPr="00B71F92">
              <w:rPr>
                <w:sz w:val="18"/>
                <w:szCs w:val="18"/>
              </w:rPr>
              <w:t>-0.46</w:t>
            </w:r>
          </w:p>
        </w:tc>
        <w:tc>
          <w:tcPr>
            <w:tcW w:w="155" w:type="pct"/>
            <w:tcBorders>
              <w:top w:val="nil"/>
              <w:bottom w:val="nil"/>
              <w:right w:val="single" w:sz="8" w:space="0" w:color="auto"/>
            </w:tcBorders>
            <w:noWrap/>
            <w:vAlign w:val="bottom"/>
          </w:tcPr>
          <w:p w14:paraId="0834E798" w14:textId="77777777" w:rsidR="008B6B35" w:rsidRPr="00B71F92" w:rsidRDefault="008B6B35" w:rsidP="00730932">
            <w:pPr>
              <w:spacing w:after="0" w:line="240" w:lineRule="auto"/>
              <w:jc w:val="right"/>
              <w:rPr>
                <w:rFonts w:eastAsia="Times New Roman"/>
                <w:sz w:val="18"/>
                <w:szCs w:val="18"/>
              </w:rPr>
            </w:pPr>
            <w:r w:rsidRPr="00B71F92">
              <w:rPr>
                <w:sz w:val="18"/>
                <w:szCs w:val="18"/>
              </w:rPr>
              <w:t>-2.02</w:t>
            </w:r>
          </w:p>
        </w:tc>
        <w:tc>
          <w:tcPr>
            <w:tcW w:w="152" w:type="pct"/>
            <w:tcBorders>
              <w:top w:val="nil"/>
              <w:left w:val="single" w:sz="8" w:space="0" w:color="auto"/>
              <w:bottom w:val="nil"/>
            </w:tcBorders>
            <w:vAlign w:val="center"/>
          </w:tcPr>
          <w:p w14:paraId="70A5680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14944B54" w14:textId="77777777" w:rsidR="008B6B35" w:rsidRPr="00B71F92" w:rsidRDefault="008B6B35" w:rsidP="00730932">
            <w:pPr>
              <w:spacing w:after="0" w:line="240" w:lineRule="auto"/>
              <w:jc w:val="right"/>
              <w:rPr>
                <w:rFonts w:eastAsia="Times New Roman"/>
                <w:sz w:val="18"/>
                <w:szCs w:val="18"/>
              </w:rPr>
            </w:pPr>
          </w:p>
        </w:tc>
      </w:tr>
      <w:tr w:rsidR="008B6B35" w:rsidRPr="00B71F92" w14:paraId="54BE032D" w14:textId="77777777" w:rsidTr="002F5607">
        <w:trPr>
          <w:trHeight w:val="230"/>
          <w:jc w:val="center"/>
        </w:trPr>
        <w:tc>
          <w:tcPr>
            <w:tcW w:w="1220" w:type="pct"/>
            <w:tcBorders>
              <w:top w:val="nil"/>
              <w:bottom w:val="nil"/>
              <w:right w:val="single" w:sz="12" w:space="0" w:color="auto"/>
            </w:tcBorders>
            <w:noWrap/>
            <w:vAlign w:val="center"/>
          </w:tcPr>
          <w:p w14:paraId="50D1DE3C" w14:textId="77777777" w:rsidR="008B6B35" w:rsidRPr="00B71F92" w:rsidRDefault="008B6B35" w:rsidP="00730932">
            <w:pPr>
              <w:spacing w:after="0" w:line="240" w:lineRule="auto"/>
              <w:rPr>
                <w:rFonts w:eastAsia="Times New Roman"/>
                <w:b/>
                <w:bCs/>
                <w:sz w:val="18"/>
                <w:szCs w:val="18"/>
              </w:rPr>
            </w:pPr>
            <w:r w:rsidRPr="00B71F92">
              <w:rPr>
                <w:rFonts w:eastAsia="Times New Roman"/>
                <w:b/>
                <w:bCs/>
                <w:sz w:val="18"/>
                <w:szCs w:val="18"/>
              </w:rPr>
              <w:t>Household Income (Less than $50,000)</w:t>
            </w:r>
          </w:p>
        </w:tc>
        <w:tc>
          <w:tcPr>
            <w:tcW w:w="152" w:type="pct"/>
            <w:tcBorders>
              <w:top w:val="nil"/>
              <w:left w:val="single" w:sz="12" w:space="0" w:color="auto"/>
              <w:bottom w:val="nil"/>
            </w:tcBorders>
            <w:noWrap/>
            <w:vAlign w:val="center"/>
          </w:tcPr>
          <w:p w14:paraId="1E47715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bottom w:val="nil"/>
              <w:right w:val="single" w:sz="12" w:space="0" w:color="auto"/>
            </w:tcBorders>
            <w:noWrap/>
            <w:vAlign w:val="center"/>
          </w:tcPr>
          <w:p w14:paraId="35D43D19"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center"/>
          </w:tcPr>
          <w:p w14:paraId="2A38B2C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5C2FA68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B147D42" w14:textId="77777777" w:rsidR="008B6B35" w:rsidRPr="00B71F92" w:rsidRDefault="008B6B35" w:rsidP="00730932">
            <w:pPr>
              <w:spacing w:after="0" w:line="240" w:lineRule="auto"/>
              <w:jc w:val="right"/>
              <w:rPr>
                <w:rFonts w:eastAsia="Times New Roman"/>
                <w:sz w:val="18"/>
                <w:szCs w:val="18"/>
              </w:rPr>
            </w:pPr>
          </w:p>
        </w:tc>
        <w:tc>
          <w:tcPr>
            <w:tcW w:w="183" w:type="pct"/>
            <w:tcBorders>
              <w:top w:val="nil"/>
              <w:bottom w:val="nil"/>
              <w:right w:val="single" w:sz="6" w:space="0" w:color="auto"/>
            </w:tcBorders>
            <w:noWrap/>
            <w:vAlign w:val="center"/>
          </w:tcPr>
          <w:p w14:paraId="4C161C4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746A3D6" w14:textId="77777777" w:rsidR="008B6B35" w:rsidRPr="00B71F92" w:rsidRDefault="008B6B35" w:rsidP="00730932">
            <w:pPr>
              <w:spacing w:after="0" w:line="240" w:lineRule="auto"/>
              <w:jc w:val="right"/>
              <w:rPr>
                <w:rFonts w:eastAsia="Times New Roman"/>
                <w:sz w:val="18"/>
                <w:szCs w:val="18"/>
              </w:rPr>
            </w:pPr>
          </w:p>
        </w:tc>
        <w:tc>
          <w:tcPr>
            <w:tcW w:w="154" w:type="pct"/>
            <w:tcBorders>
              <w:top w:val="nil"/>
              <w:bottom w:val="nil"/>
              <w:right w:val="single" w:sz="6" w:space="0" w:color="auto"/>
            </w:tcBorders>
            <w:noWrap/>
            <w:vAlign w:val="center"/>
          </w:tcPr>
          <w:p w14:paraId="3C08016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1A2A1918"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5C11774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51A86B0"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05ADCCE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77999D6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5B37F45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CA6C1D9" w14:textId="77777777" w:rsidR="008B6B35" w:rsidRPr="00B71F92" w:rsidRDefault="008B6B35" w:rsidP="00730932">
            <w:pPr>
              <w:spacing w:after="0" w:line="240" w:lineRule="auto"/>
              <w:jc w:val="right"/>
              <w:rPr>
                <w:rFonts w:eastAsia="Times New Roman"/>
                <w:sz w:val="18"/>
                <w:szCs w:val="18"/>
              </w:rPr>
            </w:pPr>
          </w:p>
        </w:tc>
        <w:tc>
          <w:tcPr>
            <w:tcW w:w="173" w:type="pct"/>
            <w:tcBorders>
              <w:top w:val="nil"/>
              <w:bottom w:val="nil"/>
              <w:right w:val="single" w:sz="6" w:space="0" w:color="auto"/>
            </w:tcBorders>
            <w:noWrap/>
            <w:vAlign w:val="center"/>
          </w:tcPr>
          <w:p w14:paraId="7467536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AF8AC9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710283B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0883A8F3"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3DF51ED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7FADBAAE" w14:textId="77777777" w:rsidR="008B6B35" w:rsidRPr="00B71F92" w:rsidRDefault="008B6B35" w:rsidP="00730932">
            <w:pPr>
              <w:spacing w:after="0" w:line="240" w:lineRule="auto"/>
              <w:jc w:val="right"/>
              <w:rPr>
                <w:rFonts w:eastAsia="Times New Roman"/>
                <w:sz w:val="18"/>
                <w:szCs w:val="18"/>
              </w:rPr>
            </w:pPr>
          </w:p>
        </w:tc>
        <w:tc>
          <w:tcPr>
            <w:tcW w:w="155" w:type="pct"/>
            <w:tcBorders>
              <w:top w:val="nil"/>
              <w:bottom w:val="nil"/>
              <w:right w:val="single" w:sz="8" w:space="0" w:color="auto"/>
            </w:tcBorders>
            <w:noWrap/>
            <w:vAlign w:val="center"/>
          </w:tcPr>
          <w:p w14:paraId="46DFA07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center"/>
          </w:tcPr>
          <w:p w14:paraId="0C1BEDCB" w14:textId="77777777" w:rsidR="008B6B35" w:rsidRPr="00B71F92" w:rsidRDefault="008B6B35" w:rsidP="00730932">
            <w:pPr>
              <w:spacing w:after="0" w:line="240" w:lineRule="auto"/>
              <w:jc w:val="right"/>
              <w:rPr>
                <w:rFonts w:eastAsia="Times New Roman"/>
                <w:sz w:val="18"/>
                <w:szCs w:val="18"/>
              </w:rPr>
            </w:pPr>
          </w:p>
        </w:tc>
        <w:tc>
          <w:tcPr>
            <w:tcW w:w="191" w:type="pct"/>
            <w:tcBorders>
              <w:top w:val="nil"/>
              <w:bottom w:val="nil"/>
            </w:tcBorders>
            <w:vAlign w:val="center"/>
          </w:tcPr>
          <w:p w14:paraId="267E4230" w14:textId="77777777" w:rsidR="008B6B35" w:rsidRPr="00B71F92" w:rsidRDefault="008B6B35" w:rsidP="00730932">
            <w:pPr>
              <w:spacing w:after="0" w:line="240" w:lineRule="auto"/>
              <w:jc w:val="right"/>
              <w:rPr>
                <w:rFonts w:eastAsia="Times New Roman"/>
                <w:sz w:val="18"/>
                <w:szCs w:val="18"/>
              </w:rPr>
            </w:pPr>
          </w:p>
        </w:tc>
      </w:tr>
      <w:tr w:rsidR="008B6B35" w:rsidRPr="00B71F92" w14:paraId="6AA18779" w14:textId="77777777" w:rsidTr="002F5607">
        <w:trPr>
          <w:trHeight w:val="230"/>
          <w:jc w:val="center"/>
        </w:trPr>
        <w:tc>
          <w:tcPr>
            <w:tcW w:w="1220" w:type="pct"/>
            <w:tcBorders>
              <w:top w:val="nil"/>
              <w:bottom w:val="nil"/>
              <w:right w:val="single" w:sz="12" w:space="0" w:color="auto"/>
            </w:tcBorders>
            <w:noWrap/>
            <w:vAlign w:val="center"/>
            <w:hideMark/>
          </w:tcPr>
          <w:p w14:paraId="188CCA17"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$50,000-$99,999</w:t>
            </w:r>
          </w:p>
        </w:tc>
        <w:tc>
          <w:tcPr>
            <w:tcW w:w="152" w:type="pct"/>
            <w:tcBorders>
              <w:top w:val="nil"/>
              <w:left w:val="single" w:sz="12" w:space="0" w:color="auto"/>
              <w:bottom w:val="nil"/>
            </w:tcBorders>
            <w:noWrap/>
            <w:hideMark/>
          </w:tcPr>
          <w:p w14:paraId="6C3187A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432F084F"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7E5EA05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F39AA5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32493801"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83" w:type="pct"/>
            <w:tcBorders>
              <w:top w:val="nil"/>
              <w:bottom w:val="nil"/>
              <w:right w:val="single" w:sz="6" w:space="0" w:color="auto"/>
            </w:tcBorders>
            <w:noWrap/>
            <w:vAlign w:val="bottom"/>
          </w:tcPr>
          <w:p w14:paraId="3DF65B20" w14:textId="77777777" w:rsidR="008B6B35" w:rsidRPr="00B71F92" w:rsidRDefault="008B6B35" w:rsidP="00730932">
            <w:pPr>
              <w:spacing w:after="0" w:line="240" w:lineRule="auto"/>
              <w:jc w:val="right"/>
              <w:rPr>
                <w:rFonts w:eastAsia="Times New Roman"/>
                <w:sz w:val="18"/>
                <w:szCs w:val="18"/>
              </w:rPr>
            </w:pPr>
            <w:r w:rsidRPr="00B71F92">
              <w:rPr>
                <w:sz w:val="18"/>
                <w:szCs w:val="18"/>
              </w:rPr>
              <w:t>3.13</w:t>
            </w:r>
          </w:p>
        </w:tc>
        <w:tc>
          <w:tcPr>
            <w:tcW w:w="152" w:type="pct"/>
            <w:tcBorders>
              <w:top w:val="nil"/>
              <w:left w:val="single" w:sz="6" w:space="0" w:color="auto"/>
              <w:bottom w:val="nil"/>
            </w:tcBorders>
            <w:noWrap/>
            <w:vAlign w:val="bottom"/>
          </w:tcPr>
          <w:p w14:paraId="2F12AF85" w14:textId="77777777" w:rsidR="008B6B35" w:rsidRPr="00B71F92" w:rsidRDefault="008B6B35" w:rsidP="00730932">
            <w:pPr>
              <w:spacing w:after="0" w:line="240" w:lineRule="auto"/>
              <w:jc w:val="right"/>
              <w:rPr>
                <w:rFonts w:eastAsia="Times New Roman"/>
                <w:sz w:val="18"/>
                <w:szCs w:val="18"/>
              </w:rPr>
            </w:pPr>
            <w:r w:rsidRPr="00B71F92">
              <w:rPr>
                <w:sz w:val="18"/>
                <w:szCs w:val="18"/>
              </w:rPr>
              <w:t>-0.33</w:t>
            </w:r>
          </w:p>
        </w:tc>
        <w:tc>
          <w:tcPr>
            <w:tcW w:w="154" w:type="pct"/>
            <w:tcBorders>
              <w:top w:val="nil"/>
              <w:bottom w:val="nil"/>
              <w:right w:val="single" w:sz="6" w:space="0" w:color="auto"/>
            </w:tcBorders>
            <w:noWrap/>
            <w:vAlign w:val="bottom"/>
          </w:tcPr>
          <w:p w14:paraId="7AE4536F" w14:textId="77777777" w:rsidR="008B6B35" w:rsidRPr="00B71F92" w:rsidRDefault="008B6B35" w:rsidP="00730932">
            <w:pPr>
              <w:spacing w:after="0" w:line="240" w:lineRule="auto"/>
              <w:jc w:val="right"/>
              <w:rPr>
                <w:rFonts w:eastAsia="Times New Roman"/>
                <w:sz w:val="18"/>
                <w:szCs w:val="18"/>
              </w:rPr>
            </w:pPr>
            <w:r w:rsidRPr="00B71F92">
              <w:rPr>
                <w:sz w:val="18"/>
                <w:szCs w:val="18"/>
              </w:rPr>
              <w:t>-3.59</w:t>
            </w:r>
          </w:p>
        </w:tc>
        <w:tc>
          <w:tcPr>
            <w:tcW w:w="152" w:type="pct"/>
            <w:tcBorders>
              <w:top w:val="nil"/>
              <w:left w:val="single" w:sz="6" w:space="0" w:color="auto"/>
              <w:bottom w:val="nil"/>
            </w:tcBorders>
            <w:noWrap/>
            <w:vAlign w:val="bottom"/>
          </w:tcPr>
          <w:p w14:paraId="2461CC87" w14:textId="77777777" w:rsidR="008B6B35" w:rsidRPr="00B71F92" w:rsidRDefault="008B6B35" w:rsidP="00730932">
            <w:pPr>
              <w:spacing w:after="0" w:line="240" w:lineRule="auto"/>
              <w:jc w:val="right"/>
              <w:rPr>
                <w:rFonts w:eastAsia="Times New Roman"/>
                <w:sz w:val="18"/>
                <w:szCs w:val="18"/>
              </w:rPr>
            </w:pPr>
            <w:r w:rsidRPr="00B71F92">
              <w:rPr>
                <w:sz w:val="18"/>
                <w:szCs w:val="18"/>
              </w:rPr>
              <w:t>0.16</w:t>
            </w:r>
          </w:p>
        </w:tc>
        <w:tc>
          <w:tcPr>
            <w:tcW w:w="153" w:type="pct"/>
            <w:tcBorders>
              <w:top w:val="nil"/>
              <w:bottom w:val="nil"/>
              <w:right w:val="single" w:sz="6" w:space="0" w:color="auto"/>
            </w:tcBorders>
            <w:noWrap/>
            <w:vAlign w:val="bottom"/>
          </w:tcPr>
          <w:p w14:paraId="56F00C9E"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nil"/>
              <w:left w:val="single" w:sz="6" w:space="0" w:color="auto"/>
              <w:bottom w:val="nil"/>
            </w:tcBorders>
            <w:noWrap/>
            <w:vAlign w:val="bottom"/>
          </w:tcPr>
          <w:p w14:paraId="5220DE5E" w14:textId="77777777" w:rsidR="008B6B35" w:rsidRPr="00B71F92" w:rsidRDefault="008B6B35" w:rsidP="00730932">
            <w:pPr>
              <w:spacing w:after="0" w:line="240" w:lineRule="auto"/>
              <w:jc w:val="right"/>
              <w:rPr>
                <w:rFonts w:eastAsia="Times New Roman"/>
                <w:sz w:val="18"/>
                <w:szCs w:val="18"/>
              </w:rPr>
            </w:pPr>
            <w:r w:rsidRPr="00B71F92">
              <w:rPr>
                <w:sz w:val="18"/>
                <w:szCs w:val="18"/>
              </w:rPr>
              <w:t>0.29</w:t>
            </w:r>
          </w:p>
        </w:tc>
        <w:tc>
          <w:tcPr>
            <w:tcW w:w="153" w:type="pct"/>
            <w:tcBorders>
              <w:top w:val="nil"/>
              <w:bottom w:val="nil"/>
              <w:right w:val="single" w:sz="6" w:space="0" w:color="auto"/>
            </w:tcBorders>
            <w:noWrap/>
            <w:vAlign w:val="bottom"/>
          </w:tcPr>
          <w:p w14:paraId="51FF953D" w14:textId="77777777" w:rsidR="008B6B35" w:rsidRPr="00B71F92" w:rsidRDefault="008B6B35" w:rsidP="00730932">
            <w:pPr>
              <w:spacing w:after="0" w:line="240" w:lineRule="auto"/>
              <w:jc w:val="right"/>
              <w:rPr>
                <w:rFonts w:eastAsia="Times New Roman"/>
                <w:sz w:val="18"/>
                <w:szCs w:val="18"/>
              </w:rPr>
            </w:pPr>
            <w:r w:rsidRPr="00B71F92">
              <w:rPr>
                <w:sz w:val="18"/>
                <w:szCs w:val="18"/>
              </w:rPr>
              <w:t>2.27</w:t>
            </w:r>
          </w:p>
        </w:tc>
        <w:tc>
          <w:tcPr>
            <w:tcW w:w="152" w:type="pct"/>
            <w:tcBorders>
              <w:top w:val="nil"/>
              <w:left w:val="single" w:sz="6" w:space="0" w:color="auto"/>
              <w:bottom w:val="nil"/>
            </w:tcBorders>
            <w:noWrap/>
          </w:tcPr>
          <w:p w14:paraId="550D1DE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33FF69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7E4AF8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1B2E23B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41CBEF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DD7700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7CF2D739"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vAlign w:val="bottom"/>
          </w:tcPr>
          <w:p w14:paraId="0B379594" w14:textId="77777777" w:rsidR="008B6B35" w:rsidRPr="00B71F92" w:rsidRDefault="008B6B35" w:rsidP="00730932">
            <w:pPr>
              <w:spacing w:after="0" w:line="240" w:lineRule="auto"/>
              <w:jc w:val="right"/>
              <w:rPr>
                <w:rFonts w:eastAsia="Times New Roman"/>
                <w:sz w:val="18"/>
                <w:szCs w:val="18"/>
              </w:rPr>
            </w:pPr>
            <w:r w:rsidRPr="00B71F92">
              <w:rPr>
                <w:sz w:val="18"/>
                <w:szCs w:val="18"/>
              </w:rPr>
              <w:t>-1.99</w:t>
            </w:r>
          </w:p>
        </w:tc>
        <w:tc>
          <w:tcPr>
            <w:tcW w:w="152" w:type="pct"/>
            <w:tcBorders>
              <w:top w:val="nil"/>
              <w:left w:val="single" w:sz="6" w:space="0" w:color="auto"/>
              <w:bottom w:val="nil"/>
            </w:tcBorders>
            <w:noWrap/>
          </w:tcPr>
          <w:p w14:paraId="6E72099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27E6898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52369ED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14786AAF" w14:textId="77777777" w:rsidR="008B6B35" w:rsidRPr="00B71F92" w:rsidRDefault="008B6B35" w:rsidP="00730932">
            <w:pPr>
              <w:spacing w:after="0" w:line="240" w:lineRule="auto"/>
              <w:jc w:val="right"/>
              <w:rPr>
                <w:rFonts w:eastAsia="Times New Roman"/>
                <w:sz w:val="18"/>
                <w:szCs w:val="18"/>
              </w:rPr>
            </w:pPr>
          </w:p>
        </w:tc>
      </w:tr>
      <w:tr w:rsidR="008B6B35" w:rsidRPr="00B71F92" w14:paraId="591B2223" w14:textId="77777777" w:rsidTr="002F5607">
        <w:trPr>
          <w:trHeight w:val="230"/>
          <w:jc w:val="center"/>
        </w:trPr>
        <w:tc>
          <w:tcPr>
            <w:tcW w:w="1220" w:type="pct"/>
            <w:tcBorders>
              <w:top w:val="nil"/>
              <w:bottom w:val="nil"/>
              <w:right w:val="single" w:sz="12" w:space="0" w:color="auto"/>
            </w:tcBorders>
            <w:noWrap/>
            <w:vAlign w:val="center"/>
            <w:hideMark/>
          </w:tcPr>
          <w:p w14:paraId="51D72D3C"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$50,000-$99,999 * 2021 Shift</w:t>
            </w:r>
          </w:p>
        </w:tc>
        <w:tc>
          <w:tcPr>
            <w:tcW w:w="152" w:type="pct"/>
            <w:tcBorders>
              <w:top w:val="nil"/>
              <w:left w:val="single" w:sz="12" w:space="0" w:color="auto"/>
              <w:bottom w:val="nil"/>
            </w:tcBorders>
            <w:noWrap/>
            <w:hideMark/>
          </w:tcPr>
          <w:p w14:paraId="46EF2F7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60FBB0F4"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32C0759B" w14:textId="77777777" w:rsidR="008B6B35" w:rsidRPr="00B71F92" w:rsidRDefault="008B6B35" w:rsidP="00730932">
            <w:pPr>
              <w:spacing w:after="0" w:line="240" w:lineRule="auto"/>
              <w:jc w:val="right"/>
              <w:rPr>
                <w:rFonts w:eastAsia="Times New Roman"/>
                <w:sz w:val="18"/>
                <w:szCs w:val="18"/>
              </w:rPr>
            </w:pPr>
            <w:r w:rsidRPr="00B71F92">
              <w:rPr>
                <w:sz w:val="18"/>
                <w:szCs w:val="18"/>
              </w:rPr>
              <w:t>0.50</w:t>
            </w:r>
          </w:p>
        </w:tc>
        <w:tc>
          <w:tcPr>
            <w:tcW w:w="153" w:type="pct"/>
            <w:tcBorders>
              <w:top w:val="nil"/>
              <w:bottom w:val="nil"/>
              <w:right w:val="single" w:sz="6" w:space="0" w:color="auto"/>
            </w:tcBorders>
            <w:noWrap/>
            <w:vAlign w:val="bottom"/>
          </w:tcPr>
          <w:p w14:paraId="1C6C838B" w14:textId="77777777" w:rsidR="008B6B35" w:rsidRPr="00B71F92" w:rsidRDefault="008B6B35" w:rsidP="00730932">
            <w:pPr>
              <w:spacing w:after="0" w:line="240" w:lineRule="auto"/>
              <w:jc w:val="right"/>
              <w:rPr>
                <w:rFonts w:eastAsia="Times New Roman"/>
                <w:sz w:val="18"/>
                <w:szCs w:val="18"/>
              </w:rPr>
            </w:pPr>
            <w:r w:rsidRPr="00B71F92">
              <w:rPr>
                <w:sz w:val="18"/>
                <w:szCs w:val="18"/>
              </w:rPr>
              <w:t>2.95</w:t>
            </w:r>
          </w:p>
        </w:tc>
        <w:tc>
          <w:tcPr>
            <w:tcW w:w="152" w:type="pct"/>
            <w:tcBorders>
              <w:top w:val="nil"/>
              <w:left w:val="single" w:sz="6" w:space="0" w:color="auto"/>
              <w:bottom w:val="nil"/>
            </w:tcBorders>
            <w:noWrap/>
          </w:tcPr>
          <w:p w14:paraId="09FF22D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1BE9816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81635B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3716A90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B5E862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44E14A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27B66B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3216EA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49EB83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80EBF2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8C7EE1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2906E28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082CD845" w14:textId="77777777" w:rsidR="008B6B35" w:rsidRPr="00B71F92" w:rsidRDefault="008B6B35" w:rsidP="00730932">
            <w:pPr>
              <w:spacing w:after="0" w:line="240" w:lineRule="auto"/>
              <w:jc w:val="right"/>
              <w:rPr>
                <w:rFonts w:eastAsia="Times New Roman"/>
                <w:sz w:val="18"/>
                <w:szCs w:val="18"/>
              </w:rPr>
            </w:pPr>
            <w:r w:rsidRPr="00B71F92">
              <w:rPr>
                <w:sz w:val="18"/>
                <w:szCs w:val="18"/>
              </w:rPr>
              <w:t>-0.32</w:t>
            </w:r>
          </w:p>
        </w:tc>
        <w:tc>
          <w:tcPr>
            <w:tcW w:w="153" w:type="pct"/>
            <w:tcBorders>
              <w:top w:val="nil"/>
              <w:bottom w:val="nil"/>
              <w:right w:val="single" w:sz="6" w:space="0" w:color="auto"/>
            </w:tcBorders>
            <w:noWrap/>
            <w:vAlign w:val="bottom"/>
          </w:tcPr>
          <w:p w14:paraId="3B717B46" w14:textId="77777777" w:rsidR="008B6B35" w:rsidRPr="00B71F92" w:rsidRDefault="008B6B35" w:rsidP="00730932">
            <w:pPr>
              <w:spacing w:after="0" w:line="240" w:lineRule="auto"/>
              <w:jc w:val="right"/>
              <w:rPr>
                <w:rFonts w:eastAsia="Times New Roman"/>
                <w:sz w:val="18"/>
                <w:szCs w:val="18"/>
              </w:rPr>
            </w:pPr>
            <w:r w:rsidRPr="00B71F92">
              <w:rPr>
                <w:sz w:val="18"/>
                <w:szCs w:val="18"/>
              </w:rPr>
              <w:t>-1.97</w:t>
            </w:r>
          </w:p>
        </w:tc>
        <w:tc>
          <w:tcPr>
            <w:tcW w:w="152" w:type="pct"/>
            <w:tcBorders>
              <w:top w:val="nil"/>
              <w:left w:val="single" w:sz="6" w:space="0" w:color="auto"/>
              <w:bottom w:val="nil"/>
            </w:tcBorders>
            <w:noWrap/>
          </w:tcPr>
          <w:p w14:paraId="0B930CB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35B8B9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A07FCA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6F74346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580A89C3" w14:textId="77777777" w:rsidR="008B6B35" w:rsidRPr="00B71F92" w:rsidRDefault="008B6B35" w:rsidP="00730932">
            <w:pPr>
              <w:spacing w:after="0" w:line="240" w:lineRule="auto"/>
              <w:jc w:val="right"/>
              <w:rPr>
                <w:rFonts w:eastAsia="Times New Roman"/>
                <w:sz w:val="18"/>
                <w:szCs w:val="18"/>
              </w:rPr>
            </w:pPr>
            <w:r w:rsidRPr="00B71F92">
              <w:rPr>
                <w:sz w:val="18"/>
                <w:szCs w:val="18"/>
              </w:rPr>
              <w:t>-0.38</w:t>
            </w:r>
          </w:p>
        </w:tc>
        <w:tc>
          <w:tcPr>
            <w:tcW w:w="191" w:type="pct"/>
            <w:tcBorders>
              <w:top w:val="nil"/>
              <w:bottom w:val="nil"/>
            </w:tcBorders>
            <w:vAlign w:val="bottom"/>
          </w:tcPr>
          <w:p w14:paraId="2753E8EA" w14:textId="77777777" w:rsidR="008B6B35" w:rsidRPr="00B71F92" w:rsidRDefault="008B6B35" w:rsidP="00730932">
            <w:pPr>
              <w:spacing w:after="0" w:line="240" w:lineRule="auto"/>
              <w:jc w:val="right"/>
              <w:rPr>
                <w:rFonts w:eastAsia="Times New Roman"/>
                <w:sz w:val="18"/>
                <w:szCs w:val="18"/>
              </w:rPr>
            </w:pPr>
            <w:r w:rsidRPr="00B71F92">
              <w:rPr>
                <w:sz w:val="18"/>
                <w:szCs w:val="18"/>
              </w:rPr>
              <w:t>-2.90</w:t>
            </w:r>
          </w:p>
        </w:tc>
      </w:tr>
      <w:tr w:rsidR="008B6B35" w:rsidRPr="00B71F92" w14:paraId="49C4E5DA" w14:textId="77777777" w:rsidTr="002F5607">
        <w:trPr>
          <w:trHeight w:val="230"/>
          <w:jc w:val="center"/>
        </w:trPr>
        <w:tc>
          <w:tcPr>
            <w:tcW w:w="1220" w:type="pct"/>
            <w:tcBorders>
              <w:top w:val="nil"/>
              <w:bottom w:val="nil"/>
              <w:right w:val="single" w:sz="12" w:space="0" w:color="auto"/>
            </w:tcBorders>
            <w:noWrap/>
            <w:vAlign w:val="center"/>
            <w:hideMark/>
          </w:tcPr>
          <w:p w14:paraId="00F97D59"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$50,000-$99,999 * 2023 Shift</w:t>
            </w:r>
          </w:p>
        </w:tc>
        <w:tc>
          <w:tcPr>
            <w:tcW w:w="152" w:type="pct"/>
            <w:tcBorders>
              <w:top w:val="nil"/>
              <w:left w:val="single" w:sz="12" w:space="0" w:color="auto"/>
              <w:bottom w:val="nil"/>
            </w:tcBorders>
            <w:noWrap/>
            <w:hideMark/>
          </w:tcPr>
          <w:p w14:paraId="7E4A70A2" w14:textId="77777777" w:rsidR="008B6B35" w:rsidRPr="00B71F92" w:rsidRDefault="008B6B35" w:rsidP="00730932">
            <w:pPr>
              <w:spacing w:after="0" w:line="240" w:lineRule="auto"/>
              <w:jc w:val="right"/>
              <w:rPr>
                <w:rFonts w:eastAsia="Times New Roman"/>
                <w:b/>
                <w:bCs/>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08CFE4A0"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2A829130" w14:textId="77777777" w:rsidR="008B6B35" w:rsidRPr="00B71F92" w:rsidRDefault="008B6B35" w:rsidP="00730932">
            <w:pPr>
              <w:spacing w:after="0" w:line="240" w:lineRule="auto"/>
              <w:jc w:val="right"/>
              <w:rPr>
                <w:rFonts w:eastAsia="Times New Roman"/>
                <w:sz w:val="18"/>
                <w:szCs w:val="18"/>
              </w:rPr>
            </w:pPr>
            <w:r w:rsidRPr="00B71F92">
              <w:rPr>
                <w:sz w:val="18"/>
                <w:szCs w:val="18"/>
              </w:rPr>
              <w:t>-0.29</w:t>
            </w:r>
          </w:p>
        </w:tc>
        <w:tc>
          <w:tcPr>
            <w:tcW w:w="153" w:type="pct"/>
            <w:tcBorders>
              <w:top w:val="nil"/>
              <w:bottom w:val="nil"/>
              <w:right w:val="single" w:sz="6" w:space="0" w:color="auto"/>
            </w:tcBorders>
            <w:noWrap/>
            <w:vAlign w:val="bottom"/>
          </w:tcPr>
          <w:p w14:paraId="6E08A7B7" w14:textId="77777777" w:rsidR="008B6B35" w:rsidRPr="00B71F92" w:rsidRDefault="008B6B35" w:rsidP="00730932">
            <w:pPr>
              <w:spacing w:after="0" w:line="240" w:lineRule="auto"/>
              <w:jc w:val="right"/>
              <w:rPr>
                <w:rFonts w:eastAsia="Times New Roman"/>
                <w:sz w:val="18"/>
                <w:szCs w:val="18"/>
              </w:rPr>
            </w:pPr>
            <w:r w:rsidRPr="00B71F92">
              <w:rPr>
                <w:sz w:val="18"/>
                <w:szCs w:val="18"/>
              </w:rPr>
              <w:t>-1.80</w:t>
            </w:r>
          </w:p>
        </w:tc>
        <w:tc>
          <w:tcPr>
            <w:tcW w:w="152" w:type="pct"/>
            <w:tcBorders>
              <w:top w:val="nil"/>
              <w:left w:val="single" w:sz="6" w:space="0" w:color="auto"/>
              <w:bottom w:val="nil"/>
            </w:tcBorders>
            <w:noWrap/>
          </w:tcPr>
          <w:p w14:paraId="5D170A0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57E93DD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9F6F00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0163CF0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D09409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700AC6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FE33AB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B517BD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009BC4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087E3D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83C0A2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625ED86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BA0DDE1" w14:textId="77777777" w:rsidR="008B6B35" w:rsidRPr="00B71F92" w:rsidRDefault="008B6B35" w:rsidP="00730932">
            <w:pPr>
              <w:spacing w:after="0" w:line="240" w:lineRule="auto"/>
              <w:jc w:val="right"/>
              <w:rPr>
                <w:rFonts w:eastAsia="Times New Roman"/>
                <w:sz w:val="18"/>
                <w:szCs w:val="18"/>
              </w:rPr>
            </w:pPr>
            <w:r w:rsidRPr="00B71F92">
              <w:rPr>
                <w:sz w:val="18"/>
                <w:szCs w:val="18"/>
              </w:rPr>
              <w:t>0.57</w:t>
            </w:r>
          </w:p>
        </w:tc>
        <w:tc>
          <w:tcPr>
            <w:tcW w:w="153" w:type="pct"/>
            <w:tcBorders>
              <w:top w:val="nil"/>
              <w:bottom w:val="nil"/>
              <w:right w:val="single" w:sz="6" w:space="0" w:color="auto"/>
            </w:tcBorders>
            <w:noWrap/>
            <w:vAlign w:val="bottom"/>
          </w:tcPr>
          <w:p w14:paraId="156CE140" w14:textId="77777777" w:rsidR="008B6B35" w:rsidRPr="00B71F92" w:rsidRDefault="008B6B35" w:rsidP="00730932">
            <w:pPr>
              <w:spacing w:after="0" w:line="240" w:lineRule="auto"/>
              <w:jc w:val="right"/>
              <w:rPr>
                <w:rFonts w:eastAsia="Times New Roman"/>
                <w:sz w:val="18"/>
                <w:szCs w:val="18"/>
              </w:rPr>
            </w:pPr>
            <w:r w:rsidRPr="00B71F92">
              <w:rPr>
                <w:sz w:val="18"/>
                <w:szCs w:val="18"/>
              </w:rPr>
              <w:t>2.40</w:t>
            </w:r>
          </w:p>
        </w:tc>
        <w:tc>
          <w:tcPr>
            <w:tcW w:w="152" w:type="pct"/>
            <w:tcBorders>
              <w:top w:val="nil"/>
              <w:left w:val="single" w:sz="6" w:space="0" w:color="auto"/>
              <w:bottom w:val="nil"/>
            </w:tcBorders>
            <w:noWrap/>
            <w:vAlign w:val="bottom"/>
          </w:tcPr>
          <w:p w14:paraId="0D0A05EE" w14:textId="77777777" w:rsidR="008B6B35" w:rsidRPr="00B71F92" w:rsidRDefault="008B6B35" w:rsidP="00730932">
            <w:pPr>
              <w:spacing w:after="0" w:line="240" w:lineRule="auto"/>
              <w:jc w:val="right"/>
              <w:rPr>
                <w:rFonts w:eastAsia="Times New Roman"/>
                <w:sz w:val="18"/>
                <w:szCs w:val="18"/>
              </w:rPr>
            </w:pPr>
            <w:r w:rsidRPr="00B71F92">
              <w:rPr>
                <w:sz w:val="18"/>
                <w:szCs w:val="18"/>
              </w:rPr>
              <w:t>0.38</w:t>
            </w:r>
          </w:p>
        </w:tc>
        <w:tc>
          <w:tcPr>
            <w:tcW w:w="153" w:type="pct"/>
            <w:tcBorders>
              <w:top w:val="nil"/>
              <w:bottom w:val="nil"/>
              <w:right w:val="single" w:sz="6" w:space="0" w:color="auto"/>
            </w:tcBorders>
            <w:noWrap/>
            <w:vAlign w:val="bottom"/>
          </w:tcPr>
          <w:p w14:paraId="54923F58" w14:textId="77777777" w:rsidR="008B6B35" w:rsidRPr="00B71F92" w:rsidRDefault="008B6B35" w:rsidP="00730932">
            <w:pPr>
              <w:spacing w:after="0" w:line="240" w:lineRule="auto"/>
              <w:jc w:val="right"/>
              <w:rPr>
                <w:rFonts w:eastAsia="Times New Roman"/>
                <w:sz w:val="18"/>
                <w:szCs w:val="18"/>
              </w:rPr>
            </w:pPr>
            <w:r w:rsidRPr="00B71F92">
              <w:rPr>
                <w:sz w:val="18"/>
                <w:szCs w:val="18"/>
              </w:rPr>
              <w:t>1.84</w:t>
            </w:r>
          </w:p>
        </w:tc>
        <w:tc>
          <w:tcPr>
            <w:tcW w:w="152" w:type="pct"/>
            <w:tcBorders>
              <w:top w:val="nil"/>
              <w:left w:val="single" w:sz="6" w:space="0" w:color="auto"/>
              <w:bottom w:val="nil"/>
            </w:tcBorders>
            <w:noWrap/>
          </w:tcPr>
          <w:p w14:paraId="0995028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348F2D5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73CC42B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7E276E71" w14:textId="77777777" w:rsidR="008B6B35" w:rsidRPr="00B71F92" w:rsidRDefault="008B6B35" w:rsidP="00730932">
            <w:pPr>
              <w:spacing w:after="0" w:line="240" w:lineRule="auto"/>
              <w:jc w:val="right"/>
              <w:rPr>
                <w:rFonts w:eastAsia="Times New Roman"/>
                <w:sz w:val="18"/>
                <w:szCs w:val="18"/>
              </w:rPr>
            </w:pPr>
          </w:p>
        </w:tc>
      </w:tr>
      <w:tr w:rsidR="008B6B35" w:rsidRPr="00B71F92" w14:paraId="14B29783" w14:textId="77777777" w:rsidTr="002F5607">
        <w:trPr>
          <w:trHeight w:val="230"/>
          <w:jc w:val="center"/>
        </w:trPr>
        <w:tc>
          <w:tcPr>
            <w:tcW w:w="1220" w:type="pct"/>
            <w:tcBorders>
              <w:top w:val="nil"/>
              <w:bottom w:val="nil"/>
              <w:right w:val="single" w:sz="12" w:space="0" w:color="auto"/>
            </w:tcBorders>
            <w:noWrap/>
            <w:vAlign w:val="center"/>
            <w:hideMark/>
          </w:tcPr>
          <w:p w14:paraId="21B2BF54"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$100,000-$199,999</w:t>
            </w:r>
          </w:p>
        </w:tc>
        <w:tc>
          <w:tcPr>
            <w:tcW w:w="152" w:type="pct"/>
            <w:tcBorders>
              <w:top w:val="nil"/>
              <w:left w:val="single" w:sz="12" w:space="0" w:color="auto"/>
              <w:bottom w:val="nil"/>
            </w:tcBorders>
            <w:noWrap/>
            <w:vAlign w:val="bottom"/>
            <w:hideMark/>
          </w:tcPr>
          <w:p w14:paraId="6162B8E7" w14:textId="77777777" w:rsidR="008B6B35" w:rsidRPr="00B71F92" w:rsidRDefault="008B6B35" w:rsidP="00730932">
            <w:pPr>
              <w:spacing w:after="0" w:line="240" w:lineRule="auto"/>
              <w:jc w:val="right"/>
              <w:rPr>
                <w:rFonts w:eastAsia="Times New Roman"/>
                <w:sz w:val="18"/>
                <w:szCs w:val="18"/>
              </w:rPr>
            </w:pPr>
            <w:r w:rsidRPr="00B71F92">
              <w:rPr>
                <w:sz w:val="18"/>
                <w:szCs w:val="18"/>
              </w:rPr>
              <w:t>-0.16</w:t>
            </w:r>
          </w:p>
        </w:tc>
        <w:tc>
          <w:tcPr>
            <w:tcW w:w="152" w:type="pct"/>
            <w:tcBorders>
              <w:top w:val="nil"/>
              <w:bottom w:val="nil"/>
              <w:right w:val="single" w:sz="12" w:space="0" w:color="auto"/>
            </w:tcBorders>
            <w:noWrap/>
            <w:vAlign w:val="bottom"/>
          </w:tcPr>
          <w:p w14:paraId="235C6962" w14:textId="77777777" w:rsidR="008B6B35" w:rsidRPr="00B71F92" w:rsidRDefault="008B6B35" w:rsidP="00730932">
            <w:pPr>
              <w:spacing w:after="0" w:line="240" w:lineRule="auto"/>
              <w:jc w:val="right"/>
              <w:rPr>
                <w:rFonts w:eastAsia="Times New Roman"/>
                <w:sz w:val="18"/>
                <w:szCs w:val="18"/>
              </w:rPr>
            </w:pPr>
            <w:r w:rsidRPr="00B71F92">
              <w:rPr>
                <w:sz w:val="18"/>
                <w:szCs w:val="18"/>
              </w:rPr>
              <w:t>-3.13</w:t>
            </w:r>
          </w:p>
        </w:tc>
        <w:tc>
          <w:tcPr>
            <w:tcW w:w="182" w:type="pct"/>
            <w:tcBorders>
              <w:top w:val="nil"/>
              <w:left w:val="single" w:sz="12" w:space="0" w:color="auto"/>
              <w:bottom w:val="nil"/>
            </w:tcBorders>
            <w:noWrap/>
          </w:tcPr>
          <w:p w14:paraId="2B43AAE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E00DCC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2237FBC" w14:textId="77777777" w:rsidR="008B6B35" w:rsidRPr="00B71F92" w:rsidRDefault="008B6B35" w:rsidP="00730932">
            <w:pPr>
              <w:spacing w:after="0" w:line="240" w:lineRule="auto"/>
              <w:jc w:val="right"/>
              <w:rPr>
                <w:rFonts w:eastAsia="Times New Roman"/>
                <w:sz w:val="18"/>
                <w:szCs w:val="18"/>
              </w:rPr>
            </w:pPr>
            <w:r w:rsidRPr="00B71F92">
              <w:rPr>
                <w:sz w:val="18"/>
                <w:szCs w:val="18"/>
              </w:rPr>
              <w:t>0.65</w:t>
            </w:r>
          </w:p>
        </w:tc>
        <w:tc>
          <w:tcPr>
            <w:tcW w:w="183" w:type="pct"/>
            <w:tcBorders>
              <w:top w:val="nil"/>
              <w:bottom w:val="nil"/>
              <w:right w:val="single" w:sz="6" w:space="0" w:color="auto"/>
            </w:tcBorders>
            <w:noWrap/>
            <w:vAlign w:val="bottom"/>
          </w:tcPr>
          <w:p w14:paraId="06E83248" w14:textId="77777777" w:rsidR="008B6B35" w:rsidRPr="00B71F92" w:rsidRDefault="008B6B35" w:rsidP="00730932">
            <w:pPr>
              <w:spacing w:after="0" w:line="240" w:lineRule="auto"/>
              <w:jc w:val="right"/>
              <w:rPr>
                <w:rFonts w:eastAsia="Times New Roman"/>
                <w:sz w:val="18"/>
                <w:szCs w:val="18"/>
              </w:rPr>
            </w:pPr>
            <w:r w:rsidRPr="00B71F92">
              <w:rPr>
                <w:sz w:val="18"/>
                <w:szCs w:val="18"/>
              </w:rPr>
              <w:t>6.28</w:t>
            </w:r>
          </w:p>
        </w:tc>
        <w:tc>
          <w:tcPr>
            <w:tcW w:w="152" w:type="pct"/>
            <w:tcBorders>
              <w:top w:val="nil"/>
              <w:left w:val="single" w:sz="6" w:space="0" w:color="auto"/>
              <w:bottom w:val="nil"/>
            </w:tcBorders>
            <w:noWrap/>
            <w:vAlign w:val="bottom"/>
          </w:tcPr>
          <w:p w14:paraId="14DDA59D" w14:textId="77777777" w:rsidR="008B6B35" w:rsidRPr="00B71F92" w:rsidRDefault="008B6B35" w:rsidP="00730932">
            <w:pPr>
              <w:spacing w:after="0" w:line="240" w:lineRule="auto"/>
              <w:jc w:val="right"/>
              <w:rPr>
                <w:rFonts w:eastAsia="Times New Roman"/>
                <w:sz w:val="18"/>
                <w:szCs w:val="18"/>
              </w:rPr>
            </w:pPr>
            <w:r w:rsidRPr="00B71F92">
              <w:rPr>
                <w:sz w:val="18"/>
                <w:szCs w:val="18"/>
              </w:rPr>
              <w:t>-0.37</w:t>
            </w:r>
          </w:p>
        </w:tc>
        <w:tc>
          <w:tcPr>
            <w:tcW w:w="154" w:type="pct"/>
            <w:tcBorders>
              <w:top w:val="nil"/>
              <w:bottom w:val="nil"/>
              <w:right w:val="single" w:sz="6" w:space="0" w:color="auto"/>
            </w:tcBorders>
            <w:noWrap/>
            <w:vAlign w:val="bottom"/>
          </w:tcPr>
          <w:p w14:paraId="16272705" w14:textId="77777777" w:rsidR="008B6B35" w:rsidRPr="00B71F92" w:rsidRDefault="008B6B35" w:rsidP="00730932">
            <w:pPr>
              <w:spacing w:after="0" w:line="240" w:lineRule="auto"/>
              <w:jc w:val="right"/>
              <w:rPr>
                <w:rFonts w:eastAsia="Times New Roman"/>
                <w:sz w:val="18"/>
                <w:szCs w:val="18"/>
              </w:rPr>
            </w:pPr>
            <w:r w:rsidRPr="00B71F92">
              <w:rPr>
                <w:sz w:val="18"/>
                <w:szCs w:val="18"/>
              </w:rPr>
              <w:t>-3.26</w:t>
            </w:r>
          </w:p>
        </w:tc>
        <w:tc>
          <w:tcPr>
            <w:tcW w:w="152" w:type="pct"/>
            <w:tcBorders>
              <w:top w:val="nil"/>
              <w:left w:val="single" w:sz="6" w:space="0" w:color="auto"/>
              <w:bottom w:val="nil"/>
            </w:tcBorders>
            <w:noWrap/>
            <w:vAlign w:val="bottom"/>
          </w:tcPr>
          <w:p w14:paraId="77109A05"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3" w:type="pct"/>
            <w:tcBorders>
              <w:top w:val="nil"/>
              <w:bottom w:val="nil"/>
              <w:right w:val="single" w:sz="6" w:space="0" w:color="auto"/>
            </w:tcBorders>
            <w:noWrap/>
            <w:vAlign w:val="bottom"/>
          </w:tcPr>
          <w:p w14:paraId="52F19C4A" w14:textId="77777777" w:rsidR="008B6B35" w:rsidRPr="00B71F92" w:rsidRDefault="008B6B35" w:rsidP="00730932">
            <w:pPr>
              <w:spacing w:after="0" w:line="240" w:lineRule="auto"/>
              <w:jc w:val="right"/>
              <w:rPr>
                <w:rFonts w:eastAsia="Times New Roman"/>
                <w:sz w:val="18"/>
                <w:szCs w:val="18"/>
              </w:rPr>
            </w:pPr>
            <w:r w:rsidRPr="00B71F92">
              <w:rPr>
                <w:sz w:val="18"/>
                <w:szCs w:val="18"/>
              </w:rPr>
              <w:t>2.39</w:t>
            </w:r>
          </w:p>
        </w:tc>
        <w:tc>
          <w:tcPr>
            <w:tcW w:w="152" w:type="pct"/>
            <w:tcBorders>
              <w:top w:val="nil"/>
              <w:left w:val="single" w:sz="6" w:space="0" w:color="auto"/>
              <w:bottom w:val="nil"/>
            </w:tcBorders>
            <w:noWrap/>
            <w:vAlign w:val="bottom"/>
          </w:tcPr>
          <w:p w14:paraId="1A05A112" w14:textId="77777777" w:rsidR="008B6B35" w:rsidRPr="00B71F92" w:rsidRDefault="008B6B35" w:rsidP="00730932">
            <w:pPr>
              <w:spacing w:after="0" w:line="240" w:lineRule="auto"/>
              <w:jc w:val="right"/>
              <w:rPr>
                <w:rFonts w:eastAsia="Times New Roman"/>
                <w:sz w:val="18"/>
                <w:szCs w:val="18"/>
              </w:rPr>
            </w:pPr>
            <w:r w:rsidRPr="00B71F92">
              <w:rPr>
                <w:sz w:val="18"/>
                <w:szCs w:val="18"/>
              </w:rPr>
              <w:t>0.29</w:t>
            </w:r>
          </w:p>
        </w:tc>
        <w:tc>
          <w:tcPr>
            <w:tcW w:w="153" w:type="pct"/>
            <w:tcBorders>
              <w:top w:val="nil"/>
              <w:bottom w:val="nil"/>
              <w:right w:val="single" w:sz="6" w:space="0" w:color="auto"/>
            </w:tcBorders>
            <w:noWrap/>
            <w:vAlign w:val="bottom"/>
          </w:tcPr>
          <w:p w14:paraId="6500EF60" w14:textId="77777777" w:rsidR="008B6B35" w:rsidRPr="00B71F92" w:rsidRDefault="008B6B35" w:rsidP="00730932">
            <w:pPr>
              <w:spacing w:after="0" w:line="240" w:lineRule="auto"/>
              <w:jc w:val="right"/>
              <w:rPr>
                <w:rFonts w:eastAsia="Times New Roman"/>
                <w:sz w:val="18"/>
                <w:szCs w:val="18"/>
              </w:rPr>
            </w:pPr>
            <w:r w:rsidRPr="00B71F92">
              <w:rPr>
                <w:sz w:val="18"/>
                <w:szCs w:val="18"/>
              </w:rPr>
              <w:t>2.27</w:t>
            </w:r>
          </w:p>
        </w:tc>
        <w:tc>
          <w:tcPr>
            <w:tcW w:w="152" w:type="pct"/>
            <w:tcBorders>
              <w:top w:val="nil"/>
              <w:left w:val="single" w:sz="6" w:space="0" w:color="auto"/>
              <w:bottom w:val="nil"/>
            </w:tcBorders>
            <w:noWrap/>
          </w:tcPr>
          <w:p w14:paraId="6FEC2CC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27EFEF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D087C4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7994D09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5D130333" w14:textId="77777777" w:rsidR="008B6B35" w:rsidRPr="00B71F92" w:rsidRDefault="008B6B35" w:rsidP="00730932">
            <w:pPr>
              <w:spacing w:after="0" w:line="240" w:lineRule="auto"/>
              <w:jc w:val="right"/>
              <w:rPr>
                <w:rFonts w:eastAsia="Times New Roman"/>
                <w:sz w:val="18"/>
                <w:szCs w:val="18"/>
              </w:rPr>
            </w:pPr>
            <w:r w:rsidRPr="00B71F92">
              <w:rPr>
                <w:sz w:val="18"/>
                <w:szCs w:val="18"/>
              </w:rPr>
              <w:t>-0.43</w:t>
            </w:r>
          </w:p>
        </w:tc>
        <w:tc>
          <w:tcPr>
            <w:tcW w:w="153" w:type="pct"/>
            <w:tcBorders>
              <w:top w:val="nil"/>
              <w:bottom w:val="nil"/>
              <w:right w:val="single" w:sz="6" w:space="0" w:color="auto"/>
            </w:tcBorders>
            <w:noWrap/>
            <w:vAlign w:val="bottom"/>
          </w:tcPr>
          <w:p w14:paraId="3D6EAD58" w14:textId="77777777" w:rsidR="008B6B35" w:rsidRPr="00B71F92" w:rsidRDefault="008B6B35" w:rsidP="00730932">
            <w:pPr>
              <w:spacing w:after="0" w:line="240" w:lineRule="auto"/>
              <w:jc w:val="right"/>
              <w:rPr>
                <w:rFonts w:eastAsia="Times New Roman"/>
                <w:sz w:val="18"/>
                <w:szCs w:val="18"/>
              </w:rPr>
            </w:pPr>
            <w:r w:rsidRPr="00B71F92">
              <w:rPr>
                <w:sz w:val="18"/>
                <w:szCs w:val="18"/>
              </w:rPr>
              <w:t>-3.54</w:t>
            </w:r>
          </w:p>
        </w:tc>
        <w:tc>
          <w:tcPr>
            <w:tcW w:w="152" w:type="pct"/>
            <w:tcBorders>
              <w:top w:val="nil"/>
              <w:left w:val="single" w:sz="6" w:space="0" w:color="auto"/>
              <w:bottom w:val="nil"/>
            </w:tcBorders>
            <w:noWrap/>
            <w:vAlign w:val="bottom"/>
          </w:tcPr>
          <w:p w14:paraId="59FCDF6F" w14:textId="77777777" w:rsidR="008B6B35" w:rsidRPr="00B71F92" w:rsidRDefault="008B6B35" w:rsidP="00730932">
            <w:pPr>
              <w:spacing w:after="0" w:line="240" w:lineRule="auto"/>
              <w:jc w:val="right"/>
              <w:rPr>
                <w:rFonts w:eastAsia="Times New Roman"/>
                <w:sz w:val="18"/>
                <w:szCs w:val="18"/>
              </w:rPr>
            </w:pPr>
            <w:r w:rsidRPr="00B71F92">
              <w:rPr>
                <w:sz w:val="18"/>
                <w:szCs w:val="18"/>
              </w:rPr>
              <w:t>-0.55</w:t>
            </w:r>
          </w:p>
        </w:tc>
        <w:tc>
          <w:tcPr>
            <w:tcW w:w="153" w:type="pct"/>
            <w:tcBorders>
              <w:top w:val="nil"/>
              <w:bottom w:val="nil"/>
              <w:right w:val="single" w:sz="6" w:space="0" w:color="auto"/>
            </w:tcBorders>
            <w:noWrap/>
            <w:vAlign w:val="bottom"/>
          </w:tcPr>
          <w:p w14:paraId="551496B1" w14:textId="77777777" w:rsidR="008B6B35" w:rsidRPr="00B71F92" w:rsidRDefault="008B6B35" w:rsidP="00730932">
            <w:pPr>
              <w:spacing w:after="0" w:line="240" w:lineRule="auto"/>
              <w:jc w:val="right"/>
              <w:rPr>
                <w:rFonts w:eastAsia="Times New Roman"/>
                <w:sz w:val="18"/>
                <w:szCs w:val="18"/>
              </w:rPr>
            </w:pPr>
            <w:r w:rsidRPr="00B71F92">
              <w:rPr>
                <w:sz w:val="18"/>
                <w:szCs w:val="18"/>
              </w:rPr>
              <w:t>-2.53</w:t>
            </w:r>
          </w:p>
        </w:tc>
        <w:tc>
          <w:tcPr>
            <w:tcW w:w="152" w:type="pct"/>
            <w:tcBorders>
              <w:top w:val="nil"/>
              <w:left w:val="single" w:sz="6" w:space="0" w:color="auto"/>
              <w:bottom w:val="nil"/>
            </w:tcBorders>
            <w:noWrap/>
          </w:tcPr>
          <w:p w14:paraId="11E5D75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3982488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5624E717" w14:textId="77777777" w:rsidR="008B6B35" w:rsidRPr="00B71F92" w:rsidRDefault="008B6B35" w:rsidP="00730932">
            <w:pPr>
              <w:spacing w:after="0" w:line="240" w:lineRule="auto"/>
              <w:jc w:val="right"/>
              <w:rPr>
                <w:rFonts w:eastAsia="Times New Roman"/>
                <w:b/>
                <w:bCs/>
                <w:sz w:val="18"/>
                <w:szCs w:val="18"/>
              </w:rPr>
            </w:pPr>
            <w:r w:rsidRPr="00B71F92">
              <w:rPr>
                <w:sz w:val="18"/>
                <w:szCs w:val="18"/>
              </w:rPr>
              <w:t>-0.38</w:t>
            </w:r>
          </w:p>
        </w:tc>
        <w:tc>
          <w:tcPr>
            <w:tcW w:w="191" w:type="pct"/>
            <w:tcBorders>
              <w:top w:val="nil"/>
              <w:bottom w:val="nil"/>
            </w:tcBorders>
            <w:vAlign w:val="bottom"/>
          </w:tcPr>
          <w:p w14:paraId="60C22FDA" w14:textId="77777777" w:rsidR="008B6B35" w:rsidRPr="00B71F92" w:rsidRDefault="008B6B35" w:rsidP="00730932">
            <w:pPr>
              <w:spacing w:after="0" w:line="240" w:lineRule="auto"/>
              <w:jc w:val="right"/>
              <w:rPr>
                <w:rFonts w:eastAsia="Times New Roman"/>
                <w:b/>
                <w:bCs/>
                <w:sz w:val="18"/>
                <w:szCs w:val="18"/>
              </w:rPr>
            </w:pPr>
            <w:r w:rsidRPr="00B71F92">
              <w:rPr>
                <w:sz w:val="18"/>
                <w:szCs w:val="18"/>
              </w:rPr>
              <w:t>-2.90</w:t>
            </w:r>
          </w:p>
        </w:tc>
      </w:tr>
      <w:tr w:rsidR="008B6B35" w:rsidRPr="00B71F92" w14:paraId="07AF263B" w14:textId="77777777" w:rsidTr="002F5607">
        <w:trPr>
          <w:trHeight w:val="230"/>
          <w:jc w:val="center"/>
        </w:trPr>
        <w:tc>
          <w:tcPr>
            <w:tcW w:w="1220" w:type="pct"/>
            <w:tcBorders>
              <w:top w:val="nil"/>
              <w:bottom w:val="nil"/>
              <w:right w:val="single" w:sz="12" w:space="0" w:color="auto"/>
            </w:tcBorders>
            <w:noWrap/>
            <w:vAlign w:val="center"/>
            <w:hideMark/>
          </w:tcPr>
          <w:p w14:paraId="226B43D9"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$100,000-$199,999 * 2021 Shift</w:t>
            </w:r>
          </w:p>
        </w:tc>
        <w:tc>
          <w:tcPr>
            <w:tcW w:w="152" w:type="pct"/>
            <w:tcBorders>
              <w:top w:val="nil"/>
              <w:left w:val="single" w:sz="12" w:space="0" w:color="auto"/>
              <w:bottom w:val="nil"/>
            </w:tcBorders>
            <w:noWrap/>
            <w:hideMark/>
          </w:tcPr>
          <w:p w14:paraId="0816ABB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68C60A5B"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10882977" w14:textId="77777777" w:rsidR="008B6B35" w:rsidRPr="00B71F92" w:rsidRDefault="008B6B35" w:rsidP="00730932">
            <w:pPr>
              <w:spacing w:after="0" w:line="240" w:lineRule="auto"/>
              <w:jc w:val="right"/>
              <w:rPr>
                <w:rFonts w:eastAsia="Times New Roman"/>
                <w:sz w:val="18"/>
                <w:szCs w:val="18"/>
              </w:rPr>
            </w:pPr>
            <w:r w:rsidRPr="00B71F92">
              <w:rPr>
                <w:sz w:val="18"/>
                <w:szCs w:val="18"/>
              </w:rPr>
              <w:t>0.57</w:t>
            </w:r>
          </w:p>
        </w:tc>
        <w:tc>
          <w:tcPr>
            <w:tcW w:w="153" w:type="pct"/>
            <w:tcBorders>
              <w:top w:val="nil"/>
              <w:bottom w:val="nil"/>
              <w:right w:val="single" w:sz="6" w:space="0" w:color="auto"/>
            </w:tcBorders>
            <w:noWrap/>
            <w:vAlign w:val="bottom"/>
          </w:tcPr>
          <w:p w14:paraId="52AB7CFE" w14:textId="77777777" w:rsidR="008B6B35" w:rsidRPr="00B71F92" w:rsidRDefault="008B6B35" w:rsidP="00730932">
            <w:pPr>
              <w:spacing w:after="0" w:line="240" w:lineRule="auto"/>
              <w:jc w:val="right"/>
              <w:rPr>
                <w:rFonts w:eastAsia="Times New Roman"/>
                <w:sz w:val="18"/>
                <w:szCs w:val="18"/>
              </w:rPr>
            </w:pPr>
            <w:r w:rsidRPr="00B71F92">
              <w:rPr>
                <w:sz w:val="18"/>
                <w:szCs w:val="18"/>
              </w:rPr>
              <w:t>3.03</w:t>
            </w:r>
          </w:p>
        </w:tc>
        <w:tc>
          <w:tcPr>
            <w:tcW w:w="152" w:type="pct"/>
            <w:tcBorders>
              <w:top w:val="nil"/>
              <w:left w:val="single" w:sz="6" w:space="0" w:color="auto"/>
              <w:bottom w:val="nil"/>
            </w:tcBorders>
            <w:noWrap/>
          </w:tcPr>
          <w:p w14:paraId="17E6F00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1193B2B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A3AB17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68B851B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224C27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745EE6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0D8D49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95FB10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716C75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FEA02C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F78C87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67B0083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7376D7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470098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92A9E4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3076EB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F2E9F7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6AA9962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06F1B62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01E6A0B0" w14:textId="77777777" w:rsidR="008B6B35" w:rsidRPr="00B71F92" w:rsidRDefault="008B6B35" w:rsidP="00730932">
            <w:pPr>
              <w:spacing w:after="0" w:line="240" w:lineRule="auto"/>
              <w:jc w:val="right"/>
              <w:rPr>
                <w:rFonts w:eastAsia="Times New Roman"/>
                <w:sz w:val="18"/>
                <w:szCs w:val="18"/>
              </w:rPr>
            </w:pPr>
          </w:p>
        </w:tc>
      </w:tr>
      <w:tr w:rsidR="008B6B35" w:rsidRPr="00B71F92" w14:paraId="3DDE0B7E" w14:textId="77777777" w:rsidTr="002F5607">
        <w:trPr>
          <w:trHeight w:val="230"/>
          <w:jc w:val="center"/>
        </w:trPr>
        <w:tc>
          <w:tcPr>
            <w:tcW w:w="1220" w:type="pct"/>
            <w:tcBorders>
              <w:top w:val="nil"/>
              <w:bottom w:val="nil"/>
              <w:right w:val="single" w:sz="12" w:space="0" w:color="auto"/>
            </w:tcBorders>
            <w:noWrap/>
            <w:vAlign w:val="center"/>
            <w:hideMark/>
          </w:tcPr>
          <w:p w14:paraId="655A51F1"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$100,000-$199,999 * 2023 Shift</w:t>
            </w:r>
          </w:p>
        </w:tc>
        <w:tc>
          <w:tcPr>
            <w:tcW w:w="152" w:type="pct"/>
            <w:tcBorders>
              <w:top w:val="nil"/>
              <w:left w:val="single" w:sz="12" w:space="0" w:color="auto"/>
              <w:bottom w:val="nil"/>
            </w:tcBorders>
            <w:noWrap/>
            <w:vAlign w:val="bottom"/>
            <w:hideMark/>
          </w:tcPr>
          <w:p w14:paraId="55067756" w14:textId="77777777" w:rsidR="008B6B35" w:rsidRPr="00B71F92" w:rsidRDefault="008B6B35" w:rsidP="00730932">
            <w:pPr>
              <w:spacing w:after="0" w:line="240" w:lineRule="auto"/>
              <w:jc w:val="right"/>
              <w:rPr>
                <w:rFonts w:eastAsia="Times New Roman"/>
                <w:sz w:val="18"/>
                <w:szCs w:val="18"/>
              </w:rPr>
            </w:pPr>
            <w:r w:rsidRPr="00B71F92">
              <w:rPr>
                <w:sz w:val="18"/>
                <w:szCs w:val="18"/>
              </w:rPr>
              <w:t>0.14</w:t>
            </w:r>
          </w:p>
        </w:tc>
        <w:tc>
          <w:tcPr>
            <w:tcW w:w="152" w:type="pct"/>
            <w:tcBorders>
              <w:top w:val="nil"/>
              <w:bottom w:val="nil"/>
              <w:right w:val="single" w:sz="12" w:space="0" w:color="auto"/>
            </w:tcBorders>
            <w:noWrap/>
            <w:vAlign w:val="bottom"/>
          </w:tcPr>
          <w:p w14:paraId="741D0544" w14:textId="77777777" w:rsidR="008B6B35" w:rsidRPr="00B71F92" w:rsidRDefault="008B6B35" w:rsidP="00730932">
            <w:pPr>
              <w:spacing w:after="0" w:line="240" w:lineRule="auto"/>
              <w:jc w:val="right"/>
              <w:rPr>
                <w:rFonts w:eastAsia="Times New Roman"/>
                <w:sz w:val="18"/>
                <w:szCs w:val="18"/>
              </w:rPr>
            </w:pPr>
            <w:r w:rsidRPr="00B71F92">
              <w:rPr>
                <w:sz w:val="18"/>
                <w:szCs w:val="18"/>
              </w:rPr>
              <w:t>1.87</w:t>
            </w:r>
          </w:p>
        </w:tc>
        <w:tc>
          <w:tcPr>
            <w:tcW w:w="182" w:type="pct"/>
            <w:tcBorders>
              <w:top w:val="nil"/>
              <w:left w:val="single" w:sz="12" w:space="0" w:color="auto"/>
              <w:bottom w:val="nil"/>
            </w:tcBorders>
            <w:noWrap/>
            <w:vAlign w:val="bottom"/>
          </w:tcPr>
          <w:p w14:paraId="185FF88B" w14:textId="77777777" w:rsidR="008B6B35" w:rsidRPr="00B71F92" w:rsidRDefault="008B6B35" w:rsidP="00730932">
            <w:pPr>
              <w:spacing w:after="0" w:line="240" w:lineRule="auto"/>
              <w:jc w:val="right"/>
              <w:rPr>
                <w:rFonts w:eastAsia="Times New Roman"/>
                <w:sz w:val="18"/>
                <w:szCs w:val="18"/>
              </w:rPr>
            </w:pPr>
            <w:r w:rsidRPr="00B71F92">
              <w:rPr>
                <w:sz w:val="18"/>
                <w:szCs w:val="18"/>
              </w:rPr>
              <w:t>-0.84</w:t>
            </w:r>
          </w:p>
        </w:tc>
        <w:tc>
          <w:tcPr>
            <w:tcW w:w="153" w:type="pct"/>
            <w:tcBorders>
              <w:top w:val="nil"/>
              <w:bottom w:val="nil"/>
              <w:right w:val="single" w:sz="6" w:space="0" w:color="auto"/>
            </w:tcBorders>
            <w:noWrap/>
            <w:vAlign w:val="bottom"/>
          </w:tcPr>
          <w:p w14:paraId="34CEA345" w14:textId="77777777" w:rsidR="008B6B35" w:rsidRPr="00B71F92" w:rsidRDefault="008B6B35" w:rsidP="00730932">
            <w:pPr>
              <w:spacing w:after="0" w:line="240" w:lineRule="auto"/>
              <w:jc w:val="right"/>
              <w:rPr>
                <w:rFonts w:eastAsia="Times New Roman"/>
                <w:sz w:val="18"/>
                <w:szCs w:val="18"/>
              </w:rPr>
            </w:pPr>
            <w:r w:rsidRPr="00B71F92">
              <w:rPr>
                <w:sz w:val="18"/>
                <w:szCs w:val="18"/>
              </w:rPr>
              <w:t>-3.22</w:t>
            </w:r>
          </w:p>
        </w:tc>
        <w:tc>
          <w:tcPr>
            <w:tcW w:w="152" w:type="pct"/>
            <w:tcBorders>
              <w:top w:val="nil"/>
              <w:left w:val="single" w:sz="6" w:space="0" w:color="auto"/>
              <w:bottom w:val="nil"/>
            </w:tcBorders>
            <w:noWrap/>
          </w:tcPr>
          <w:p w14:paraId="765A5F6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040C2F9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289AC75" w14:textId="77777777" w:rsidR="008B6B35" w:rsidRPr="00B71F92" w:rsidRDefault="008B6B35" w:rsidP="00730932">
            <w:pPr>
              <w:spacing w:after="0" w:line="240" w:lineRule="auto"/>
              <w:jc w:val="right"/>
              <w:rPr>
                <w:rFonts w:eastAsia="Times New Roman"/>
                <w:sz w:val="18"/>
                <w:szCs w:val="18"/>
              </w:rPr>
            </w:pPr>
            <w:r w:rsidRPr="00B71F92">
              <w:rPr>
                <w:sz w:val="18"/>
                <w:szCs w:val="18"/>
              </w:rPr>
              <w:t>-0.28</w:t>
            </w:r>
          </w:p>
        </w:tc>
        <w:tc>
          <w:tcPr>
            <w:tcW w:w="154" w:type="pct"/>
            <w:tcBorders>
              <w:top w:val="nil"/>
              <w:bottom w:val="nil"/>
              <w:right w:val="single" w:sz="6" w:space="0" w:color="auto"/>
            </w:tcBorders>
            <w:noWrap/>
            <w:vAlign w:val="bottom"/>
          </w:tcPr>
          <w:p w14:paraId="56A9FC17" w14:textId="77777777" w:rsidR="008B6B35" w:rsidRPr="00B71F92" w:rsidRDefault="008B6B35" w:rsidP="00730932">
            <w:pPr>
              <w:spacing w:after="0" w:line="240" w:lineRule="auto"/>
              <w:jc w:val="right"/>
              <w:rPr>
                <w:rFonts w:eastAsia="Times New Roman"/>
                <w:sz w:val="18"/>
                <w:szCs w:val="18"/>
              </w:rPr>
            </w:pPr>
            <w:r w:rsidRPr="00B71F92">
              <w:rPr>
                <w:sz w:val="18"/>
                <w:szCs w:val="18"/>
              </w:rPr>
              <w:t>-2.44</w:t>
            </w:r>
          </w:p>
        </w:tc>
        <w:tc>
          <w:tcPr>
            <w:tcW w:w="152" w:type="pct"/>
            <w:tcBorders>
              <w:top w:val="nil"/>
              <w:left w:val="single" w:sz="6" w:space="0" w:color="auto"/>
              <w:bottom w:val="nil"/>
            </w:tcBorders>
            <w:noWrap/>
          </w:tcPr>
          <w:p w14:paraId="5238D44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9354E8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D13B3D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7E63A0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64D2E5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9F73C2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CCBBD1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7F22378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5EB83E62" w14:textId="77777777" w:rsidR="008B6B35" w:rsidRPr="00B71F92" w:rsidRDefault="008B6B35" w:rsidP="00730932">
            <w:pPr>
              <w:spacing w:after="0" w:line="240" w:lineRule="auto"/>
              <w:jc w:val="right"/>
              <w:rPr>
                <w:rFonts w:eastAsia="Times New Roman"/>
                <w:sz w:val="18"/>
                <w:szCs w:val="18"/>
              </w:rPr>
            </w:pPr>
            <w:r w:rsidRPr="00B71F92">
              <w:rPr>
                <w:sz w:val="18"/>
                <w:szCs w:val="18"/>
              </w:rPr>
              <w:t>0.58</w:t>
            </w:r>
          </w:p>
        </w:tc>
        <w:tc>
          <w:tcPr>
            <w:tcW w:w="153" w:type="pct"/>
            <w:tcBorders>
              <w:top w:val="nil"/>
              <w:bottom w:val="nil"/>
              <w:right w:val="single" w:sz="6" w:space="0" w:color="auto"/>
            </w:tcBorders>
            <w:noWrap/>
            <w:vAlign w:val="bottom"/>
          </w:tcPr>
          <w:p w14:paraId="5D3E0C71" w14:textId="77777777" w:rsidR="008B6B35" w:rsidRPr="00B71F92" w:rsidRDefault="008B6B35" w:rsidP="00730932">
            <w:pPr>
              <w:spacing w:after="0" w:line="240" w:lineRule="auto"/>
              <w:jc w:val="right"/>
              <w:rPr>
                <w:rFonts w:eastAsia="Times New Roman"/>
                <w:sz w:val="18"/>
                <w:szCs w:val="18"/>
              </w:rPr>
            </w:pPr>
            <w:r w:rsidRPr="00B71F92">
              <w:rPr>
                <w:sz w:val="18"/>
                <w:szCs w:val="18"/>
              </w:rPr>
              <w:t>2.73</w:t>
            </w:r>
          </w:p>
        </w:tc>
        <w:tc>
          <w:tcPr>
            <w:tcW w:w="152" w:type="pct"/>
            <w:tcBorders>
              <w:top w:val="nil"/>
              <w:left w:val="single" w:sz="6" w:space="0" w:color="auto"/>
              <w:bottom w:val="nil"/>
            </w:tcBorders>
            <w:noWrap/>
            <w:vAlign w:val="bottom"/>
          </w:tcPr>
          <w:p w14:paraId="307038E6" w14:textId="77777777" w:rsidR="008B6B35" w:rsidRPr="00B71F92" w:rsidRDefault="008B6B35" w:rsidP="00730932">
            <w:pPr>
              <w:spacing w:after="0" w:line="240" w:lineRule="auto"/>
              <w:jc w:val="right"/>
              <w:rPr>
                <w:rFonts w:eastAsia="Times New Roman"/>
                <w:sz w:val="18"/>
                <w:szCs w:val="18"/>
              </w:rPr>
            </w:pPr>
            <w:r w:rsidRPr="00B71F92">
              <w:rPr>
                <w:sz w:val="18"/>
                <w:szCs w:val="18"/>
              </w:rPr>
              <w:t>0.42</w:t>
            </w:r>
          </w:p>
        </w:tc>
        <w:tc>
          <w:tcPr>
            <w:tcW w:w="153" w:type="pct"/>
            <w:tcBorders>
              <w:top w:val="nil"/>
              <w:bottom w:val="nil"/>
              <w:right w:val="single" w:sz="6" w:space="0" w:color="auto"/>
            </w:tcBorders>
            <w:noWrap/>
            <w:vAlign w:val="bottom"/>
          </w:tcPr>
          <w:p w14:paraId="5C438DF8" w14:textId="77777777" w:rsidR="008B6B35" w:rsidRPr="00B71F92" w:rsidRDefault="008B6B35" w:rsidP="00730932">
            <w:pPr>
              <w:spacing w:after="0" w:line="240" w:lineRule="auto"/>
              <w:jc w:val="right"/>
              <w:rPr>
                <w:rFonts w:eastAsia="Times New Roman"/>
                <w:sz w:val="18"/>
                <w:szCs w:val="18"/>
              </w:rPr>
            </w:pPr>
            <w:r w:rsidRPr="00B71F92">
              <w:rPr>
                <w:sz w:val="18"/>
                <w:szCs w:val="18"/>
              </w:rPr>
              <w:t>1.75</w:t>
            </w:r>
          </w:p>
        </w:tc>
        <w:tc>
          <w:tcPr>
            <w:tcW w:w="152" w:type="pct"/>
            <w:tcBorders>
              <w:top w:val="nil"/>
              <w:left w:val="single" w:sz="6" w:space="0" w:color="auto"/>
              <w:bottom w:val="nil"/>
            </w:tcBorders>
            <w:noWrap/>
          </w:tcPr>
          <w:p w14:paraId="26AA48B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6DB3BA3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22FAC85D"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91" w:type="pct"/>
            <w:tcBorders>
              <w:top w:val="nil"/>
              <w:bottom w:val="nil"/>
            </w:tcBorders>
            <w:vAlign w:val="bottom"/>
          </w:tcPr>
          <w:p w14:paraId="09E55442" w14:textId="77777777" w:rsidR="008B6B35" w:rsidRPr="00B71F92" w:rsidRDefault="008B6B35" w:rsidP="00730932">
            <w:pPr>
              <w:spacing w:after="0" w:line="240" w:lineRule="auto"/>
              <w:jc w:val="right"/>
              <w:rPr>
                <w:rFonts w:eastAsia="Times New Roman"/>
                <w:sz w:val="18"/>
                <w:szCs w:val="18"/>
              </w:rPr>
            </w:pPr>
            <w:r w:rsidRPr="00B71F92">
              <w:rPr>
                <w:sz w:val="18"/>
                <w:szCs w:val="18"/>
              </w:rPr>
              <w:t>-1.79</w:t>
            </w:r>
          </w:p>
        </w:tc>
      </w:tr>
      <w:tr w:rsidR="008B6B35" w:rsidRPr="00B71F92" w14:paraId="79E03AD0" w14:textId="77777777" w:rsidTr="002F5607">
        <w:trPr>
          <w:trHeight w:val="230"/>
          <w:jc w:val="center"/>
        </w:trPr>
        <w:tc>
          <w:tcPr>
            <w:tcW w:w="1220" w:type="pct"/>
            <w:tcBorders>
              <w:top w:val="nil"/>
              <w:bottom w:val="nil"/>
              <w:right w:val="single" w:sz="12" w:space="0" w:color="auto"/>
            </w:tcBorders>
            <w:noWrap/>
            <w:vAlign w:val="center"/>
            <w:hideMark/>
          </w:tcPr>
          <w:p w14:paraId="0A6BBE5D"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$200 or more</w:t>
            </w:r>
          </w:p>
        </w:tc>
        <w:tc>
          <w:tcPr>
            <w:tcW w:w="152" w:type="pct"/>
            <w:tcBorders>
              <w:top w:val="nil"/>
              <w:left w:val="single" w:sz="12" w:space="0" w:color="auto"/>
              <w:bottom w:val="nil"/>
            </w:tcBorders>
            <w:noWrap/>
            <w:vAlign w:val="bottom"/>
            <w:hideMark/>
          </w:tcPr>
          <w:p w14:paraId="6272A43D" w14:textId="77777777" w:rsidR="008B6B35" w:rsidRPr="00B71F92" w:rsidRDefault="008B6B35" w:rsidP="00730932">
            <w:pPr>
              <w:spacing w:after="0" w:line="240" w:lineRule="auto"/>
              <w:jc w:val="right"/>
              <w:rPr>
                <w:rFonts w:eastAsia="Times New Roman"/>
                <w:sz w:val="18"/>
                <w:szCs w:val="18"/>
              </w:rPr>
            </w:pPr>
            <w:r w:rsidRPr="00B71F92">
              <w:rPr>
                <w:sz w:val="18"/>
                <w:szCs w:val="18"/>
              </w:rPr>
              <w:t>-0.20</w:t>
            </w:r>
          </w:p>
        </w:tc>
        <w:tc>
          <w:tcPr>
            <w:tcW w:w="152" w:type="pct"/>
            <w:tcBorders>
              <w:top w:val="nil"/>
              <w:bottom w:val="nil"/>
              <w:right w:val="single" w:sz="12" w:space="0" w:color="auto"/>
            </w:tcBorders>
            <w:noWrap/>
            <w:vAlign w:val="bottom"/>
          </w:tcPr>
          <w:p w14:paraId="6313A9AD" w14:textId="77777777" w:rsidR="008B6B35" w:rsidRPr="00B71F92" w:rsidRDefault="008B6B35" w:rsidP="00730932">
            <w:pPr>
              <w:spacing w:after="0" w:line="240" w:lineRule="auto"/>
              <w:jc w:val="right"/>
              <w:rPr>
                <w:rFonts w:eastAsia="Times New Roman"/>
                <w:sz w:val="18"/>
                <w:szCs w:val="18"/>
              </w:rPr>
            </w:pPr>
            <w:r w:rsidRPr="00B71F92">
              <w:rPr>
                <w:sz w:val="18"/>
                <w:szCs w:val="18"/>
              </w:rPr>
              <w:t>-2.81</w:t>
            </w:r>
          </w:p>
        </w:tc>
        <w:tc>
          <w:tcPr>
            <w:tcW w:w="182" w:type="pct"/>
            <w:tcBorders>
              <w:top w:val="nil"/>
              <w:left w:val="single" w:sz="12" w:space="0" w:color="auto"/>
              <w:bottom w:val="nil"/>
            </w:tcBorders>
            <w:noWrap/>
            <w:vAlign w:val="bottom"/>
          </w:tcPr>
          <w:p w14:paraId="046132CF" w14:textId="77777777" w:rsidR="008B6B35" w:rsidRPr="00B71F92" w:rsidRDefault="008B6B35" w:rsidP="00730932">
            <w:pPr>
              <w:spacing w:after="0" w:line="240" w:lineRule="auto"/>
              <w:jc w:val="right"/>
              <w:rPr>
                <w:rFonts w:eastAsia="Times New Roman"/>
                <w:sz w:val="18"/>
                <w:szCs w:val="18"/>
              </w:rPr>
            </w:pPr>
            <w:r w:rsidRPr="00B71F92">
              <w:rPr>
                <w:sz w:val="18"/>
                <w:szCs w:val="18"/>
              </w:rPr>
              <w:t>-0.42</w:t>
            </w:r>
          </w:p>
        </w:tc>
        <w:tc>
          <w:tcPr>
            <w:tcW w:w="153" w:type="pct"/>
            <w:tcBorders>
              <w:top w:val="nil"/>
              <w:bottom w:val="nil"/>
              <w:right w:val="single" w:sz="6" w:space="0" w:color="auto"/>
            </w:tcBorders>
            <w:noWrap/>
            <w:vAlign w:val="bottom"/>
          </w:tcPr>
          <w:p w14:paraId="1FE6E453" w14:textId="77777777" w:rsidR="008B6B35" w:rsidRPr="00B71F92" w:rsidRDefault="008B6B35" w:rsidP="00730932">
            <w:pPr>
              <w:spacing w:after="0" w:line="240" w:lineRule="auto"/>
              <w:jc w:val="right"/>
              <w:rPr>
                <w:rFonts w:eastAsia="Times New Roman"/>
                <w:sz w:val="18"/>
                <w:szCs w:val="18"/>
              </w:rPr>
            </w:pPr>
            <w:r w:rsidRPr="00B71F92">
              <w:rPr>
                <w:sz w:val="18"/>
                <w:szCs w:val="18"/>
              </w:rPr>
              <w:t>-2.14</w:t>
            </w:r>
          </w:p>
        </w:tc>
        <w:tc>
          <w:tcPr>
            <w:tcW w:w="152" w:type="pct"/>
            <w:tcBorders>
              <w:top w:val="nil"/>
              <w:left w:val="single" w:sz="6" w:space="0" w:color="auto"/>
              <w:bottom w:val="nil"/>
            </w:tcBorders>
            <w:noWrap/>
            <w:vAlign w:val="bottom"/>
          </w:tcPr>
          <w:p w14:paraId="77D215AC"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83" w:type="pct"/>
            <w:tcBorders>
              <w:top w:val="nil"/>
              <w:bottom w:val="nil"/>
              <w:right w:val="single" w:sz="6" w:space="0" w:color="auto"/>
            </w:tcBorders>
            <w:noWrap/>
            <w:vAlign w:val="bottom"/>
          </w:tcPr>
          <w:p w14:paraId="5196594D" w14:textId="77777777" w:rsidR="008B6B35" w:rsidRPr="00B71F92" w:rsidRDefault="008B6B35" w:rsidP="00730932">
            <w:pPr>
              <w:spacing w:after="0" w:line="240" w:lineRule="auto"/>
              <w:jc w:val="right"/>
              <w:rPr>
                <w:rFonts w:eastAsia="Times New Roman"/>
                <w:sz w:val="18"/>
                <w:szCs w:val="18"/>
              </w:rPr>
            </w:pPr>
            <w:r w:rsidRPr="00B71F92">
              <w:rPr>
                <w:sz w:val="18"/>
                <w:szCs w:val="18"/>
              </w:rPr>
              <w:t>7.77</w:t>
            </w:r>
          </w:p>
        </w:tc>
        <w:tc>
          <w:tcPr>
            <w:tcW w:w="152" w:type="pct"/>
            <w:tcBorders>
              <w:top w:val="nil"/>
              <w:left w:val="single" w:sz="6" w:space="0" w:color="auto"/>
              <w:bottom w:val="nil"/>
            </w:tcBorders>
            <w:noWrap/>
            <w:vAlign w:val="bottom"/>
          </w:tcPr>
          <w:p w14:paraId="0FECB585" w14:textId="77777777" w:rsidR="008B6B35" w:rsidRPr="00B71F92" w:rsidRDefault="008B6B35" w:rsidP="00730932">
            <w:pPr>
              <w:spacing w:after="0" w:line="240" w:lineRule="auto"/>
              <w:jc w:val="right"/>
              <w:rPr>
                <w:rFonts w:eastAsia="Times New Roman"/>
                <w:sz w:val="18"/>
                <w:szCs w:val="18"/>
              </w:rPr>
            </w:pPr>
            <w:r w:rsidRPr="00B71F92">
              <w:rPr>
                <w:sz w:val="18"/>
                <w:szCs w:val="18"/>
              </w:rPr>
              <w:t>-0.49</w:t>
            </w:r>
          </w:p>
        </w:tc>
        <w:tc>
          <w:tcPr>
            <w:tcW w:w="154" w:type="pct"/>
            <w:tcBorders>
              <w:top w:val="nil"/>
              <w:bottom w:val="nil"/>
              <w:right w:val="single" w:sz="6" w:space="0" w:color="auto"/>
            </w:tcBorders>
            <w:noWrap/>
            <w:vAlign w:val="bottom"/>
          </w:tcPr>
          <w:p w14:paraId="06FC5AEE" w14:textId="77777777" w:rsidR="008B6B35" w:rsidRPr="00B71F92" w:rsidRDefault="008B6B35" w:rsidP="00730932">
            <w:pPr>
              <w:spacing w:after="0" w:line="240" w:lineRule="auto"/>
              <w:jc w:val="right"/>
              <w:rPr>
                <w:rFonts w:eastAsia="Times New Roman"/>
                <w:sz w:val="18"/>
                <w:szCs w:val="18"/>
              </w:rPr>
            </w:pPr>
            <w:r w:rsidRPr="00B71F92">
              <w:rPr>
                <w:sz w:val="18"/>
                <w:szCs w:val="18"/>
              </w:rPr>
              <w:t>-3.23</w:t>
            </w:r>
          </w:p>
        </w:tc>
        <w:tc>
          <w:tcPr>
            <w:tcW w:w="152" w:type="pct"/>
            <w:tcBorders>
              <w:top w:val="nil"/>
              <w:left w:val="single" w:sz="6" w:space="0" w:color="auto"/>
              <w:bottom w:val="nil"/>
            </w:tcBorders>
            <w:noWrap/>
            <w:vAlign w:val="bottom"/>
          </w:tcPr>
          <w:p w14:paraId="1A390500" w14:textId="77777777" w:rsidR="008B6B35" w:rsidRPr="00B71F92" w:rsidRDefault="008B6B35" w:rsidP="00730932">
            <w:pPr>
              <w:spacing w:after="0" w:line="240" w:lineRule="auto"/>
              <w:jc w:val="right"/>
              <w:rPr>
                <w:rFonts w:eastAsia="Times New Roman"/>
                <w:sz w:val="18"/>
                <w:szCs w:val="18"/>
              </w:rPr>
            </w:pPr>
            <w:r w:rsidRPr="00B71F92">
              <w:rPr>
                <w:sz w:val="18"/>
                <w:szCs w:val="18"/>
              </w:rPr>
              <w:t>0.33</w:t>
            </w:r>
          </w:p>
        </w:tc>
        <w:tc>
          <w:tcPr>
            <w:tcW w:w="153" w:type="pct"/>
            <w:tcBorders>
              <w:top w:val="nil"/>
              <w:bottom w:val="nil"/>
              <w:right w:val="single" w:sz="6" w:space="0" w:color="auto"/>
            </w:tcBorders>
            <w:noWrap/>
            <w:vAlign w:val="bottom"/>
          </w:tcPr>
          <w:p w14:paraId="18818EBE" w14:textId="77777777" w:rsidR="008B6B35" w:rsidRPr="00B71F92" w:rsidRDefault="008B6B35" w:rsidP="00730932">
            <w:pPr>
              <w:spacing w:after="0" w:line="240" w:lineRule="auto"/>
              <w:jc w:val="right"/>
              <w:rPr>
                <w:rFonts w:eastAsia="Times New Roman"/>
                <w:sz w:val="18"/>
                <w:szCs w:val="18"/>
              </w:rPr>
            </w:pPr>
            <w:r w:rsidRPr="00B71F92">
              <w:rPr>
                <w:sz w:val="18"/>
                <w:szCs w:val="18"/>
              </w:rPr>
              <w:t>2.67</w:t>
            </w:r>
          </w:p>
        </w:tc>
        <w:tc>
          <w:tcPr>
            <w:tcW w:w="152" w:type="pct"/>
            <w:tcBorders>
              <w:top w:val="nil"/>
              <w:left w:val="single" w:sz="6" w:space="0" w:color="auto"/>
              <w:bottom w:val="nil"/>
            </w:tcBorders>
            <w:noWrap/>
            <w:vAlign w:val="bottom"/>
          </w:tcPr>
          <w:p w14:paraId="3D4DDC46" w14:textId="77777777" w:rsidR="008B6B35" w:rsidRPr="00B71F92" w:rsidRDefault="008B6B35" w:rsidP="00730932">
            <w:pPr>
              <w:spacing w:after="0" w:line="240" w:lineRule="auto"/>
              <w:jc w:val="right"/>
              <w:rPr>
                <w:rFonts w:eastAsia="Times New Roman"/>
                <w:sz w:val="18"/>
                <w:szCs w:val="18"/>
              </w:rPr>
            </w:pPr>
            <w:r w:rsidRPr="00B71F92">
              <w:rPr>
                <w:sz w:val="18"/>
                <w:szCs w:val="18"/>
              </w:rPr>
              <w:t>0.64</w:t>
            </w:r>
          </w:p>
        </w:tc>
        <w:tc>
          <w:tcPr>
            <w:tcW w:w="153" w:type="pct"/>
            <w:tcBorders>
              <w:top w:val="nil"/>
              <w:bottom w:val="nil"/>
              <w:right w:val="single" w:sz="6" w:space="0" w:color="auto"/>
            </w:tcBorders>
            <w:noWrap/>
            <w:vAlign w:val="bottom"/>
          </w:tcPr>
          <w:p w14:paraId="6F084DAE" w14:textId="77777777" w:rsidR="008B6B35" w:rsidRPr="00B71F92" w:rsidRDefault="008B6B35" w:rsidP="00730932">
            <w:pPr>
              <w:spacing w:after="0" w:line="240" w:lineRule="auto"/>
              <w:jc w:val="right"/>
              <w:rPr>
                <w:rFonts w:eastAsia="Times New Roman"/>
                <w:sz w:val="18"/>
                <w:szCs w:val="18"/>
              </w:rPr>
            </w:pPr>
            <w:r w:rsidRPr="00B71F92">
              <w:rPr>
                <w:sz w:val="18"/>
                <w:szCs w:val="18"/>
              </w:rPr>
              <w:t>3.25</w:t>
            </w:r>
          </w:p>
        </w:tc>
        <w:tc>
          <w:tcPr>
            <w:tcW w:w="152" w:type="pct"/>
            <w:tcBorders>
              <w:top w:val="nil"/>
              <w:left w:val="single" w:sz="6" w:space="0" w:color="auto"/>
              <w:bottom w:val="nil"/>
            </w:tcBorders>
            <w:noWrap/>
          </w:tcPr>
          <w:p w14:paraId="2C990DC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6B1CDE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E35E00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23DF573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4A218C28" w14:textId="77777777" w:rsidR="008B6B35" w:rsidRPr="00B71F92" w:rsidRDefault="008B6B35" w:rsidP="00730932">
            <w:pPr>
              <w:spacing w:after="0" w:line="240" w:lineRule="auto"/>
              <w:jc w:val="right"/>
              <w:rPr>
                <w:rFonts w:eastAsia="Times New Roman"/>
                <w:sz w:val="18"/>
                <w:szCs w:val="18"/>
              </w:rPr>
            </w:pPr>
            <w:r w:rsidRPr="00B71F92">
              <w:rPr>
                <w:sz w:val="18"/>
                <w:szCs w:val="18"/>
              </w:rPr>
              <w:t>-0.43</w:t>
            </w:r>
          </w:p>
        </w:tc>
        <w:tc>
          <w:tcPr>
            <w:tcW w:w="153" w:type="pct"/>
            <w:tcBorders>
              <w:top w:val="nil"/>
              <w:bottom w:val="nil"/>
              <w:right w:val="single" w:sz="6" w:space="0" w:color="auto"/>
            </w:tcBorders>
            <w:noWrap/>
            <w:vAlign w:val="bottom"/>
          </w:tcPr>
          <w:p w14:paraId="040AB6B2" w14:textId="77777777" w:rsidR="008B6B35" w:rsidRPr="00B71F92" w:rsidRDefault="008B6B35" w:rsidP="00730932">
            <w:pPr>
              <w:spacing w:after="0" w:line="240" w:lineRule="auto"/>
              <w:jc w:val="right"/>
              <w:rPr>
                <w:rFonts w:eastAsia="Times New Roman"/>
                <w:sz w:val="18"/>
                <w:szCs w:val="18"/>
              </w:rPr>
            </w:pPr>
            <w:r w:rsidRPr="00B71F92">
              <w:rPr>
                <w:sz w:val="18"/>
                <w:szCs w:val="18"/>
              </w:rPr>
              <w:t>-2.48</w:t>
            </w:r>
          </w:p>
        </w:tc>
        <w:tc>
          <w:tcPr>
            <w:tcW w:w="152" w:type="pct"/>
            <w:tcBorders>
              <w:top w:val="nil"/>
              <w:left w:val="single" w:sz="6" w:space="0" w:color="auto"/>
              <w:bottom w:val="nil"/>
            </w:tcBorders>
            <w:noWrap/>
            <w:vAlign w:val="bottom"/>
          </w:tcPr>
          <w:p w14:paraId="2A0F8E2D" w14:textId="77777777" w:rsidR="008B6B35" w:rsidRPr="00B71F92" w:rsidRDefault="008B6B35" w:rsidP="00730932">
            <w:pPr>
              <w:spacing w:after="0" w:line="240" w:lineRule="auto"/>
              <w:jc w:val="right"/>
              <w:rPr>
                <w:rFonts w:eastAsia="Times New Roman"/>
                <w:sz w:val="18"/>
                <w:szCs w:val="18"/>
              </w:rPr>
            </w:pPr>
            <w:r w:rsidRPr="00B71F92">
              <w:rPr>
                <w:sz w:val="18"/>
                <w:szCs w:val="18"/>
              </w:rPr>
              <w:t>-0.76</w:t>
            </w:r>
          </w:p>
        </w:tc>
        <w:tc>
          <w:tcPr>
            <w:tcW w:w="153" w:type="pct"/>
            <w:tcBorders>
              <w:top w:val="nil"/>
              <w:bottom w:val="nil"/>
              <w:right w:val="single" w:sz="6" w:space="0" w:color="auto"/>
            </w:tcBorders>
            <w:noWrap/>
            <w:vAlign w:val="bottom"/>
          </w:tcPr>
          <w:p w14:paraId="31CE2113" w14:textId="77777777" w:rsidR="008B6B35" w:rsidRPr="00B71F92" w:rsidRDefault="008B6B35" w:rsidP="00730932">
            <w:pPr>
              <w:spacing w:after="0" w:line="240" w:lineRule="auto"/>
              <w:jc w:val="right"/>
              <w:rPr>
                <w:rFonts w:eastAsia="Times New Roman"/>
                <w:sz w:val="18"/>
                <w:szCs w:val="18"/>
              </w:rPr>
            </w:pPr>
            <w:r w:rsidRPr="00B71F92">
              <w:rPr>
                <w:sz w:val="18"/>
                <w:szCs w:val="18"/>
              </w:rPr>
              <w:t>-2.06</w:t>
            </w:r>
          </w:p>
        </w:tc>
        <w:tc>
          <w:tcPr>
            <w:tcW w:w="152" w:type="pct"/>
            <w:tcBorders>
              <w:top w:val="nil"/>
              <w:left w:val="single" w:sz="6" w:space="0" w:color="auto"/>
              <w:bottom w:val="nil"/>
            </w:tcBorders>
            <w:noWrap/>
          </w:tcPr>
          <w:p w14:paraId="4BD7AFB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2C7DDDB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73AECF0D" w14:textId="77777777" w:rsidR="008B6B35" w:rsidRPr="00B71F92" w:rsidRDefault="008B6B35" w:rsidP="00730932">
            <w:pPr>
              <w:spacing w:after="0" w:line="240" w:lineRule="auto"/>
              <w:jc w:val="right"/>
              <w:rPr>
                <w:rFonts w:eastAsia="Times New Roman"/>
                <w:sz w:val="18"/>
                <w:szCs w:val="18"/>
              </w:rPr>
            </w:pPr>
            <w:r w:rsidRPr="00B71F92">
              <w:rPr>
                <w:sz w:val="18"/>
                <w:szCs w:val="18"/>
              </w:rPr>
              <w:t>-0.43</w:t>
            </w:r>
          </w:p>
        </w:tc>
        <w:tc>
          <w:tcPr>
            <w:tcW w:w="191" w:type="pct"/>
            <w:tcBorders>
              <w:top w:val="nil"/>
              <w:bottom w:val="nil"/>
            </w:tcBorders>
            <w:vAlign w:val="bottom"/>
          </w:tcPr>
          <w:p w14:paraId="144A1A50" w14:textId="77777777" w:rsidR="008B6B35" w:rsidRPr="00B71F92" w:rsidRDefault="008B6B35" w:rsidP="00730932">
            <w:pPr>
              <w:spacing w:after="0" w:line="240" w:lineRule="auto"/>
              <w:jc w:val="right"/>
              <w:rPr>
                <w:rFonts w:eastAsia="Times New Roman"/>
                <w:sz w:val="18"/>
                <w:szCs w:val="18"/>
              </w:rPr>
            </w:pPr>
            <w:r w:rsidRPr="00B71F92">
              <w:rPr>
                <w:sz w:val="18"/>
                <w:szCs w:val="18"/>
              </w:rPr>
              <w:t>-2.63</w:t>
            </w:r>
          </w:p>
        </w:tc>
      </w:tr>
      <w:tr w:rsidR="008B6B35" w:rsidRPr="00B71F92" w14:paraId="08039732" w14:textId="77777777" w:rsidTr="002F5607">
        <w:trPr>
          <w:trHeight w:val="230"/>
          <w:jc w:val="center"/>
        </w:trPr>
        <w:tc>
          <w:tcPr>
            <w:tcW w:w="1220" w:type="pct"/>
            <w:tcBorders>
              <w:top w:val="nil"/>
              <w:bottom w:val="nil"/>
              <w:right w:val="single" w:sz="12" w:space="0" w:color="auto"/>
            </w:tcBorders>
            <w:noWrap/>
            <w:vAlign w:val="center"/>
            <w:hideMark/>
          </w:tcPr>
          <w:p w14:paraId="2A3D2FE8"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$200 or more * 2021 Shift</w:t>
            </w:r>
          </w:p>
        </w:tc>
        <w:tc>
          <w:tcPr>
            <w:tcW w:w="152" w:type="pct"/>
            <w:tcBorders>
              <w:top w:val="nil"/>
              <w:left w:val="single" w:sz="12" w:space="0" w:color="auto"/>
              <w:bottom w:val="nil"/>
            </w:tcBorders>
            <w:noWrap/>
            <w:hideMark/>
          </w:tcPr>
          <w:p w14:paraId="086391F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6EE2F9BB"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14936EB3" w14:textId="77777777" w:rsidR="008B6B35" w:rsidRPr="00B71F92" w:rsidRDefault="008B6B35" w:rsidP="00730932">
            <w:pPr>
              <w:spacing w:after="0" w:line="240" w:lineRule="auto"/>
              <w:jc w:val="right"/>
              <w:rPr>
                <w:rFonts w:eastAsia="Times New Roman"/>
                <w:sz w:val="18"/>
                <w:szCs w:val="18"/>
              </w:rPr>
            </w:pPr>
            <w:r w:rsidRPr="00B71F92">
              <w:rPr>
                <w:sz w:val="18"/>
                <w:szCs w:val="18"/>
              </w:rPr>
              <w:t>0.55</w:t>
            </w:r>
          </w:p>
        </w:tc>
        <w:tc>
          <w:tcPr>
            <w:tcW w:w="153" w:type="pct"/>
            <w:tcBorders>
              <w:top w:val="nil"/>
              <w:bottom w:val="nil"/>
              <w:right w:val="single" w:sz="6" w:space="0" w:color="auto"/>
            </w:tcBorders>
            <w:noWrap/>
            <w:vAlign w:val="bottom"/>
          </w:tcPr>
          <w:p w14:paraId="770A94ED" w14:textId="77777777" w:rsidR="008B6B35" w:rsidRPr="00B71F92" w:rsidRDefault="008B6B35" w:rsidP="00730932">
            <w:pPr>
              <w:spacing w:after="0" w:line="240" w:lineRule="auto"/>
              <w:jc w:val="right"/>
              <w:rPr>
                <w:rFonts w:eastAsia="Times New Roman"/>
                <w:sz w:val="18"/>
                <w:szCs w:val="18"/>
              </w:rPr>
            </w:pPr>
            <w:r w:rsidRPr="00B71F92">
              <w:rPr>
                <w:sz w:val="18"/>
                <w:szCs w:val="18"/>
              </w:rPr>
              <w:t>2.26</w:t>
            </w:r>
          </w:p>
        </w:tc>
        <w:tc>
          <w:tcPr>
            <w:tcW w:w="152" w:type="pct"/>
            <w:tcBorders>
              <w:top w:val="nil"/>
              <w:left w:val="single" w:sz="6" w:space="0" w:color="auto"/>
              <w:bottom w:val="nil"/>
            </w:tcBorders>
            <w:noWrap/>
          </w:tcPr>
          <w:p w14:paraId="6C00485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61E5638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827944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6170FD2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6AD91D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BC0036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04F3F4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B3BCE8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06FDAC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E29D3A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5AA483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10A18B5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06BAA9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D7CA48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1C1571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136EB1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2E5B41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713B7F7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12951A3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7D1ACBA6" w14:textId="77777777" w:rsidR="008B6B35" w:rsidRPr="00B71F92" w:rsidRDefault="008B6B35" w:rsidP="00730932">
            <w:pPr>
              <w:spacing w:after="0" w:line="240" w:lineRule="auto"/>
              <w:jc w:val="right"/>
              <w:rPr>
                <w:rFonts w:eastAsia="Times New Roman"/>
                <w:sz w:val="18"/>
                <w:szCs w:val="18"/>
              </w:rPr>
            </w:pPr>
          </w:p>
        </w:tc>
      </w:tr>
      <w:tr w:rsidR="008B6B35" w:rsidRPr="00B71F92" w14:paraId="08784314" w14:textId="77777777" w:rsidTr="002F5607">
        <w:trPr>
          <w:trHeight w:val="230"/>
          <w:jc w:val="center"/>
        </w:trPr>
        <w:tc>
          <w:tcPr>
            <w:tcW w:w="1220" w:type="pct"/>
            <w:tcBorders>
              <w:top w:val="nil"/>
              <w:bottom w:val="nil"/>
              <w:right w:val="single" w:sz="12" w:space="0" w:color="auto"/>
            </w:tcBorders>
            <w:noWrap/>
            <w:vAlign w:val="center"/>
            <w:hideMark/>
          </w:tcPr>
          <w:p w14:paraId="0CCBFE42"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$200 or more * 2023 Shift</w:t>
            </w:r>
          </w:p>
        </w:tc>
        <w:tc>
          <w:tcPr>
            <w:tcW w:w="152" w:type="pct"/>
            <w:tcBorders>
              <w:top w:val="nil"/>
              <w:left w:val="single" w:sz="12" w:space="0" w:color="auto"/>
              <w:bottom w:val="nil"/>
            </w:tcBorders>
            <w:noWrap/>
            <w:hideMark/>
          </w:tcPr>
          <w:p w14:paraId="08E5DA1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74EC22A1"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21F973E0"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vAlign w:val="bottom"/>
          </w:tcPr>
          <w:p w14:paraId="79DF15BD"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nil"/>
              <w:left w:val="single" w:sz="6" w:space="0" w:color="auto"/>
              <w:bottom w:val="nil"/>
            </w:tcBorders>
            <w:noWrap/>
          </w:tcPr>
          <w:p w14:paraId="7E51EAC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27A966C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28D7E171" w14:textId="77777777" w:rsidR="008B6B35" w:rsidRPr="00B71F92" w:rsidRDefault="008B6B35" w:rsidP="00730932">
            <w:pPr>
              <w:spacing w:after="0" w:line="240" w:lineRule="auto"/>
              <w:jc w:val="right"/>
              <w:rPr>
                <w:rFonts w:eastAsia="Times New Roman"/>
                <w:sz w:val="18"/>
                <w:szCs w:val="18"/>
              </w:rPr>
            </w:pPr>
            <w:r w:rsidRPr="00B71F92">
              <w:rPr>
                <w:sz w:val="18"/>
                <w:szCs w:val="18"/>
              </w:rPr>
              <w:t>-0.33</w:t>
            </w:r>
          </w:p>
        </w:tc>
        <w:tc>
          <w:tcPr>
            <w:tcW w:w="154" w:type="pct"/>
            <w:tcBorders>
              <w:top w:val="nil"/>
              <w:bottom w:val="nil"/>
              <w:right w:val="single" w:sz="6" w:space="0" w:color="auto"/>
            </w:tcBorders>
            <w:noWrap/>
            <w:vAlign w:val="bottom"/>
          </w:tcPr>
          <w:p w14:paraId="7CF07208" w14:textId="77777777" w:rsidR="008B6B35" w:rsidRPr="00B71F92" w:rsidRDefault="008B6B35" w:rsidP="00730932">
            <w:pPr>
              <w:spacing w:after="0" w:line="240" w:lineRule="auto"/>
              <w:jc w:val="right"/>
              <w:rPr>
                <w:rFonts w:eastAsia="Times New Roman"/>
                <w:sz w:val="18"/>
                <w:szCs w:val="18"/>
              </w:rPr>
            </w:pPr>
            <w:r w:rsidRPr="00B71F92">
              <w:rPr>
                <w:sz w:val="18"/>
                <w:szCs w:val="18"/>
              </w:rPr>
              <w:t>-2.28</w:t>
            </w:r>
          </w:p>
        </w:tc>
        <w:tc>
          <w:tcPr>
            <w:tcW w:w="152" w:type="pct"/>
            <w:tcBorders>
              <w:top w:val="nil"/>
              <w:left w:val="single" w:sz="6" w:space="0" w:color="auto"/>
              <w:bottom w:val="nil"/>
            </w:tcBorders>
            <w:noWrap/>
          </w:tcPr>
          <w:p w14:paraId="2F538FC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3BF63F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5069D331" w14:textId="77777777" w:rsidR="008B6B35" w:rsidRPr="00B71F92" w:rsidRDefault="008B6B35" w:rsidP="00730932">
            <w:pPr>
              <w:spacing w:after="0" w:line="240" w:lineRule="auto"/>
              <w:jc w:val="right"/>
              <w:rPr>
                <w:rFonts w:eastAsia="Times New Roman"/>
                <w:sz w:val="18"/>
                <w:szCs w:val="18"/>
              </w:rPr>
            </w:pPr>
            <w:r w:rsidRPr="00B71F92">
              <w:rPr>
                <w:sz w:val="18"/>
                <w:szCs w:val="18"/>
              </w:rPr>
              <w:t>-0.51</w:t>
            </w:r>
          </w:p>
        </w:tc>
        <w:tc>
          <w:tcPr>
            <w:tcW w:w="153" w:type="pct"/>
            <w:tcBorders>
              <w:top w:val="nil"/>
              <w:bottom w:val="nil"/>
              <w:right w:val="single" w:sz="6" w:space="0" w:color="auto"/>
            </w:tcBorders>
            <w:noWrap/>
            <w:vAlign w:val="bottom"/>
          </w:tcPr>
          <w:p w14:paraId="06D7D2F3" w14:textId="77777777" w:rsidR="008B6B35" w:rsidRPr="00B71F92" w:rsidRDefault="008B6B35" w:rsidP="00730932">
            <w:pPr>
              <w:spacing w:after="0" w:line="240" w:lineRule="auto"/>
              <w:jc w:val="right"/>
              <w:rPr>
                <w:rFonts w:eastAsia="Times New Roman"/>
                <w:sz w:val="18"/>
                <w:szCs w:val="18"/>
              </w:rPr>
            </w:pPr>
            <w:r w:rsidRPr="00B71F92">
              <w:rPr>
                <w:sz w:val="18"/>
                <w:szCs w:val="18"/>
              </w:rPr>
              <w:t>-1.92</w:t>
            </w:r>
          </w:p>
        </w:tc>
        <w:tc>
          <w:tcPr>
            <w:tcW w:w="152" w:type="pct"/>
            <w:tcBorders>
              <w:top w:val="nil"/>
              <w:left w:val="single" w:sz="6" w:space="0" w:color="auto"/>
              <w:bottom w:val="nil"/>
            </w:tcBorders>
            <w:noWrap/>
          </w:tcPr>
          <w:p w14:paraId="20C4671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9B349F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E28C76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5D76388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B6417F2" w14:textId="77777777" w:rsidR="008B6B35" w:rsidRPr="00B71F92" w:rsidRDefault="008B6B35" w:rsidP="00730932">
            <w:pPr>
              <w:spacing w:after="0" w:line="240" w:lineRule="auto"/>
              <w:jc w:val="right"/>
              <w:rPr>
                <w:rFonts w:eastAsia="Times New Roman"/>
                <w:sz w:val="18"/>
                <w:szCs w:val="18"/>
              </w:rPr>
            </w:pPr>
            <w:r w:rsidRPr="00B71F92">
              <w:rPr>
                <w:sz w:val="18"/>
                <w:szCs w:val="18"/>
              </w:rPr>
              <w:t>0.42</w:t>
            </w:r>
          </w:p>
        </w:tc>
        <w:tc>
          <w:tcPr>
            <w:tcW w:w="153" w:type="pct"/>
            <w:tcBorders>
              <w:top w:val="nil"/>
              <w:bottom w:val="nil"/>
              <w:right w:val="single" w:sz="6" w:space="0" w:color="auto"/>
            </w:tcBorders>
            <w:noWrap/>
            <w:vAlign w:val="bottom"/>
          </w:tcPr>
          <w:p w14:paraId="69F76485" w14:textId="77777777" w:rsidR="008B6B35" w:rsidRPr="00B71F92" w:rsidRDefault="008B6B35" w:rsidP="00730932">
            <w:pPr>
              <w:spacing w:after="0" w:line="240" w:lineRule="auto"/>
              <w:jc w:val="right"/>
              <w:rPr>
                <w:rFonts w:eastAsia="Times New Roman"/>
                <w:sz w:val="18"/>
                <w:szCs w:val="18"/>
              </w:rPr>
            </w:pPr>
            <w:r w:rsidRPr="00B71F92">
              <w:rPr>
                <w:sz w:val="18"/>
                <w:szCs w:val="18"/>
              </w:rPr>
              <w:t>2.32</w:t>
            </w:r>
          </w:p>
        </w:tc>
        <w:tc>
          <w:tcPr>
            <w:tcW w:w="152" w:type="pct"/>
            <w:tcBorders>
              <w:top w:val="nil"/>
              <w:left w:val="single" w:sz="6" w:space="0" w:color="auto"/>
              <w:bottom w:val="nil"/>
            </w:tcBorders>
            <w:noWrap/>
          </w:tcPr>
          <w:p w14:paraId="52D838B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C042AE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6EFC89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47F065A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6C77EAF0" w14:textId="77777777" w:rsidR="008B6B35" w:rsidRPr="00B71F92" w:rsidRDefault="008B6B35" w:rsidP="00730932">
            <w:pPr>
              <w:spacing w:after="0" w:line="240" w:lineRule="auto"/>
              <w:jc w:val="right"/>
              <w:rPr>
                <w:rFonts w:eastAsia="Times New Roman"/>
                <w:sz w:val="18"/>
                <w:szCs w:val="18"/>
              </w:rPr>
            </w:pPr>
            <w:r w:rsidRPr="00B71F92">
              <w:rPr>
                <w:sz w:val="18"/>
                <w:szCs w:val="18"/>
              </w:rPr>
              <w:t>-0.51</w:t>
            </w:r>
          </w:p>
        </w:tc>
        <w:tc>
          <w:tcPr>
            <w:tcW w:w="191" w:type="pct"/>
            <w:tcBorders>
              <w:top w:val="nil"/>
              <w:bottom w:val="nil"/>
            </w:tcBorders>
            <w:vAlign w:val="bottom"/>
          </w:tcPr>
          <w:p w14:paraId="4F7CF964" w14:textId="77777777" w:rsidR="008B6B35" w:rsidRPr="00B71F92" w:rsidRDefault="008B6B35" w:rsidP="00730932">
            <w:pPr>
              <w:spacing w:after="0" w:line="240" w:lineRule="auto"/>
              <w:jc w:val="right"/>
              <w:rPr>
                <w:rFonts w:eastAsia="Times New Roman"/>
                <w:sz w:val="18"/>
                <w:szCs w:val="18"/>
              </w:rPr>
            </w:pPr>
            <w:r w:rsidRPr="00B71F92">
              <w:rPr>
                <w:sz w:val="18"/>
                <w:szCs w:val="18"/>
              </w:rPr>
              <w:t>-2.29</w:t>
            </w:r>
          </w:p>
        </w:tc>
      </w:tr>
      <w:tr w:rsidR="008B6B35" w:rsidRPr="00B71F92" w14:paraId="237F8C26" w14:textId="77777777" w:rsidTr="002F5607">
        <w:trPr>
          <w:trHeight w:val="230"/>
          <w:jc w:val="center"/>
        </w:trPr>
        <w:tc>
          <w:tcPr>
            <w:tcW w:w="1220" w:type="pct"/>
            <w:tcBorders>
              <w:top w:val="nil"/>
              <w:bottom w:val="nil"/>
              <w:right w:val="single" w:sz="12" w:space="0" w:color="auto"/>
            </w:tcBorders>
            <w:noWrap/>
            <w:vAlign w:val="center"/>
            <w:hideMark/>
          </w:tcPr>
          <w:p w14:paraId="08B21044" w14:textId="77777777" w:rsidR="008B6B35" w:rsidRPr="00B71F92" w:rsidRDefault="008B6B35" w:rsidP="00730932">
            <w:pPr>
              <w:spacing w:after="0" w:line="240" w:lineRule="auto"/>
              <w:rPr>
                <w:rFonts w:eastAsia="Times New Roman"/>
                <w:sz w:val="18"/>
                <w:szCs w:val="18"/>
              </w:rPr>
            </w:pPr>
            <w:r w:rsidRPr="00B71F92">
              <w:rPr>
                <w:rFonts w:eastAsia="Times New Roman"/>
                <w:b/>
                <w:bCs/>
                <w:sz w:val="18"/>
                <w:szCs w:val="18"/>
              </w:rPr>
              <w:t>Educational Attainment (Less than bachelor’s degree)</w:t>
            </w:r>
          </w:p>
        </w:tc>
        <w:tc>
          <w:tcPr>
            <w:tcW w:w="152" w:type="pct"/>
            <w:tcBorders>
              <w:top w:val="nil"/>
              <w:left w:val="single" w:sz="12" w:space="0" w:color="auto"/>
              <w:bottom w:val="nil"/>
            </w:tcBorders>
            <w:noWrap/>
            <w:vAlign w:val="center"/>
          </w:tcPr>
          <w:p w14:paraId="3226A47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bottom w:val="nil"/>
              <w:right w:val="single" w:sz="12" w:space="0" w:color="auto"/>
            </w:tcBorders>
            <w:noWrap/>
            <w:vAlign w:val="center"/>
          </w:tcPr>
          <w:p w14:paraId="0F7F758B"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center"/>
          </w:tcPr>
          <w:p w14:paraId="27CD1DF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0302E5E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13B3EC4" w14:textId="77777777" w:rsidR="008B6B35" w:rsidRPr="00B71F92" w:rsidRDefault="008B6B35" w:rsidP="00730932">
            <w:pPr>
              <w:spacing w:after="0" w:line="240" w:lineRule="auto"/>
              <w:jc w:val="right"/>
              <w:rPr>
                <w:rFonts w:eastAsia="Times New Roman"/>
                <w:sz w:val="18"/>
                <w:szCs w:val="18"/>
              </w:rPr>
            </w:pPr>
          </w:p>
        </w:tc>
        <w:tc>
          <w:tcPr>
            <w:tcW w:w="183" w:type="pct"/>
            <w:tcBorders>
              <w:top w:val="nil"/>
              <w:bottom w:val="nil"/>
              <w:right w:val="single" w:sz="6" w:space="0" w:color="auto"/>
            </w:tcBorders>
            <w:noWrap/>
            <w:vAlign w:val="center"/>
          </w:tcPr>
          <w:p w14:paraId="78E3A93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0E0774E" w14:textId="77777777" w:rsidR="008B6B35" w:rsidRPr="00B71F92" w:rsidRDefault="008B6B35" w:rsidP="00730932">
            <w:pPr>
              <w:spacing w:after="0" w:line="240" w:lineRule="auto"/>
              <w:jc w:val="right"/>
              <w:rPr>
                <w:rFonts w:eastAsia="Times New Roman"/>
                <w:sz w:val="18"/>
                <w:szCs w:val="18"/>
              </w:rPr>
            </w:pPr>
          </w:p>
        </w:tc>
        <w:tc>
          <w:tcPr>
            <w:tcW w:w="154" w:type="pct"/>
            <w:tcBorders>
              <w:top w:val="nil"/>
              <w:bottom w:val="nil"/>
              <w:right w:val="single" w:sz="6" w:space="0" w:color="auto"/>
            </w:tcBorders>
            <w:noWrap/>
            <w:vAlign w:val="center"/>
          </w:tcPr>
          <w:p w14:paraId="4E4DC5C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18A91FFD"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2B3CE55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A36BF1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014E1E6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CF0A2EB"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26A6DAE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6A27AFFB" w14:textId="77777777" w:rsidR="008B6B35" w:rsidRPr="00B71F92" w:rsidRDefault="008B6B35" w:rsidP="00730932">
            <w:pPr>
              <w:spacing w:after="0" w:line="240" w:lineRule="auto"/>
              <w:jc w:val="right"/>
              <w:rPr>
                <w:rFonts w:eastAsia="Times New Roman"/>
                <w:sz w:val="18"/>
                <w:szCs w:val="18"/>
              </w:rPr>
            </w:pPr>
          </w:p>
        </w:tc>
        <w:tc>
          <w:tcPr>
            <w:tcW w:w="173" w:type="pct"/>
            <w:tcBorders>
              <w:top w:val="nil"/>
              <w:bottom w:val="nil"/>
              <w:right w:val="single" w:sz="6" w:space="0" w:color="auto"/>
            </w:tcBorders>
            <w:noWrap/>
            <w:vAlign w:val="center"/>
          </w:tcPr>
          <w:p w14:paraId="0F97284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34F035B5"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7E49306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58D2BC7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2795853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center"/>
          </w:tcPr>
          <w:p w14:paraId="2E2544BC" w14:textId="77777777" w:rsidR="008B6B35" w:rsidRPr="00B71F92" w:rsidRDefault="008B6B35" w:rsidP="00730932">
            <w:pPr>
              <w:spacing w:after="0" w:line="240" w:lineRule="auto"/>
              <w:jc w:val="right"/>
              <w:rPr>
                <w:rFonts w:eastAsia="Times New Roman"/>
                <w:sz w:val="18"/>
                <w:szCs w:val="18"/>
              </w:rPr>
            </w:pPr>
          </w:p>
        </w:tc>
        <w:tc>
          <w:tcPr>
            <w:tcW w:w="155" w:type="pct"/>
            <w:tcBorders>
              <w:top w:val="nil"/>
              <w:bottom w:val="nil"/>
              <w:right w:val="single" w:sz="8" w:space="0" w:color="auto"/>
            </w:tcBorders>
            <w:noWrap/>
            <w:vAlign w:val="center"/>
          </w:tcPr>
          <w:p w14:paraId="66CAB66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center"/>
          </w:tcPr>
          <w:p w14:paraId="09C3E8DB" w14:textId="77777777" w:rsidR="008B6B35" w:rsidRPr="00B71F92" w:rsidRDefault="008B6B35" w:rsidP="00730932">
            <w:pPr>
              <w:spacing w:after="0" w:line="240" w:lineRule="auto"/>
              <w:jc w:val="right"/>
              <w:rPr>
                <w:rFonts w:eastAsia="Times New Roman"/>
                <w:sz w:val="18"/>
                <w:szCs w:val="18"/>
              </w:rPr>
            </w:pPr>
          </w:p>
        </w:tc>
        <w:tc>
          <w:tcPr>
            <w:tcW w:w="191" w:type="pct"/>
            <w:tcBorders>
              <w:top w:val="nil"/>
              <w:bottom w:val="nil"/>
            </w:tcBorders>
            <w:vAlign w:val="center"/>
          </w:tcPr>
          <w:p w14:paraId="3BC8DAD2" w14:textId="77777777" w:rsidR="008B6B35" w:rsidRPr="00B71F92" w:rsidRDefault="008B6B35" w:rsidP="00730932">
            <w:pPr>
              <w:spacing w:after="0" w:line="240" w:lineRule="auto"/>
              <w:jc w:val="right"/>
              <w:rPr>
                <w:rFonts w:eastAsia="Times New Roman"/>
                <w:sz w:val="18"/>
                <w:szCs w:val="18"/>
              </w:rPr>
            </w:pPr>
          </w:p>
        </w:tc>
      </w:tr>
      <w:tr w:rsidR="008B6B35" w:rsidRPr="00B71F92" w14:paraId="1FFCC83B" w14:textId="77777777" w:rsidTr="002F5607">
        <w:trPr>
          <w:trHeight w:val="230"/>
          <w:jc w:val="center"/>
        </w:trPr>
        <w:tc>
          <w:tcPr>
            <w:tcW w:w="1220" w:type="pct"/>
            <w:tcBorders>
              <w:top w:val="nil"/>
              <w:bottom w:val="nil"/>
              <w:right w:val="single" w:sz="12" w:space="0" w:color="auto"/>
            </w:tcBorders>
            <w:noWrap/>
            <w:vAlign w:val="center"/>
            <w:hideMark/>
          </w:tcPr>
          <w:p w14:paraId="6F3049D2"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Bachelor's degree</w:t>
            </w:r>
          </w:p>
        </w:tc>
        <w:tc>
          <w:tcPr>
            <w:tcW w:w="152" w:type="pct"/>
            <w:tcBorders>
              <w:top w:val="nil"/>
              <w:left w:val="single" w:sz="12" w:space="0" w:color="auto"/>
              <w:bottom w:val="nil"/>
            </w:tcBorders>
            <w:noWrap/>
            <w:vAlign w:val="bottom"/>
            <w:hideMark/>
          </w:tcPr>
          <w:p w14:paraId="2A8CEA16" w14:textId="77777777" w:rsidR="008B6B35" w:rsidRPr="00B71F92" w:rsidRDefault="008B6B35" w:rsidP="00730932">
            <w:pPr>
              <w:spacing w:after="0" w:line="240" w:lineRule="auto"/>
              <w:jc w:val="right"/>
              <w:rPr>
                <w:rFonts w:eastAsia="Times New Roman"/>
                <w:sz w:val="18"/>
                <w:szCs w:val="18"/>
              </w:rPr>
            </w:pPr>
            <w:r w:rsidRPr="00B71F92">
              <w:rPr>
                <w:sz w:val="18"/>
                <w:szCs w:val="18"/>
              </w:rPr>
              <w:t>-0.11</w:t>
            </w:r>
          </w:p>
        </w:tc>
        <w:tc>
          <w:tcPr>
            <w:tcW w:w="152" w:type="pct"/>
            <w:tcBorders>
              <w:top w:val="nil"/>
              <w:bottom w:val="nil"/>
              <w:right w:val="single" w:sz="12" w:space="0" w:color="auto"/>
            </w:tcBorders>
            <w:noWrap/>
            <w:vAlign w:val="bottom"/>
          </w:tcPr>
          <w:p w14:paraId="7AFD1DF0" w14:textId="77777777" w:rsidR="008B6B35" w:rsidRPr="00B71F92" w:rsidRDefault="008B6B35" w:rsidP="00730932">
            <w:pPr>
              <w:spacing w:after="0" w:line="240" w:lineRule="auto"/>
              <w:jc w:val="right"/>
              <w:rPr>
                <w:rFonts w:eastAsia="Times New Roman"/>
                <w:sz w:val="18"/>
                <w:szCs w:val="18"/>
              </w:rPr>
            </w:pPr>
            <w:r w:rsidRPr="00B71F92">
              <w:rPr>
                <w:sz w:val="18"/>
                <w:szCs w:val="18"/>
              </w:rPr>
              <w:t>-2.56</w:t>
            </w:r>
          </w:p>
        </w:tc>
        <w:tc>
          <w:tcPr>
            <w:tcW w:w="182" w:type="pct"/>
            <w:tcBorders>
              <w:top w:val="nil"/>
              <w:left w:val="single" w:sz="12" w:space="0" w:color="auto"/>
              <w:bottom w:val="nil"/>
            </w:tcBorders>
            <w:noWrap/>
          </w:tcPr>
          <w:p w14:paraId="5B72791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19D7AB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2178CFBD" w14:textId="77777777" w:rsidR="008B6B35" w:rsidRPr="00B71F92" w:rsidRDefault="008B6B35" w:rsidP="00730932">
            <w:pPr>
              <w:spacing w:after="0" w:line="240" w:lineRule="auto"/>
              <w:jc w:val="right"/>
              <w:rPr>
                <w:rFonts w:eastAsia="Times New Roman"/>
                <w:sz w:val="18"/>
                <w:szCs w:val="18"/>
              </w:rPr>
            </w:pPr>
            <w:r w:rsidRPr="00B71F92">
              <w:rPr>
                <w:sz w:val="18"/>
                <w:szCs w:val="18"/>
              </w:rPr>
              <w:t>0.41</w:t>
            </w:r>
          </w:p>
        </w:tc>
        <w:tc>
          <w:tcPr>
            <w:tcW w:w="183" w:type="pct"/>
            <w:tcBorders>
              <w:top w:val="nil"/>
              <w:bottom w:val="nil"/>
              <w:right w:val="single" w:sz="6" w:space="0" w:color="auto"/>
            </w:tcBorders>
            <w:noWrap/>
            <w:vAlign w:val="bottom"/>
          </w:tcPr>
          <w:p w14:paraId="32C64DAB" w14:textId="77777777" w:rsidR="008B6B35" w:rsidRPr="00B71F92" w:rsidRDefault="008B6B35" w:rsidP="00730932">
            <w:pPr>
              <w:spacing w:after="0" w:line="240" w:lineRule="auto"/>
              <w:jc w:val="right"/>
              <w:rPr>
                <w:rFonts w:eastAsia="Times New Roman"/>
                <w:sz w:val="18"/>
                <w:szCs w:val="18"/>
              </w:rPr>
            </w:pPr>
            <w:r w:rsidRPr="00B71F92">
              <w:rPr>
                <w:sz w:val="18"/>
                <w:szCs w:val="18"/>
              </w:rPr>
              <w:t>2.54</w:t>
            </w:r>
          </w:p>
        </w:tc>
        <w:tc>
          <w:tcPr>
            <w:tcW w:w="152" w:type="pct"/>
            <w:tcBorders>
              <w:top w:val="nil"/>
              <w:left w:val="single" w:sz="6" w:space="0" w:color="auto"/>
              <w:bottom w:val="nil"/>
            </w:tcBorders>
            <w:noWrap/>
          </w:tcPr>
          <w:p w14:paraId="7C9E61F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6320966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43688E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B2F6C3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55894D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251C70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64C4A3B" w14:textId="77777777" w:rsidR="008B6B35" w:rsidRPr="00B71F92" w:rsidRDefault="008B6B35" w:rsidP="00730932">
            <w:pPr>
              <w:spacing w:after="0" w:line="240" w:lineRule="auto"/>
              <w:jc w:val="right"/>
              <w:rPr>
                <w:rFonts w:eastAsia="Times New Roman"/>
                <w:sz w:val="18"/>
                <w:szCs w:val="18"/>
              </w:rPr>
            </w:pPr>
            <w:r w:rsidRPr="00B71F92">
              <w:rPr>
                <w:sz w:val="18"/>
                <w:szCs w:val="18"/>
              </w:rPr>
              <w:t>0.10</w:t>
            </w:r>
          </w:p>
        </w:tc>
        <w:tc>
          <w:tcPr>
            <w:tcW w:w="153" w:type="pct"/>
            <w:tcBorders>
              <w:top w:val="nil"/>
              <w:bottom w:val="nil"/>
              <w:right w:val="single" w:sz="6" w:space="0" w:color="auto"/>
            </w:tcBorders>
            <w:noWrap/>
            <w:vAlign w:val="bottom"/>
          </w:tcPr>
          <w:p w14:paraId="07C87D40" w14:textId="77777777" w:rsidR="008B6B35" w:rsidRPr="00B71F92" w:rsidRDefault="008B6B35" w:rsidP="00730932">
            <w:pPr>
              <w:spacing w:after="0" w:line="240" w:lineRule="auto"/>
              <w:jc w:val="right"/>
              <w:rPr>
                <w:rFonts w:eastAsia="Times New Roman"/>
                <w:sz w:val="18"/>
                <w:szCs w:val="18"/>
              </w:rPr>
            </w:pPr>
            <w:r w:rsidRPr="00B71F92">
              <w:rPr>
                <w:sz w:val="18"/>
                <w:szCs w:val="18"/>
              </w:rPr>
              <w:t>1.84</w:t>
            </w:r>
          </w:p>
        </w:tc>
        <w:tc>
          <w:tcPr>
            <w:tcW w:w="152" w:type="pct"/>
            <w:tcBorders>
              <w:top w:val="nil"/>
              <w:left w:val="single" w:sz="6" w:space="0" w:color="auto"/>
              <w:bottom w:val="nil"/>
            </w:tcBorders>
            <w:noWrap/>
            <w:vAlign w:val="bottom"/>
          </w:tcPr>
          <w:p w14:paraId="3179B321"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73" w:type="pct"/>
            <w:tcBorders>
              <w:top w:val="nil"/>
              <w:bottom w:val="nil"/>
              <w:right w:val="single" w:sz="6" w:space="0" w:color="auto"/>
            </w:tcBorders>
            <w:noWrap/>
            <w:vAlign w:val="bottom"/>
          </w:tcPr>
          <w:p w14:paraId="24D9B947" w14:textId="77777777" w:rsidR="008B6B35" w:rsidRPr="00B71F92" w:rsidRDefault="008B6B35" w:rsidP="00730932">
            <w:pPr>
              <w:spacing w:after="0" w:line="240" w:lineRule="auto"/>
              <w:jc w:val="right"/>
              <w:rPr>
                <w:rFonts w:eastAsia="Times New Roman"/>
                <w:sz w:val="18"/>
                <w:szCs w:val="18"/>
              </w:rPr>
            </w:pPr>
            <w:r w:rsidRPr="00B71F92">
              <w:rPr>
                <w:sz w:val="18"/>
                <w:szCs w:val="18"/>
              </w:rPr>
              <w:t>-2.03</w:t>
            </w:r>
          </w:p>
        </w:tc>
        <w:tc>
          <w:tcPr>
            <w:tcW w:w="152" w:type="pct"/>
            <w:tcBorders>
              <w:top w:val="nil"/>
              <w:left w:val="single" w:sz="6" w:space="0" w:color="auto"/>
              <w:bottom w:val="nil"/>
            </w:tcBorders>
            <w:noWrap/>
          </w:tcPr>
          <w:p w14:paraId="4FA5ACC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1E28C9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0B39249A" w14:textId="77777777" w:rsidR="008B6B35" w:rsidRPr="00B71F92" w:rsidRDefault="008B6B35" w:rsidP="00730932">
            <w:pPr>
              <w:spacing w:after="0" w:line="240" w:lineRule="auto"/>
              <w:jc w:val="right"/>
              <w:rPr>
                <w:rFonts w:eastAsia="Times New Roman"/>
                <w:sz w:val="18"/>
                <w:szCs w:val="18"/>
              </w:rPr>
            </w:pPr>
            <w:r w:rsidRPr="00B71F92">
              <w:rPr>
                <w:sz w:val="18"/>
                <w:szCs w:val="18"/>
              </w:rPr>
              <w:t>-0.27</w:t>
            </w:r>
          </w:p>
        </w:tc>
        <w:tc>
          <w:tcPr>
            <w:tcW w:w="153" w:type="pct"/>
            <w:tcBorders>
              <w:top w:val="nil"/>
              <w:bottom w:val="nil"/>
              <w:right w:val="single" w:sz="6" w:space="0" w:color="auto"/>
            </w:tcBorders>
            <w:noWrap/>
            <w:vAlign w:val="bottom"/>
          </w:tcPr>
          <w:p w14:paraId="2A3DD8F3" w14:textId="77777777" w:rsidR="008B6B35" w:rsidRPr="00B71F92" w:rsidRDefault="008B6B35" w:rsidP="00730932">
            <w:pPr>
              <w:spacing w:after="0" w:line="240" w:lineRule="auto"/>
              <w:jc w:val="right"/>
              <w:rPr>
                <w:rFonts w:eastAsia="Times New Roman"/>
                <w:sz w:val="18"/>
                <w:szCs w:val="18"/>
              </w:rPr>
            </w:pPr>
            <w:r w:rsidRPr="00B71F92">
              <w:rPr>
                <w:sz w:val="18"/>
                <w:szCs w:val="18"/>
              </w:rPr>
              <w:t>-2.29</w:t>
            </w:r>
          </w:p>
        </w:tc>
        <w:tc>
          <w:tcPr>
            <w:tcW w:w="152" w:type="pct"/>
            <w:tcBorders>
              <w:top w:val="nil"/>
              <w:left w:val="single" w:sz="6" w:space="0" w:color="auto"/>
              <w:bottom w:val="nil"/>
            </w:tcBorders>
            <w:noWrap/>
          </w:tcPr>
          <w:p w14:paraId="21B8B42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45E4EA4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79FC8E0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68E122B1" w14:textId="77777777" w:rsidR="008B6B35" w:rsidRPr="00B71F92" w:rsidRDefault="008B6B35" w:rsidP="00730932">
            <w:pPr>
              <w:spacing w:after="0" w:line="240" w:lineRule="auto"/>
              <w:jc w:val="right"/>
              <w:rPr>
                <w:rFonts w:eastAsia="Times New Roman"/>
                <w:sz w:val="18"/>
                <w:szCs w:val="18"/>
              </w:rPr>
            </w:pPr>
          </w:p>
        </w:tc>
      </w:tr>
      <w:tr w:rsidR="008B6B35" w:rsidRPr="00B71F92" w14:paraId="7F72FCC5" w14:textId="77777777" w:rsidTr="002F5607">
        <w:trPr>
          <w:trHeight w:val="230"/>
          <w:jc w:val="center"/>
        </w:trPr>
        <w:tc>
          <w:tcPr>
            <w:tcW w:w="1220" w:type="pct"/>
            <w:tcBorders>
              <w:top w:val="nil"/>
              <w:bottom w:val="nil"/>
              <w:right w:val="single" w:sz="12" w:space="0" w:color="auto"/>
            </w:tcBorders>
            <w:noWrap/>
            <w:vAlign w:val="center"/>
            <w:hideMark/>
          </w:tcPr>
          <w:p w14:paraId="3F9A3070"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Bachelor's degree * 2021 Shift</w:t>
            </w:r>
          </w:p>
        </w:tc>
        <w:tc>
          <w:tcPr>
            <w:tcW w:w="152" w:type="pct"/>
            <w:tcBorders>
              <w:top w:val="nil"/>
              <w:left w:val="single" w:sz="12" w:space="0" w:color="auto"/>
              <w:bottom w:val="nil"/>
            </w:tcBorders>
            <w:noWrap/>
            <w:hideMark/>
          </w:tcPr>
          <w:p w14:paraId="19410A96" w14:textId="77777777" w:rsidR="008B6B35" w:rsidRPr="00B71F92" w:rsidRDefault="008B6B35" w:rsidP="00730932">
            <w:pPr>
              <w:spacing w:after="0" w:line="240" w:lineRule="auto"/>
              <w:jc w:val="right"/>
              <w:rPr>
                <w:rFonts w:eastAsia="Times New Roman"/>
                <w:b/>
                <w:bCs/>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6F3FE46C"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012AEB7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697DAD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AB272AB" w14:textId="77777777" w:rsidR="008B6B35" w:rsidRPr="00B71F92" w:rsidRDefault="008B6B35" w:rsidP="00730932">
            <w:pPr>
              <w:spacing w:after="0" w:line="240" w:lineRule="auto"/>
              <w:jc w:val="right"/>
              <w:rPr>
                <w:rFonts w:eastAsia="Times New Roman"/>
                <w:sz w:val="18"/>
                <w:szCs w:val="18"/>
              </w:rPr>
            </w:pPr>
            <w:r w:rsidRPr="00B71F92">
              <w:rPr>
                <w:sz w:val="18"/>
                <w:szCs w:val="18"/>
              </w:rPr>
              <w:t>-0.31</w:t>
            </w:r>
          </w:p>
        </w:tc>
        <w:tc>
          <w:tcPr>
            <w:tcW w:w="183" w:type="pct"/>
            <w:tcBorders>
              <w:top w:val="nil"/>
              <w:bottom w:val="nil"/>
              <w:right w:val="single" w:sz="6" w:space="0" w:color="auto"/>
            </w:tcBorders>
            <w:noWrap/>
            <w:vAlign w:val="bottom"/>
          </w:tcPr>
          <w:p w14:paraId="5AE60141" w14:textId="77777777" w:rsidR="008B6B35" w:rsidRPr="00B71F92" w:rsidRDefault="008B6B35" w:rsidP="00730932">
            <w:pPr>
              <w:spacing w:after="0" w:line="240" w:lineRule="auto"/>
              <w:jc w:val="right"/>
              <w:rPr>
                <w:rFonts w:eastAsia="Times New Roman"/>
                <w:sz w:val="18"/>
                <w:szCs w:val="18"/>
              </w:rPr>
            </w:pPr>
            <w:r w:rsidRPr="00B71F92">
              <w:rPr>
                <w:sz w:val="18"/>
                <w:szCs w:val="18"/>
              </w:rPr>
              <w:t>-2.00</w:t>
            </w:r>
          </w:p>
        </w:tc>
        <w:tc>
          <w:tcPr>
            <w:tcW w:w="152" w:type="pct"/>
            <w:tcBorders>
              <w:top w:val="nil"/>
              <w:left w:val="single" w:sz="6" w:space="0" w:color="auto"/>
              <w:bottom w:val="nil"/>
            </w:tcBorders>
            <w:noWrap/>
            <w:vAlign w:val="bottom"/>
          </w:tcPr>
          <w:p w14:paraId="44CB1379" w14:textId="77777777" w:rsidR="008B6B35" w:rsidRPr="00B71F92" w:rsidRDefault="008B6B35" w:rsidP="00730932">
            <w:pPr>
              <w:spacing w:after="0" w:line="240" w:lineRule="auto"/>
              <w:jc w:val="right"/>
              <w:rPr>
                <w:rFonts w:eastAsia="Times New Roman"/>
                <w:sz w:val="18"/>
                <w:szCs w:val="18"/>
              </w:rPr>
            </w:pPr>
            <w:r w:rsidRPr="00B71F92">
              <w:rPr>
                <w:sz w:val="18"/>
                <w:szCs w:val="18"/>
              </w:rPr>
              <w:t>0.26</w:t>
            </w:r>
          </w:p>
        </w:tc>
        <w:tc>
          <w:tcPr>
            <w:tcW w:w="154" w:type="pct"/>
            <w:tcBorders>
              <w:top w:val="nil"/>
              <w:bottom w:val="nil"/>
              <w:right w:val="single" w:sz="6" w:space="0" w:color="auto"/>
            </w:tcBorders>
            <w:noWrap/>
            <w:vAlign w:val="bottom"/>
          </w:tcPr>
          <w:p w14:paraId="3DB6E246" w14:textId="77777777" w:rsidR="008B6B35" w:rsidRPr="00B71F92" w:rsidRDefault="008B6B35" w:rsidP="00730932">
            <w:pPr>
              <w:spacing w:after="0" w:line="240" w:lineRule="auto"/>
              <w:jc w:val="right"/>
              <w:rPr>
                <w:rFonts w:eastAsia="Times New Roman"/>
                <w:sz w:val="18"/>
                <w:szCs w:val="18"/>
              </w:rPr>
            </w:pPr>
            <w:r w:rsidRPr="00B71F92">
              <w:rPr>
                <w:sz w:val="18"/>
                <w:szCs w:val="18"/>
              </w:rPr>
              <w:t>1.86</w:t>
            </w:r>
          </w:p>
        </w:tc>
        <w:tc>
          <w:tcPr>
            <w:tcW w:w="152" w:type="pct"/>
            <w:tcBorders>
              <w:top w:val="nil"/>
              <w:left w:val="single" w:sz="6" w:space="0" w:color="auto"/>
              <w:bottom w:val="nil"/>
            </w:tcBorders>
            <w:noWrap/>
            <w:vAlign w:val="bottom"/>
          </w:tcPr>
          <w:p w14:paraId="2C135EB0" w14:textId="77777777" w:rsidR="008B6B35" w:rsidRPr="00B71F92" w:rsidRDefault="008B6B35" w:rsidP="00730932">
            <w:pPr>
              <w:spacing w:after="0" w:line="240" w:lineRule="auto"/>
              <w:jc w:val="right"/>
              <w:rPr>
                <w:rFonts w:eastAsia="Times New Roman"/>
                <w:sz w:val="18"/>
                <w:szCs w:val="18"/>
              </w:rPr>
            </w:pPr>
            <w:r w:rsidRPr="00B71F92">
              <w:rPr>
                <w:sz w:val="18"/>
                <w:szCs w:val="18"/>
              </w:rPr>
              <w:t>0.18</w:t>
            </w:r>
          </w:p>
        </w:tc>
        <w:tc>
          <w:tcPr>
            <w:tcW w:w="153" w:type="pct"/>
            <w:tcBorders>
              <w:top w:val="nil"/>
              <w:bottom w:val="nil"/>
              <w:right w:val="single" w:sz="6" w:space="0" w:color="auto"/>
            </w:tcBorders>
            <w:noWrap/>
            <w:vAlign w:val="bottom"/>
          </w:tcPr>
          <w:p w14:paraId="7E2455CF" w14:textId="77777777" w:rsidR="008B6B35" w:rsidRPr="00B71F92" w:rsidRDefault="008B6B35" w:rsidP="00730932">
            <w:pPr>
              <w:spacing w:after="0" w:line="240" w:lineRule="auto"/>
              <w:jc w:val="right"/>
              <w:rPr>
                <w:rFonts w:eastAsia="Times New Roman"/>
                <w:sz w:val="18"/>
                <w:szCs w:val="18"/>
              </w:rPr>
            </w:pPr>
            <w:r w:rsidRPr="00B71F92">
              <w:rPr>
                <w:sz w:val="18"/>
                <w:szCs w:val="18"/>
              </w:rPr>
              <w:t>2.05</w:t>
            </w:r>
          </w:p>
        </w:tc>
        <w:tc>
          <w:tcPr>
            <w:tcW w:w="152" w:type="pct"/>
            <w:tcBorders>
              <w:top w:val="nil"/>
              <w:left w:val="single" w:sz="6" w:space="0" w:color="auto"/>
              <w:bottom w:val="nil"/>
            </w:tcBorders>
            <w:noWrap/>
          </w:tcPr>
          <w:p w14:paraId="52FCD82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8FDA7B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618C76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FA616F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1CC51E1" w14:textId="77777777" w:rsidR="008B6B35" w:rsidRPr="00B71F92" w:rsidRDefault="008B6B35" w:rsidP="00730932">
            <w:pPr>
              <w:spacing w:after="0" w:line="240" w:lineRule="auto"/>
              <w:jc w:val="right"/>
              <w:rPr>
                <w:rFonts w:eastAsia="Times New Roman"/>
                <w:sz w:val="18"/>
                <w:szCs w:val="18"/>
              </w:rPr>
            </w:pPr>
            <w:r w:rsidRPr="00B71F92">
              <w:rPr>
                <w:sz w:val="18"/>
                <w:szCs w:val="18"/>
              </w:rPr>
              <w:t>0.46</w:t>
            </w:r>
          </w:p>
        </w:tc>
        <w:tc>
          <w:tcPr>
            <w:tcW w:w="173" w:type="pct"/>
            <w:tcBorders>
              <w:top w:val="nil"/>
              <w:bottom w:val="nil"/>
              <w:right w:val="single" w:sz="6" w:space="0" w:color="auto"/>
            </w:tcBorders>
            <w:noWrap/>
            <w:vAlign w:val="bottom"/>
          </w:tcPr>
          <w:p w14:paraId="766E1581" w14:textId="77777777" w:rsidR="008B6B35" w:rsidRPr="00B71F92" w:rsidRDefault="008B6B35" w:rsidP="00730932">
            <w:pPr>
              <w:spacing w:after="0" w:line="240" w:lineRule="auto"/>
              <w:jc w:val="right"/>
              <w:rPr>
                <w:rFonts w:eastAsia="Times New Roman"/>
                <w:sz w:val="18"/>
                <w:szCs w:val="18"/>
              </w:rPr>
            </w:pPr>
            <w:r w:rsidRPr="00B71F92">
              <w:rPr>
                <w:sz w:val="18"/>
                <w:szCs w:val="18"/>
              </w:rPr>
              <w:t>1.89</w:t>
            </w:r>
          </w:p>
        </w:tc>
        <w:tc>
          <w:tcPr>
            <w:tcW w:w="152" w:type="pct"/>
            <w:tcBorders>
              <w:top w:val="nil"/>
              <w:left w:val="single" w:sz="6" w:space="0" w:color="auto"/>
              <w:bottom w:val="nil"/>
            </w:tcBorders>
            <w:noWrap/>
          </w:tcPr>
          <w:p w14:paraId="783BDDD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BBB459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A6AB29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A53004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D3FB74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7067243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3FE6254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7B301A6F" w14:textId="77777777" w:rsidR="008B6B35" w:rsidRPr="00B71F92" w:rsidRDefault="008B6B35" w:rsidP="00730932">
            <w:pPr>
              <w:spacing w:after="0" w:line="240" w:lineRule="auto"/>
              <w:jc w:val="right"/>
              <w:rPr>
                <w:rFonts w:eastAsia="Times New Roman"/>
                <w:sz w:val="18"/>
                <w:szCs w:val="18"/>
              </w:rPr>
            </w:pPr>
          </w:p>
        </w:tc>
      </w:tr>
      <w:tr w:rsidR="008B6B35" w:rsidRPr="00B71F92" w14:paraId="5E48D749" w14:textId="77777777" w:rsidTr="002F5607">
        <w:trPr>
          <w:trHeight w:val="230"/>
          <w:jc w:val="center"/>
        </w:trPr>
        <w:tc>
          <w:tcPr>
            <w:tcW w:w="1220" w:type="pct"/>
            <w:tcBorders>
              <w:top w:val="nil"/>
              <w:bottom w:val="nil"/>
              <w:right w:val="single" w:sz="12" w:space="0" w:color="auto"/>
            </w:tcBorders>
            <w:noWrap/>
            <w:vAlign w:val="center"/>
            <w:hideMark/>
          </w:tcPr>
          <w:p w14:paraId="795819DC"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Bachelor's degree * 2023 Shift</w:t>
            </w:r>
          </w:p>
        </w:tc>
        <w:tc>
          <w:tcPr>
            <w:tcW w:w="152" w:type="pct"/>
            <w:tcBorders>
              <w:top w:val="nil"/>
              <w:left w:val="single" w:sz="12" w:space="0" w:color="auto"/>
              <w:bottom w:val="nil"/>
            </w:tcBorders>
            <w:noWrap/>
            <w:hideMark/>
          </w:tcPr>
          <w:p w14:paraId="43E4F65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41CB7DB0"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36A19C1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0EEA97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EE875D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06FDFF7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593D6452" w14:textId="77777777" w:rsidR="008B6B35" w:rsidRPr="00B71F92" w:rsidRDefault="008B6B35" w:rsidP="00730932">
            <w:pPr>
              <w:spacing w:after="0" w:line="240" w:lineRule="auto"/>
              <w:jc w:val="right"/>
              <w:rPr>
                <w:rFonts w:eastAsia="Times New Roman"/>
                <w:sz w:val="18"/>
                <w:szCs w:val="18"/>
              </w:rPr>
            </w:pPr>
            <w:r w:rsidRPr="00B71F92">
              <w:rPr>
                <w:sz w:val="18"/>
                <w:szCs w:val="18"/>
              </w:rPr>
              <w:t>-0.29</w:t>
            </w:r>
          </w:p>
        </w:tc>
        <w:tc>
          <w:tcPr>
            <w:tcW w:w="154" w:type="pct"/>
            <w:tcBorders>
              <w:top w:val="nil"/>
              <w:bottom w:val="nil"/>
              <w:right w:val="single" w:sz="6" w:space="0" w:color="auto"/>
            </w:tcBorders>
            <w:noWrap/>
            <w:vAlign w:val="bottom"/>
          </w:tcPr>
          <w:p w14:paraId="233E8890" w14:textId="77777777" w:rsidR="008B6B35" w:rsidRPr="00B71F92" w:rsidRDefault="008B6B35" w:rsidP="00730932">
            <w:pPr>
              <w:spacing w:after="0" w:line="240" w:lineRule="auto"/>
              <w:jc w:val="right"/>
              <w:rPr>
                <w:rFonts w:eastAsia="Times New Roman"/>
                <w:sz w:val="18"/>
                <w:szCs w:val="18"/>
              </w:rPr>
            </w:pPr>
            <w:r w:rsidRPr="00B71F92">
              <w:rPr>
                <w:sz w:val="18"/>
                <w:szCs w:val="18"/>
              </w:rPr>
              <w:t>-2.10</w:t>
            </w:r>
          </w:p>
        </w:tc>
        <w:tc>
          <w:tcPr>
            <w:tcW w:w="152" w:type="pct"/>
            <w:tcBorders>
              <w:top w:val="nil"/>
              <w:left w:val="single" w:sz="6" w:space="0" w:color="auto"/>
              <w:bottom w:val="nil"/>
            </w:tcBorders>
            <w:noWrap/>
          </w:tcPr>
          <w:p w14:paraId="3109CFE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07AD29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2ED279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F13E18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8C001E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91629D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251554F" w14:textId="77777777" w:rsidR="008B6B35" w:rsidRPr="00B71F92" w:rsidRDefault="008B6B35" w:rsidP="00730932">
            <w:pPr>
              <w:spacing w:after="0" w:line="240" w:lineRule="auto"/>
              <w:jc w:val="right"/>
              <w:rPr>
                <w:rFonts w:eastAsia="Times New Roman"/>
                <w:sz w:val="18"/>
                <w:szCs w:val="18"/>
              </w:rPr>
            </w:pPr>
            <w:r w:rsidRPr="00B71F92">
              <w:rPr>
                <w:sz w:val="18"/>
                <w:szCs w:val="18"/>
              </w:rPr>
              <w:t>-0.58</w:t>
            </w:r>
          </w:p>
        </w:tc>
        <w:tc>
          <w:tcPr>
            <w:tcW w:w="173" w:type="pct"/>
            <w:tcBorders>
              <w:top w:val="nil"/>
              <w:bottom w:val="nil"/>
              <w:right w:val="single" w:sz="6" w:space="0" w:color="auto"/>
            </w:tcBorders>
            <w:noWrap/>
            <w:vAlign w:val="bottom"/>
          </w:tcPr>
          <w:p w14:paraId="654296EE" w14:textId="77777777" w:rsidR="008B6B35" w:rsidRPr="00B71F92" w:rsidRDefault="008B6B35" w:rsidP="00730932">
            <w:pPr>
              <w:spacing w:after="0" w:line="240" w:lineRule="auto"/>
              <w:jc w:val="right"/>
              <w:rPr>
                <w:rFonts w:eastAsia="Times New Roman"/>
                <w:sz w:val="18"/>
                <w:szCs w:val="18"/>
              </w:rPr>
            </w:pPr>
            <w:r w:rsidRPr="00B71F92">
              <w:rPr>
                <w:sz w:val="18"/>
                <w:szCs w:val="18"/>
              </w:rPr>
              <w:t>-2.17</w:t>
            </w:r>
          </w:p>
        </w:tc>
        <w:tc>
          <w:tcPr>
            <w:tcW w:w="152" w:type="pct"/>
            <w:tcBorders>
              <w:top w:val="nil"/>
              <w:left w:val="single" w:sz="6" w:space="0" w:color="auto"/>
              <w:bottom w:val="nil"/>
            </w:tcBorders>
            <w:noWrap/>
          </w:tcPr>
          <w:p w14:paraId="46A5237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84F7C5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C6271E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7B838E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16CDB0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581B69D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2EB8563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70CF5DA8" w14:textId="77777777" w:rsidR="008B6B35" w:rsidRPr="00B71F92" w:rsidRDefault="008B6B35" w:rsidP="00730932">
            <w:pPr>
              <w:spacing w:after="0" w:line="240" w:lineRule="auto"/>
              <w:jc w:val="right"/>
              <w:rPr>
                <w:rFonts w:eastAsia="Times New Roman"/>
                <w:sz w:val="18"/>
                <w:szCs w:val="18"/>
              </w:rPr>
            </w:pPr>
          </w:p>
        </w:tc>
      </w:tr>
      <w:tr w:rsidR="008B6B35" w:rsidRPr="00B71F92" w14:paraId="03032BA6" w14:textId="77777777" w:rsidTr="002F5607">
        <w:trPr>
          <w:trHeight w:val="230"/>
          <w:jc w:val="center"/>
        </w:trPr>
        <w:tc>
          <w:tcPr>
            <w:tcW w:w="1220" w:type="pct"/>
            <w:tcBorders>
              <w:top w:val="nil"/>
              <w:bottom w:val="nil"/>
              <w:right w:val="single" w:sz="12" w:space="0" w:color="auto"/>
            </w:tcBorders>
            <w:noWrap/>
            <w:vAlign w:val="center"/>
            <w:hideMark/>
          </w:tcPr>
          <w:p w14:paraId="2B780308"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Graduate degree</w:t>
            </w:r>
          </w:p>
        </w:tc>
        <w:tc>
          <w:tcPr>
            <w:tcW w:w="152" w:type="pct"/>
            <w:tcBorders>
              <w:top w:val="nil"/>
              <w:left w:val="single" w:sz="12" w:space="0" w:color="auto"/>
              <w:bottom w:val="nil"/>
            </w:tcBorders>
            <w:noWrap/>
            <w:vAlign w:val="bottom"/>
            <w:hideMark/>
          </w:tcPr>
          <w:p w14:paraId="361918E2" w14:textId="77777777" w:rsidR="008B6B35" w:rsidRPr="00B71F92" w:rsidRDefault="008B6B35" w:rsidP="00730932">
            <w:pPr>
              <w:spacing w:after="0" w:line="240" w:lineRule="auto"/>
              <w:jc w:val="right"/>
              <w:rPr>
                <w:rFonts w:eastAsia="Times New Roman"/>
                <w:sz w:val="18"/>
                <w:szCs w:val="18"/>
              </w:rPr>
            </w:pPr>
            <w:r w:rsidRPr="00B71F92">
              <w:rPr>
                <w:sz w:val="18"/>
                <w:szCs w:val="18"/>
              </w:rPr>
              <w:t>-0.15</w:t>
            </w:r>
          </w:p>
        </w:tc>
        <w:tc>
          <w:tcPr>
            <w:tcW w:w="152" w:type="pct"/>
            <w:tcBorders>
              <w:top w:val="nil"/>
              <w:bottom w:val="nil"/>
              <w:right w:val="single" w:sz="12" w:space="0" w:color="auto"/>
            </w:tcBorders>
            <w:noWrap/>
            <w:vAlign w:val="bottom"/>
          </w:tcPr>
          <w:p w14:paraId="7BDC5ACF" w14:textId="77777777" w:rsidR="008B6B35" w:rsidRPr="00B71F92" w:rsidRDefault="008B6B35" w:rsidP="00730932">
            <w:pPr>
              <w:spacing w:after="0" w:line="240" w:lineRule="auto"/>
              <w:jc w:val="right"/>
              <w:rPr>
                <w:rFonts w:eastAsia="Times New Roman"/>
                <w:sz w:val="18"/>
                <w:szCs w:val="18"/>
              </w:rPr>
            </w:pPr>
            <w:r w:rsidRPr="00B71F92">
              <w:rPr>
                <w:sz w:val="18"/>
                <w:szCs w:val="18"/>
              </w:rPr>
              <w:t>-3.31</w:t>
            </w:r>
          </w:p>
        </w:tc>
        <w:tc>
          <w:tcPr>
            <w:tcW w:w="182" w:type="pct"/>
            <w:tcBorders>
              <w:top w:val="nil"/>
              <w:left w:val="single" w:sz="12" w:space="0" w:color="auto"/>
              <w:bottom w:val="nil"/>
            </w:tcBorders>
            <w:noWrap/>
            <w:vAlign w:val="bottom"/>
          </w:tcPr>
          <w:p w14:paraId="4F94A6B1" w14:textId="77777777" w:rsidR="008B6B35" w:rsidRPr="00B71F92" w:rsidRDefault="008B6B35" w:rsidP="00730932">
            <w:pPr>
              <w:spacing w:after="0" w:line="240" w:lineRule="auto"/>
              <w:jc w:val="right"/>
              <w:rPr>
                <w:rFonts w:eastAsia="Times New Roman"/>
                <w:sz w:val="18"/>
                <w:szCs w:val="18"/>
              </w:rPr>
            </w:pPr>
            <w:r w:rsidRPr="00B71F92">
              <w:rPr>
                <w:sz w:val="18"/>
                <w:szCs w:val="18"/>
              </w:rPr>
              <w:t>0.28</w:t>
            </w:r>
          </w:p>
        </w:tc>
        <w:tc>
          <w:tcPr>
            <w:tcW w:w="153" w:type="pct"/>
            <w:tcBorders>
              <w:top w:val="nil"/>
              <w:bottom w:val="nil"/>
              <w:right w:val="single" w:sz="6" w:space="0" w:color="auto"/>
            </w:tcBorders>
            <w:noWrap/>
            <w:vAlign w:val="bottom"/>
          </w:tcPr>
          <w:p w14:paraId="14CBB8EF" w14:textId="77777777" w:rsidR="008B6B35" w:rsidRPr="00B71F92" w:rsidRDefault="008B6B35" w:rsidP="00730932">
            <w:pPr>
              <w:spacing w:after="0" w:line="240" w:lineRule="auto"/>
              <w:jc w:val="right"/>
              <w:rPr>
                <w:rFonts w:eastAsia="Times New Roman"/>
                <w:sz w:val="18"/>
                <w:szCs w:val="18"/>
              </w:rPr>
            </w:pPr>
            <w:r w:rsidRPr="00B71F92">
              <w:rPr>
                <w:sz w:val="18"/>
                <w:szCs w:val="18"/>
              </w:rPr>
              <w:t>2.41</w:t>
            </w:r>
          </w:p>
        </w:tc>
        <w:tc>
          <w:tcPr>
            <w:tcW w:w="152" w:type="pct"/>
            <w:tcBorders>
              <w:top w:val="nil"/>
              <w:left w:val="single" w:sz="6" w:space="0" w:color="auto"/>
              <w:bottom w:val="nil"/>
            </w:tcBorders>
            <w:noWrap/>
            <w:vAlign w:val="bottom"/>
          </w:tcPr>
          <w:p w14:paraId="66825A20" w14:textId="77777777" w:rsidR="008B6B35" w:rsidRPr="00B71F92" w:rsidRDefault="008B6B35" w:rsidP="00730932">
            <w:pPr>
              <w:spacing w:after="0" w:line="240" w:lineRule="auto"/>
              <w:jc w:val="right"/>
              <w:rPr>
                <w:rFonts w:eastAsia="Times New Roman"/>
                <w:sz w:val="18"/>
                <w:szCs w:val="18"/>
              </w:rPr>
            </w:pPr>
            <w:r w:rsidRPr="00B71F92">
              <w:rPr>
                <w:sz w:val="18"/>
                <w:szCs w:val="18"/>
              </w:rPr>
              <w:t>0.44</w:t>
            </w:r>
          </w:p>
        </w:tc>
        <w:tc>
          <w:tcPr>
            <w:tcW w:w="183" w:type="pct"/>
            <w:tcBorders>
              <w:top w:val="nil"/>
              <w:bottom w:val="nil"/>
              <w:right w:val="single" w:sz="6" w:space="0" w:color="auto"/>
            </w:tcBorders>
            <w:noWrap/>
            <w:vAlign w:val="bottom"/>
          </w:tcPr>
          <w:p w14:paraId="31C86B65" w14:textId="77777777" w:rsidR="008B6B35" w:rsidRPr="00B71F92" w:rsidRDefault="008B6B35" w:rsidP="00730932">
            <w:pPr>
              <w:spacing w:after="0" w:line="240" w:lineRule="auto"/>
              <w:jc w:val="right"/>
              <w:rPr>
                <w:rFonts w:eastAsia="Times New Roman"/>
                <w:sz w:val="18"/>
                <w:szCs w:val="18"/>
              </w:rPr>
            </w:pPr>
            <w:r w:rsidRPr="00B71F92">
              <w:rPr>
                <w:sz w:val="18"/>
                <w:szCs w:val="18"/>
              </w:rPr>
              <w:t>2.60</w:t>
            </w:r>
          </w:p>
        </w:tc>
        <w:tc>
          <w:tcPr>
            <w:tcW w:w="152" w:type="pct"/>
            <w:tcBorders>
              <w:top w:val="nil"/>
              <w:left w:val="single" w:sz="6" w:space="0" w:color="auto"/>
              <w:bottom w:val="nil"/>
            </w:tcBorders>
            <w:noWrap/>
          </w:tcPr>
          <w:p w14:paraId="70CCDF8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7EA71B3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BCC3EE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5973FF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67D211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96C85E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035A522E" w14:textId="77777777" w:rsidR="008B6B35" w:rsidRPr="00B71F92" w:rsidRDefault="008B6B35" w:rsidP="00730932">
            <w:pPr>
              <w:spacing w:after="0" w:line="240" w:lineRule="auto"/>
              <w:jc w:val="right"/>
              <w:rPr>
                <w:rFonts w:eastAsia="Times New Roman"/>
                <w:sz w:val="18"/>
                <w:szCs w:val="18"/>
              </w:rPr>
            </w:pPr>
            <w:r w:rsidRPr="00B71F92">
              <w:rPr>
                <w:sz w:val="18"/>
                <w:szCs w:val="18"/>
              </w:rPr>
              <w:t>0.10</w:t>
            </w:r>
          </w:p>
        </w:tc>
        <w:tc>
          <w:tcPr>
            <w:tcW w:w="153" w:type="pct"/>
            <w:tcBorders>
              <w:top w:val="nil"/>
              <w:bottom w:val="nil"/>
              <w:right w:val="single" w:sz="6" w:space="0" w:color="auto"/>
            </w:tcBorders>
            <w:noWrap/>
            <w:vAlign w:val="bottom"/>
          </w:tcPr>
          <w:p w14:paraId="3B0F5EF7" w14:textId="77777777" w:rsidR="008B6B35" w:rsidRPr="00B71F92" w:rsidRDefault="008B6B35" w:rsidP="00730932">
            <w:pPr>
              <w:spacing w:after="0" w:line="240" w:lineRule="auto"/>
              <w:jc w:val="right"/>
              <w:rPr>
                <w:rFonts w:eastAsia="Times New Roman"/>
                <w:sz w:val="18"/>
                <w:szCs w:val="18"/>
              </w:rPr>
            </w:pPr>
            <w:r w:rsidRPr="00B71F92">
              <w:rPr>
                <w:sz w:val="18"/>
                <w:szCs w:val="18"/>
              </w:rPr>
              <w:t>1.84</w:t>
            </w:r>
          </w:p>
        </w:tc>
        <w:tc>
          <w:tcPr>
            <w:tcW w:w="152" w:type="pct"/>
            <w:tcBorders>
              <w:top w:val="nil"/>
              <w:left w:val="single" w:sz="6" w:space="0" w:color="auto"/>
              <w:bottom w:val="nil"/>
            </w:tcBorders>
            <w:noWrap/>
            <w:vAlign w:val="bottom"/>
          </w:tcPr>
          <w:p w14:paraId="57BB02AB" w14:textId="77777777" w:rsidR="008B6B35" w:rsidRPr="00B71F92" w:rsidRDefault="008B6B35" w:rsidP="00730932">
            <w:pPr>
              <w:spacing w:after="0" w:line="240" w:lineRule="auto"/>
              <w:jc w:val="right"/>
              <w:rPr>
                <w:rFonts w:eastAsia="Times New Roman"/>
                <w:sz w:val="18"/>
                <w:szCs w:val="18"/>
              </w:rPr>
            </w:pPr>
            <w:r w:rsidRPr="00B71F92">
              <w:rPr>
                <w:sz w:val="18"/>
                <w:szCs w:val="18"/>
              </w:rPr>
              <w:t>-0.52</w:t>
            </w:r>
          </w:p>
        </w:tc>
        <w:tc>
          <w:tcPr>
            <w:tcW w:w="173" w:type="pct"/>
            <w:tcBorders>
              <w:top w:val="nil"/>
              <w:bottom w:val="nil"/>
              <w:right w:val="single" w:sz="6" w:space="0" w:color="auto"/>
            </w:tcBorders>
            <w:noWrap/>
            <w:vAlign w:val="bottom"/>
          </w:tcPr>
          <w:p w14:paraId="3C624B43" w14:textId="77777777" w:rsidR="008B6B35" w:rsidRPr="00B71F92" w:rsidRDefault="008B6B35" w:rsidP="00730932">
            <w:pPr>
              <w:spacing w:after="0" w:line="240" w:lineRule="auto"/>
              <w:jc w:val="right"/>
              <w:rPr>
                <w:rFonts w:eastAsia="Times New Roman"/>
                <w:sz w:val="18"/>
                <w:szCs w:val="18"/>
              </w:rPr>
            </w:pPr>
            <w:r w:rsidRPr="00B71F92">
              <w:rPr>
                <w:sz w:val="18"/>
                <w:szCs w:val="18"/>
              </w:rPr>
              <w:t>-2.53</w:t>
            </w:r>
          </w:p>
        </w:tc>
        <w:tc>
          <w:tcPr>
            <w:tcW w:w="152" w:type="pct"/>
            <w:tcBorders>
              <w:top w:val="nil"/>
              <w:left w:val="single" w:sz="6" w:space="0" w:color="auto"/>
              <w:bottom w:val="nil"/>
            </w:tcBorders>
            <w:noWrap/>
          </w:tcPr>
          <w:p w14:paraId="21EE2DD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9609B0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A27DE7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68E584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DDDFFA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68A56B4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2D126DA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37062D43" w14:textId="77777777" w:rsidR="008B6B35" w:rsidRPr="00B71F92" w:rsidRDefault="008B6B35" w:rsidP="00730932">
            <w:pPr>
              <w:spacing w:after="0" w:line="240" w:lineRule="auto"/>
              <w:jc w:val="right"/>
              <w:rPr>
                <w:rFonts w:eastAsia="Times New Roman"/>
                <w:sz w:val="18"/>
                <w:szCs w:val="18"/>
              </w:rPr>
            </w:pPr>
          </w:p>
        </w:tc>
      </w:tr>
      <w:tr w:rsidR="008B6B35" w:rsidRPr="00B71F92" w14:paraId="16FAE7FE" w14:textId="77777777" w:rsidTr="002F5607">
        <w:trPr>
          <w:trHeight w:val="230"/>
          <w:jc w:val="center"/>
        </w:trPr>
        <w:tc>
          <w:tcPr>
            <w:tcW w:w="1220" w:type="pct"/>
            <w:tcBorders>
              <w:top w:val="nil"/>
              <w:bottom w:val="nil"/>
              <w:right w:val="single" w:sz="12" w:space="0" w:color="auto"/>
            </w:tcBorders>
            <w:noWrap/>
            <w:vAlign w:val="center"/>
            <w:hideMark/>
          </w:tcPr>
          <w:p w14:paraId="2BAE3DA6"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Graduate degree * 2021 Shift</w:t>
            </w:r>
          </w:p>
        </w:tc>
        <w:tc>
          <w:tcPr>
            <w:tcW w:w="152" w:type="pct"/>
            <w:tcBorders>
              <w:top w:val="nil"/>
              <w:left w:val="single" w:sz="12" w:space="0" w:color="auto"/>
              <w:bottom w:val="nil"/>
            </w:tcBorders>
            <w:noWrap/>
            <w:hideMark/>
          </w:tcPr>
          <w:p w14:paraId="567FC19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7E32250D"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64C45F34" w14:textId="77777777" w:rsidR="008B6B35" w:rsidRPr="00B71F92" w:rsidRDefault="008B6B35" w:rsidP="00730932">
            <w:pPr>
              <w:spacing w:after="0" w:line="240" w:lineRule="auto"/>
              <w:jc w:val="right"/>
              <w:rPr>
                <w:rFonts w:eastAsia="Times New Roman"/>
                <w:sz w:val="18"/>
                <w:szCs w:val="18"/>
              </w:rPr>
            </w:pPr>
            <w:r w:rsidRPr="00B71F92">
              <w:rPr>
                <w:sz w:val="18"/>
                <w:szCs w:val="18"/>
              </w:rPr>
              <w:t>-0.33</w:t>
            </w:r>
          </w:p>
        </w:tc>
        <w:tc>
          <w:tcPr>
            <w:tcW w:w="153" w:type="pct"/>
            <w:tcBorders>
              <w:top w:val="nil"/>
              <w:bottom w:val="nil"/>
              <w:right w:val="single" w:sz="6" w:space="0" w:color="auto"/>
            </w:tcBorders>
            <w:noWrap/>
            <w:vAlign w:val="bottom"/>
          </w:tcPr>
          <w:p w14:paraId="5C8534EA" w14:textId="77777777" w:rsidR="008B6B35" w:rsidRPr="00B71F92" w:rsidRDefault="008B6B35" w:rsidP="00730932">
            <w:pPr>
              <w:spacing w:after="0" w:line="240" w:lineRule="auto"/>
              <w:jc w:val="right"/>
              <w:rPr>
                <w:rFonts w:eastAsia="Times New Roman"/>
                <w:sz w:val="18"/>
                <w:szCs w:val="18"/>
              </w:rPr>
            </w:pPr>
            <w:r w:rsidRPr="00B71F92">
              <w:rPr>
                <w:sz w:val="18"/>
                <w:szCs w:val="18"/>
              </w:rPr>
              <w:t>-2.12</w:t>
            </w:r>
          </w:p>
        </w:tc>
        <w:tc>
          <w:tcPr>
            <w:tcW w:w="152" w:type="pct"/>
            <w:tcBorders>
              <w:top w:val="nil"/>
              <w:left w:val="single" w:sz="6" w:space="0" w:color="auto"/>
              <w:bottom w:val="nil"/>
            </w:tcBorders>
            <w:noWrap/>
            <w:vAlign w:val="bottom"/>
          </w:tcPr>
          <w:p w14:paraId="7D4BEBD7"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83" w:type="pct"/>
            <w:tcBorders>
              <w:top w:val="nil"/>
              <w:bottom w:val="nil"/>
              <w:right w:val="single" w:sz="6" w:space="0" w:color="auto"/>
            </w:tcBorders>
            <w:noWrap/>
            <w:vAlign w:val="bottom"/>
          </w:tcPr>
          <w:p w14:paraId="64A39A74" w14:textId="77777777" w:rsidR="008B6B35" w:rsidRPr="00B71F92" w:rsidRDefault="008B6B35" w:rsidP="00730932">
            <w:pPr>
              <w:spacing w:after="0" w:line="240" w:lineRule="auto"/>
              <w:jc w:val="right"/>
              <w:rPr>
                <w:rFonts w:eastAsia="Times New Roman"/>
                <w:sz w:val="18"/>
                <w:szCs w:val="18"/>
              </w:rPr>
            </w:pPr>
            <w:r w:rsidRPr="00B71F92">
              <w:rPr>
                <w:sz w:val="18"/>
                <w:szCs w:val="18"/>
              </w:rPr>
              <w:t>-1.93</w:t>
            </w:r>
          </w:p>
        </w:tc>
        <w:tc>
          <w:tcPr>
            <w:tcW w:w="152" w:type="pct"/>
            <w:tcBorders>
              <w:top w:val="nil"/>
              <w:left w:val="single" w:sz="6" w:space="0" w:color="auto"/>
              <w:bottom w:val="nil"/>
            </w:tcBorders>
            <w:noWrap/>
            <w:vAlign w:val="bottom"/>
          </w:tcPr>
          <w:p w14:paraId="73693E03" w14:textId="77777777" w:rsidR="008B6B35" w:rsidRPr="00B71F92" w:rsidRDefault="008B6B35" w:rsidP="00730932">
            <w:pPr>
              <w:spacing w:after="0" w:line="240" w:lineRule="auto"/>
              <w:jc w:val="right"/>
              <w:rPr>
                <w:rFonts w:eastAsia="Times New Roman"/>
                <w:sz w:val="18"/>
                <w:szCs w:val="18"/>
              </w:rPr>
            </w:pPr>
            <w:r w:rsidRPr="00B71F92">
              <w:rPr>
                <w:sz w:val="18"/>
                <w:szCs w:val="18"/>
              </w:rPr>
              <w:t>0.26</w:t>
            </w:r>
          </w:p>
        </w:tc>
        <w:tc>
          <w:tcPr>
            <w:tcW w:w="154" w:type="pct"/>
            <w:tcBorders>
              <w:top w:val="nil"/>
              <w:bottom w:val="nil"/>
              <w:right w:val="single" w:sz="6" w:space="0" w:color="auto"/>
            </w:tcBorders>
            <w:noWrap/>
            <w:vAlign w:val="bottom"/>
          </w:tcPr>
          <w:p w14:paraId="277CEC2E" w14:textId="77777777" w:rsidR="008B6B35" w:rsidRPr="00B71F92" w:rsidRDefault="008B6B35" w:rsidP="00730932">
            <w:pPr>
              <w:spacing w:after="0" w:line="240" w:lineRule="auto"/>
              <w:jc w:val="right"/>
              <w:rPr>
                <w:rFonts w:eastAsia="Times New Roman"/>
                <w:sz w:val="18"/>
                <w:szCs w:val="18"/>
              </w:rPr>
            </w:pPr>
            <w:r w:rsidRPr="00B71F92">
              <w:rPr>
                <w:sz w:val="18"/>
                <w:szCs w:val="18"/>
              </w:rPr>
              <w:t>1.86</w:t>
            </w:r>
          </w:p>
        </w:tc>
        <w:tc>
          <w:tcPr>
            <w:tcW w:w="152" w:type="pct"/>
            <w:tcBorders>
              <w:top w:val="nil"/>
              <w:left w:val="single" w:sz="6" w:space="0" w:color="auto"/>
              <w:bottom w:val="nil"/>
            </w:tcBorders>
            <w:noWrap/>
            <w:vAlign w:val="bottom"/>
          </w:tcPr>
          <w:p w14:paraId="7E7D7A8C" w14:textId="77777777" w:rsidR="008B6B35" w:rsidRPr="00B71F92" w:rsidRDefault="008B6B35" w:rsidP="00730932">
            <w:pPr>
              <w:spacing w:after="0" w:line="240" w:lineRule="auto"/>
              <w:jc w:val="right"/>
              <w:rPr>
                <w:rFonts w:eastAsia="Times New Roman"/>
                <w:sz w:val="18"/>
                <w:szCs w:val="18"/>
              </w:rPr>
            </w:pPr>
            <w:r w:rsidRPr="00B71F92">
              <w:rPr>
                <w:sz w:val="18"/>
                <w:szCs w:val="18"/>
              </w:rPr>
              <w:t>0.18</w:t>
            </w:r>
          </w:p>
        </w:tc>
        <w:tc>
          <w:tcPr>
            <w:tcW w:w="153" w:type="pct"/>
            <w:tcBorders>
              <w:top w:val="nil"/>
              <w:bottom w:val="nil"/>
              <w:right w:val="single" w:sz="6" w:space="0" w:color="auto"/>
            </w:tcBorders>
            <w:noWrap/>
            <w:vAlign w:val="bottom"/>
          </w:tcPr>
          <w:p w14:paraId="2ED344E5" w14:textId="77777777" w:rsidR="008B6B35" w:rsidRPr="00B71F92" w:rsidRDefault="008B6B35" w:rsidP="00730932">
            <w:pPr>
              <w:spacing w:after="0" w:line="240" w:lineRule="auto"/>
              <w:jc w:val="right"/>
              <w:rPr>
                <w:rFonts w:eastAsia="Times New Roman"/>
                <w:sz w:val="18"/>
                <w:szCs w:val="18"/>
              </w:rPr>
            </w:pPr>
            <w:r w:rsidRPr="00B71F92">
              <w:rPr>
                <w:sz w:val="18"/>
                <w:szCs w:val="18"/>
              </w:rPr>
              <w:t>2.05</w:t>
            </w:r>
          </w:p>
        </w:tc>
        <w:tc>
          <w:tcPr>
            <w:tcW w:w="152" w:type="pct"/>
            <w:tcBorders>
              <w:top w:val="nil"/>
              <w:left w:val="single" w:sz="6" w:space="0" w:color="auto"/>
              <w:bottom w:val="nil"/>
            </w:tcBorders>
            <w:noWrap/>
          </w:tcPr>
          <w:p w14:paraId="7A06DEB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49B881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DC0EAB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CFA55C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AB8F267" w14:textId="77777777" w:rsidR="008B6B35" w:rsidRPr="00B71F92" w:rsidRDefault="008B6B35" w:rsidP="00730932">
            <w:pPr>
              <w:spacing w:after="0" w:line="240" w:lineRule="auto"/>
              <w:jc w:val="right"/>
              <w:rPr>
                <w:rFonts w:eastAsia="Times New Roman"/>
                <w:sz w:val="18"/>
                <w:szCs w:val="18"/>
              </w:rPr>
            </w:pPr>
            <w:r w:rsidRPr="00B71F92">
              <w:rPr>
                <w:sz w:val="18"/>
                <w:szCs w:val="18"/>
              </w:rPr>
              <w:t>0.52</w:t>
            </w:r>
          </w:p>
        </w:tc>
        <w:tc>
          <w:tcPr>
            <w:tcW w:w="173" w:type="pct"/>
            <w:tcBorders>
              <w:top w:val="nil"/>
              <w:bottom w:val="nil"/>
              <w:right w:val="single" w:sz="6" w:space="0" w:color="auto"/>
            </w:tcBorders>
            <w:noWrap/>
            <w:vAlign w:val="bottom"/>
          </w:tcPr>
          <w:p w14:paraId="54384E15" w14:textId="77777777" w:rsidR="008B6B35" w:rsidRPr="00B71F92" w:rsidRDefault="008B6B35" w:rsidP="00730932">
            <w:pPr>
              <w:spacing w:after="0" w:line="240" w:lineRule="auto"/>
              <w:jc w:val="right"/>
              <w:rPr>
                <w:rFonts w:eastAsia="Times New Roman"/>
                <w:sz w:val="18"/>
                <w:szCs w:val="18"/>
              </w:rPr>
            </w:pPr>
            <w:r w:rsidRPr="00B71F92">
              <w:rPr>
                <w:sz w:val="18"/>
                <w:szCs w:val="18"/>
              </w:rPr>
              <w:t>1.94</w:t>
            </w:r>
          </w:p>
        </w:tc>
        <w:tc>
          <w:tcPr>
            <w:tcW w:w="152" w:type="pct"/>
            <w:tcBorders>
              <w:top w:val="nil"/>
              <w:left w:val="single" w:sz="6" w:space="0" w:color="auto"/>
              <w:bottom w:val="nil"/>
            </w:tcBorders>
            <w:noWrap/>
          </w:tcPr>
          <w:p w14:paraId="0F184E5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2829A8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76FF47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D02E3A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2E5719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674460F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4549925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tcBorders>
            <w:vAlign w:val="center"/>
          </w:tcPr>
          <w:p w14:paraId="3280EC6D" w14:textId="77777777" w:rsidR="008B6B35" w:rsidRPr="00B71F92" w:rsidRDefault="008B6B35" w:rsidP="00730932">
            <w:pPr>
              <w:spacing w:after="0" w:line="240" w:lineRule="auto"/>
              <w:jc w:val="right"/>
              <w:rPr>
                <w:rFonts w:eastAsia="Times New Roman"/>
                <w:sz w:val="18"/>
                <w:szCs w:val="18"/>
              </w:rPr>
            </w:pPr>
          </w:p>
        </w:tc>
      </w:tr>
      <w:tr w:rsidR="008B6B35" w:rsidRPr="00B71F92" w14:paraId="0600A763" w14:textId="77777777" w:rsidTr="002F5607">
        <w:trPr>
          <w:trHeight w:val="230"/>
          <w:jc w:val="center"/>
        </w:trPr>
        <w:tc>
          <w:tcPr>
            <w:tcW w:w="1220" w:type="pct"/>
            <w:tcBorders>
              <w:top w:val="nil"/>
              <w:bottom w:val="single" w:sz="12" w:space="0" w:color="auto"/>
              <w:right w:val="single" w:sz="12" w:space="0" w:color="auto"/>
            </w:tcBorders>
            <w:noWrap/>
            <w:vAlign w:val="center"/>
            <w:hideMark/>
          </w:tcPr>
          <w:p w14:paraId="32A2BF4F"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Graduate degree * 2023 Shift</w:t>
            </w:r>
          </w:p>
        </w:tc>
        <w:tc>
          <w:tcPr>
            <w:tcW w:w="152" w:type="pct"/>
            <w:tcBorders>
              <w:top w:val="nil"/>
              <w:left w:val="single" w:sz="12" w:space="0" w:color="auto"/>
              <w:bottom w:val="single" w:sz="12" w:space="0" w:color="auto"/>
            </w:tcBorders>
            <w:noWrap/>
            <w:hideMark/>
          </w:tcPr>
          <w:p w14:paraId="289210D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single" w:sz="12" w:space="0" w:color="auto"/>
              <w:right w:val="single" w:sz="12" w:space="0" w:color="auto"/>
            </w:tcBorders>
            <w:noWrap/>
            <w:vAlign w:val="center"/>
          </w:tcPr>
          <w:p w14:paraId="069CEB77"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single" w:sz="12" w:space="0" w:color="auto"/>
            </w:tcBorders>
            <w:noWrap/>
          </w:tcPr>
          <w:p w14:paraId="4D01E22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5C4E25F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3D147F1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single" w:sz="12" w:space="0" w:color="auto"/>
              <w:right w:val="single" w:sz="6" w:space="0" w:color="auto"/>
            </w:tcBorders>
            <w:noWrap/>
            <w:vAlign w:val="center"/>
          </w:tcPr>
          <w:p w14:paraId="565BFB2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vAlign w:val="bottom"/>
          </w:tcPr>
          <w:p w14:paraId="21BE0B2A" w14:textId="77777777" w:rsidR="008B6B35" w:rsidRPr="00B71F92" w:rsidRDefault="008B6B35" w:rsidP="00730932">
            <w:pPr>
              <w:spacing w:after="0" w:line="240" w:lineRule="auto"/>
              <w:jc w:val="right"/>
              <w:rPr>
                <w:rFonts w:eastAsia="Times New Roman"/>
                <w:sz w:val="18"/>
                <w:szCs w:val="18"/>
              </w:rPr>
            </w:pPr>
            <w:r w:rsidRPr="00B71F92">
              <w:rPr>
                <w:sz w:val="18"/>
                <w:szCs w:val="18"/>
              </w:rPr>
              <w:t>-0.29</w:t>
            </w:r>
          </w:p>
        </w:tc>
        <w:tc>
          <w:tcPr>
            <w:tcW w:w="154" w:type="pct"/>
            <w:tcBorders>
              <w:top w:val="nil"/>
              <w:bottom w:val="single" w:sz="12" w:space="0" w:color="auto"/>
              <w:right w:val="single" w:sz="6" w:space="0" w:color="auto"/>
            </w:tcBorders>
            <w:noWrap/>
            <w:vAlign w:val="bottom"/>
          </w:tcPr>
          <w:p w14:paraId="12BF0C7F" w14:textId="77777777" w:rsidR="008B6B35" w:rsidRPr="00B71F92" w:rsidRDefault="008B6B35" w:rsidP="00730932">
            <w:pPr>
              <w:spacing w:after="0" w:line="240" w:lineRule="auto"/>
              <w:jc w:val="right"/>
              <w:rPr>
                <w:rFonts w:eastAsia="Times New Roman"/>
                <w:sz w:val="18"/>
                <w:szCs w:val="18"/>
              </w:rPr>
            </w:pPr>
            <w:r w:rsidRPr="00B71F92">
              <w:rPr>
                <w:sz w:val="18"/>
                <w:szCs w:val="18"/>
              </w:rPr>
              <w:t>-2.10</w:t>
            </w:r>
          </w:p>
        </w:tc>
        <w:tc>
          <w:tcPr>
            <w:tcW w:w="152" w:type="pct"/>
            <w:tcBorders>
              <w:top w:val="nil"/>
              <w:left w:val="single" w:sz="6" w:space="0" w:color="auto"/>
              <w:bottom w:val="single" w:sz="12" w:space="0" w:color="auto"/>
            </w:tcBorders>
            <w:noWrap/>
          </w:tcPr>
          <w:p w14:paraId="464F2D7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66910DF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65D0C83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159DD4E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62FC689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08466E0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vAlign w:val="bottom"/>
          </w:tcPr>
          <w:p w14:paraId="10F813AF" w14:textId="77777777" w:rsidR="008B6B35" w:rsidRPr="00B71F92" w:rsidRDefault="008B6B35" w:rsidP="00730932">
            <w:pPr>
              <w:spacing w:after="0" w:line="240" w:lineRule="auto"/>
              <w:jc w:val="right"/>
              <w:rPr>
                <w:rFonts w:eastAsia="Times New Roman"/>
                <w:sz w:val="18"/>
                <w:szCs w:val="18"/>
              </w:rPr>
            </w:pPr>
            <w:r w:rsidRPr="00B71F92">
              <w:rPr>
                <w:sz w:val="18"/>
                <w:szCs w:val="18"/>
              </w:rPr>
              <w:t>-0.38</w:t>
            </w:r>
          </w:p>
        </w:tc>
        <w:tc>
          <w:tcPr>
            <w:tcW w:w="173" w:type="pct"/>
            <w:tcBorders>
              <w:top w:val="nil"/>
              <w:bottom w:val="single" w:sz="12" w:space="0" w:color="auto"/>
              <w:right w:val="single" w:sz="6" w:space="0" w:color="auto"/>
            </w:tcBorders>
            <w:noWrap/>
            <w:vAlign w:val="bottom"/>
          </w:tcPr>
          <w:p w14:paraId="1817CDD5" w14:textId="77777777" w:rsidR="008B6B35" w:rsidRPr="00B71F92" w:rsidRDefault="008B6B35" w:rsidP="00730932">
            <w:pPr>
              <w:spacing w:after="0" w:line="240" w:lineRule="auto"/>
              <w:jc w:val="right"/>
              <w:rPr>
                <w:rFonts w:eastAsia="Times New Roman"/>
                <w:sz w:val="18"/>
                <w:szCs w:val="18"/>
              </w:rPr>
            </w:pPr>
            <w:r w:rsidRPr="00B71F92">
              <w:rPr>
                <w:sz w:val="18"/>
                <w:szCs w:val="18"/>
              </w:rPr>
              <w:t>-1.83</w:t>
            </w:r>
          </w:p>
        </w:tc>
        <w:tc>
          <w:tcPr>
            <w:tcW w:w="152" w:type="pct"/>
            <w:tcBorders>
              <w:top w:val="nil"/>
              <w:left w:val="single" w:sz="6" w:space="0" w:color="auto"/>
              <w:bottom w:val="single" w:sz="12" w:space="0" w:color="auto"/>
            </w:tcBorders>
            <w:noWrap/>
          </w:tcPr>
          <w:p w14:paraId="6440332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0DF64F2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3D47870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12" w:space="0" w:color="auto"/>
              <w:right w:val="single" w:sz="6" w:space="0" w:color="auto"/>
            </w:tcBorders>
            <w:noWrap/>
            <w:vAlign w:val="center"/>
          </w:tcPr>
          <w:p w14:paraId="7C13D4A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1FD31FC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single" w:sz="12" w:space="0" w:color="auto"/>
              <w:right w:val="single" w:sz="8" w:space="0" w:color="auto"/>
            </w:tcBorders>
            <w:noWrap/>
            <w:vAlign w:val="center"/>
          </w:tcPr>
          <w:p w14:paraId="017800C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single" w:sz="12" w:space="0" w:color="auto"/>
            </w:tcBorders>
          </w:tcPr>
          <w:p w14:paraId="73C264B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single" w:sz="12" w:space="0" w:color="auto"/>
            </w:tcBorders>
            <w:vAlign w:val="center"/>
          </w:tcPr>
          <w:p w14:paraId="039F0147" w14:textId="77777777" w:rsidR="008B6B35" w:rsidRPr="00B71F92" w:rsidRDefault="008B6B35" w:rsidP="00730932">
            <w:pPr>
              <w:spacing w:after="0" w:line="240" w:lineRule="auto"/>
              <w:jc w:val="right"/>
              <w:rPr>
                <w:rFonts w:eastAsia="Times New Roman"/>
                <w:sz w:val="18"/>
                <w:szCs w:val="18"/>
              </w:rPr>
            </w:pPr>
          </w:p>
        </w:tc>
      </w:tr>
    </w:tbl>
    <w:p w14:paraId="622222FB" w14:textId="77777777" w:rsidR="008B6B35" w:rsidRPr="00B71F92" w:rsidRDefault="008B6B35" w:rsidP="008B6B35">
      <w:pPr>
        <w:spacing w:after="0" w:line="240" w:lineRule="auto"/>
        <w:jc w:val="both"/>
        <w:rPr>
          <w:b/>
          <w:bCs/>
        </w:rPr>
      </w:pPr>
    </w:p>
    <w:p w14:paraId="52A4E2DB" w14:textId="77777777" w:rsidR="008B6B35" w:rsidRPr="00B71F92" w:rsidRDefault="008B6B35" w:rsidP="008B6B35">
      <w:pPr>
        <w:rPr>
          <w:b/>
          <w:bCs/>
        </w:rPr>
      </w:pPr>
      <w:r w:rsidRPr="00B71F92">
        <w:rPr>
          <w:b/>
          <w:bCs/>
        </w:rPr>
        <w:br w:type="page"/>
      </w:r>
    </w:p>
    <w:p w14:paraId="7E7E8A8F" w14:textId="3B5796C0" w:rsidR="008B6B35" w:rsidRPr="00B71F92" w:rsidRDefault="008B6B35" w:rsidP="002F5607">
      <w:pPr>
        <w:spacing w:after="120" w:line="240" w:lineRule="auto"/>
        <w:jc w:val="both"/>
        <w:rPr>
          <w:b/>
          <w:bCs/>
        </w:rPr>
      </w:pPr>
      <w:r w:rsidRPr="00B71F92">
        <w:rPr>
          <w:b/>
          <w:bCs/>
        </w:rPr>
        <w:lastRenderedPageBreak/>
        <w:t>Table 3: Main Estimation Results (3/3)</w:t>
      </w:r>
    </w:p>
    <w:tbl>
      <w:tblPr>
        <w:tblW w:w="5493" w:type="pct"/>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3465"/>
        <w:gridCol w:w="431"/>
        <w:gridCol w:w="431"/>
        <w:gridCol w:w="516"/>
        <w:gridCol w:w="435"/>
        <w:gridCol w:w="432"/>
        <w:gridCol w:w="520"/>
        <w:gridCol w:w="432"/>
        <w:gridCol w:w="438"/>
        <w:gridCol w:w="432"/>
        <w:gridCol w:w="435"/>
        <w:gridCol w:w="432"/>
        <w:gridCol w:w="435"/>
        <w:gridCol w:w="432"/>
        <w:gridCol w:w="435"/>
        <w:gridCol w:w="432"/>
        <w:gridCol w:w="491"/>
        <w:gridCol w:w="432"/>
        <w:gridCol w:w="435"/>
        <w:gridCol w:w="432"/>
        <w:gridCol w:w="435"/>
        <w:gridCol w:w="432"/>
        <w:gridCol w:w="440"/>
        <w:gridCol w:w="432"/>
        <w:gridCol w:w="543"/>
      </w:tblGrid>
      <w:tr w:rsidR="008B6B35" w:rsidRPr="00B71F92" w14:paraId="51B5CA5F" w14:textId="77777777" w:rsidTr="002F5607">
        <w:trPr>
          <w:trHeight w:val="230"/>
          <w:jc w:val="center"/>
        </w:trPr>
        <w:tc>
          <w:tcPr>
            <w:tcW w:w="1220" w:type="pct"/>
            <w:vMerge w:val="restart"/>
            <w:tcBorders>
              <w:top w:val="single" w:sz="12" w:space="0" w:color="auto"/>
              <w:left w:val="single" w:sz="12" w:space="0" w:color="auto"/>
              <w:right w:val="single" w:sz="12" w:space="0" w:color="auto"/>
            </w:tcBorders>
            <w:noWrap/>
            <w:vAlign w:val="center"/>
          </w:tcPr>
          <w:p w14:paraId="579690FA" w14:textId="77777777" w:rsidR="008B6B35" w:rsidRPr="00B71F92" w:rsidRDefault="008B6B35" w:rsidP="00730932">
            <w:pPr>
              <w:spacing w:after="0" w:line="240" w:lineRule="auto"/>
              <w:jc w:val="center"/>
              <w:rPr>
                <w:rFonts w:eastAsia="Times New Roman"/>
                <w:b/>
                <w:bCs/>
                <w:sz w:val="18"/>
                <w:szCs w:val="18"/>
                <w:highlight w:val="yellow"/>
              </w:rPr>
            </w:pPr>
            <w:r w:rsidRPr="00B71F92">
              <w:rPr>
                <w:rFonts w:eastAsia="Times New Roman"/>
                <w:sz w:val="18"/>
                <w:szCs w:val="18"/>
              </w:rPr>
              <w:t>Variables (base)</w:t>
            </w:r>
          </w:p>
        </w:tc>
        <w:tc>
          <w:tcPr>
            <w:tcW w:w="303" w:type="pct"/>
            <w:gridSpan w:val="2"/>
            <w:vMerge w:val="restart"/>
            <w:tcBorders>
              <w:top w:val="single" w:sz="12" w:space="0" w:color="auto"/>
              <w:left w:val="single" w:sz="12" w:space="0" w:color="auto"/>
              <w:right w:val="single" w:sz="12" w:space="0" w:color="auto"/>
            </w:tcBorders>
            <w:noWrap/>
            <w:vAlign w:val="center"/>
          </w:tcPr>
          <w:p w14:paraId="46449891" w14:textId="77777777" w:rsidR="008B6B35" w:rsidRPr="00B71F92" w:rsidRDefault="008B6B35" w:rsidP="00730932">
            <w:pPr>
              <w:spacing w:after="0" w:line="240" w:lineRule="auto"/>
              <w:jc w:val="center"/>
              <w:rPr>
                <w:rFonts w:eastAsia="Times New Roman"/>
                <w:sz w:val="18"/>
                <w:szCs w:val="18"/>
              </w:rPr>
            </w:pPr>
            <w:r w:rsidRPr="00B71F92">
              <w:rPr>
                <w:rFonts w:eastAsia="Times New Roman"/>
                <w:b/>
                <w:bCs/>
                <w:sz w:val="18"/>
                <w:szCs w:val="18"/>
              </w:rPr>
              <w:t>Move Within Two Years</w:t>
            </w:r>
          </w:p>
        </w:tc>
        <w:tc>
          <w:tcPr>
            <w:tcW w:w="3477" w:type="pct"/>
            <w:gridSpan w:val="22"/>
            <w:tcBorders>
              <w:top w:val="single" w:sz="12" w:space="0" w:color="auto"/>
              <w:left w:val="single" w:sz="12" w:space="0" w:color="auto"/>
              <w:bottom w:val="nil"/>
              <w:right w:val="single" w:sz="12" w:space="0" w:color="auto"/>
            </w:tcBorders>
            <w:noWrap/>
            <w:vAlign w:val="center"/>
          </w:tcPr>
          <w:p w14:paraId="509DD308" w14:textId="77777777" w:rsidR="008B6B35" w:rsidRPr="00B71F92" w:rsidRDefault="008B6B35" w:rsidP="00730932">
            <w:pPr>
              <w:spacing w:after="0" w:line="240" w:lineRule="auto"/>
              <w:jc w:val="center"/>
              <w:rPr>
                <w:rFonts w:eastAsia="Times New Roman"/>
                <w:sz w:val="18"/>
                <w:szCs w:val="18"/>
              </w:rPr>
            </w:pPr>
            <w:r w:rsidRPr="00B71F92">
              <w:rPr>
                <w:rFonts w:eastAsia="Times New Roman"/>
                <w:b/>
                <w:bCs/>
                <w:sz w:val="18"/>
                <w:szCs w:val="18"/>
              </w:rPr>
              <w:t>Reason For Considering a Move</w:t>
            </w:r>
          </w:p>
        </w:tc>
      </w:tr>
      <w:tr w:rsidR="008B6B35" w:rsidRPr="00B71F92" w14:paraId="234DF2D9" w14:textId="77777777" w:rsidTr="002F5607">
        <w:trPr>
          <w:trHeight w:val="230"/>
          <w:jc w:val="center"/>
        </w:trPr>
        <w:tc>
          <w:tcPr>
            <w:tcW w:w="1220" w:type="pct"/>
            <w:vMerge/>
            <w:tcBorders>
              <w:left w:val="single" w:sz="12" w:space="0" w:color="auto"/>
              <w:right w:val="single" w:sz="12" w:space="0" w:color="auto"/>
            </w:tcBorders>
            <w:noWrap/>
            <w:vAlign w:val="center"/>
          </w:tcPr>
          <w:p w14:paraId="46219101" w14:textId="77777777" w:rsidR="008B6B35" w:rsidRPr="00B71F92" w:rsidRDefault="008B6B35" w:rsidP="00730932">
            <w:pPr>
              <w:spacing w:after="0" w:line="240" w:lineRule="auto"/>
              <w:jc w:val="center"/>
              <w:rPr>
                <w:rFonts w:eastAsia="Times New Roman"/>
                <w:b/>
                <w:bCs/>
                <w:sz w:val="18"/>
                <w:szCs w:val="18"/>
                <w:highlight w:val="yellow"/>
              </w:rPr>
            </w:pPr>
          </w:p>
        </w:tc>
        <w:tc>
          <w:tcPr>
            <w:tcW w:w="303" w:type="pct"/>
            <w:gridSpan w:val="2"/>
            <w:vMerge/>
            <w:tcBorders>
              <w:left w:val="single" w:sz="12" w:space="0" w:color="auto"/>
              <w:right w:val="single" w:sz="12" w:space="0" w:color="auto"/>
            </w:tcBorders>
            <w:noWrap/>
            <w:vAlign w:val="center"/>
          </w:tcPr>
          <w:p w14:paraId="10C49BD2" w14:textId="77777777" w:rsidR="008B6B35" w:rsidRPr="00B71F92" w:rsidRDefault="008B6B35" w:rsidP="00730932">
            <w:pPr>
              <w:spacing w:after="0" w:line="240" w:lineRule="auto"/>
              <w:jc w:val="center"/>
              <w:rPr>
                <w:rFonts w:eastAsia="Times New Roman"/>
                <w:sz w:val="18"/>
                <w:szCs w:val="18"/>
              </w:rPr>
            </w:pPr>
          </w:p>
        </w:tc>
        <w:tc>
          <w:tcPr>
            <w:tcW w:w="976" w:type="pct"/>
            <w:gridSpan w:val="6"/>
            <w:tcBorders>
              <w:top w:val="single" w:sz="12" w:space="0" w:color="auto"/>
              <w:left w:val="single" w:sz="12" w:space="0" w:color="auto"/>
              <w:bottom w:val="nil"/>
              <w:right w:val="single" w:sz="6" w:space="0" w:color="auto"/>
            </w:tcBorders>
            <w:noWrap/>
            <w:vAlign w:val="center"/>
          </w:tcPr>
          <w:p w14:paraId="619A9390"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Proactive Planning</w:t>
            </w:r>
          </w:p>
        </w:tc>
        <w:tc>
          <w:tcPr>
            <w:tcW w:w="1240" w:type="pct"/>
            <w:gridSpan w:val="8"/>
            <w:tcBorders>
              <w:top w:val="single" w:sz="12" w:space="0" w:color="auto"/>
              <w:left w:val="single" w:sz="6" w:space="0" w:color="auto"/>
              <w:bottom w:val="nil"/>
              <w:right w:val="single" w:sz="6" w:space="0" w:color="auto"/>
            </w:tcBorders>
            <w:noWrap/>
            <w:vAlign w:val="center"/>
          </w:tcPr>
          <w:p w14:paraId="021BF812"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Disconnects Between Preferences and Housing</w:t>
            </w:r>
          </w:p>
        </w:tc>
        <w:tc>
          <w:tcPr>
            <w:tcW w:w="917" w:type="pct"/>
            <w:gridSpan w:val="6"/>
            <w:tcBorders>
              <w:top w:val="single" w:sz="12" w:space="0" w:color="auto"/>
              <w:left w:val="single" w:sz="6" w:space="0" w:color="auto"/>
              <w:bottom w:val="nil"/>
              <w:right w:val="single" w:sz="8" w:space="0" w:color="auto"/>
            </w:tcBorders>
            <w:noWrap/>
            <w:vAlign w:val="center"/>
          </w:tcPr>
          <w:p w14:paraId="06088E94"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Triggered Reevaluations</w:t>
            </w:r>
          </w:p>
        </w:tc>
        <w:tc>
          <w:tcPr>
            <w:tcW w:w="343" w:type="pct"/>
            <w:gridSpan w:val="2"/>
            <w:tcBorders>
              <w:top w:val="single" w:sz="12" w:space="0" w:color="auto"/>
              <w:left w:val="single" w:sz="8" w:space="0" w:color="auto"/>
              <w:bottom w:val="nil"/>
              <w:right w:val="single" w:sz="12" w:space="0" w:color="auto"/>
            </w:tcBorders>
            <w:vAlign w:val="center"/>
          </w:tcPr>
          <w:p w14:paraId="1152748D" w14:textId="77777777" w:rsidR="008B6B35" w:rsidRPr="00B71F92" w:rsidRDefault="008B6B35" w:rsidP="00730932">
            <w:pPr>
              <w:spacing w:after="0" w:line="240" w:lineRule="auto"/>
              <w:jc w:val="center"/>
              <w:rPr>
                <w:rFonts w:eastAsia="Times New Roman"/>
                <w:sz w:val="18"/>
                <w:szCs w:val="18"/>
              </w:rPr>
            </w:pPr>
            <w:r w:rsidRPr="00B71F92">
              <w:rPr>
                <w:b/>
                <w:bCs/>
                <w:sz w:val="18"/>
                <w:szCs w:val="18"/>
              </w:rPr>
              <w:t>Forced Relocations</w:t>
            </w:r>
          </w:p>
        </w:tc>
      </w:tr>
      <w:tr w:rsidR="008B6B35" w:rsidRPr="00B71F92" w14:paraId="38EACD6C" w14:textId="77777777" w:rsidTr="002F5607">
        <w:trPr>
          <w:trHeight w:val="230"/>
          <w:jc w:val="center"/>
        </w:trPr>
        <w:tc>
          <w:tcPr>
            <w:tcW w:w="1220" w:type="pct"/>
            <w:vMerge/>
            <w:tcBorders>
              <w:left w:val="single" w:sz="12" w:space="0" w:color="auto"/>
              <w:right w:val="single" w:sz="12" w:space="0" w:color="auto"/>
            </w:tcBorders>
            <w:noWrap/>
            <w:vAlign w:val="center"/>
          </w:tcPr>
          <w:p w14:paraId="006A2AD1" w14:textId="77777777" w:rsidR="008B6B35" w:rsidRPr="00B71F92" w:rsidRDefault="008B6B35" w:rsidP="00730932">
            <w:pPr>
              <w:spacing w:after="0" w:line="240" w:lineRule="auto"/>
              <w:jc w:val="center"/>
              <w:rPr>
                <w:rFonts w:eastAsia="Times New Roman"/>
                <w:b/>
                <w:bCs/>
                <w:sz w:val="18"/>
                <w:szCs w:val="18"/>
                <w:highlight w:val="yellow"/>
              </w:rPr>
            </w:pPr>
          </w:p>
        </w:tc>
        <w:tc>
          <w:tcPr>
            <w:tcW w:w="303" w:type="pct"/>
            <w:gridSpan w:val="2"/>
            <w:vMerge/>
            <w:tcBorders>
              <w:left w:val="single" w:sz="12" w:space="0" w:color="auto"/>
              <w:bottom w:val="nil"/>
              <w:right w:val="single" w:sz="12" w:space="0" w:color="auto"/>
            </w:tcBorders>
            <w:noWrap/>
            <w:vAlign w:val="center"/>
          </w:tcPr>
          <w:p w14:paraId="03F943B2" w14:textId="77777777" w:rsidR="008B6B35" w:rsidRPr="00B71F92" w:rsidRDefault="008B6B35" w:rsidP="00730932">
            <w:pPr>
              <w:spacing w:after="0" w:line="240" w:lineRule="auto"/>
              <w:jc w:val="center"/>
              <w:rPr>
                <w:rFonts w:eastAsia="Times New Roman"/>
                <w:sz w:val="18"/>
                <w:szCs w:val="18"/>
              </w:rPr>
            </w:pPr>
          </w:p>
        </w:tc>
        <w:tc>
          <w:tcPr>
            <w:tcW w:w="335" w:type="pct"/>
            <w:gridSpan w:val="2"/>
            <w:tcBorders>
              <w:top w:val="single" w:sz="12" w:space="0" w:color="auto"/>
              <w:left w:val="single" w:sz="12" w:space="0" w:color="auto"/>
              <w:bottom w:val="nil"/>
              <w:right w:val="single" w:sz="6" w:space="0" w:color="auto"/>
            </w:tcBorders>
            <w:noWrap/>
            <w:vAlign w:val="center"/>
          </w:tcPr>
          <w:p w14:paraId="0CA6C27F" w14:textId="77777777" w:rsidR="008B6B35" w:rsidRPr="00B71F92" w:rsidRDefault="008B6B35" w:rsidP="00730932">
            <w:pPr>
              <w:spacing w:after="0" w:line="240" w:lineRule="auto"/>
              <w:jc w:val="center"/>
              <w:rPr>
                <w:rFonts w:eastAsia="Times New Roman"/>
                <w:sz w:val="18"/>
                <w:szCs w:val="18"/>
              </w:rPr>
            </w:pPr>
            <w:r w:rsidRPr="00B71F92">
              <w:rPr>
                <w:sz w:val="18"/>
                <w:szCs w:val="18"/>
              </w:rPr>
              <w:t>Better access to work</w:t>
            </w:r>
          </w:p>
        </w:tc>
        <w:tc>
          <w:tcPr>
            <w:tcW w:w="335" w:type="pct"/>
            <w:gridSpan w:val="2"/>
            <w:tcBorders>
              <w:top w:val="single" w:sz="12" w:space="0" w:color="auto"/>
              <w:left w:val="single" w:sz="6" w:space="0" w:color="auto"/>
              <w:bottom w:val="nil"/>
              <w:right w:val="single" w:sz="6" w:space="0" w:color="auto"/>
            </w:tcBorders>
            <w:noWrap/>
            <w:vAlign w:val="center"/>
          </w:tcPr>
          <w:p w14:paraId="748039A7" w14:textId="77777777" w:rsidR="008B6B35" w:rsidRPr="00B71F92" w:rsidRDefault="008B6B35" w:rsidP="00730932">
            <w:pPr>
              <w:spacing w:after="0" w:line="240" w:lineRule="auto"/>
              <w:jc w:val="center"/>
              <w:rPr>
                <w:rFonts w:eastAsia="Times New Roman"/>
                <w:sz w:val="18"/>
                <w:szCs w:val="18"/>
              </w:rPr>
            </w:pPr>
            <w:r w:rsidRPr="00B71F92">
              <w:rPr>
                <w:sz w:val="18"/>
                <w:szCs w:val="18"/>
              </w:rPr>
              <w:t>Upgrade or buy a home</w:t>
            </w:r>
          </w:p>
        </w:tc>
        <w:tc>
          <w:tcPr>
            <w:tcW w:w="306" w:type="pct"/>
            <w:gridSpan w:val="2"/>
            <w:tcBorders>
              <w:top w:val="single" w:sz="12" w:space="0" w:color="auto"/>
              <w:left w:val="single" w:sz="6" w:space="0" w:color="auto"/>
              <w:bottom w:val="nil"/>
              <w:right w:val="single" w:sz="6" w:space="0" w:color="auto"/>
            </w:tcBorders>
            <w:noWrap/>
            <w:vAlign w:val="center"/>
          </w:tcPr>
          <w:p w14:paraId="7630A4BC" w14:textId="77777777" w:rsidR="008B6B35" w:rsidRPr="00B71F92" w:rsidRDefault="008B6B35" w:rsidP="00730932">
            <w:pPr>
              <w:spacing w:after="0" w:line="240" w:lineRule="auto"/>
              <w:jc w:val="center"/>
              <w:rPr>
                <w:rFonts w:eastAsia="Times New Roman"/>
                <w:sz w:val="18"/>
                <w:szCs w:val="18"/>
              </w:rPr>
            </w:pPr>
            <w:r w:rsidRPr="00B71F92">
              <w:rPr>
                <w:sz w:val="18"/>
                <w:szCs w:val="18"/>
              </w:rPr>
              <w:t>Change in who you live with</w:t>
            </w:r>
          </w:p>
        </w:tc>
        <w:tc>
          <w:tcPr>
            <w:tcW w:w="305" w:type="pct"/>
            <w:gridSpan w:val="2"/>
            <w:tcBorders>
              <w:top w:val="single" w:sz="12" w:space="0" w:color="auto"/>
              <w:left w:val="single" w:sz="6" w:space="0" w:color="auto"/>
              <w:bottom w:val="nil"/>
              <w:right w:val="single" w:sz="6" w:space="0" w:color="auto"/>
            </w:tcBorders>
            <w:noWrap/>
            <w:vAlign w:val="center"/>
          </w:tcPr>
          <w:p w14:paraId="432CABAB" w14:textId="77777777" w:rsidR="008B6B35" w:rsidRPr="00B71F92" w:rsidRDefault="008B6B35" w:rsidP="00730932">
            <w:pPr>
              <w:spacing w:after="0" w:line="240" w:lineRule="auto"/>
              <w:jc w:val="center"/>
              <w:rPr>
                <w:rFonts w:eastAsia="Times New Roman"/>
                <w:sz w:val="18"/>
                <w:szCs w:val="18"/>
              </w:rPr>
            </w:pPr>
            <w:r w:rsidRPr="00B71F92">
              <w:rPr>
                <w:sz w:val="18"/>
                <w:szCs w:val="18"/>
              </w:rPr>
              <w:t>Need for more space</w:t>
            </w:r>
          </w:p>
        </w:tc>
        <w:tc>
          <w:tcPr>
            <w:tcW w:w="305" w:type="pct"/>
            <w:gridSpan w:val="2"/>
            <w:tcBorders>
              <w:top w:val="single" w:sz="12" w:space="0" w:color="auto"/>
              <w:left w:val="single" w:sz="6" w:space="0" w:color="auto"/>
              <w:bottom w:val="nil"/>
              <w:right w:val="single" w:sz="6" w:space="0" w:color="auto"/>
            </w:tcBorders>
            <w:noWrap/>
            <w:vAlign w:val="center"/>
          </w:tcPr>
          <w:p w14:paraId="23C2A434" w14:textId="77777777" w:rsidR="008B6B35" w:rsidRPr="00B71F92" w:rsidRDefault="008B6B35" w:rsidP="00730932">
            <w:pPr>
              <w:spacing w:after="0" w:line="240" w:lineRule="auto"/>
              <w:jc w:val="center"/>
              <w:rPr>
                <w:rFonts w:eastAsia="Times New Roman"/>
                <w:sz w:val="18"/>
                <w:szCs w:val="18"/>
              </w:rPr>
            </w:pPr>
            <w:r w:rsidRPr="00B71F92">
              <w:rPr>
                <w:sz w:val="18"/>
                <w:szCs w:val="18"/>
              </w:rPr>
              <w:t>Need for less space</w:t>
            </w:r>
          </w:p>
        </w:tc>
        <w:tc>
          <w:tcPr>
            <w:tcW w:w="305" w:type="pct"/>
            <w:gridSpan w:val="2"/>
            <w:tcBorders>
              <w:top w:val="single" w:sz="12" w:space="0" w:color="auto"/>
              <w:left w:val="single" w:sz="6" w:space="0" w:color="auto"/>
              <w:bottom w:val="nil"/>
              <w:right w:val="single" w:sz="6" w:space="0" w:color="auto"/>
            </w:tcBorders>
            <w:noWrap/>
            <w:vAlign w:val="center"/>
          </w:tcPr>
          <w:p w14:paraId="7D2213A3" w14:textId="77777777" w:rsidR="008B6B35" w:rsidRPr="00B71F92" w:rsidRDefault="008B6B35" w:rsidP="00730932">
            <w:pPr>
              <w:spacing w:after="0" w:line="240" w:lineRule="auto"/>
              <w:jc w:val="center"/>
              <w:rPr>
                <w:rFonts w:eastAsia="Times New Roman"/>
                <w:sz w:val="18"/>
                <w:szCs w:val="18"/>
              </w:rPr>
            </w:pPr>
            <w:r w:rsidRPr="00B71F92">
              <w:rPr>
                <w:sz w:val="18"/>
                <w:szCs w:val="18"/>
              </w:rPr>
              <w:t>Better access to amenities</w:t>
            </w:r>
          </w:p>
        </w:tc>
        <w:tc>
          <w:tcPr>
            <w:tcW w:w="325" w:type="pct"/>
            <w:gridSpan w:val="2"/>
            <w:tcBorders>
              <w:top w:val="single" w:sz="12" w:space="0" w:color="auto"/>
              <w:left w:val="single" w:sz="6" w:space="0" w:color="auto"/>
              <w:bottom w:val="nil"/>
              <w:right w:val="single" w:sz="6" w:space="0" w:color="auto"/>
            </w:tcBorders>
            <w:noWrap/>
            <w:vAlign w:val="center"/>
          </w:tcPr>
          <w:p w14:paraId="1F584FA0" w14:textId="77777777" w:rsidR="008B6B35" w:rsidRPr="00B71F92" w:rsidRDefault="008B6B35" w:rsidP="00730932">
            <w:pPr>
              <w:spacing w:after="0" w:line="240" w:lineRule="auto"/>
              <w:jc w:val="center"/>
              <w:rPr>
                <w:rFonts w:eastAsia="Times New Roman"/>
                <w:sz w:val="18"/>
                <w:szCs w:val="18"/>
              </w:rPr>
            </w:pPr>
            <w:r w:rsidRPr="00B71F92">
              <w:rPr>
                <w:sz w:val="18"/>
                <w:szCs w:val="18"/>
              </w:rPr>
              <w:t>Concerns about safety or crime</w:t>
            </w:r>
          </w:p>
        </w:tc>
        <w:tc>
          <w:tcPr>
            <w:tcW w:w="305" w:type="pct"/>
            <w:gridSpan w:val="2"/>
            <w:tcBorders>
              <w:top w:val="single" w:sz="12" w:space="0" w:color="auto"/>
              <w:left w:val="single" w:sz="6" w:space="0" w:color="auto"/>
              <w:bottom w:val="nil"/>
              <w:right w:val="single" w:sz="6" w:space="0" w:color="auto"/>
            </w:tcBorders>
            <w:noWrap/>
            <w:vAlign w:val="center"/>
          </w:tcPr>
          <w:p w14:paraId="19F366E6" w14:textId="77777777" w:rsidR="008B6B35" w:rsidRPr="00B71F92" w:rsidRDefault="008B6B35" w:rsidP="00730932">
            <w:pPr>
              <w:spacing w:after="0" w:line="240" w:lineRule="auto"/>
              <w:jc w:val="center"/>
              <w:rPr>
                <w:rFonts w:eastAsia="Times New Roman"/>
                <w:sz w:val="18"/>
                <w:szCs w:val="18"/>
              </w:rPr>
            </w:pPr>
            <w:r w:rsidRPr="00B71F92">
              <w:rPr>
                <w:sz w:val="18"/>
                <w:szCs w:val="18"/>
              </w:rPr>
              <w:t>Increase in housing costs</w:t>
            </w:r>
          </w:p>
        </w:tc>
        <w:tc>
          <w:tcPr>
            <w:tcW w:w="305" w:type="pct"/>
            <w:gridSpan w:val="2"/>
            <w:tcBorders>
              <w:top w:val="single" w:sz="12" w:space="0" w:color="auto"/>
              <w:left w:val="single" w:sz="6" w:space="0" w:color="auto"/>
              <w:bottom w:val="nil"/>
              <w:right w:val="single" w:sz="6" w:space="0" w:color="auto"/>
            </w:tcBorders>
            <w:noWrap/>
            <w:vAlign w:val="center"/>
          </w:tcPr>
          <w:p w14:paraId="29BF3AC1" w14:textId="77777777" w:rsidR="008B6B35" w:rsidRPr="00B71F92" w:rsidRDefault="008B6B35" w:rsidP="00730932">
            <w:pPr>
              <w:spacing w:after="0" w:line="240" w:lineRule="auto"/>
              <w:jc w:val="center"/>
              <w:rPr>
                <w:rFonts w:eastAsia="Times New Roman"/>
                <w:sz w:val="18"/>
                <w:szCs w:val="18"/>
              </w:rPr>
            </w:pPr>
            <w:r w:rsidRPr="00B71F92">
              <w:rPr>
                <w:sz w:val="18"/>
                <w:szCs w:val="18"/>
              </w:rPr>
              <w:t>Change in income or finances</w:t>
            </w:r>
          </w:p>
        </w:tc>
        <w:tc>
          <w:tcPr>
            <w:tcW w:w="307" w:type="pct"/>
            <w:gridSpan w:val="2"/>
            <w:tcBorders>
              <w:top w:val="single" w:sz="12" w:space="0" w:color="auto"/>
              <w:left w:val="single" w:sz="6" w:space="0" w:color="auto"/>
              <w:bottom w:val="nil"/>
              <w:right w:val="single" w:sz="8" w:space="0" w:color="auto"/>
            </w:tcBorders>
            <w:noWrap/>
            <w:vAlign w:val="center"/>
          </w:tcPr>
          <w:p w14:paraId="283DD69B" w14:textId="77777777" w:rsidR="008B6B35" w:rsidRPr="00B71F92" w:rsidRDefault="008B6B35" w:rsidP="00730932">
            <w:pPr>
              <w:spacing w:after="0" w:line="240" w:lineRule="auto"/>
              <w:jc w:val="center"/>
              <w:rPr>
                <w:rFonts w:eastAsia="Times New Roman"/>
                <w:sz w:val="18"/>
                <w:szCs w:val="18"/>
              </w:rPr>
            </w:pPr>
            <w:r w:rsidRPr="00B71F92">
              <w:rPr>
                <w:sz w:val="18"/>
                <w:szCs w:val="18"/>
              </w:rPr>
              <w:t>Friends leaving</w:t>
            </w:r>
          </w:p>
        </w:tc>
        <w:tc>
          <w:tcPr>
            <w:tcW w:w="343" w:type="pct"/>
            <w:gridSpan w:val="2"/>
            <w:tcBorders>
              <w:top w:val="single" w:sz="12" w:space="0" w:color="auto"/>
              <w:left w:val="single" w:sz="8" w:space="0" w:color="auto"/>
              <w:bottom w:val="nil"/>
              <w:right w:val="single" w:sz="12" w:space="0" w:color="auto"/>
            </w:tcBorders>
            <w:vAlign w:val="center"/>
          </w:tcPr>
          <w:p w14:paraId="675EBFA3" w14:textId="77777777" w:rsidR="008B6B35" w:rsidRPr="00B71F92" w:rsidRDefault="008B6B35" w:rsidP="00730932">
            <w:pPr>
              <w:spacing w:after="0" w:line="240" w:lineRule="auto"/>
              <w:jc w:val="center"/>
              <w:rPr>
                <w:rFonts w:eastAsia="Times New Roman"/>
                <w:sz w:val="18"/>
                <w:szCs w:val="18"/>
              </w:rPr>
            </w:pPr>
            <w:r w:rsidRPr="00B71F92">
              <w:rPr>
                <w:sz w:val="18"/>
                <w:szCs w:val="18"/>
              </w:rPr>
              <w:t>Threat of being forced to move out</w:t>
            </w:r>
          </w:p>
        </w:tc>
      </w:tr>
      <w:tr w:rsidR="008B6B35" w:rsidRPr="00B71F92" w14:paraId="0CA32F83" w14:textId="77777777" w:rsidTr="002F5607">
        <w:trPr>
          <w:trHeight w:val="230"/>
          <w:jc w:val="center"/>
        </w:trPr>
        <w:tc>
          <w:tcPr>
            <w:tcW w:w="1220" w:type="pct"/>
            <w:vMerge/>
            <w:tcBorders>
              <w:left w:val="single" w:sz="12" w:space="0" w:color="auto"/>
              <w:bottom w:val="single" w:sz="12" w:space="0" w:color="auto"/>
              <w:right w:val="single" w:sz="12" w:space="0" w:color="auto"/>
            </w:tcBorders>
            <w:noWrap/>
            <w:vAlign w:val="center"/>
          </w:tcPr>
          <w:p w14:paraId="22D76FB8" w14:textId="77777777" w:rsidR="008B6B35" w:rsidRPr="00B71F92" w:rsidRDefault="008B6B35" w:rsidP="00730932">
            <w:pPr>
              <w:spacing w:after="0" w:line="240" w:lineRule="auto"/>
              <w:rPr>
                <w:rFonts w:eastAsia="Times New Roman"/>
                <w:b/>
                <w:bCs/>
                <w:sz w:val="18"/>
                <w:szCs w:val="18"/>
                <w:highlight w:val="yellow"/>
              </w:rPr>
            </w:pPr>
          </w:p>
        </w:tc>
        <w:tc>
          <w:tcPr>
            <w:tcW w:w="152" w:type="pct"/>
            <w:tcBorders>
              <w:top w:val="single" w:sz="12" w:space="0" w:color="auto"/>
              <w:left w:val="single" w:sz="12" w:space="0" w:color="auto"/>
              <w:bottom w:val="single" w:sz="12" w:space="0" w:color="auto"/>
            </w:tcBorders>
            <w:noWrap/>
            <w:vAlign w:val="bottom"/>
          </w:tcPr>
          <w:p w14:paraId="3DE5A442"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2" w:type="pct"/>
            <w:tcBorders>
              <w:top w:val="single" w:sz="12" w:space="0" w:color="auto"/>
              <w:bottom w:val="single" w:sz="12" w:space="0" w:color="auto"/>
              <w:right w:val="single" w:sz="12" w:space="0" w:color="auto"/>
            </w:tcBorders>
            <w:noWrap/>
            <w:vAlign w:val="bottom"/>
          </w:tcPr>
          <w:p w14:paraId="2DDB5D95"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82" w:type="pct"/>
            <w:tcBorders>
              <w:top w:val="single" w:sz="12" w:space="0" w:color="auto"/>
              <w:left w:val="single" w:sz="12" w:space="0" w:color="auto"/>
              <w:bottom w:val="single" w:sz="12" w:space="0" w:color="auto"/>
            </w:tcBorders>
            <w:noWrap/>
            <w:vAlign w:val="bottom"/>
          </w:tcPr>
          <w:p w14:paraId="53A1DC4B"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038D07CF"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54714C84"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83" w:type="pct"/>
            <w:tcBorders>
              <w:top w:val="single" w:sz="12" w:space="0" w:color="auto"/>
              <w:bottom w:val="single" w:sz="12" w:space="0" w:color="auto"/>
              <w:right w:val="single" w:sz="6" w:space="0" w:color="auto"/>
            </w:tcBorders>
            <w:noWrap/>
            <w:vAlign w:val="bottom"/>
          </w:tcPr>
          <w:p w14:paraId="19914643"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754137CD"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4" w:type="pct"/>
            <w:tcBorders>
              <w:top w:val="single" w:sz="12" w:space="0" w:color="auto"/>
              <w:bottom w:val="single" w:sz="12" w:space="0" w:color="auto"/>
              <w:right w:val="single" w:sz="6" w:space="0" w:color="auto"/>
            </w:tcBorders>
            <w:noWrap/>
            <w:vAlign w:val="bottom"/>
          </w:tcPr>
          <w:p w14:paraId="6206ADE7"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354A6FA1"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03A93EDF"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0EDD9A27"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666F72ED"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5C98E71B"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70E6DE0F"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63E1CAD3"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73" w:type="pct"/>
            <w:tcBorders>
              <w:top w:val="single" w:sz="12" w:space="0" w:color="auto"/>
              <w:bottom w:val="single" w:sz="12" w:space="0" w:color="auto"/>
              <w:right w:val="single" w:sz="6" w:space="0" w:color="auto"/>
            </w:tcBorders>
            <w:noWrap/>
            <w:vAlign w:val="bottom"/>
          </w:tcPr>
          <w:p w14:paraId="682EF7B6"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6CE1F301"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3334712A"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7DE61F36"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3" w:type="pct"/>
            <w:tcBorders>
              <w:top w:val="single" w:sz="12" w:space="0" w:color="auto"/>
              <w:bottom w:val="single" w:sz="12" w:space="0" w:color="auto"/>
              <w:right w:val="single" w:sz="6" w:space="0" w:color="auto"/>
            </w:tcBorders>
            <w:noWrap/>
            <w:vAlign w:val="bottom"/>
          </w:tcPr>
          <w:p w14:paraId="00485B59"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6" w:space="0" w:color="auto"/>
              <w:bottom w:val="single" w:sz="12" w:space="0" w:color="auto"/>
            </w:tcBorders>
            <w:noWrap/>
            <w:vAlign w:val="bottom"/>
          </w:tcPr>
          <w:p w14:paraId="72E51B34"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55" w:type="pct"/>
            <w:tcBorders>
              <w:top w:val="single" w:sz="12" w:space="0" w:color="auto"/>
              <w:bottom w:val="single" w:sz="12" w:space="0" w:color="auto"/>
              <w:right w:val="single" w:sz="8" w:space="0" w:color="auto"/>
            </w:tcBorders>
            <w:noWrap/>
            <w:vAlign w:val="bottom"/>
          </w:tcPr>
          <w:p w14:paraId="5A518ABC"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c>
          <w:tcPr>
            <w:tcW w:w="152" w:type="pct"/>
            <w:tcBorders>
              <w:top w:val="single" w:sz="12" w:space="0" w:color="auto"/>
              <w:left w:val="single" w:sz="8" w:space="0" w:color="auto"/>
              <w:bottom w:val="single" w:sz="12" w:space="0" w:color="auto"/>
            </w:tcBorders>
            <w:vAlign w:val="bottom"/>
          </w:tcPr>
          <w:p w14:paraId="0544254B"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Coeff.</w:t>
            </w:r>
          </w:p>
        </w:tc>
        <w:tc>
          <w:tcPr>
            <w:tcW w:w="191" w:type="pct"/>
            <w:tcBorders>
              <w:top w:val="single" w:sz="12" w:space="0" w:color="auto"/>
              <w:bottom w:val="single" w:sz="12" w:space="0" w:color="auto"/>
              <w:right w:val="single" w:sz="12" w:space="0" w:color="auto"/>
            </w:tcBorders>
            <w:vAlign w:val="bottom"/>
          </w:tcPr>
          <w:p w14:paraId="22575D4E" w14:textId="77777777" w:rsidR="008B6B35" w:rsidRPr="00B71F92" w:rsidRDefault="008B6B35" w:rsidP="00730932">
            <w:pPr>
              <w:spacing w:after="0" w:line="240" w:lineRule="auto"/>
              <w:jc w:val="right"/>
              <w:rPr>
                <w:rFonts w:eastAsia="Times New Roman"/>
                <w:sz w:val="16"/>
                <w:szCs w:val="16"/>
              </w:rPr>
            </w:pPr>
            <w:r w:rsidRPr="00B71F92">
              <w:rPr>
                <w:rFonts w:eastAsia="Times New Roman"/>
                <w:sz w:val="16"/>
                <w:szCs w:val="16"/>
              </w:rPr>
              <w:t>t-stat</w:t>
            </w:r>
          </w:p>
        </w:tc>
      </w:tr>
      <w:tr w:rsidR="008B6B35" w:rsidRPr="00B71F92" w14:paraId="3B1F3040" w14:textId="77777777" w:rsidTr="002F5607">
        <w:trPr>
          <w:trHeight w:val="230"/>
          <w:jc w:val="center"/>
        </w:trPr>
        <w:tc>
          <w:tcPr>
            <w:tcW w:w="5000" w:type="pct"/>
            <w:gridSpan w:val="25"/>
            <w:tcBorders>
              <w:top w:val="single" w:sz="4" w:space="0" w:color="auto"/>
              <w:left w:val="single" w:sz="12" w:space="0" w:color="auto"/>
              <w:bottom w:val="single" w:sz="4" w:space="0" w:color="auto"/>
              <w:right w:val="single" w:sz="12" w:space="0" w:color="auto"/>
            </w:tcBorders>
            <w:noWrap/>
            <w:vAlign w:val="center"/>
          </w:tcPr>
          <w:p w14:paraId="6B627494" w14:textId="77777777" w:rsidR="008B6B35" w:rsidRPr="00B71F92" w:rsidRDefault="008B6B35" w:rsidP="00730932">
            <w:pPr>
              <w:spacing w:after="0" w:line="240" w:lineRule="auto"/>
              <w:rPr>
                <w:rFonts w:eastAsia="Times New Roman"/>
                <w:sz w:val="18"/>
                <w:szCs w:val="18"/>
              </w:rPr>
            </w:pPr>
            <w:r w:rsidRPr="00B71F92">
              <w:rPr>
                <w:b/>
                <w:bCs/>
                <w:i/>
                <w:iCs/>
                <w:sz w:val="18"/>
                <w:szCs w:val="18"/>
              </w:rPr>
              <w:t>Race and Ethnicity Variables</w:t>
            </w:r>
          </w:p>
        </w:tc>
      </w:tr>
      <w:tr w:rsidR="008B6B35" w:rsidRPr="00B71F92" w14:paraId="381024EF" w14:textId="77777777" w:rsidTr="002F5607">
        <w:trPr>
          <w:trHeight w:val="230"/>
          <w:jc w:val="center"/>
        </w:trPr>
        <w:tc>
          <w:tcPr>
            <w:tcW w:w="1220" w:type="pct"/>
            <w:tcBorders>
              <w:top w:val="single" w:sz="4" w:space="0" w:color="auto"/>
              <w:left w:val="single" w:sz="12" w:space="0" w:color="auto"/>
              <w:bottom w:val="nil"/>
              <w:right w:val="single" w:sz="12" w:space="0" w:color="auto"/>
            </w:tcBorders>
            <w:noWrap/>
            <w:vAlign w:val="center"/>
            <w:hideMark/>
          </w:tcPr>
          <w:p w14:paraId="368AE30A" w14:textId="77777777" w:rsidR="008B6B35" w:rsidRPr="00B71F92" w:rsidRDefault="008B6B35" w:rsidP="00730932">
            <w:pPr>
              <w:spacing w:after="0" w:line="240" w:lineRule="auto"/>
              <w:rPr>
                <w:rFonts w:eastAsia="Times New Roman"/>
                <w:sz w:val="18"/>
                <w:szCs w:val="18"/>
              </w:rPr>
            </w:pPr>
            <w:r w:rsidRPr="00B71F92">
              <w:rPr>
                <w:rFonts w:eastAsia="Times New Roman"/>
                <w:b/>
                <w:bCs/>
                <w:sz w:val="18"/>
                <w:szCs w:val="18"/>
              </w:rPr>
              <w:t>Race (White)</w:t>
            </w:r>
          </w:p>
        </w:tc>
        <w:tc>
          <w:tcPr>
            <w:tcW w:w="152" w:type="pct"/>
            <w:tcBorders>
              <w:top w:val="single" w:sz="4" w:space="0" w:color="auto"/>
              <w:left w:val="single" w:sz="12" w:space="0" w:color="auto"/>
              <w:bottom w:val="nil"/>
            </w:tcBorders>
            <w:noWrap/>
            <w:vAlign w:val="center"/>
          </w:tcPr>
          <w:p w14:paraId="0934BDAB"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bottom w:val="nil"/>
              <w:right w:val="single" w:sz="12" w:space="0" w:color="auto"/>
            </w:tcBorders>
            <w:noWrap/>
            <w:vAlign w:val="center"/>
          </w:tcPr>
          <w:p w14:paraId="475D0417" w14:textId="77777777" w:rsidR="008B6B35" w:rsidRPr="00B71F92" w:rsidRDefault="008B6B35" w:rsidP="00730932">
            <w:pPr>
              <w:spacing w:after="0" w:line="240" w:lineRule="auto"/>
              <w:jc w:val="right"/>
              <w:rPr>
                <w:rFonts w:eastAsia="Times New Roman"/>
                <w:sz w:val="18"/>
                <w:szCs w:val="18"/>
              </w:rPr>
            </w:pPr>
          </w:p>
        </w:tc>
        <w:tc>
          <w:tcPr>
            <w:tcW w:w="182" w:type="pct"/>
            <w:tcBorders>
              <w:top w:val="single" w:sz="4" w:space="0" w:color="auto"/>
              <w:left w:val="single" w:sz="12" w:space="0" w:color="auto"/>
              <w:bottom w:val="nil"/>
            </w:tcBorders>
            <w:noWrap/>
            <w:vAlign w:val="center"/>
          </w:tcPr>
          <w:p w14:paraId="5672BE52"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0AFC3313"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084006DE" w14:textId="77777777" w:rsidR="008B6B35" w:rsidRPr="00B71F92" w:rsidRDefault="008B6B35" w:rsidP="00730932">
            <w:pPr>
              <w:spacing w:after="0" w:line="240" w:lineRule="auto"/>
              <w:jc w:val="right"/>
              <w:rPr>
                <w:rFonts w:eastAsia="Times New Roman"/>
                <w:sz w:val="18"/>
                <w:szCs w:val="18"/>
              </w:rPr>
            </w:pPr>
          </w:p>
        </w:tc>
        <w:tc>
          <w:tcPr>
            <w:tcW w:w="183" w:type="pct"/>
            <w:tcBorders>
              <w:top w:val="single" w:sz="4" w:space="0" w:color="auto"/>
              <w:bottom w:val="nil"/>
              <w:right w:val="single" w:sz="6" w:space="0" w:color="auto"/>
            </w:tcBorders>
            <w:noWrap/>
            <w:vAlign w:val="center"/>
          </w:tcPr>
          <w:p w14:paraId="1B543783"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08E24D4C" w14:textId="77777777" w:rsidR="008B6B35" w:rsidRPr="00B71F92" w:rsidRDefault="008B6B35" w:rsidP="00730932">
            <w:pPr>
              <w:spacing w:after="0" w:line="240" w:lineRule="auto"/>
              <w:jc w:val="right"/>
              <w:rPr>
                <w:rFonts w:eastAsia="Times New Roman"/>
                <w:sz w:val="18"/>
                <w:szCs w:val="18"/>
              </w:rPr>
            </w:pPr>
          </w:p>
        </w:tc>
        <w:tc>
          <w:tcPr>
            <w:tcW w:w="154" w:type="pct"/>
            <w:tcBorders>
              <w:top w:val="single" w:sz="4" w:space="0" w:color="auto"/>
              <w:bottom w:val="nil"/>
              <w:right w:val="single" w:sz="6" w:space="0" w:color="auto"/>
            </w:tcBorders>
            <w:noWrap/>
            <w:vAlign w:val="center"/>
          </w:tcPr>
          <w:p w14:paraId="6CBC12A1"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0623A945"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21217C6F"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1CAF62ED"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0F72E535"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45CFE431"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5371FFA5"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57694098" w14:textId="77777777" w:rsidR="008B6B35" w:rsidRPr="00B71F92" w:rsidRDefault="008B6B35" w:rsidP="00730932">
            <w:pPr>
              <w:spacing w:after="0" w:line="240" w:lineRule="auto"/>
              <w:jc w:val="right"/>
              <w:rPr>
                <w:rFonts w:eastAsia="Times New Roman"/>
                <w:sz w:val="18"/>
                <w:szCs w:val="18"/>
              </w:rPr>
            </w:pPr>
          </w:p>
        </w:tc>
        <w:tc>
          <w:tcPr>
            <w:tcW w:w="173" w:type="pct"/>
            <w:tcBorders>
              <w:top w:val="single" w:sz="4" w:space="0" w:color="auto"/>
              <w:bottom w:val="nil"/>
              <w:right w:val="single" w:sz="6" w:space="0" w:color="auto"/>
            </w:tcBorders>
            <w:noWrap/>
            <w:vAlign w:val="center"/>
          </w:tcPr>
          <w:p w14:paraId="7BDFF762"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5A226795"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74EC9811"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3392B552" w14:textId="77777777" w:rsidR="008B6B35" w:rsidRPr="00B71F92" w:rsidRDefault="008B6B35" w:rsidP="00730932">
            <w:pPr>
              <w:spacing w:after="0" w:line="240" w:lineRule="auto"/>
              <w:jc w:val="right"/>
              <w:rPr>
                <w:rFonts w:eastAsia="Times New Roman"/>
                <w:sz w:val="18"/>
                <w:szCs w:val="18"/>
              </w:rPr>
            </w:pPr>
          </w:p>
        </w:tc>
        <w:tc>
          <w:tcPr>
            <w:tcW w:w="153" w:type="pct"/>
            <w:tcBorders>
              <w:top w:val="single" w:sz="4" w:space="0" w:color="auto"/>
              <w:bottom w:val="nil"/>
              <w:right w:val="single" w:sz="6" w:space="0" w:color="auto"/>
            </w:tcBorders>
            <w:noWrap/>
            <w:vAlign w:val="center"/>
          </w:tcPr>
          <w:p w14:paraId="1E42C90F"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vAlign w:val="center"/>
          </w:tcPr>
          <w:p w14:paraId="0327F5C2" w14:textId="77777777" w:rsidR="008B6B35" w:rsidRPr="00B71F92" w:rsidRDefault="008B6B35" w:rsidP="00730932">
            <w:pPr>
              <w:spacing w:after="0" w:line="240" w:lineRule="auto"/>
              <w:jc w:val="right"/>
              <w:rPr>
                <w:rFonts w:eastAsia="Times New Roman"/>
                <w:sz w:val="18"/>
                <w:szCs w:val="18"/>
              </w:rPr>
            </w:pPr>
          </w:p>
        </w:tc>
        <w:tc>
          <w:tcPr>
            <w:tcW w:w="155" w:type="pct"/>
            <w:tcBorders>
              <w:top w:val="single" w:sz="4" w:space="0" w:color="auto"/>
              <w:bottom w:val="nil"/>
              <w:right w:val="single" w:sz="8" w:space="0" w:color="auto"/>
            </w:tcBorders>
            <w:noWrap/>
            <w:vAlign w:val="center"/>
          </w:tcPr>
          <w:p w14:paraId="2F0BB485"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8" w:space="0" w:color="auto"/>
              <w:bottom w:val="nil"/>
            </w:tcBorders>
            <w:vAlign w:val="center"/>
          </w:tcPr>
          <w:p w14:paraId="6F193020" w14:textId="77777777" w:rsidR="008B6B35" w:rsidRPr="00B71F92" w:rsidRDefault="008B6B35" w:rsidP="00730932">
            <w:pPr>
              <w:spacing w:after="0" w:line="240" w:lineRule="auto"/>
              <w:jc w:val="right"/>
              <w:rPr>
                <w:rFonts w:eastAsia="Times New Roman"/>
                <w:sz w:val="18"/>
                <w:szCs w:val="18"/>
              </w:rPr>
            </w:pPr>
          </w:p>
        </w:tc>
        <w:tc>
          <w:tcPr>
            <w:tcW w:w="191" w:type="pct"/>
            <w:tcBorders>
              <w:top w:val="single" w:sz="4" w:space="0" w:color="auto"/>
              <w:bottom w:val="nil"/>
              <w:right w:val="single" w:sz="12" w:space="0" w:color="auto"/>
            </w:tcBorders>
            <w:vAlign w:val="center"/>
          </w:tcPr>
          <w:p w14:paraId="34583C5A" w14:textId="77777777" w:rsidR="008B6B35" w:rsidRPr="00B71F92" w:rsidRDefault="008B6B35" w:rsidP="00730932">
            <w:pPr>
              <w:spacing w:after="0" w:line="240" w:lineRule="auto"/>
              <w:jc w:val="right"/>
              <w:rPr>
                <w:rFonts w:eastAsia="Times New Roman"/>
                <w:sz w:val="18"/>
                <w:szCs w:val="18"/>
              </w:rPr>
            </w:pPr>
          </w:p>
        </w:tc>
      </w:tr>
      <w:tr w:rsidR="008B6B35" w:rsidRPr="00B71F92" w14:paraId="00FC07C5"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5E65AF4D"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Asian</w:t>
            </w:r>
          </w:p>
        </w:tc>
        <w:tc>
          <w:tcPr>
            <w:tcW w:w="152" w:type="pct"/>
            <w:tcBorders>
              <w:top w:val="nil"/>
              <w:left w:val="single" w:sz="12" w:space="0" w:color="auto"/>
              <w:bottom w:val="nil"/>
            </w:tcBorders>
            <w:noWrap/>
            <w:vAlign w:val="bottom"/>
            <w:hideMark/>
          </w:tcPr>
          <w:p w14:paraId="7E030BF0" w14:textId="77777777" w:rsidR="008B6B35" w:rsidRPr="00B71F92" w:rsidRDefault="008B6B35" w:rsidP="00730932">
            <w:pPr>
              <w:spacing w:after="0" w:line="240" w:lineRule="auto"/>
              <w:jc w:val="right"/>
              <w:rPr>
                <w:rFonts w:eastAsia="Times New Roman"/>
                <w:sz w:val="18"/>
                <w:szCs w:val="18"/>
              </w:rPr>
            </w:pPr>
            <w:r w:rsidRPr="00B71F92">
              <w:rPr>
                <w:sz w:val="18"/>
                <w:szCs w:val="18"/>
              </w:rPr>
              <w:t>0.10</w:t>
            </w:r>
          </w:p>
        </w:tc>
        <w:tc>
          <w:tcPr>
            <w:tcW w:w="152" w:type="pct"/>
            <w:tcBorders>
              <w:top w:val="nil"/>
              <w:bottom w:val="nil"/>
              <w:right w:val="single" w:sz="12" w:space="0" w:color="auto"/>
            </w:tcBorders>
            <w:noWrap/>
            <w:vAlign w:val="bottom"/>
          </w:tcPr>
          <w:p w14:paraId="55EDF6C3" w14:textId="77777777" w:rsidR="008B6B35" w:rsidRPr="00B71F92" w:rsidRDefault="008B6B35" w:rsidP="00730932">
            <w:pPr>
              <w:spacing w:after="0" w:line="240" w:lineRule="auto"/>
              <w:jc w:val="right"/>
              <w:rPr>
                <w:rFonts w:eastAsia="Times New Roman"/>
                <w:sz w:val="18"/>
                <w:szCs w:val="18"/>
              </w:rPr>
            </w:pPr>
            <w:r w:rsidRPr="00B71F92">
              <w:rPr>
                <w:sz w:val="18"/>
                <w:szCs w:val="18"/>
              </w:rPr>
              <w:t>1.88</w:t>
            </w:r>
          </w:p>
        </w:tc>
        <w:tc>
          <w:tcPr>
            <w:tcW w:w="182" w:type="pct"/>
            <w:tcBorders>
              <w:top w:val="nil"/>
              <w:left w:val="single" w:sz="12" w:space="0" w:color="auto"/>
              <w:bottom w:val="nil"/>
            </w:tcBorders>
            <w:noWrap/>
            <w:vAlign w:val="bottom"/>
          </w:tcPr>
          <w:p w14:paraId="25208B5B" w14:textId="77777777" w:rsidR="008B6B35" w:rsidRPr="00B71F92" w:rsidRDefault="008B6B35" w:rsidP="00730932">
            <w:pPr>
              <w:spacing w:after="0" w:line="240" w:lineRule="auto"/>
              <w:jc w:val="right"/>
              <w:rPr>
                <w:rFonts w:eastAsia="Times New Roman"/>
                <w:sz w:val="18"/>
                <w:szCs w:val="18"/>
              </w:rPr>
            </w:pPr>
            <w:r w:rsidRPr="00B71F92">
              <w:rPr>
                <w:sz w:val="18"/>
                <w:szCs w:val="18"/>
              </w:rPr>
              <w:t>0.19</w:t>
            </w:r>
          </w:p>
        </w:tc>
        <w:tc>
          <w:tcPr>
            <w:tcW w:w="153" w:type="pct"/>
            <w:tcBorders>
              <w:top w:val="nil"/>
              <w:bottom w:val="nil"/>
              <w:right w:val="single" w:sz="6" w:space="0" w:color="auto"/>
            </w:tcBorders>
            <w:noWrap/>
            <w:vAlign w:val="bottom"/>
          </w:tcPr>
          <w:p w14:paraId="6C8EE6D7" w14:textId="77777777" w:rsidR="008B6B35" w:rsidRPr="00B71F92" w:rsidRDefault="008B6B35" w:rsidP="00730932">
            <w:pPr>
              <w:spacing w:after="0" w:line="240" w:lineRule="auto"/>
              <w:jc w:val="right"/>
              <w:rPr>
                <w:rFonts w:eastAsia="Times New Roman"/>
                <w:sz w:val="18"/>
                <w:szCs w:val="18"/>
              </w:rPr>
            </w:pPr>
            <w:r w:rsidRPr="00B71F92">
              <w:rPr>
                <w:sz w:val="18"/>
                <w:szCs w:val="18"/>
              </w:rPr>
              <w:t>1.88</w:t>
            </w:r>
          </w:p>
        </w:tc>
        <w:tc>
          <w:tcPr>
            <w:tcW w:w="152" w:type="pct"/>
            <w:tcBorders>
              <w:top w:val="nil"/>
              <w:left w:val="single" w:sz="6" w:space="0" w:color="auto"/>
              <w:bottom w:val="nil"/>
            </w:tcBorders>
            <w:noWrap/>
          </w:tcPr>
          <w:p w14:paraId="413ABC9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0560E74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7194ADFC" w14:textId="77777777" w:rsidR="008B6B35" w:rsidRPr="00B71F92" w:rsidRDefault="008B6B35" w:rsidP="00730932">
            <w:pPr>
              <w:spacing w:after="0" w:line="240" w:lineRule="auto"/>
              <w:jc w:val="right"/>
              <w:rPr>
                <w:rFonts w:eastAsia="Times New Roman"/>
                <w:sz w:val="18"/>
                <w:szCs w:val="18"/>
              </w:rPr>
            </w:pPr>
            <w:r w:rsidRPr="00B71F92">
              <w:rPr>
                <w:sz w:val="18"/>
                <w:szCs w:val="18"/>
              </w:rPr>
              <w:t>-0.28</w:t>
            </w:r>
          </w:p>
        </w:tc>
        <w:tc>
          <w:tcPr>
            <w:tcW w:w="154" w:type="pct"/>
            <w:tcBorders>
              <w:top w:val="nil"/>
              <w:bottom w:val="nil"/>
              <w:right w:val="single" w:sz="6" w:space="0" w:color="auto"/>
            </w:tcBorders>
            <w:noWrap/>
            <w:vAlign w:val="bottom"/>
          </w:tcPr>
          <w:p w14:paraId="6FE382AC" w14:textId="77777777" w:rsidR="008B6B35" w:rsidRPr="00B71F92" w:rsidRDefault="008B6B35" w:rsidP="00730932">
            <w:pPr>
              <w:spacing w:after="0" w:line="240" w:lineRule="auto"/>
              <w:jc w:val="right"/>
              <w:rPr>
                <w:rFonts w:eastAsia="Times New Roman"/>
                <w:sz w:val="18"/>
                <w:szCs w:val="18"/>
              </w:rPr>
            </w:pPr>
            <w:r w:rsidRPr="00B71F92">
              <w:rPr>
                <w:sz w:val="18"/>
                <w:szCs w:val="18"/>
              </w:rPr>
              <w:t>-2.21</w:t>
            </w:r>
          </w:p>
        </w:tc>
        <w:tc>
          <w:tcPr>
            <w:tcW w:w="152" w:type="pct"/>
            <w:tcBorders>
              <w:top w:val="nil"/>
              <w:left w:val="single" w:sz="6" w:space="0" w:color="auto"/>
              <w:bottom w:val="nil"/>
            </w:tcBorders>
            <w:noWrap/>
            <w:vAlign w:val="bottom"/>
          </w:tcPr>
          <w:p w14:paraId="0618F082" w14:textId="77777777" w:rsidR="008B6B35" w:rsidRPr="00B71F92" w:rsidRDefault="008B6B35" w:rsidP="00730932">
            <w:pPr>
              <w:spacing w:after="0" w:line="240" w:lineRule="auto"/>
              <w:jc w:val="right"/>
              <w:rPr>
                <w:rFonts w:eastAsia="Times New Roman"/>
                <w:sz w:val="18"/>
                <w:szCs w:val="18"/>
              </w:rPr>
            </w:pPr>
            <w:r w:rsidRPr="00B71F92">
              <w:rPr>
                <w:sz w:val="18"/>
                <w:szCs w:val="18"/>
              </w:rPr>
              <w:t>0.22</w:t>
            </w:r>
          </w:p>
        </w:tc>
        <w:tc>
          <w:tcPr>
            <w:tcW w:w="153" w:type="pct"/>
            <w:tcBorders>
              <w:top w:val="nil"/>
              <w:bottom w:val="nil"/>
              <w:right w:val="single" w:sz="6" w:space="0" w:color="auto"/>
            </w:tcBorders>
            <w:noWrap/>
            <w:vAlign w:val="bottom"/>
          </w:tcPr>
          <w:p w14:paraId="05CF4D9F" w14:textId="77777777" w:rsidR="008B6B35" w:rsidRPr="00B71F92" w:rsidRDefault="008B6B35" w:rsidP="00730932">
            <w:pPr>
              <w:spacing w:after="0" w:line="240" w:lineRule="auto"/>
              <w:jc w:val="right"/>
              <w:rPr>
                <w:rFonts w:eastAsia="Times New Roman"/>
                <w:sz w:val="18"/>
                <w:szCs w:val="18"/>
              </w:rPr>
            </w:pPr>
            <w:r w:rsidRPr="00B71F92">
              <w:rPr>
                <w:sz w:val="18"/>
                <w:szCs w:val="18"/>
              </w:rPr>
              <w:t>1.86</w:t>
            </w:r>
          </w:p>
        </w:tc>
        <w:tc>
          <w:tcPr>
            <w:tcW w:w="152" w:type="pct"/>
            <w:tcBorders>
              <w:top w:val="nil"/>
              <w:left w:val="single" w:sz="6" w:space="0" w:color="auto"/>
              <w:bottom w:val="nil"/>
            </w:tcBorders>
            <w:noWrap/>
          </w:tcPr>
          <w:p w14:paraId="7CE18E8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4267D2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39B46F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6FE1B7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D7084B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30A11EB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3023A347" w14:textId="77777777" w:rsidR="008B6B35" w:rsidRPr="00B71F92" w:rsidRDefault="008B6B35" w:rsidP="00730932">
            <w:pPr>
              <w:spacing w:after="0" w:line="240" w:lineRule="auto"/>
              <w:jc w:val="right"/>
              <w:rPr>
                <w:rFonts w:eastAsia="Times New Roman"/>
                <w:sz w:val="18"/>
                <w:szCs w:val="18"/>
              </w:rPr>
            </w:pPr>
            <w:r w:rsidRPr="00B71F92">
              <w:rPr>
                <w:sz w:val="18"/>
                <w:szCs w:val="18"/>
              </w:rPr>
              <w:t>0.32</w:t>
            </w:r>
          </w:p>
        </w:tc>
        <w:tc>
          <w:tcPr>
            <w:tcW w:w="153" w:type="pct"/>
            <w:tcBorders>
              <w:top w:val="nil"/>
              <w:bottom w:val="nil"/>
              <w:right w:val="single" w:sz="6" w:space="0" w:color="auto"/>
            </w:tcBorders>
            <w:noWrap/>
            <w:vAlign w:val="bottom"/>
          </w:tcPr>
          <w:p w14:paraId="623BA3FF" w14:textId="77777777" w:rsidR="008B6B35" w:rsidRPr="00B71F92" w:rsidRDefault="008B6B35" w:rsidP="00730932">
            <w:pPr>
              <w:spacing w:after="0" w:line="240" w:lineRule="auto"/>
              <w:jc w:val="right"/>
              <w:rPr>
                <w:rFonts w:eastAsia="Times New Roman"/>
                <w:sz w:val="18"/>
                <w:szCs w:val="18"/>
              </w:rPr>
            </w:pPr>
            <w:r w:rsidRPr="00B71F92">
              <w:rPr>
                <w:sz w:val="18"/>
                <w:szCs w:val="18"/>
              </w:rPr>
              <w:t>1.91</w:t>
            </w:r>
          </w:p>
        </w:tc>
        <w:tc>
          <w:tcPr>
            <w:tcW w:w="152" w:type="pct"/>
            <w:tcBorders>
              <w:top w:val="nil"/>
              <w:left w:val="single" w:sz="6" w:space="0" w:color="auto"/>
              <w:bottom w:val="nil"/>
            </w:tcBorders>
            <w:noWrap/>
          </w:tcPr>
          <w:p w14:paraId="250F593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8DF265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03CEC5C1"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5" w:type="pct"/>
            <w:tcBorders>
              <w:top w:val="nil"/>
              <w:bottom w:val="nil"/>
              <w:right w:val="single" w:sz="8" w:space="0" w:color="auto"/>
            </w:tcBorders>
            <w:noWrap/>
            <w:vAlign w:val="bottom"/>
          </w:tcPr>
          <w:p w14:paraId="2E85310A"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nil"/>
              <w:left w:val="single" w:sz="8" w:space="0" w:color="auto"/>
              <w:bottom w:val="nil"/>
            </w:tcBorders>
            <w:vAlign w:val="bottom"/>
          </w:tcPr>
          <w:p w14:paraId="46B721C0" w14:textId="77777777" w:rsidR="008B6B35" w:rsidRPr="00B71F92" w:rsidRDefault="008B6B35" w:rsidP="00730932">
            <w:pPr>
              <w:spacing w:after="0" w:line="240" w:lineRule="auto"/>
              <w:jc w:val="right"/>
              <w:rPr>
                <w:rFonts w:eastAsia="Times New Roman"/>
                <w:sz w:val="18"/>
                <w:szCs w:val="18"/>
              </w:rPr>
            </w:pPr>
            <w:r w:rsidRPr="00B71F92">
              <w:rPr>
                <w:sz w:val="18"/>
                <w:szCs w:val="18"/>
              </w:rPr>
              <w:t>-0.35</w:t>
            </w:r>
          </w:p>
        </w:tc>
        <w:tc>
          <w:tcPr>
            <w:tcW w:w="191" w:type="pct"/>
            <w:tcBorders>
              <w:top w:val="nil"/>
              <w:bottom w:val="nil"/>
              <w:right w:val="single" w:sz="12" w:space="0" w:color="auto"/>
            </w:tcBorders>
            <w:vAlign w:val="bottom"/>
          </w:tcPr>
          <w:p w14:paraId="7A96A9C6" w14:textId="77777777" w:rsidR="008B6B35" w:rsidRPr="00B71F92" w:rsidRDefault="008B6B35" w:rsidP="00730932">
            <w:pPr>
              <w:spacing w:after="0" w:line="240" w:lineRule="auto"/>
              <w:jc w:val="right"/>
              <w:rPr>
                <w:rFonts w:eastAsia="Times New Roman"/>
                <w:sz w:val="18"/>
                <w:szCs w:val="18"/>
              </w:rPr>
            </w:pPr>
            <w:r w:rsidRPr="00B71F92">
              <w:rPr>
                <w:sz w:val="18"/>
                <w:szCs w:val="18"/>
              </w:rPr>
              <w:t>-1.90</w:t>
            </w:r>
          </w:p>
        </w:tc>
      </w:tr>
      <w:tr w:rsidR="008B6B35" w:rsidRPr="00B71F92" w14:paraId="6296A052"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5FC2C756" w14:textId="77777777" w:rsidR="008B6B35" w:rsidRPr="00B71F92" w:rsidRDefault="008B6B35" w:rsidP="00730932">
            <w:pPr>
              <w:spacing w:after="0" w:line="240" w:lineRule="auto"/>
              <w:rPr>
                <w:rFonts w:eastAsia="Times New Roman"/>
                <w:b/>
                <w:bCs/>
                <w:sz w:val="18"/>
                <w:szCs w:val="18"/>
              </w:rPr>
            </w:pPr>
            <w:r w:rsidRPr="00B71F92">
              <w:rPr>
                <w:rFonts w:eastAsia="Times New Roman"/>
                <w:sz w:val="18"/>
                <w:szCs w:val="18"/>
              </w:rPr>
              <w:t xml:space="preserve">    Asian * 2021 Shift</w:t>
            </w:r>
          </w:p>
        </w:tc>
        <w:tc>
          <w:tcPr>
            <w:tcW w:w="152" w:type="pct"/>
            <w:tcBorders>
              <w:top w:val="nil"/>
              <w:left w:val="single" w:sz="12" w:space="0" w:color="auto"/>
              <w:bottom w:val="nil"/>
            </w:tcBorders>
            <w:noWrap/>
            <w:hideMark/>
          </w:tcPr>
          <w:p w14:paraId="4E6625FA" w14:textId="77777777" w:rsidR="008B6B35" w:rsidRPr="00B71F92" w:rsidRDefault="008B6B35" w:rsidP="00730932">
            <w:pPr>
              <w:spacing w:after="0" w:line="240" w:lineRule="auto"/>
              <w:jc w:val="right"/>
              <w:rPr>
                <w:rFonts w:eastAsia="Times New Roman"/>
                <w:b/>
                <w:bCs/>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3FCBD72A"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0A0A3CF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5D1162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14CF61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0089DB9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3B95C9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3922B99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436396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F443D8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7F9C84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48509E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ED9F96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B40A78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A679CB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73F4EF9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697D06B" w14:textId="77777777" w:rsidR="008B6B35" w:rsidRPr="00B71F92" w:rsidRDefault="008B6B35" w:rsidP="00730932">
            <w:pPr>
              <w:spacing w:after="0" w:line="240" w:lineRule="auto"/>
              <w:jc w:val="right"/>
              <w:rPr>
                <w:rFonts w:eastAsia="Times New Roman"/>
                <w:sz w:val="18"/>
                <w:szCs w:val="18"/>
              </w:rPr>
            </w:pPr>
            <w:r w:rsidRPr="00B71F92">
              <w:rPr>
                <w:sz w:val="18"/>
                <w:szCs w:val="18"/>
              </w:rPr>
              <w:t>-0.59</w:t>
            </w:r>
          </w:p>
        </w:tc>
        <w:tc>
          <w:tcPr>
            <w:tcW w:w="153" w:type="pct"/>
            <w:tcBorders>
              <w:top w:val="nil"/>
              <w:bottom w:val="nil"/>
              <w:right w:val="single" w:sz="6" w:space="0" w:color="auto"/>
            </w:tcBorders>
            <w:noWrap/>
            <w:vAlign w:val="bottom"/>
          </w:tcPr>
          <w:p w14:paraId="59234FA4" w14:textId="77777777" w:rsidR="008B6B35" w:rsidRPr="00B71F92" w:rsidRDefault="008B6B35" w:rsidP="00730932">
            <w:pPr>
              <w:spacing w:after="0" w:line="240" w:lineRule="auto"/>
              <w:jc w:val="right"/>
              <w:rPr>
                <w:rFonts w:eastAsia="Times New Roman"/>
                <w:sz w:val="18"/>
                <w:szCs w:val="18"/>
              </w:rPr>
            </w:pPr>
            <w:r w:rsidRPr="00B71F92">
              <w:rPr>
                <w:sz w:val="18"/>
                <w:szCs w:val="18"/>
              </w:rPr>
              <w:t>-2.09</w:t>
            </w:r>
          </w:p>
        </w:tc>
        <w:tc>
          <w:tcPr>
            <w:tcW w:w="152" w:type="pct"/>
            <w:tcBorders>
              <w:top w:val="nil"/>
              <w:left w:val="single" w:sz="6" w:space="0" w:color="auto"/>
              <w:bottom w:val="nil"/>
            </w:tcBorders>
            <w:noWrap/>
          </w:tcPr>
          <w:p w14:paraId="3AB33E5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96A66F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1FC0A4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4D22769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3E2C7F4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right w:val="single" w:sz="12" w:space="0" w:color="auto"/>
            </w:tcBorders>
            <w:vAlign w:val="center"/>
          </w:tcPr>
          <w:p w14:paraId="4C1BD3BC" w14:textId="77777777" w:rsidR="008B6B35" w:rsidRPr="00B71F92" w:rsidRDefault="008B6B35" w:rsidP="00730932">
            <w:pPr>
              <w:spacing w:after="0" w:line="240" w:lineRule="auto"/>
              <w:jc w:val="right"/>
              <w:rPr>
                <w:rFonts w:eastAsia="Times New Roman"/>
                <w:sz w:val="18"/>
                <w:szCs w:val="18"/>
              </w:rPr>
            </w:pPr>
          </w:p>
        </w:tc>
      </w:tr>
      <w:tr w:rsidR="008B6B35" w:rsidRPr="00B71F92" w14:paraId="3A4E40E2"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47915F80"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Asian * 2023 Shift</w:t>
            </w:r>
          </w:p>
        </w:tc>
        <w:tc>
          <w:tcPr>
            <w:tcW w:w="152" w:type="pct"/>
            <w:tcBorders>
              <w:top w:val="nil"/>
              <w:left w:val="single" w:sz="12" w:space="0" w:color="auto"/>
              <w:bottom w:val="nil"/>
            </w:tcBorders>
            <w:noWrap/>
            <w:hideMark/>
          </w:tcPr>
          <w:p w14:paraId="2F09990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1E41629D"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4D70E12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E7B416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59890640"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83" w:type="pct"/>
            <w:tcBorders>
              <w:top w:val="nil"/>
              <w:bottom w:val="nil"/>
              <w:right w:val="single" w:sz="6" w:space="0" w:color="auto"/>
            </w:tcBorders>
            <w:noWrap/>
            <w:vAlign w:val="bottom"/>
          </w:tcPr>
          <w:p w14:paraId="78C1AC93" w14:textId="77777777" w:rsidR="008B6B35" w:rsidRPr="00B71F92" w:rsidRDefault="008B6B35" w:rsidP="00730932">
            <w:pPr>
              <w:spacing w:after="0" w:line="240" w:lineRule="auto"/>
              <w:jc w:val="right"/>
              <w:rPr>
                <w:rFonts w:eastAsia="Times New Roman"/>
                <w:sz w:val="18"/>
                <w:szCs w:val="18"/>
              </w:rPr>
            </w:pPr>
            <w:r w:rsidRPr="00B71F92">
              <w:rPr>
                <w:sz w:val="18"/>
                <w:szCs w:val="18"/>
              </w:rPr>
              <w:t>-1.92</w:t>
            </w:r>
          </w:p>
        </w:tc>
        <w:tc>
          <w:tcPr>
            <w:tcW w:w="152" w:type="pct"/>
            <w:tcBorders>
              <w:top w:val="nil"/>
              <w:left w:val="single" w:sz="6" w:space="0" w:color="auto"/>
              <w:bottom w:val="nil"/>
            </w:tcBorders>
            <w:noWrap/>
            <w:vAlign w:val="bottom"/>
          </w:tcPr>
          <w:p w14:paraId="39066FC0" w14:textId="77777777" w:rsidR="008B6B35" w:rsidRPr="00B71F92" w:rsidRDefault="008B6B35" w:rsidP="00730932">
            <w:pPr>
              <w:spacing w:after="0" w:line="240" w:lineRule="auto"/>
              <w:jc w:val="right"/>
              <w:rPr>
                <w:rFonts w:eastAsia="Times New Roman"/>
                <w:sz w:val="18"/>
                <w:szCs w:val="18"/>
              </w:rPr>
            </w:pPr>
            <w:r w:rsidRPr="00B71F92">
              <w:rPr>
                <w:sz w:val="18"/>
                <w:szCs w:val="18"/>
              </w:rPr>
              <w:t>0.42</w:t>
            </w:r>
          </w:p>
        </w:tc>
        <w:tc>
          <w:tcPr>
            <w:tcW w:w="154" w:type="pct"/>
            <w:tcBorders>
              <w:top w:val="nil"/>
              <w:bottom w:val="nil"/>
              <w:right w:val="single" w:sz="6" w:space="0" w:color="auto"/>
            </w:tcBorders>
            <w:noWrap/>
            <w:vAlign w:val="bottom"/>
          </w:tcPr>
          <w:p w14:paraId="46F9E567" w14:textId="77777777" w:rsidR="008B6B35" w:rsidRPr="00B71F92" w:rsidRDefault="008B6B35" w:rsidP="00730932">
            <w:pPr>
              <w:spacing w:after="0" w:line="240" w:lineRule="auto"/>
              <w:jc w:val="right"/>
              <w:rPr>
                <w:rFonts w:eastAsia="Times New Roman"/>
                <w:sz w:val="18"/>
                <w:szCs w:val="18"/>
              </w:rPr>
            </w:pPr>
            <w:r w:rsidRPr="00B71F92">
              <w:rPr>
                <w:sz w:val="18"/>
                <w:szCs w:val="18"/>
              </w:rPr>
              <w:t>2.06</w:t>
            </w:r>
          </w:p>
        </w:tc>
        <w:tc>
          <w:tcPr>
            <w:tcW w:w="152" w:type="pct"/>
            <w:tcBorders>
              <w:top w:val="nil"/>
              <w:left w:val="single" w:sz="6" w:space="0" w:color="auto"/>
              <w:bottom w:val="nil"/>
            </w:tcBorders>
            <w:noWrap/>
            <w:vAlign w:val="bottom"/>
          </w:tcPr>
          <w:p w14:paraId="7BE27349"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3" w:type="pct"/>
            <w:tcBorders>
              <w:top w:val="nil"/>
              <w:bottom w:val="nil"/>
              <w:right w:val="single" w:sz="6" w:space="0" w:color="auto"/>
            </w:tcBorders>
            <w:noWrap/>
            <w:vAlign w:val="bottom"/>
          </w:tcPr>
          <w:p w14:paraId="396DB3AD" w14:textId="77777777" w:rsidR="008B6B35" w:rsidRPr="00B71F92" w:rsidRDefault="008B6B35" w:rsidP="00730932">
            <w:pPr>
              <w:spacing w:after="0" w:line="240" w:lineRule="auto"/>
              <w:jc w:val="right"/>
              <w:rPr>
                <w:rFonts w:eastAsia="Times New Roman"/>
                <w:sz w:val="18"/>
                <w:szCs w:val="18"/>
              </w:rPr>
            </w:pPr>
            <w:r w:rsidRPr="00B71F92">
              <w:rPr>
                <w:sz w:val="18"/>
                <w:szCs w:val="18"/>
              </w:rPr>
              <w:t>-1.94</w:t>
            </w:r>
          </w:p>
        </w:tc>
        <w:tc>
          <w:tcPr>
            <w:tcW w:w="152" w:type="pct"/>
            <w:tcBorders>
              <w:top w:val="nil"/>
              <w:left w:val="single" w:sz="6" w:space="0" w:color="auto"/>
              <w:bottom w:val="nil"/>
            </w:tcBorders>
            <w:noWrap/>
          </w:tcPr>
          <w:p w14:paraId="4092CCF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ACCEBE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282D92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0D19E0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4A7A1B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1DF31AE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25B1530" w14:textId="77777777" w:rsidR="008B6B35" w:rsidRPr="00B71F92" w:rsidRDefault="008B6B35" w:rsidP="00730932">
            <w:pPr>
              <w:spacing w:after="0" w:line="240" w:lineRule="auto"/>
              <w:jc w:val="right"/>
              <w:rPr>
                <w:rFonts w:eastAsia="Times New Roman"/>
                <w:sz w:val="18"/>
                <w:szCs w:val="18"/>
              </w:rPr>
            </w:pPr>
            <w:r w:rsidRPr="00B71F92">
              <w:rPr>
                <w:sz w:val="18"/>
                <w:szCs w:val="18"/>
              </w:rPr>
              <w:t>0.40</w:t>
            </w:r>
          </w:p>
        </w:tc>
        <w:tc>
          <w:tcPr>
            <w:tcW w:w="153" w:type="pct"/>
            <w:tcBorders>
              <w:top w:val="nil"/>
              <w:bottom w:val="nil"/>
              <w:right w:val="single" w:sz="6" w:space="0" w:color="auto"/>
            </w:tcBorders>
            <w:noWrap/>
            <w:vAlign w:val="bottom"/>
          </w:tcPr>
          <w:p w14:paraId="4B48980C" w14:textId="77777777" w:rsidR="008B6B35" w:rsidRPr="00B71F92" w:rsidRDefault="008B6B35" w:rsidP="00730932">
            <w:pPr>
              <w:spacing w:after="0" w:line="240" w:lineRule="auto"/>
              <w:jc w:val="right"/>
              <w:rPr>
                <w:rFonts w:eastAsia="Times New Roman"/>
                <w:sz w:val="18"/>
                <w:szCs w:val="18"/>
              </w:rPr>
            </w:pPr>
            <w:r w:rsidRPr="00B71F92">
              <w:rPr>
                <w:sz w:val="18"/>
                <w:szCs w:val="18"/>
              </w:rPr>
              <w:t>2.14</w:t>
            </w:r>
          </w:p>
        </w:tc>
        <w:tc>
          <w:tcPr>
            <w:tcW w:w="152" w:type="pct"/>
            <w:tcBorders>
              <w:top w:val="nil"/>
              <w:left w:val="single" w:sz="6" w:space="0" w:color="auto"/>
              <w:bottom w:val="nil"/>
            </w:tcBorders>
            <w:noWrap/>
            <w:vAlign w:val="bottom"/>
          </w:tcPr>
          <w:p w14:paraId="3AFDD462" w14:textId="77777777" w:rsidR="008B6B35" w:rsidRPr="00B71F92" w:rsidRDefault="008B6B35" w:rsidP="00730932">
            <w:pPr>
              <w:spacing w:after="0" w:line="240" w:lineRule="auto"/>
              <w:jc w:val="right"/>
              <w:rPr>
                <w:rFonts w:eastAsia="Times New Roman"/>
                <w:sz w:val="18"/>
                <w:szCs w:val="18"/>
              </w:rPr>
            </w:pPr>
            <w:r w:rsidRPr="00B71F92">
              <w:rPr>
                <w:sz w:val="18"/>
                <w:szCs w:val="18"/>
              </w:rPr>
              <w:t>0.63</w:t>
            </w:r>
          </w:p>
        </w:tc>
        <w:tc>
          <w:tcPr>
            <w:tcW w:w="153" w:type="pct"/>
            <w:tcBorders>
              <w:top w:val="nil"/>
              <w:bottom w:val="nil"/>
              <w:right w:val="single" w:sz="6" w:space="0" w:color="auto"/>
            </w:tcBorders>
            <w:noWrap/>
            <w:vAlign w:val="bottom"/>
          </w:tcPr>
          <w:p w14:paraId="36C98D24" w14:textId="77777777" w:rsidR="008B6B35" w:rsidRPr="00B71F92" w:rsidRDefault="008B6B35" w:rsidP="00730932">
            <w:pPr>
              <w:spacing w:after="0" w:line="240" w:lineRule="auto"/>
              <w:jc w:val="right"/>
              <w:rPr>
                <w:rFonts w:eastAsia="Times New Roman"/>
                <w:sz w:val="18"/>
                <w:szCs w:val="18"/>
              </w:rPr>
            </w:pPr>
            <w:r w:rsidRPr="00B71F92">
              <w:rPr>
                <w:sz w:val="18"/>
                <w:szCs w:val="18"/>
              </w:rPr>
              <w:t>2.53</w:t>
            </w:r>
          </w:p>
        </w:tc>
        <w:tc>
          <w:tcPr>
            <w:tcW w:w="152" w:type="pct"/>
            <w:tcBorders>
              <w:top w:val="nil"/>
              <w:left w:val="single" w:sz="6" w:space="0" w:color="auto"/>
              <w:bottom w:val="nil"/>
            </w:tcBorders>
            <w:noWrap/>
            <w:vAlign w:val="bottom"/>
          </w:tcPr>
          <w:p w14:paraId="6D387A3D" w14:textId="77777777" w:rsidR="008B6B35" w:rsidRPr="00B71F92" w:rsidRDefault="008B6B35" w:rsidP="00730932">
            <w:pPr>
              <w:spacing w:after="0" w:line="240" w:lineRule="auto"/>
              <w:jc w:val="right"/>
              <w:rPr>
                <w:rFonts w:eastAsia="Times New Roman"/>
                <w:sz w:val="18"/>
                <w:szCs w:val="18"/>
              </w:rPr>
            </w:pPr>
            <w:r w:rsidRPr="00B71F92">
              <w:rPr>
                <w:sz w:val="18"/>
                <w:szCs w:val="18"/>
              </w:rPr>
              <w:t>0.66</w:t>
            </w:r>
          </w:p>
        </w:tc>
        <w:tc>
          <w:tcPr>
            <w:tcW w:w="155" w:type="pct"/>
            <w:tcBorders>
              <w:top w:val="nil"/>
              <w:bottom w:val="nil"/>
              <w:right w:val="single" w:sz="8" w:space="0" w:color="auto"/>
            </w:tcBorders>
            <w:noWrap/>
            <w:vAlign w:val="bottom"/>
          </w:tcPr>
          <w:p w14:paraId="2AB66009" w14:textId="77777777" w:rsidR="008B6B35" w:rsidRPr="00B71F92" w:rsidRDefault="008B6B35" w:rsidP="00730932">
            <w:pPr>
              <w:spacing w:after="0" w:line="240" w:lineRule="auto"/>
              <w:jc w:val="right"/>
              <w:rPr>
                <w:rFonts w:eastAsia="Times New Roman"/>
                <w:sz w:val="18"/>
                <w:szCs w:val="18"/>
              </w:rPr>
            </w:pPr>
            <w:r w:rsidRPr="00B71F92">
              <w:rPr>
                <w:sz w:val="18"/>
                <w:szCs w:val="18"/>
              </w:rPr>
              <w:t>2.12</w:t>
            </w:r>
          </w:p>
        </w:tc>
        <w:tc>
          <w:tcPr>
            <w:tcW w:w="152" w:type="pct"/>
            <w:tcBorders>
              <w:top w:val="nil"/>
              <w:left w:val="single" w:sz="8" w:space="0" w:color="auto"/>
              <w:bottom w:val="nil"/>
            </w:tcBorders>
          </w:tcPr>
          <w:p w14:paraId="318F061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right w:val="single" w:sz="12" w:space="0" w:color="auto"/>
            </w:tcBorders>
            <w:vAlign w:val="center"/>
          </w:tcPr>
          <w:p w14:paraId="56E8C158" w14:textId="77777777" w:rsidR="008B6B35" w:rsidRPr="00B71F92" w:rsidRDefault="008B6B35" w:rsidP="00730932">
            <w:pPr>
              <w:spacing w:after="0" w:line="240" w:lineRule="auto"/>
              <w:jc w:val="right"/>
              <w:rPr>
                <w:rFonts w:eastAsia="Times New Roman"/>
                <w:sz w:val="18"/>
                <w:szCs w:val="18"/>
              </w:rPr>
            </w:pPr>
          </w:p>
        </w:tc>
      </w:tr>
      <w:tr w:rsidR="008B6B35" w:rsidRPr="00B71F92" w14:paraId="1B59ED7F"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671BF7DD"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Black or Other</w:t>
            </w:r>
          </w:p>
        </w:tc>
        <w:tc>
          <w:tcPr>
            <w:tcW w:w="152" w:type="pct"/>
            <w:tcBorders>
              <w:top w:val="nil"/>
              <w:left w:val="single" w:sz="12" w:space="0" w:color="auto"/>
              <w:bottom w:val="nil"/>
            </w:tcBorders>
            <w:noWrap/>
            <w:hideMark/>
          </w:tcPr>
          <w:p w14:paraId="3700CA5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345FBC35"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57C40B1A" w14:textId="77777777" w:rsidR="008B6B35" w:rsidRPr="00B71F92" w:rsidRDefault="008B6B35" w:rsidP="00730932">
            <w:pPr>
              <w:spacing w:after="0" w:line="240" w:lineRule="auto"/>
              <w:jc w:val="right"/>
              <w:rPr>
                <w:rFonts w:eastAsia="Times New Roman"/>
                <w:sz w:val="18"/>
                <w:szCs w:val="18"/>
              </w:rPr>
            </w:pPr>
            <w:r w:rsidRPr="00B71F92">
              <w:rPr>
                <w:sz w:val="18"/>
                <w:szCs w:val="18"/>
              </w:rPr>
              <w:t>0.58</w:t>
            </w:r>
          </w:p>
        </w:tc>
        <w:tc>
          <w:tcPr>
            <w:tcW w:w="153" w:type="pct"/>
            <w:tcBorders>
              <w:top w:val="nil"/>
              <w:bottom w:val="nil"/>
              <w:right w:val="single" w:sz="6" w:space="0" w:color="auto"/>
            </w:tcBorders>
            <w:noWrap/>
            <w:vAlign w:val="bottom"/>
          </w:tcPr>
          <w:p w14:paraId="16EADA16" w14:textId="77777777" w:rsidR="008B6B35" w:rsidRPr="00B71F92" w:rsidRDefault="008B6B35" w:rsidP="00730932">
            <w:pPr>
              <w:spacing w:after="0" w:line="240" w:lineRule="auto"/>
              <w:jc w:val="right"/>
              <w:rPr>
                <w:rFonts w:eastAsia="Times New Roman"/>
                <w:sz w:val="18"/>
                <w:szCs w:val="18"/>
              </w:rPr>
            </w:pPr>
            <w:r w:rsidRPr="00B71F92">
              <w:rPr>
                <w:sz w:val="18"/>
                <w:szCs w:val="18"/>
              </w:rPr>
              <w:t>1.90</w:t>
            </w:r>
          </w:p>
        </w:tc>
        <w:tc>
          <w:tcPr>
            <w:tcW w:w="152" w:type="pct"/>
            <w:tcBorders>
              <w:top w:val="nil"/>
              <w:left w:val="single" w:sz="6" w:space="0" w:color="auto"/>
              <w:bottom w:val="nil"/>
            </w:tcBorders>
            <w:noWrap/>
          </w:tcPr>
          <w:p w14:paraId="4ABD383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58224EA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372F3641"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4" w:type="pct"/>
            <w:tcBorders>
              <w:top w:val="nil"/>
              <w:bottom w:val="nil"/>
              <w:right w:val="single" w:sz="6" w:space="0" w:color="auto"/>
            </w:tcBorders>
            <w:noWrap/>
            <w:vAlign w:val="bottom"/>
          </w:tcPr>
          <w:p w14:paraId="29412532" w14:textId="77777777" w:rsidR="008B6B35" w:rsidRPr="00B71F92" w:rsidRDefault="008B6B35" w:rsidP="00730932">
            <w:pPr>
              <w:spacing w:after="0" w:line="240" w:lineRule="auto"/>
              <w:jc w:val="right"/>
              <w:rPr>
                <w:rFonts w:eastAsia="Times New Roman"/>
                <w:sz w:val="18"/>
                <w:szCs w:val="18"/>
              </w:rPr>
            </w:pPr>
            <w:r w:rsidRPr="00B71F92">
              <w:rPr>
                <w:sz w:val="18"/>
                <w:szCs w:val="18"/>
              </w:rPr>
              <w:t>-2.88</w:t>
            </w:r>
          </w:p>
        </w:tc>
        <w:tc>
          <w:tcPr>
            <w:tcW w:w="152" w:type="pct"/>
            <w:tcBorders>
              <w:top w:val="nil"/>
              <w:left w:val="single" w:sz="6" w:space="0" w:color="auto"/>
              <w:bottom w:val="nil"/>
            </w:tcBorders>
            <w:noWrap/>
          </w:tcPr>
          <w:p w14:paraId="433CB0E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A5A66A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921EAD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53C0F5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5C24EAB2" w14:textId="77777777" w:rsidR="008B6B35" w:rsidRPr="00B71F92" w:rsidRDefault="008B6B35" w:rsidP="00730932">
            <w:pPr>
              <w:spacing w:after="0" w:line="240" w:lineRule="auto"/>
              <w:jc w:val="right"/>
              <w:rPr>
                <w:rFonts w:eastAsia="Times New Roman"/>
                <w:sz w:val="18"/>
                <w:szCs w:val="18"/>
              </w:rPr>
            </w:pPr>
            <w:r w:rsidRPr="00B71F92">
              <w:rPr>
                <w:sz w:val="18"/>
                <w:szCs w:val="18"/>
              </w:rPr>
              <w:t>-0.59</w:t>
            </w:r>
          </w:p>
        </w:tc>
        <w:tc>
          <w:tcPr>
            <w:tcW w:w="153" w:type="pct"/>
            <w:tcBorders>
              <w:top w:val="nil"/>
              <w:bottom w:val="nil"/>
              <w:right w:val="single" w:sz="6" w:space="0" w:color="auto"/>
            </w:tcBorders>
            <w:noWrap/>
            <w:vAlign w:val="bottom"/>
          </w:tcPr>
          <w:p w14:paraId="0F4C9F0F" w14:textId="77777777" w:rsidR="008B6B35" w:rsidRPr="00B71F92" w:rsidRDefault="008B6B35" w:rsidP="00730932">
            <w:pPr>
              <w:spacing w:after="0" w:line="240" w:lineRule="auto"/>
              <w:jc w:val="right"/>
              <w:rPr>
                <w:rFonts w:eastAsia="Times New Roman"/>
                <w:sz w:val="18"/>
                <w:szCs w:val="18"/>
              </w:rPr>
            </w:pPr>
            <w:r w:rsidRPr="00B71F92">
              <w:rPr>
                <w:sz w:val="18"/>
                <w:szCs w:val="18"/>
              </w:rPr>
              <w:t>-1.92</w:t>
            </w:r>
          </w:p>
        </w:tc>
        <w:tc>
          <w:tcPr>
            <w:tcW w:w="152" w:type="pct"/>
            <w:tcBorders>
              <w:top w:val="nil"/>
              <w:left w:val="single" w:sz="6" w:space="0" w:color="auto"/>
              <w:bottom w:val="nil"/>
            </w:tcBorders>
            <w:noWrap/>
            <w:vAlign w:val="bottom"/>
          </w:tcPr>
          <w:p w14:paraId="097EC79D" w14:textId="77777777" w:rsidR="008B6B35" w:rsidRPr="00B71F92" w:rsidRDefault="008B6B35" w:rsidP="00730932">
            <w:pPr>
              <w:spacing w:after="0" w:line="240" w:lineRule="auto"/>
              <w:jc w:val="right"/>
              <w:rPr>
                <w:rFonts w:eastAsia="Times New Roman"/>
                <w:sz w:val="18"/>
                <w:szCs w:val="18"/>
              </w:rPr>
            </w:pPr>
            <w:r w:rsidRPr="00B71F92">
              <w:rPr>
                <w:sz w:val="18"/>
                <w:szCs w:val="18"/>
              </w:rPr>
              <w:t>-0.36</w:t>
            </w:r>
          </w:p>
        </w:tc>
        <w:tc>
          <w:tcPr>
            <w:tcW w:w="173" w:type="pct"/>
            <w:tcBorders>
              <w:top w:val="nil"/>
              <w:bottom w:val="nil"/>
              <w:right w:val="single" w:sz="6" w:space="0" w:color="auto"/>
            </w:tcBorders>
            <w:noWrap/>
            <w:vAlign w:val="bottom"/>
          </w:tcPr>
          <w:p w14:paraId="5FBC783F" w14:textId="77777777" w:rsidR="008B6B35" w:rsidRPr="00B71F92" w:rsidRDefault="008B6B35" w:rsidP="00730932">
            <w:pPr>
              <w:spacing w:after="0" w:line="240" w:lineRule="auto"/>
              <w:jc w:val="right"/>
              <w:rPr>
                <w:rFonts w:eastAsia="Times New Roman"/>
                <w:sz w:val="18"/>
                <w:szCs w:val="18"/>
              </w:rPr>
            </w:pPr>
            <w:r w:rsidRPr="00B71F92">
              <w:rPr>
                <w:sz w:val="18"/>
                <w:szCs w:val="18"/>
              </w:rPr>
              <w:t>-1.90</w:t>
            </w:r>
          </w:p>
        </w:tc>
        <w:tc>
          <w:tcPr>
            <w:tcW w:w="152" w:type="pct"/>
            <w:tcBorders>
              <w:top w:val="nil"/>
              <w:left w:val="single" w:sz="6" w:space="0" w:color="auto"/>
              <w:bottom w:val="nil"/>
            </w:tcBorders>
            <w:noWrap/>
          </w:tcPr>
          <w:p w14:paraId="5C5DFB2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C78E11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45FBB4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7A01B5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44580D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596CA6B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3843FEC3" w14:textId="77777777" w:rsidR="008B6B35" w:rsidRPr="00B71F92" w:rsidRDefault="008B6B35" w:rsidP="00730932">
            <w:pPr>
              <w:spacing w:after="0" w:line="240" w:lineRule="auto"/>
              <w:jc w:val="right"/>
              <w:rPr>
                <w:rFonts w:eastAsia="Times New Roman"/>
                <w:sz w:val="18"/>
                <w:szCs w:val="18"/>
              </w:rPr>
            </w:pPr>
            <w:r w:rsidRPr="00B71F92">
              <w:rPr>
                <w:sz w:val="18"/>
                <w:szCs w:val="18"/>
              </w:rPr>
              <w:t>0.32</w:t>
            </w:r>
          </w:p>
        </w:tc>
        <w:tc>
          <w:tcPr>
            <w:tcW w:w="191" w:type="pct"/>
            <w:tcBorders>
              <w:top w:val="nil"/>
              <w:bottom w:val="nil"/>
              <w:right w:val="single" w:sz="12" w:space="0" w:color="auto"/>
            </w:tcBorders>
            <w:vAlign w:val="bottom"/>
          </w:tcPr>
          <w:p w14:paraId="23916199" w14:textId="77777777" w:rsidR="008B6B35" w:rsidRPr="00B71F92" w:rsidRDefault="008B6B35" w:rsidP="00730932">
            <w:pPr>
              <w:spacing w:after="0" w:line="240" w:lineRule="auto"/>
              <w:jc w:val="right"/>
              <w:rPr>
                <w:rFonts w:eastAsia="Times New Roman"/>
                <w:sz w:val="18"/>
                <w:szCs w:val="18"/>
              </w:rPr>
            </w:pPr>
            <w:r w:rsidRPr="00B71F92">
              <w:rPr>
                <w:sz w:val="18"/>
                <w:szCs w:val="18"/>
              </w:rPr>
              <w:t>1.86</w:t>
            </w:r>
          </w:p>
        </w:tc>
      </w:tr>
      <w:tr w:rsidR="008B6B35" w:rsidRPr="00B71F92" w14:paraId="0E86FE52"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63F8DC7A"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Black or Other * 2021 Shift</w:t>
            </w:r>
          </w:p>
        </w:tc>
        <w:tc>
          <w:tcPr>
            <w:tcW w:w="152" w:type="pct"/>
            <w:tcBorders>
              <w:top w:val="nil"/>
              <w:left w:val="single" w:sz="12" w:space="0" w:color="auto"/>
              <w:bottom w:val="nil"/>
            </w:tcBorders>
            <w:noWrap/>
            <w:hideMark/>
          </w:tcPr>
          <w:p w14:paraId="5D2F2F2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762FD3A9"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vAlign w:val="bottom"/>
          </w:tcPr>
          <w:p w14:paraId="23D7EFF6" w14:textId="77777777" w:rsidR="008B6B35" w:rsidRPr="00B71F92" w:rsidRDefault="008B6B35" w:rsidP="00730932">
            <w:pPr>
              <w:spacing w:after="0" w:line="240" w:lineRule="auto"/>
              <w:jc w:val="right"/>
              <w:rPr>
                <w:rFonts w:eastAsia="Times New Roman"/>
                <w:sz w:val="18"/>
                <w:szCs w:val="18"/>
              </w:rPr>
            </w:pPr>
            <w:r w:rsidRPr="00B71F92">
              <w:rPr>
                <w:sz w:val="18"/>
                <w:szCs w:val="18"/>
              </w:rPr>
              <w:t>-0.50</w:t>
            </w:r>
          </w:p>
        </w:tc>
        <w:tc>
          <w:tcPr>
            <w:tcW w:w="153" w:type="pct"/>
            <w:tcBorders>
              <w:top w:val="nil"/>
              <w:bottom w:val="nil"/>
              <w:right w:val="single" w:sz="6" w:space="0" w:color="auto"/>
            </w:tcBorders>
            <w:noWrap/>
            <w:vAlign w:val="bottom"/>
          </w:tcPr>
          <w:p w14:paraId="2E1D63B2" w14:textId="77777777" w:rsidR="008B6B35" w:rsidRPr="00B71F92" w:rsidRDefault="008B6B35" w:rsidP="00730932">
            <w:pPr>
              <w:spacing w:after="0" w:line="240" w:lineRule="auto"/>
              <w:jc w:val="right"/>
              <w:rPr>
                <w:rFonts w:eastAsia="Times New Roman"/>
                <w:sz w:val="18"/>
                <w:szCs w:val="18"/>
              </w:rPr>
            </w:pPr>
            <w:r w:rsidRPr="00B71F92">
              <w:rPr>
                <w:sz w:val="18"/>
                <w:szCs w:val="18"/>
              </w:rPr>
              <w:t>-1.87</w:t>
            </w:r>
          </w:p>
        </w:tc>
        <w:tc>
          <w:tcPr>
            <w:tcW w:w="152" w:type="pct"/>
            <w:tcBorders>
              <w:top w:val="nil"/>
              <w:left w:val="single" w:sz="6" w:space="0" w:color="auto"/>
              <w:bottom w:val="nil"/>
            </w:tcBorders>
            <w:noWrap/>
          </w:tcPr>
          <w:p w14:paraId="38866766"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173995B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7304E6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333D0B4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7E77E2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6DFC80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209AC4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82303A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250BC3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E50946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445AA6EF" w14:textId="77777777" w:rsidR="008B6B35" w:rsidRPr="00B71F92" w:rsidRDefault="008B6B35" w:rsidP="00730932">
            <w:pPr>
              <w:spacing w:after="0" w:line="240" w:lineRule="auto"/>
              <w:jc w:val="right"/>
              <w:rPr>
                <w:rFonts w:eastAsia="Times New Roman"/>
                <w:sz w:val="18"/>
                <w:szCs w:val="18"/>
              </w:rPr>
            </w:pPr>
            <w:r w:rsidRPr="00B71F92">
              <w:rPr>
                <w:sz w:val="18"/>
                <w:szCs w:val="18"/>
              </w:rPr>
              <w:t>0.54</w:t>
            </w:r>
          </w:p>
        </w:tc>
        <w:tc>
          <w:tcPr>
            <w:tcW w:w="173" w:type="pct"/>
            <w:tcBorders>
              <w:top w:val="nil"/>
              <w:bottom w:val="nil"/>
              <w:right w:val="single" w:sz="6" w:space="0" w:color="auto"/>
            </w:tcBorders>
            <w:noWrap/>
            <w:vAlign w:val="bottom"/>
          </w:tcPr>
          <w:p w14:paraId="64C30566" w14:textId="77777777" w:rsidR="008B6B35" w:rsidRPr="00B71F92" w:rsidRDefault="008B6B35" w:rsidP="00730932">
            <w:pPr>
              <w:spacing w:after="0" w:line="240" w:lineRule="auto"/>
              <w:jc w:val="right"/>
              <w:rPr>
                <w:rFonts w:eastAsia="Times New Roman"/>
                <w:sz w:val="18"/>
                <w:szCs w:val="18"/>
              </w:rPr>
            </w:pPr>
            <w:r w:rsidRPr="00B71F92">
              <w:rPr>
                <w:sz w:val="18"/>
                <w:szCs w:val="18"/>
              </w:rPr>
              <w:t>2.46</w:t>
            </w:r>
          </w:p>
        </w:tc>
        <w:tc>
          <w:tcPr>
            <w:tcW w:w="152" w:type="pct"/>
            <w:tcBorders>
              <w:top w:val="nil"/>
              <w:left w:val="single" w:sz="6" w:space="0" w:color="auto"/>
              <w:bottom w:val="nil"/>
            </w:tcBorders>
            <w:noWrap/>
          </w:tcPr>
          <w:p w14:paraId="28B30D7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8179DC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D0C296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169CBC5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5F3303A"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2D8DDEE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36AC7EA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right w:val="single" w:sz="12" w:space="0" w:color="auto"/>
            </w:tcBorders>
            <w:vAlign w:val="center"/>
          </w:tcPr>
          <w:p w14:paraId="1284DFB6" w14:textId="77777777" w:rsidR="008B6B35" w:rsidRPr="00B71F92" w:rsidRDefault="008B6B35" w:rsidP="00730932">
            <w:pPr>
              <w:spacing w:after="0" w:line="240" w:lineRule="auto"/>
              <w:jc w:val="right"/>
              <w:rPr>
                <w:rFonts w:eastAsia="Times New Roman"/>
                <w:sz w:val="18"/>
                <w:szCs w:val="18"/>
              </w:rPr>
            </w:pPr>
          </w:p>
        </w:tc>
      </w:tr>
      <w:tr w:rsidR="008B6B35" w:rsidRPr="00B71F92" w14:paraId="2D050B7E"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6BD741EA"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Black or Other * 2023 Shift</w:t>
            </w:r>
          </w:p>
        </w:tc>
        <w:tc>
          <w:tcPr>
            <w:tcW w:w="152" w:type="pct"/>
            <w:tcBorders>
              <w:top w:val="nil"/>
              <w:left w:val="single" w:sz="12" w:space="0" w:color="auto"/>
              <w:bottom w:val="nil"/>
            </w:tcBorders>
            <w:noWrap/>
            <w:hideMark/>
          </w:tcPr>
          <w:p w14:paraId="3C089BB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nil"/>
              <w:right w:val="single" w:sz="12" w:space="0" w:color="auto"/>
            </w:tcBorders>
            <w:noWrap/>
            <w:vAlign w:val="center"/>
          </w:tcPr>
          <w:p w14:paraId="314A1F3C"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039D084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A53709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E1276A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155E571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5F40855E"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4" w:type="pct"/>
            <w:tcBorders>
              <w:top w:val="nil"/>
              <w:bottom w:val="nil"/>
              <w:right w:val="single" w:sz="6" w:space="0" w:color="auto"/>
            </w:tcBorders>
            <w:noWrap/>
            <w:vAlign w:val="bottom"/>
          </w:tcPr>
          <w:p w14:paraId="494949D4" w14:textId="77777777" w:rsidR="008B6B35" w:rsidRPr="00B71F92" w:rsidRDefault="008B6B35" w:rsidP="00730932">
            <w:pPr>
              <w:spacing w:after="0" w:line="240" w:lineRule="auto"/>
              <w:jc w:val="right"/>
              <w:rPr>
                <w:rFonts w:eastAsia="Times New Roman"/>
                <w:sz w:val="18"/>
                <w:szCs w:val="18"/>
              </w:rPr>
            </w:pPr>
            <w:r w:rsidRPr="00B71F92">
              <w:rPr>
                <w:sz w:val="18"/>
                <w:szCs w:val="18"/>
              </w:rPr>
              <w:t>1.90</w:t>
            </w:r>
          </w:p>
        </w:tc>
        <w:tc>
          <w:tcPr>
            <w:tcW w:w="152" w:type="pct"/>
            <w:tcBorders>
              <w:top w:val="nil"/>
              <w:left w:val="single" w:sz="6" w:space="0" w:color="auto"/>
              <w:bottom w:val="nil"/>
            </w:tcBorders>
            <w:noWrap/>
          </w:tcPr>
          <w:p w14:paraId="1BA22C5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378B2B9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115207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28B6DC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9FFC24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3CC630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300B3F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4D0557F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10C3F8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DEEE42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0B2B30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28A389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BA9725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1E942EA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35CE753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right w:val="single" w:sz="12" w:space="0" w:color="auto"/>
            </w:tcBorders>
            <w:vAlign w:val="center"/>
          </w:tcPr>
          <w:p w14:paraId="4C748452" w14:textId="77777777" w:rsidR="008B6B35" w:rsidRPr="00B71F92" w:rsidRDefault="008B6B35" w:rsidP="00730932">
            <w:pPr>
              <w:spacing w:after="0" w:line="240" w:lineRule="auto"/>
              <w:jc w:val="right"/>
              <w:rPr>
                <w:rFonts w:eastAsia="Times New Roman"/>
                <w:sz w:val="18"/>
                <w:szCs w:val="18"/>
              </w:rPr>
            </w:pPr>
          </w:p>
        </w:tc>
      </w:tr>
      <w:tr w:rsidR="008B6B35" w:rsidRPr="00B71F92" w14:paraId="4FAC19BA"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3596A21D" w14:textId="77777777" w:rsidR="008B6B35" w:rsidRPr="00B71F92" w:rsidRDefault="008B6B35" w:rsidP="00730932">
            <w:pPr>
              <w:spacing w:after="0" w:line="240" w:lineRule="auto"/>
              <w:rPr>
                <w:rFonts w:eastAsia="Times New Roman"/>
                <w:sz w:val="18"/>
                <w:szCs w:val="18"/>
              </w:rPr>
            </w:pPr>
            <w:r w:rsidRPr="00B71F92">
              <w:rPr>
                <w:rFonts w:eastAsia="Times New Roman"/>
                <w:b/>
                <w:bCs/>
                <w:sz w:val="18"/>
                <w:szCs w:val="18"/>
              </w:rPr>
              <w:t>Ethnicity (Not Hispanic)</w:t>
            </w:r>
          </w:p>
        </w:tc>
        <w:tc>
          <w:tcPr>
            <w:tcW w:w="152" w:type="pct"/>
            <w:tcBorders>
              <w:top w:val="nil"/>
              <w:left w:val="single" w:sz="12" w:space="0" w:color="auto"/>
              <w:bottom w:val="nil"/>
            </w:tcBorders>
            <w:noWrap/>
          </w:tcPr>
          <w:p w14:paraId="6ED5F4F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bottom w:val="nil"/>
              <w:right w:val="single" w:sz="12" w:space="0" w:color="auto"/>
            </w:tcBorders>
            <w:noWrap/>
            <w:vAlign w:val="center"/>
          </w:tcPr>
          <w:p w14:paraId="2124B8E6"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18D6168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682A79F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09561BA" w14:textId="77777777" w:rsidR="008B6B35" w:rsidRPr="00B71F92" w:rsidRDefault="008B6B35" w:rsidP="00730932">
            <w:pPr>
              <w:spacing w:after="0" w:line="240" w:lineRule="auto"/>
              <w:jc w:val="right"/>
              <w:rPr>
                <w:rFonts w:eastAsia="Times New Roman"/>
                <w:sz w:val="18"/>
                <w:szCs w:val="18"/>
              </w:rPr>
            </w:pPr>
          </w:p>
        </w:tc>
        <w:tc>
          <w:tcPr>
            <w:tcW w:w="183" w:type="pct"/>
            <w:tcBorders>
              <w:top w:val="nil"/>
              <w:bottom w:val="nil"/>
              <w:right w:val="single" w:sz="6" w:space="0" w:color="auto"/>
            </w:tcBorders>
            <w:noWrap/>
            <w:vAlign w:val="center"/>
          </w:tcPr>
          <w:p w14:paraId="3DD2FF7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29FBC2B" w14:textId="77777777" w:rsidR="008B6B35" w:rsidRPr="00B71F92" w:rsidRDefault="008B6B35" w:rsidP="00730932">
            <w:pPr>
              <w:spacing w:after="0" w:line="240" w:lineRule="auto"/>
              <w:jc w:val="right"/>
              <w:rPr>
                <w:rFonts w:eastAsia="Times New Roman"/>
                <w:sz w:val="18"/>
                <w:szCs w:val="18"/>
              </w:rPr>
            </w:pPr>
          </w:p>
        </w:tc>
        <w:tc>
          <w:tcPr>
            <w:tcW w:w="154" w:type="pct"/>
            <w:tcBorders>
              <w:top w:val="nil"/>
              <w:bottom w:val="nil"/>
              <w:right w:val="single" w:sz="6" w:space="0" w:color="auto"/>
            </w:tcBorders>
            <w:noWrap/>
            <w:vAlign w:val="center"/>
          </w:tcPr>
          <w:p w14:paraId="2502971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F6AFC2F"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7659851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352CFE4"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7AFE3B4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6346697"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23505C0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CE7B36A" w14:textId="77777777" w:rsidR="008B6B35" w:rsidRPr="00B71F92" w:rsidRDefault="008B6B35" w:rsidP="00730932">
            <w:pPr>
              <w:spacing w:after="0" w:line="240" w:lineRule="auto"/>
              <w:jc w:val="right"/>
              <w:rPr>
                <w:rFonts w:eastAsia="Times New Roman"/>
                <w:sz w:val="18"/>
                <w:szCs w:val="18"/>
              </w:rPr>
            </w:pPr>
          </w:p>
        </w:tc>
        <w:tc>
          <w:tcPr>
            <w:tcW w:w="173" w:type="pct"/>
            <w:tcBorders>
              <w:top w:val="nil"/>
              <w:bottom w:val="nil"/>
              <w:right w:val="single" w:sz="6" w:space="0" w:color="auto"/>
            </w:tcBorders>
            <w:noWrap/>
            <w:vAlign w:val="center"/>
          </w:tcPr>
          <w:p w14:paraId="3FDAC3C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6963E3A"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0CDE1E1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035758E" w14:textId="77777777" w:rsidR="008B6B35" w:rsidRPr="00B71F92" w:rsidRDefault="008B6B35" w:rsidP="00730932">
            <w:pPr>
              <w:spacing w:after="0" w:line="240" w:lineRule="auto"/>
              <w:jc w:val="right"/>
              <w:rPr>
                <w:rFonts w:eastAsia="Times New Roman"/>
                <w:sz w:val="18"/>
                <w:szCs w:val="18"/>
              </w:rPr>
            </w:pPr>
          </w:p>
        </w:tc>
        <w:tc>
          <w:tcPr>
            <w:tcW w:w="153" w:type="pct"/>
            <w:tcBorders>
              <w:top w:val="nil"/>
              <w:bottom w:val="nil"/>
              <w:right w:val="single" w:sz="6" w:space="0" w:color="auto"/>
            </w:tcBorders>
            <w:noWrap/>
            <w:vAlign w:val="center"/>
          </w:tcPr>
          <w:p w14:paraId="5DEBA59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43BBBD7" w14:textId="77777777" w:rsidR="008B6B35" w:rsidRPr="00B71F92" w:rsidRDefault="008B6B35" w:rsidP="00730932">
            <w:pPr>
              <w:spacing w:after="0" w:line="240" w:lineRule="auto"/>
              <w:jc w:val="right"/>
              <w:rPr>
                <w:rFonts w:eastAsia="Times New Roman"/>
                <w:sz w:val="18"/>
                <w:szCs w:val="18"/>
              </w:rPr>
            </w:pPr>
          </w:p>
        </w:tc>
        <w:tc>
          <w:tcPr>
            <w:tcW w:w="155" w:type="pct"/>
            <w:tcBorders>
              <w:top w:val="nil"/>
              <w:bottom w:val="nil"/>
              <w:right w:val="single" w:sz="8" w:space="0" w:color="auto"/>
            </w:tcBorders>
            <w:noWrap/>
            <w:vAlign w:val="center"/>
          </w:tcPr>
          <w:p w14:paraId="72A1ECD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4908B83F" w14:textId="77777777" w:rsidR="008B6B35" w:rsidRPr="00B71F92" w:rsidRDefault="008B6B35" w:rsidP="00730932">
            <w:pPr>
              <w:spacing w:after="0" w:line="240" w:lineRule="auto"/>
              <w:jc w:val="right"/>
              <w:rPr>
                <w:rFonts w:eastAsia="Times New Roman"/>
                <w:sz w:val="18"/>
                <w:szCs w:val="18"/>
              </w:rPr>
            </w:pPr>
          </w:p>
        </w:tc>
        <w:tc>
          <w:tcPr>
            <w:tcW w:w="191" w:type="pct"/>
            <w:tcBorders>
              <w:top w:val="nil"/>
              <w:bottom w:val="nil"/>
              <w:right w:val="single" w:sz="12" w:space="0" w:color="auto"/>
            </w:tcBorders>
            <w:vAlign w:val="center"/>
          </w:tcPr>
          <w:p w14:paraId="6E911A55" w14:textId="77777777" w:rsidR="008B6B35" w:rsidRPr="00B71F92" w:rsidRDefault="008B6B35" w:rsidP="00730932">
            <w:pPr>
              <w:spacing w:after="0" w:line="240" w:lineRule="auto"/>
              <w:jc w:val="right"/>
              <w:rPr>
                <w:rFonts w:eastAsia="Times New Roman"/>
                <w:sz w:val="18"/>
                <w:szCs w:val="18"/>
              </w:rPr>
            </w:pPr>
          </w:p>
        </w:tc>
      </w:tr>
      <w:tr w:rsidR="008B6B35" w:rsidRPr="00B71F92" w14:paraId="6FE4D451"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1863CF50"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Hispanic</w:t>
            </w:r>
          </w:p>
        </w:tc>
        <w:tc>
          <w:tcPr>
            <w:tcW w:w="152" w:type="pct"/>
            <w:tcBorders>
              <w:top w:val="nil"/>
              <w:left w:val="single" w:sz="12" w:space="0" w:color="auto"/>
              <w:bottom w:val="nil"/>
            </w:tcBorders>
            <w:noWrap/>
            <w:vAlign w:val="bottom"/>
            <w:hideMark/>
          </w:tcPr>
          <w:p w14:paraId="4814E244" w14:textId="77777777" w:rsidR="008B6B35" w:rsidRPr="00B71F92" w:rsidRDefault="008B6B35" w:rsidP="00730932">
            <w:pPr>
              <w:spacing w:after="0" w:line="240" w:lineRule="auto"/>
              <w:jc w:val="right"/>
              <w:rPr>
                <w:rFonts w:eastAsia="Times New Roman"/>
                <w:sz w:val="18"/>
                <w:szCs w:val="18"/>
              </w:rPr>
            </w:pPr>
            <w:r w:rsidRPr="00B71F92">
              <w:rPr>
                <w:sz w:val="18"/>
                <w:szCs w:val="18"/>
              </w:rPr>
              <w:t>0.16</w:t>
            </w:r>
          </w:p>
        </w:tc>
        <w:tc>
          <w:tcPr>
            <w:tcW w:w="152" w:type="pct"/>
            <w:tcBorders>
              <w:top w:val="nil"/>
              <w:bottom w:val="nil"/>
              <w:right w:val="single" w:sz="12" w:space="0" w:color="auto"/>
            </w:tcBorders>
            <w:noWrap/>
            <w:vAlign w:val="bottom"/>
          </w:tcPr>
          <w:p w14:paraId="64391900" w14:textId="77777777" w:rsidR="008B6B35" w:rsidRPr="00B71F92" w:rsidRDefault="008B6B35" w:rsidP="00730932">
            <w:pPr>
              <w:spacing w:after="0" w:line="240" w:lineRule="auto"/>
              <w:jc w:val="right"/>
              <w:rPr>
                <w:rFonts w:eastAsia="Times New Roman"/>
                <w:sz w:val="18"/>
                <w:szCs w:val="18"/>
              </w:rPr>
            </w:pPr>
            <w:r w:rsidRPr="00B71F92">
              <w:rPr>
                <w:sz w:val="18"/>
                <w:szCs w:val="18"/>
              </w:rPr>
              <w:t>1.74</w:t>
            </w:r>
          </w:p>
        </w:tc>
        <w:tc>
          <w:tcPr>
            <w:tcW w:w="182" w:type="pct"/>
            <w:tcBorders>
              <w:top w:val="nil"/>
              <w:left w:val="single" w:sz="12" w:space="0" w:color="auto"/>
              <w:bottom w:val="nil"/>
            </w:tcBorders>
            <w:noWrap/>
          </w:tcPr>
          <w:p w14:paraId="7D810E1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5B0629D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6804B2B"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vAlign w:val="center"/>
          </w:tcPr>
          <w:p w14:paraId="52D0623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F5507F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1C20423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1C99E306" w14:textId="77777777" w:rsidR="008B6B35" w:rsidRPr="00B71F92" w:rsidRDefault="008B6B35" w:rsidP="00730932">
            <w:pPr>
              <w:spacing w:after="0" w:line="240" w:lineRule="auto"/>
              <w:jc w:val="right"/>
              <w:rPr>
                <w:rFonts w:eastAsia="Times New Roman"/>
                <w:sz w:val="18"/>
                <w:szCs w:val="18"/>
              </w:rPr>
            </w:pPr>
            <w:r w:rsidRPr="00B71F92">
              <w:rPr>
                <w:sz w:val="18"/>
                <w:szCs w:val="18"/>
              </w:rPr>
              <w:t>0.19</w:t>
            </w:r>
          </w:p>
        </w:tc>
        <w:tc>
          <w:tcPr>
            <w:tcW w:w="153" w:type="pct"/>
            <w:tcBorders>
              <w:top w:val="nil"/>
              <w:bottom w:val="nil"/>
              <w:right w:val="single" w:sz="6" w:space="0" w:color="auto"/>
            </w:tcBorders>
            <w:noWrap/>
            <w:vAlign w:val="bottom"/>
          </w:tcPr>
          <w:p w14:paraId="56A70DE2" w14:textId="77777777" w:rsidR="008B6B35" w:rsidRPr="00B71F92" w:rsidRDefault="008B6B35" w:rsidP="00730932">
            <w:pPr>
              <w:spacing w:after="0" w:line="240" w:lineRule="auto"/>
              <w:jc w:val="right"/>
              <w:rPr>
                <w:rFonts w:eastAsia="Times New Roman"/>
                <w:sz w:val="18"/>
                <w:szCs w:val="18"/>
              </w:rPr>
            </w:pPr>
            <w:r w:rsidRPr="00B71F92">
              <w:rPr>
                <w:sz w:val="18"/>
                <w:szCs w:val="18"/>
              </w:rPr>
              <w:t>1.83</w:t>
            </w:r>
          </w:p>
        </w:tc>
        <w:tc>
          <w:tcPr>
            <w:tcW w:w="152" w:type="pct"/>
            <w:tcBorders>
              <w:top w:val="nil"/>
              <w:left w:val="single" w:sz="6" w:space="0" w:color="auto"/>
              <w:bottom w:val="nil"/>
            </w:tcBorders>
            <w:noWrap/>
          </w:tcPr>
          <w:p w14:paraId="61CC737D"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7B775AD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2CE43761" w14:textId="77777777" w:rsidR="008B6B35" w:rsidRPr="00B71F92" w:rsidRDefault="008B6B35" w:rsidP="00730932">
            <w:pPr>
              <w:spacing w:after="0" w:line="240" w:lineRule="auto"/>
              <w:jc w:val="right"/>
              <w:rPr>
                <w:rFonts w:eastAsia="Times New Roman"/>
                <w:sz w:val="18"/>
                <w:szCs w:val="18"/>
              </w:rPr>
            </w:pPr>
            <w:r w:rsidRPr="00B71F92">
              <w:rPr>
                <w:sz w:val="18"/>
                <w:szCs w:val="18"/>
              </w:rPr>
              <w:t>-0.28</w:t>
            </w:r>
          </w:p>
        </w:tc>
        <w:tc>
          <w:tcPr>
            <w:tcW w:w="153" w:type="pct"/>
            <w:tcBorders>
              <w:top w:val="nil"/>
              <w:bottom w:val="nil"/>
              <w:right w:val="single" w:sz="6" w:space="0" w:color="auto"/>
            </w:tcBorders>
            <w:noWrap/>
            <w:vAlign w:val="bottom"/>
          </w:tcPr>
          <w:p w14:paraId="4A2D5F47" w14:textId="77777777" w:rsidR="008B6B35" w:rsidRPr="00B71F92" w:rsidRDefault="008B6B35" w:rsidP="00730932">
            <w:pPr>
              <w:spacing w:after="0" w:line="240" w:lineRule="auto"/>
              <w:jc w:val="right"/>
              <w:rPr>
                <w:rFonts w:eastAsia="Times New Roman"/>
                <w:sz w:val="18"/>
                <w:szCs w:val="18"/>
              </w:rPr>
            </w:pPr>
            <w:r w:rsidRPr="00B71F92">
              <w:rPr>
                <w:sz w:val="18"/>
                <w:szCs w:val="18"/>
              </w:rPr>
              <w:t>-1.69</w:t>
            </w:r>
          </w:p>
        </w:tc>
        <w:tc>
          <w:tcPr>
            <w:tcW w:w="152" w:type="pct"/>
            <w:tcBorders>
              <w:top w:val="nil"/>
              <w:left w:val="single" w:sz="6" w:space="0" w:color="auto"/>
              <w:bottom w:val="nil"/>
            </w:tcBorders>
            <w:noWrap/>
            <w:vAlign w:val="bottom"/>
          </w:tcPr>
          <w:p w14:paraId="49ACF4DE"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73" w:type="pct"/>
            <w:tcBorders>
              <w:top w:val="nil"/>
              <w:bottom w:val="nil"/>
              <w:right w:val="single" w:sz="6" w:space="0" w:color="auto"/>
            </w:tcBorders>
            <w:noWrap/>
            <w:vAlign w:val="bottom"/>
          </w:tcPr>
          <w:p w14:paraId="0B3ACCD5" w14:textId="77777777" w:rsidR="008B6B35" w:rsidRPr="00B71F92" w:rsidRDefault="008B6B35" w:rsidP="00730932">
            <w:pPr>
              <w:spacing w:after="0" w:line="240" w:lineRule="auto"/>
              <w:jc w:val="right"/>
              <w:rPr>
                <w:rFonts w:eastAsia="Times New Roman"/>
                <w:sz w:val="18"/>
                <w:szCs w:val="18"/>
              </w:rPr>
            </w:pPr>
            <w:r w:rsidRPr="00B71F92">
              <w:rPr>
                <w:sz w:val="18"/>
                <w:szCs w:val="18"/>
              </w:rPr>
              <w:t>-2.17</w:t>
            </w:r>
          </w:p>
        </w:tc>
        <w:tc>
          <w:tcPr>
            <w:tcW w:w="152" w:type="pct"/>
            <w:tcBorders>
              <w:top w:val="nil"/>
              <w:left w:val="single" w:sz="6" w:space="0" w:color="auto"/>
              <w:bottom w:val="nil"/>
            </w:tcBorders>
            <w:noWrap/>
          </w:tcPr>
          <w:p w14:paraId="69D0B53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06C59EE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666EEC05" w14:textId="77777777" w:rsidR="008B6B35" w:rsidRPr="00B71F92" w:rsidRDefault="008B6B35" w:rsidP="00730932">
            <w:pPr>
              <w:spacing w:after="0" w:line="240" w:lineRule="auto"/>
              <w:jc w:val="right"/>
              <w:rPr>
                <w:rFonts w:eastAsia="Times New Roman"/>
                <w:sz w:val="18"/>
                <w:szCs w:val="18"/>
              </w:rPr>
            </w:pPr>
            <w:r w:rsidRPr="00B71F92">
              <w:rPr>
                <w:sz w:val="18"/>
                <w:szCs w:val="18"/>
              </w:rPr>
              <w:t>0.26</w:t>
            </w:r>
          </w:p>
        </w:tc>
        <w:tc>
          <w:tcPr>
            <w:tcW w:w="153" w:type="pct"/>
            <w:tcBorders>
              <w:top w:val="nil"/>
              <w:bottom w:val="nil"/>
              <w:right w:val="single" w:sz="6" w:space="0" w:color="auto"/>
            </w:tcBorders>
            <w:noWrap/>
            <w:vAlign w:val="bottom"/>
          </w:tcPr>
          <w:p w14:paraId="48617AAB" w14:textId="77777777" w:rsidR="008B6B35" w:rsidRPr="00B71F92" w:rsidRDefault="008B6B35" w:rsidP="00730932">
            <w:pPr>
              <w:spacing w:after="0" w:line="240" w:lineRule="auto"/>
              <w:jc w:val="right"/>
              <w:rPr>
                <w:rFonts w:eastAsia="Times New Roman"/>
                <w:sz w:val="18"/>
                <w:szCs w:val="18"/>
              </w:rPr>
            </w:pPr>
            <w:r w:rsidRPr="00B71F92">
              <w:rPr>
                <w:sz w:val="18"/>
                <w:szCs w:val="18"/>
              </w:rPr>
              <w:t>2.26</w:t>
            </w:r>
          </w:p>
        </w:tc>
        <w:tc>
          <w:tcPr>
            <w:tcW w:w="152" w:type="pct"/>
            <w:tcBorders>
              <w:top w:val="nil"/>
              <w:left w:val="single" w:sz="6" w:space="0" w:color="auto"/>
              <w:bottom w:val="nil"/>
            </w:tcBorders>
            <w:noWrap/>
          </w:tcPr>
          <w:p w14:paraId="5EABDFD1"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02B62BC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vAlign w:val="bottom"/>
          </w:tcPr>
          <w:p w14:paraId="21B9EC0D" w14:textId="77777777" w:rsidR="008B6B35" w:rsidRPr="00B71F92" w:rsidRDefault="008B6B35" w:rsidP="00730932">
            <w:pPr>
              <w:spacing w:after="0" w:line="240" w:lineRule="auto"/>
              <w:jc w:val="right"/>
              <w:rPr>
                <w:rFonts w:eastAsia="Times New Roman"/>
                <w:sz w:val="18"/>
                <w:szCs w:val="18"/>
              </w:rPr>
            </w:pPr>
            <w:r w:rsidRPr="00B71F92">
              <w:rPr>
                <w:sz w:val="18"/>
                <w:szCs w:val="18"/>
              </w:rPr>
              <w:t>0.15</w:t>
            </w:r>
          </w:p>
        </w:tc>
        <w:tc>
          <w:tcPr>
            <w:tcW w:w="191" w:type="pct"/>
            <w:tcBorders>
              <w:top w:val="nil"/>
              <w:bottom w:val="nil"/>
              <w:right w:val="single" w:sz="12" w:space="0" w:color="auto"/>
            </w:tcBorders>
            <w:vAlign w:val="bottom"/>
          </w:tcPr>
          <w:p w14:paraId="74A16D23" w14:textId="77777777" w:rsidR="008B6B35" w:rsidRPr="00B71F92" w:rsidRDefault="008B6B35" w:rsidP="00730932">
            <w:pPr>
              <w:spacing w:after="0" w:line="240" w:lineRule="auto"/>
              <w:jc w:val="right"/>
              <w:rPr>
                <w:rFonts w:eastAsia="Times New Roman"/>
                <w:sz w:val="18"/>
                <w:szCs w:val="18"/>
              </w:rPr>
            </w:pPr>
            <w:r w:rsidRPr="00B71F92">
              <w:rPr>
                <w:sz w:val="18"/>
                <w:szCs w:val="18"/>
              </w:rPr>
              <w:t>1.94</w:t>
            </w:r>
          </w:p>
        </w:tc>
      </w:tr>
      <w:tr w:rsidR="008B6B35" w:rsidRPr="00B71F92" w14:paraId="29435FD2" w14:textId="77777777" w:rsidTr="002F5607">
        <w:trPr>
          <w:trHeight w:val="230"/>
          <w:jc w:val="center"/>
        </w:trPr>
        <w:tc>
          <w:tcPr>
            <w:tcW w:w="1220" w:type="pct"/>
            <w:tcBorders>
              <w:top w:val="nil"/>
              <w:left w:val="single" w:sz="12" w:space="0" w:color="auto"/>
              <w:bottom w:val="nil"/>
              <w:right w:val="single" w:sz="12" w:space="0" w:color="auto"/>
            </w:tcBorders>
            <w:noWrap/>
            <w:vAlign w:val="center"/>
            <w:hideMark/>
          </w:tcPr>
          <w:p w14:paraId="38B22A54"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Hispanic * 2021 Shift</w:t>
            </w:r>
          </w:p>
        </w:tc>
        <w:tc>
          <w:tcPr>
            <w:tcW w:w="152" w:type="pct"/>
            <w:tcBorders>
              <w:top w:val="nil"/>
              <w:left w:val="single" w:sz="12" w:space="0" w:color="auto"/>
              <w:bottom w:val="nil"/>
            </w:tcBorders>
            <w:noWrap/>
            <w:vAlign w:val="bottom"/>
            <w:hideMark/>
          </w:tcPr>
          <w:p w14:paraId="260E9895"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52" w:type="pct"/>
            <w:tcBorders>
              <w:top w:val="nil"/>
              <w:bottom w:val="nil"/>
              <w:right w:val="single" w:sz="12" w:space="0" w:color="auto"/>
            </w:tcBorders>
            <w:noWrap/>
            <w:vAlign w:val="bottom"/>
          </w:tcPr>
          <w:p w14:paraId="19004B39"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82" w:type="pct"/>
            <w:tcBorders>
              <w:top w:val="nil"/>
              <w:left w:val="single" w:sz="12" w:space="0" w:color="auto"/>
              <w:bottom w:val="nil"/>
            </w:tcBorders>
            <w:noWrap/>
          </w:tcPr>
          <w:p w14:paraId="3B527AE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64309A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34D5210F"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83" w:type="pct"/>
            <w:tcBorders>
              <w:top w:val="nil"/>
              <w:bottom w:val="nil"/>
              <w:right w:val="single" w:sz="6" w:space="0" w:color="auto"/>
            </w:tcBorders>
            <w:noWrap/>
            <w:vAlign w:val="bottom"/>
          </w:tcPr>
          <w:p w14:paraId="6F61FF6F"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nil"/>
              <w:left w:val="single" w:sz="6" w:space="0" w:color="auto"/>
              <w:bottom w:val="nil"/>
            </w:tcBorders>
            <w:noWrap/>
          </w:tcPr>
          <w:p w14:paraId="1D912E0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nil"/>
              <w:right w:val="single" w:sz="6" w:space="0" w:color="auto"/>
            </w:tcBorders>
            <w:noWrap/>
            <w:vAlign w:val="center"/>
          </w:tcPr>
          <w:p w14:paraId="659E866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D96CD1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D46197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54B8940"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2DDD3DE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B9BD49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4437049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DB6D724"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73" w:type="pct"/>
            <w:tcBorders>
              <w:top w:val="nil"/>
              <w:bottom w:val="nil"/>
              <w:right w:val="single" w:sz="6" w:space="0" w:color="auto"/>
            </w:tcBorders>
            <w:noWrap/>
            <w:vAlign w:val="center"/>
          </w:tcPr>
          <w:p w14:paraId="3A6836D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vAlign w:val="bottom"/>
          </w:tcPr>
          <w:p w14:paraId="4B0D1A91"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vAlign w:val="bottom"/>
          </w:tcPr>
          <w:p w14:paraId="50C1108E" w14:textId="77777777" w:rsidR="008B6B35" w:rsidRPr="00B71F92" w:rsidRDefault="008B6B35" w:rsidP="00730932">
            <w:pPr>
              <w:spacing w:after="0" w:line="240" w:lineRule="auto"/>
              <w:jc w:val="right"/>
              <w:rPr>
                <w:rFonts w:eastAsia="Times New Roman"/>
                <w:sz w:val="18"/>
                <w:szCs w:val="18"/>
              </w:rPr>
            </w:pPr>
            <w:r w:rsidRPr="00B71F92">
              <w:rPr>
                <w:sz w:val="18"/>
                <w:szCs w:val="18"/>
              </w:rPr>
              <w:t>2.65</w:t>
            </w:r>
          </w:p>
        </w:tc>
        <w:tc>
          <w:tcPr>
            <w:tcW w:w="152" w:type="pct"/>
            <w:tcBorders>
              <w:top w:val="nil"/>
              <w:left w:val="single" w:sz="6" w:space="0" w:color="auto"/>
              <w:bottom w:val="nil"/>
            </w:tcBorders>
            <w:noWrap/>
          </w:tcPr>
          <w:p w14:paraId="19A4F64C"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vAlign w:val="center"/>
          </w:tcPr>
          <w:p w14:paraId="68898BD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FC7775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vAlign w:val="center"/>
          </w:tcPr>
          <w:p w14:paraId="223A77E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3816F2B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nil"/>
              <w:right w:val="single" w:sz="12" w:space="0" w:color="auto"/>
            </w:tcBorders>
            <w:vAlign w:val="center"/>
          </w:tcPr>
          <w:p w14:paraId="636B5FB4" w14:textId="77777777" w:rsidR="008B6B35" w:rsidRPr="00B71F92" w:rsidRDefault="008B6B35" w:rsidP="00730932">
            <w:pPr>
              <w:spacing w:after="0" w:line="240" w:lineRule="auto"/>
              <w:jc w:val="right"/>
              <w:rPr>
                <w:rFonts w:eastAsia="Times New Roman"/>
                <w:sz w:val="18"/>
                <w:szCs w:val="18"/>
              </w:rPr>
            </w:pPr>
          </w:p>
        </w:tc>
      </w:tr>
      <w:tr w:rsidR="008B6B35" w:rsidRPr="00B71F92" w14:paraId="2D590363" w14:textId="77777777" w:rsidTr="002F5607">
        <w:trPr>
          <w:trHeight w:val="230"/>
          <w:jc w:val="center"/>
        </w:trPr>
        <w:tc>
          <w:tcPr>
            <w:tcW w:w="1220" w:type="pct"/>
            <w:tcBorders>
              <w:top w:val="nil"/>
              <w:left w:val="single" w:sz="12" w:space="0" w:color="auto"/>
              <w:bottom w:val="single" w:sz="4" w:space="0" w:color="auto"/>
              <w:right w:val="single" w:sz="12" w:space="0" w:color="auto"/>
            </w:tcBorders>
            <w:noWrap/>
            <w:vAlign w:val="center"/>
            <w:hideMark/>
          </w:tcPr>
          <w:p w14:paraId="18BFD68E" w14:textId="77777777" w:rsidR="008B6B35" w:rsidRPr="00B71F92" w:rsidRDefault="008B6B35" w:rsidP="00730932">
            <w:pPr>
              <w:spacing w:after="0" w:line="240" w:lineRule="auto"/>
              <w:rPr>
                <w:rFonts w:eastAsia="Times New Roman"/>
                <w:sz w:val="18"/>
                <w:szCs w:val="18"/>
              </w:rPr>
            </w:pPr>
            <w:r w:rsidRPr="00B71F92">
              <w:rPr>
                <w:rFonts w:eastAsia="Times New Roman"/>
                <w:sz w:val="18"/>
                <w:szCs w:val="18"/>
              </w:rPr>
              <w:t xml:space="preserve">    Hispanic * 2023 Shift</w:t>
            </w:r>
          </w:p>
        </w:tc>
        <w:tc>
          <w:tcPr>
            <w:tcW w:w="152" w:type="pct"/>
            <w:tcBorders>
              <w:top w:val="nil"/>
              <w:left w:val="single" w:sz="12" w:space="0" w:color="auto"/>
              <w:bottom w:val="single" w:sz="4" w:space="0" w:color="auto"/>
            </w:tcBorders>
            <w:noWrap/>
            <w:hideMark/>
          </w:tcPr>
          <w:p w14:paraId="1296C23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2" w:type="pct"/>
            <w:tcBorders>
              <w:top w:val="nil"/>
              <w:bottom w:val="single" w:sz="4" w:space="0" w:color="auto"/>
              <w:right w:val="single" w:sz="12" w:space="0" w:color="auto"/>
            </w:tcBorders>
            <w:noWrap/>
            <w:vAlign w:val="center"/>
          </w:tcPr>
          <w:p w14:paraId="3CA51CB5"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single" w:sz="4" w:space="0" w:color="auto"/>
            </w:tcBorders>
            <w:noWrap/>
          </w:tcPr>
          <w:p w14:paraId="254B2119"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4" w:space="0" w:color="auto"/>
              <w:right w:val="single" w:sz="6" w:space="0" w:color="auto"/>
            </w:tcBorders>
            <w:noWrap/>
            <w:vAlign w:val="center"/>
          </w:tcPr>
          <w:p w14:paraId="4E4191A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tcPr>
          <w:p w14:paraId="447D77C7"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single" w:sz="4" w:space="0" w:color="auto"/>
              <w:right w:val="single" w:sz="6" w:space="0" w:color="auto"/>
            </w:tcBorders>
            <w:noWrap/>
            <w:vAlign w:val="center"/>
          </w:tcPr>
          <w:p w14:paraId="1C68EB6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tcPr>
          <w:p w14:paraId="001BADA8"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4" w:type="pct"/>
            <w:tcBorders>
              <w:top w:val="nil"/>
              <w:bottom w:val="single" w:sz="4" w:space="0" w:color="auto"/>
              <w:right w:val="single" w:sz="6" w:space="0" w:color="auto"/>
            </w:tcBorders>
            <w:noWrap/>
            <w:vAlign w:val="center"/>
          </w:tcPr>
          <w:p w14:paraId="40E1B45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tcPr>
          <w:p w14:paraId="2DD02AD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4" w:space="0" w:color="auto"/>
              <w:right w:val="single" w:sz="6" w:space="0" w:color="auto"/>
            </w:tcBorders>
            <w:noWrap/>
            <w:vAlign w:val="center"/>
          </w:tcPr>
          <w:p w14:paraId="2607B1E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tcPr>
          <w:p w14:paraId="103FB452"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4" w:space="0" w:color="auto"/>
              <w:right w:val="single" w:sz="6" w:space="0" w:color="auto"/>
            </w:tcBorders>
            <w:noWrap/>
            <w:vAlign w:val="center"/>
          </w:tcPr>
          <w:p w14:paraId="76F56E6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tcPr>
          <w:p w14:paraId="409848B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4" w:space="0" w:color="auto"/>
              <w:right w:val="single" w:sz="6" w:space="0" w:color="auto"/>
            </w:tcBorders>
            <w:noWrap/>
            <w:vAlign w:val="center"/>
          </w:tcPr>
          <w:p w14:paraId="2D2B823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vAlign w:val="bottom"/>
          </w:tcPr>
          <w:p w14:paraId="792EF548" w14:textId="77777777" w:rsidR="008B6B35" w:rsidRPr="00B71F92" w:rsidRDefault="008B6B35" w:rsidP="00730932">
            <w:pPr>
              <w:spacing w:after="0" w:line="240" w:lineRule="auto"/>
              <w:jc w:val="right"/>
              <w:rPr>
                <w:rFonts w:eastAsia="Times New Roman"/>
                <w:sz w:val="18"/>
                <w:szCs w:val="18"/>
              </w:rPr>
            </w:pPr>
            <w:r w:rsidRPr="00B71F92">
              <w:rPr>
                <w:sz w:val="18"/>
                <w:szCs w:val="18"/>
              </w:rPr>
              <w:t>0.29</w:t>
            </w:r>
          </w:p>
        </w:tc>
        <w:tc>
          <w:tcPr>
            <w:tcW w:w="173" w:type="pct"/>
            <w:tcBorders>
              <w:top w:val="nil"/>
              <w:bottom w:val="single" w:sz="4" w:space="0" w:color="auto"/>
              <w:right w:val="single" w:sz="6" w:space="0" w:color="auto"/>
            </w:tcBorders>
            <w:noWrap/>
            <w:vAlign w:val="bottom"/>
          </w:tcPr>
          <w:p w14:paraId="1984B6AE" w14:textId="77777777" w:rsidR="008B6B35" w:rsidRPr="00B71F92" w:rsidRDefault="008B6B35" w:rsidP="00730932">
            <w:pPr>
              <w:spacing w:after="0" w:line="240" w:lineRule="auto"/>
              <w:jc w:val="right"/>
              <w:rPr>
                <w:rFonts w:eastAsia="Times New Roman"/>
                <w:sz w:val="18"/>
                <w:szCs w:val="18"/>
              </w:rPr>
            </w:pPr>
            <w:r w:rsidRPr="00B71F92">
              <w:rPr>
                <w:sz w:val="18"/>
                <w:szCs w:val="18"/>
              </w:rPr>
              <w:t>1.72</w:t>
            </w:r>
          </w:p>
        </w:tc>
        <w:tc>
          <w:tcPr>
            <w:tcW w:w="152" w:type="pct"/>
            <w:tcBorders>
              <w:top w:val="nil"/>
              <w:left w:val="single" w:sz="6" w:space="0" w:color="auto"/>
              <w:bottom w:val="single" w:sz="4" w:space="0" w:color="auto"/>
            </w:tcBorders>
            <w:noWrap/>
          </w:tcPr>
          <w:p w14:paraId="1360FDDE"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4" w:space="0" w:color="auto"/>
              <w:right w:val="single" w:sz="6" w:space="0" w:color="auto"/>
            </w:tcBorders>
            <w:noWrap/>
            <w:vAlign w:val="center"/>
          </w:tcPr>
          <w:p w14:paraId="0AF7DA2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tcPr>
          <w:p w14:paraId="6179065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single" w:sz="4" w:space="0" w:color="auto"/>
              <w:right w:val="single" w:sz="6" w:space="0" w:color="auto"/>
            </w:tcBorders>
            <w:noWrap/>
            <w:vAlign w:val="center"/>
          </w:tcPr>
          <w:p w14:paraId="7AF4772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4" w:space="0" w:color="auto"/>
            </w:tcBorders>
            <w:noWrap/>
          </w:tcPr>
          <w:p w14:paraId="0F8C7E5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single" w:sz="4" w:space="0" w:color="auto"/>
              <w:right w:val="single" w:sz="8" w:space="0" w:color="auto"/>
            </w:tcBorders>
            <w:noWrap/>
            <w:vAlign w:val="center"/>
          </w:tcPr>
          <w:p w14:paraId="1BD8BC9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single" w:sz="4" w:space="0" w:color="auto"/>
            </w:tcBorders>
          </w:tcPr>
          <w:p w14:paraId="64C7713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91" w:type="pct"/>
            <w:tcBorders>
              <w:top w:val="nil"/>
              <w:bottom w:val="single" w:sz="4" w:space="0" w:color="auto"/>
              <w:right w:val="single" w:sz="12" w:space="0" w:color="auto"/>
            </w:tcBorders>
            <w:vAlign w:val="center"/>
          </w:tcPr>
          <w:p w14:paraId="524E9FE5" w14:textId="77777777" w:rsidR="008B6B35" w:rsidRPr="00B71F92" w:rsidRDefault="008B6B35" w:rsidP="00730932">
            <w:pPr>
              <w:spacing w:after="0" w:line="240" w:lineRule="auto"/>
              <w:jc w:val="right"/>
              <w:rPr>
                <w:rFonts w:eastAsia="Times New Roman"/>
                <w:sz w:val="18"/>
                <w:szCs w:val="18"/>
              </w:rPr>
            </w:pPr>
          </w:p>
        </w:tc>
      </w:tr>
      <w:tr w:rsidR="008B6B35" w:rsidRPr="00B71F92" w14:paraId="1CBF3BFF" w14:textId="77777777" w:rsidTr="002F5607">
        <w:trPr>
          <w:trHeight w:val="230"/>
          <w:jc w:val="center"/>
        </w:trPr>
        <w:tc>
          <w:tcPr>
            <w:tcW w:w="5000" w:type="pct"/>
            <w:gridSpan w:val="25"/>
            <w:tcBorders>
              <w:top w:val="single" w:sz="4" w:space="0" w:color="auto"/>
              <w:left w:val="single" w:sz="12" w:space="0" w:color="auto"/>
              <w:bottom w:val="single" w:sz="4" w:space="0" w:color="auto"/>
              <w:right w:val="single" w:sz="12" w:space="0" w:color="auto"/>
            </w:tcBorders>
            <w:noWrap/>
            <w:vAlign w:val="bottom"/>
            <w:hideMark/>
          </w:tcPr>
          <w:p w14:paraId="4AE3B5B8" w14:textId="77777777" w:rsidR="008B6B35" w:rsidRPr="00B71F92" w:rsidRDefault="008B6B35" w:rsidP="00730932">
            <w:pPr>
              <w:spacing w:after="0" w:line="240" w:lineRule="auto"/>
              <w:rPr>
                <w:rFonts w:eastAsia="Times New Roman"/>
                <w:sz w:val="18"/>
                <w:szCs w:val="18"/>
              </w:rPr>
            </w:pPr>
            <w:r w:rsidRPr="00B71F92">
              <w:rPr>
                <w:rFonts w:eastAsia="Times New Roman"/>
                <w:b/>
                <w:bCs/>
                <w:sz w:val="18"/>
                <w:szCs w:val="18"/>
              </w:rPr>
              <w:t>Correlations (only top diagonal shown)</w:t>
            </w:r>
          </w:p>
        </w:tc>
      </w:tr>
      <w:tr w:rsidR="008B6B35" w:rsidRPr="00B71F92" w14:paraId="30CC81FB" w14:textId="77777777" w:rsidTr="002F5607">
        <w:trPr>
          <w:trHeight w:val="230"/>
          <w:jc w:val="center"/>
        </w:trPr>
        <w:tc>
          <w:tcPr>
            <w:tcW w:w="1220" w:type="pct"/>
            <w:tcBorders>
              <w:top w:val="single" w:sz="4" w:space="0" w:color="auto"/>
              <w:left w:val="single" w:sz="12" w:space="0" w:color="auto"/>
              <w:bottom w:val="nil"/>
              <w:right w:val="single" w:sz="12" w:space="0" w:color="auto"/>
            </w:tcBorders>
            <w:noWrap/>
          </w:tcPr>
          <w:p w14:paraId="6F6D6B8B" w14:textId="77777777" w:rsidR="008B6B35" w:rsidRPr="00B71F92" w:rsidRDefault="008B6B35" w:rsidP="00730932">
            <w:pPr>
              <w:spacing w:after="0" w:line="240" w:lineRule="auto"/>
              <w:rPr>
                <w:rFonts w:eastAsia="Times New Roman"/>
                <w:sz w:val="18"/>
                <w:szCs w:val="18"/>
              </w:rPr>
            </w:pPr>
            <w:r w:rsidRPr="00B71F92">
              <w:rPr>
                <w:sz w:val="18"/>
                <w:szCs w:val="18"/>
              </w:rPr>
              <w:t>Move Within Two Years</w:t>
            </w:r>
          </w:p>
        </w:tc>
        <w:tc>
          <w:tcPr>
            <w:tcW w:w="152" w:type="pct"/>
            <w:tcBorders>
              <w:top w:val="single" w:sz="4" w:space="0" w:color="auto"/>
              <w:left w:val="single" w:sz="12" w:space="0" w:color="auto"/>
              <w:bottom w:val="nil"/>
            </w:tcBorders>
            <w:noWrap/>
            <w:hideMark/>
          </w:tcPr>
          <w:p w14:paraId="53C39F64"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2" w:type="pct"/>
            <w:tcBorders>
              <w:top w:val="single" w:sz="4" w:space="0" w:color="auto"/>
              <w:bottom w:val="nil"/>
              <w:right w:val="single" w:sz="12" w:space="0" w:color="auto"/>
            </w:tcBorders>
            <w:noWrap/>
          </w:tcPr>
          <w:p w14:paraId="12C6AEC0" w14:textId="77777777" w:rsidR="008B6B35" w:rsidRPr="00B71F92" w:rsidRDefault="008B6B35" w:rsidP="00730932">
            <w:pPr>
              <w:spacing w:after="0" w:line="240" w:lineRule="auto"/>
              <w:jc w:val="right"/>
              <w:rPr>
                <w:rFonts w:eastAsia="Times New Roman"/>
                <w:sz w:val="18"/>
                <w:szCs w:val="18"/>
              </w:rPr>
            </w:pPr>
          </w:p>
        </w:tc>
        <w:tc>
          <w:tcPr>
            <w:tcW w:w="182" w:type="pct"/>
            <w:tcBorders>
              <w:top w:val="single" w:sz="4" w:space="0" w:color="auto"/>
              <w:left w:val="single" w:sz="12" w:space="0" w:color="auto"/>
              <w:bottom w:val="nil"/>
            </w:tcBorders>
            <w:noWrap/>
          </w:tcPr>
          <w:p w14:paraId="6B2AB30B" w14:textId="77777777" w:rsidR="008B6B35" w:rsidRPr="00B71F92" w:rsidRDefault="008B6B35" w:rsidP="00730932">
            <w:pPr>
              <w:spacing w:after="0" w:line="240" w:lineRule="auto"/>
              <w:jc w:val="right"/>
              <w:rPr>
                <w:rFonts w:eastAsia="Times New Roman"/>
                <w:sz w:val="18"/>
                <w:szCs w:val="18"/>
              </w:rPr>
            </w:pPr>
            <w:r w:rsidRPr="00B71F92">
              <w:rPr>
                <w:sz w:val="18"/>
                <w:szCs w:val="18"/>
              </w:rPr>
              <w:t>-0.22</w:t>
            </w:r>
          </w:p>
        </w:tc>
        <w:tc>
          <w:tcPr>
            <w:tcW w:w="153" w:type="pct"/>
            <w:tcBorders>
              <w:top w:val="single" w:sz="4" w:space="0" w:color="auto"/>
              <w:bottom w:val="nil"/>
              <w:right w:val="single" w:sz="6" w:space="0" w:color="auto"/>
            </w:tcBorders>
            <w:noWrap/>
          </w:tcPr>
          <w:p w14:paraId="6023AF25"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single" w:sz="4" w:space="0" w:color="auto"/>
              <w:left w:val="single" w:sz="6" w:space="0" w:color="auto"/>
              <w:bottom w:val="nil"/>
            </w:tcBorders>
            <w:noWrap/>
          </w:tcPr>
          <w:p w14:paraId="54030BE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single" w:sz="4" w:space="0" w:color="auto"/>
              <w:bottom w:val="nil"/>
              <w:right w:val="single" w:sz="6" w:space="0" w:color="auto"/>
            </w:tcBorders>
            <w:noWrap/>
          </w:tcPr>
          <w:p w14:paraId="13ECD1F3"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7F3F04C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single" w:sz="4" w:space="0" w:color="auto"/>
              <w:bottom w:val="nil"/>
              <w:right w:val="single" w:sz="6" w:space="0" w:color="auto"/>
            </w:tcBorders>
            <w:noWrap/>
          </w:tcPr>
          <w:p w14:paraId="2FA66A22"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1E42644F"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single" w:sz="4" w:space="0" w:color="auto"/>
              <w:bottom w:val="nil"/>
              <w:right w:val="single" w:sz="6" w:space="0" w:color="auto"/>
            </w:tcBorders>
            <w:noWrap/>
          </w:tcPr>
          <w:p w14:paraId="740EE8E3"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7B094386"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single" w:sz="4" w:space="0" w:color="auto"/>
              <w:bottom w:val="nil"/>
              <w:right w:val="single" w:sz="6" w:space="0" w:color="auto"/>
            </w:tcBorders>
            <w:noWrap/>
          </w:tcPr>
          <w:p w14:paraId="2D705DA6"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4AC5676B"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single" w:sz="4" w:space="0" w:color="auto"/>
              <w:bottom w:val="nil"/>
              <w:right w:val="single" w:sz="6" w:space="0" w:color="auto"/>
            </w:tcBorders>
            <w:noWrap/>
          </w:tcPr>
          <w:p w14:paraId="121D63F8"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0C90CA62"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73" w:type="pct"/>
            <w:tcBorders>
              <w:top w:val="single" w:sz="4" w:space="0" w:color="auto"/>
              <w:bottom w:val="nil"/>
              <w:right w:val="single" w:sz="6" w:space="0" w:color="auto"/>
            </w:tcBorders>
            <w:noWrap/>
          </w:tcPr>
          <w:p w14:paraId="29B0C84D"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7E00FC5F"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single" w:sz="4" w:space="0" w:color="auto"/>
              <w:bottom w:val="nil"/>
              <w:right w:val="single" w:sz="6" w:space="0" w:color="auto"/>
            </w:tcBorders>
            <w:noWrap/>
          </w:tcPr>
          <w:p w14:paraId="06DED6E1"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2DE62DB6"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single" w:sz="4" w:space="0" w:color="auto"/>
              <w:bottom w:val="nil"/>
              <w:right w:val="single" w:sz="6" w:space="0" w:color="auto"/>
            </w:tcBorders>
            <w:noWrap/>
          </w:tcPr>
          <w:p w14:paraId="72746CE4"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6" w:space="0" w:color="auto"/>
              <w:bottom w:val="nil"/>
            </w:tcBorders>
            <w:noWrap/>
          </w:tcPr>
          <w:p w14:paraId="7782557F"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5" w:type="pct"/>
            <w:tcBorders>
              <w:top w:val="single" w:sz="4" w:space="0" w:color="auto"/>
              <w:bottom w:val="nil"/>
              <w:right w:val="single" w:sz="8" w:space="0" w:color="auto"/>
            </w:tcBorders>
            <w:noWrap/>
          </w:tcPr>
          <w:p w14:paraId="5E16CDEA" w14:textId="77777777" w:rsidR="008B6B35" w:rsidRPr="00B71F92" w:rsidRDefault="008B6B35" w:rsidP="00730932">
            <w:pPr>
              <w:spacing w:after="0" w:line="240" w:lineRule="auto"/>
              <w:jc w:val="right"/>
              <w:rPr>
                <w:rFonts w:eastAsia="Times New Roman"/>
                <w:sz w:val="18"/>
                <w:szCs w:val="18"/>
              </w:rPr>
            </w:pPr>
          </w:p>
        </w:tc>
        <w:tc>
          <w:tcPr>
            <w:tcW w:w="152" w:type="pct"/>
            <w:tcBorders>
              <w:top w:val="single" w:sz="4" w:space="0" w:color="auto"/>
              <w:left w:val="single" w:sz="8" w:space="0" w:color="auto"/>
              <w:bottom w:val="nil"/>
            </w:tcBorders>
          </w:tcPr>
          <w:p w14:paraId="2BE66FB0" w14:textId="77777777" w:rsidR="008B6B35" w:rsidRPr="00B71F92" w:rsidRDefault="008B6B35" w:rsidP="00730932">
            <w:pPr>
              <w:spacing w:after="0" w:line="240" w:lineRule="auto"/>
              <w:jc w:val="right"/>
              <w:rPr>
                <w:rFonts w:eastAsia="Times New Roman"/>
                <w:sz w:val="18"/>
                <w:szCs w:val="18"/>
              </w:rPr>
            </w:pPr>
            <w:r w:rsidRPr="00B71F92">
              <w:rPr>
                <w:sz w:val="18"/>
                <w:szCs w:val="18"/>
              </w:rPr>
              <w:t>0.83</w:t>
            </w:r>
          </w:p>
        </w:tc>
        <w:tc>
          <w:tcPr>
            <w:tcW w:w="191" w:type="pct"/>
            <w:tcBorders>
              <w:top w:val="single" w:sz="4" w:space="0" w:color="auto"/>
              <w:bottom w:val="nil"/>
              <w:right w:val="single" w:sz="12" w:space="0" w:color="auto"/>
            </w:tcBorders>
          </w:tcPr>
          <w:p w14:paraId="42577912" w14:textId="77777777" w:rsidR="008B6B35" w:rsidRPr="00B71F92" w:rsidRDefault="008B6B35" w:rsidP="00730932">
            <w:pPr>
              <w:spacing w:after="0" w:line="240" w:lineRule="auto"/>
              <w:jc w:val="right"/>
              <w:rPr>
                <w:rFonts w:eastAsia="Times New Roman"/>
                <w:sz w:val="18"/>
                <w:szCs w:val="18"/>
              </w:rPr>
            </w:pPr>
            <w:r w:rsidRPr="00B71F92">
              <w:rPr>
                <w:sz w:val="18"/>
                <w:szCs w:val="18"/>
              </w:rPr>
              <w:t>7.28</w:t>
            </w:r>
          </w:p>
        </w:tc>
      </w:tr>
      <w:tr w:rsidR="008B6B35" w:rsidRPr="00B71F92" w14:paraId="4B90C416" w14:textId="77777777" w:rsidTr="002F5607">
        <w:trPr>
          <w:trHeight w:val="230"/>
          <w:jc w:val="center"/>
        </w:trPr>
        <w:tc>
          <w:tcPr>
            <w:tcW w:w="1220" w:type="pct"/>
            <w:tcBorders>
              <w:top w:val="nil"/>
              <w:left w:val="single" w:sz="12" w:space="0" w:color="auto"/>
              <w:bottom w:val="nil"/>
              <w:right w:val="single" w:sz="12" w:space="0" w:color="auto"/>
            </w:tcBorders>
            <w:noWrap/>
          </w:tcPr>
          <w:p w14:paraId="30A336E0" w14:textId="77777777" w:rsidR="008B6B35" w:rsidRPr="00B71F92" w:rsidRDefault="008B6B35" w:rsidP="00730932">
            <w:pPr>
              <w:spacing w:after="0" w:line="240" w:lineRule="auto"/>
              <w:rPr>
                <w:rFonts w:eastAsia="Times New Roman"/>
                <w:sz w:val="18"/>
                <w:szCs w:val="18"/>
              </w:rPr>
            </w:pPr>
            <w:r w:rsidRPr="00B71F92">
              <w:rPr>
                <w:sz w:val="18"/>
                <w:szCs w:val="18"/>
              </w:rPr>
              <w:t>Better access to work</w:t>
            </w:r>
          </w:p>
        </w:tc>
        <w:tc>
          <w:tcPr>
            <w:tcW w:w="152" w:type="pct"/>
            <w:tcBorders>
              <w:top w:val="nil"/>
              <w:left w:val="single" w:sz="12" w:space="0" w:color="auto"/>
              <w:bottom w:val="nil"/>
            </w:tcBorders>
            <w:noWrap/>
            <w:hideMark/>
          </w:tcPr>
          <w:p w14:paraId="007D0E2A"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58950C1E"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68FEB0D7"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3" w:type="pct"/>
            <w:tcBorders>
              <w:top w:val="nil"/>
              <w:bottom w:val="nil"/>
              <w:right w:val="single" w:sz="6" w:space="0" w:color="auto"/>
            </w:tcBorders>
            <w:noWrap/>
          </w:tcPr>
          <w:p w14:paraId="0DD31A8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6AD482A" w14:textId="77777777" w:rsidR="008B6B35" w:rsidRPr="00B71F92" w:rsidRDefault="008B6B35" w:rsidP="00730932">
            <w:pPr>
              <w:spacing w:after="0" w:line="240" w:lineRule="auto"/>
              <w:jc w:val="right"/>
              <w:rPr>
                <w:rFonts w:eastAsia="Times New Roman"/>
                <w:sz w:val="18"/>
                <w:szCs w:val="18"/>
              </w:rPr>
            </w:pPr>
            <w:r w:rsidRPr="00B71F92">
              <w:rPr>
                <w:sz w:val="18"/>
                <w:szCs w:val="18"/>
              </w:rPr>
              <w:t>-0.16</w:t>
            </w:r>
          </w:p>
        </w:tc>
        <w:tc>
          <w:tcPr>
            <w:tcW w:w="183" w:type="pct"/>
            <w:tcBorders>
              <w:top w:val="nil"/>
              <w:bottom w:val="nil"/>
              <w:right w:val="single" w:sz="6" w:space="0" w:color="auto"/>
            </w:tcBorders>
            <w:noWrap/>
          </w:tcPr>
          <w:p w14:paraId="70B66A04" w14:textId="77777777" w:rsidR="008B6B35" w:rsidRPr="00B71F92" w:rsidRDefault="008B6B35" w:rsidP="00730932">
            <w:pPr>
              <w:spacing w:after="0" w:line="240" w:lineRule="auto"/>
              <w:jc w:val="right"/>
              <w:rPr>
                <w:rFonts w:eastAsia="Times New Roman"/>
                <w:sz w:val="18"/>
                <w:szCs w:val="18"/>
              </w:rPr>
            </w:pPr>
            <w:r w:rsidRPr="00B71F92">
              <w:rPr>
                <w:sz w:val="18"/>
                <w:szCs w:val="18"/>
              </w:rPr>
              <w:t>-3.40</w:t>
            </w:r>
          </w:p>
        </w:tc>
        <w:tc>
          <w:tcPr>
            <w:tcW w:w="152" w:type="pct"/>
            <w:tcBorders>
              <w:top w:val="nil"/>
              <w:left w:val="single" w:sz="6" w:space="0" w:color="auto"/>
              <w:bottom w:val="nil"/>
            </w:tcBorders>
            <w:noWrap/>
          </w:tcPr>
          <w:p w14:paraId="210E17E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34B8143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4ED7D1F"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75E5C5A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ADBBA9C"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53" w:type="pct"/>
            <w:tcBorders>
              <w:top w:val="nil"/>
              <w:bottom w:val="nil"/>
              <w:right w:val="single" w:sz="6" w:space="0" w:color="auto"/>
            </w:tcBorders>
            <w:noWrap/>
          </w:tcPr>
          <w:p w14:paraId="2A92B5BC" w14:textId="77777777" w:rsidR="008B6B35" w:rsidRPr="00B71F92" w:rsidRDefault="008B6B35" w:rsidP="00730932">
            <w:pPr>
              <w:spacing w:after="0" w:line="240" w:lineRule="auto"/>
              <w:jc w:val="right"/>
              <w:rPr>
                <w:rFonts w:eastAsia="Times New Roman"/>
                <w:sz w:val="18"/>
                <w:szCs w:val="18"/>
              </w:rPr>
            </w:pPr>
            <w:r w:rsidRPr="00B71F92">
              <w:rPr>
                <w:sz w:val="18"/>
                <w:szCs w:val="18"/>
              </w:rPr>
              <w:t>2.58</w:t>
            </w:r>
          </w:p>
        </w:tc>
        <w:tc>
          <w:tcPr>
            <w:tcW w:w="152" w:type="pct"/>
            <w:tcBorders>
              <w:top w:val="nil"/>
              <w:left w:val="single" w:sz="6" w:space="0" w:color="auto"/>
              <w:bottom w:val="nil"/>
            </w:tcBorders>
            <w:noWrap/>
          </w:tcPr>
          <w:p w14:paraId="5952B693" w14:textId="77777777" w:rsidR="008B6B35" w:rsidRPr="00B71F92" w:rsidRDefault="008B6B35" w:rsidP="00730932">
            <w:pPr>
              <w:spacing w:after="0" w:line="240" w:lineRule="auto"/>
              <w:jc w:val="right"/>
              <w:rPr>
                <w:rFonts w:eastAsia="Times New Roman"/>
                <w:sz w:val="18"/>
                <w:szCs w:val="18"/>
              </w:rPr>
            </w:pPr>
            <w:r w:rsidRPr="00B71F92">
              <w:rPr>
                <w:sz w:val="18"/>
                <w:szCs w:val="18"/>
              </w:rPr>
              <w:t>0.50</w:t>
            </w:r>
          </w:p>
        </w:tc>
        <w:tc>
          <w:tcPr>
            <w:tcW w:w="153" w:type="pct"/>
            <w:tcBorders>
              <w:top w:val="nil"/>
              <w:bottom w:val="nil"/>
              <w:right w:val="single" w:sz="6" w:space="0" w:color="auto"/>
            </w:tcBorders>
            <w:noWrap/>
          </w:tcPr>
          <w:p w14:paraId="553317F7" w14:textId="77777777" w:rsidR="008B6B35" w:rsidRPr="00B71F92" w:rsidRDefault="008B6B35" w:rsidP="00730932">
            <w:pPr>
              <w:spacing w:after="0" w:line="240" w:lineRule="auto"/>
              <w:jc w:val="right"/>
              <w:rPr>
                <w:rFonts w:eastAsia="Times New Roman"/>
                <w:sz w:val="18"/>
                <w:szCs w:val="18"/>
              </w:rPr>
            </w:pPr>
            <w:r w:rsidRPr="00B71F92">
              <w:rPr>
                <w:sz w:val="18"/>
                <w:szCs w:val="18"/>
              </w:rPr>
              <w:t>7.08</w:t>
            </w:r>
          </w:p>
        </w:tc>
        <w:tc>
          <w:tcPr>
            <w:tcW w:w="152" w:type="pct"/>
            <w:tcBorders>
              <w:top w:val="nil"/>
              <w:left w:val="single" w:sz="6" w:space="0" w:color="auto"/>
              <w:bottom w:val="nil"/>
            </w:tcBorders>
            <w:noWrap/>
          </w:tcPr>
          <w:p w14:paraId="242B5485"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73" w:type="pct"/>
            <w:tcBorders>
              <w:top w:val="nil"/>
              <w:bottom w:val="nil"/>
              <w:right w:val="single" w:sz="6" w:space="0" w:color="auto"/>
            </w:tcBorders>
            <w:noWrap/>
          </w:tcPr>
          <w:p w14:paraId="2D563A7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00E0AB9" w14:textId="77777777" w:rsidR="008B6B35" w:rsidRPr="00B71F92" w:rsidRDefault="008B6B35" w:rsidP="00730932">
            <w:pPr>
              <w:spacing w:after="0" w:line="240" w:lineRule="auto"/>
              <w:jc w:val="right"/>
              <w:rPr>
                <w:rFonts w:eastAsia="Times New Roman"/>
                <w:sz w:val="18"/>
                <w:szCs w:val="18"/>
              </w:rPr>
            </w:pPr>
            <w:r w:rsidRPr="00B71F92">
              <w:rPr>
                <w:sz w:val="18"/>
                <w:szCs w:val="18"/>
              </w:rPr>
              <w:t>-0.13</w:t>
            </w:r>
          </w:p>
        </w:tc>
        <w:tc>
          <w:tcPr>
            <w:tcW w:w="153" w:type="pct"/>
            <w:tcBorders>
              <w:top w:val="nil"/>
              <w:bottom w:val="nil"/>
              <w:right w:val="single" w:sz="6" w:space="0" w:color="auto"/>
            </w:tcBorders>
            <w:noWrap/>
          </w:tcPr>
          <w:p w14:paraId="15BE4216" w14:textId="77777777" w:rsidR="008B6B35" w:rsidRPr="00B71F92" w:rsidRDefault="008B6B35" w:rsidP="00730932">
            <w:pPr>
              <w:spacing w:after="0" w:line="240" w:lineRule="auto"/>
              <w:jc w:val="right"/>
              <w:rPr>
                <w:rFonts w:eastAsia="Times New Roman"/>
                <w:sz w:val="18"/>
                <w:szCs w:val="18"/>
              </w:rPr>
            </w:pPr>
            <w:r w:rsidRPr="00B71F92">
              <w:rPr>
                <w:sz w:val="18"/>
                <w:szCs w:val="18"/>
              </w:rPr>
              <w:t>-2.42</w:t>
            </w:r>
          </w:p>
        </w:tc>
        <w:tc>
          <w:tcPr>
            <w:tcW w:w="152" w:type="pct"/>
            <w:tcBorders>
              <w:top w:val="nil"/>
              <w:left w:val="single" w:sz="6" w:space="0" w:color="auto"/>
              <w:bottom w:val="nil"/>
            </w:tcBorders>
            <w:noWrap/>
          </w:tcPr>
          <w:p w14:paraId="3EFA0887"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1926084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318281D" w14:textId="77777777" w:rsidR="008B6B35" w:rsidRPr="00B71F92" w:rsidRDefault="008B6B35" w:rsidP="00730932">
            <w:pPr>
              <w:spacing w:after="0" w:line="240" w:lineRule="auto"/>
              <w:jc w:val="right"/>
              <w:rPr>
                <w:rFonts w:eastAsia="Times New Roman"/>
                <w:sz w:val="18"/>
                <w:szCs w:val="18"/>
              </w:rPr>
            </w:pPr>
            <w:r w:rsidRPr="00B71F92">
              <w:rPr>
                <w:sz w:val="18"/>
                <w:szCs w:val="18"/>
              </w:rPr>
              <w:t>0.27</w:t>
            </w:r>
          </w:p>
        </w:tc>
        <w:tc>
          <w:tcPr>
            <w:tcW w:w="155" w:type="pct"/>
            <w:tcBorders>
              <w:top w:val="nil"/>
              <w:bottom w:val="nil"/>
              <w:right w:val="single" w:sz="8" w:space="0" w:color="auto"/>
            </w:tcBorders>
            <w:noWrap/>
          </w:tcPr>
          <w:p w14:paraId="30C7D3B4" w14:textId="77777777" w:rsidR="008B6B35" w:rsidRPr="00B71F92" w:rsidRDefault="008B6B35" w:rsidP="00730932">
            <w:pPr>
              <w:spacing w:after="0" w:line="240" w:lineRule="auto"/>
              <w:jc w:val="right"/>
              <w:rPr>
                <w:rFonts w:eastAsia="Times New Roman"/>
                <w:sz w:val="18"/>
                <w:szCs w:val="18"/>
              </w:rPr>
            </w:pPr>
            <w:r w:rsidRPr="00B71F92">
              <w:rPr>
                <w:sz w:val="18"/>
                <w:szCs w:val="18"/>
              </w:rPr>
              <w:t>4.15</w:t>
            </w:r>
          </w:p>
        </w:tc>
        <w:tc>
          <w:tcPr>
            <w:tcW w:w="152" w:type="pct"/>
            <w:tcBorders>
              <w:top w:val="nil"/>
              <w:left w:val="single" w:sz="8" w:space="0" w:color="auto"/>
              <w:bottom w:val="nil"/>
            </w:tcBorders>
          </w:tcPr>
          <w:p w14:paraId="7D115AD5"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91" w:type="pct"/>
            <w:tcBorders>
              <w:top w:val="nil"/>
              <w:bottom w:val="nil"/>
              <w:right w:val="single" w:sz="12" w:space="0" w:color="auto"/>
            </w:tcBorders>
          </w:tcPr>
          <w:p w14:paraId="1DD6914C" w14:textId="77777777" w:rsidR="008B6B35" w:rsidRPr="00B71F92" w:rsidRDefault="008B6B35" w:rsidP="00730932">
            <w:pPr>
              <w:spacing w:after="0" w:line="240" w:lineRule="auto"/>
              <w:jc w:val="right"/>
              <w:rPr>
                <w:rFonts w:eastAsia="Times New Roman"/>
                <w:sz w:val="18"/>
                <w:szCs w:val="18"/>
              </w:rPr>
            </w:pPr>
            <w:r w:rsidRPr="00B71F92">
              <w:rPr>
                <w:sz w:val="18"/>
                <w:szCs w:val="18"/>
              </w:rPr>
              <w:t>-3.23</w:t>
            </w:r>
          </w:p>
        </w:tc>
      </w:tr>
      <w:tr w:rsidR="008B6B35" w:rsidRPr="00B71F92" w14:paraId="49923383" w14:textId="77777777" w:rsidTr="002F5607">
        <w:trPr>
          <w:trHeight w:val="230"/>
          <w:jc w:val="center"/>
        </w:trPr>
        <w:tc>
          <w:tcPr>
            <w:tcW w:w="1220" w:type="pct"/>
            <w:tcBorders>
              <w:top w:val="nil"/>
              <w:left w:val="single" w:sz="12" w:space="0" w:color="auto"/>
              <w:bottom w:val="nil"/>
              <w:right w:val="single" w:sz="12" w:space="0" w:color="auto"/>
            </w:tcBorders>
            <w:noWrap/>
          </w:tcPr>
          <w:p w14:paraId="0BBF51AB" w14:textId="77777777" w:rsidR="008B6B35" w:rsidRPr="00B71F92" w:rsidRDefault="008B6B35" w:rsidP="00730932">
            <w:pPr>
              <w:spacing w:after="0" w:line="240" w:lineRule="auto"/>
              <w:rPr>
                <w:rFonts w:eastAsia="Times New Roman"/>
                <w:sz w:val="18"/>
                <w:szCs w:val="18"/>
              </w:rPr>
            </w:pPr>
            <w:r w:rsidRPr="00B71F92">
              <w:rPr>
                <w:sz w:val="18"/>
                <w:szCs w:val="18"/>
              </w:rPr>
              <w:t>Upgrade or buy a home</w:t>
            </w:r>
          </w:p>
        </w:tc>
        <w:tc>
          <w:tcPr>
            <w:tcW w:w="152" w:type="pct"/>
            <w:tcBorders>
              <w:top w:val="nil"/>
              <w:left w:val="single" w:sz="12" w:space="0" w:color="auto"/>
              <w:bottom w:val="nil"/>
            </w:tcBorders>
            <w:noWrap/>
            <w:hideMark/>
          </w:tcPr>
          <w:p w14:paraId="45ACC026"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0F544008"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2E293EA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7F55A55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3B60E66"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83" w:type="pct"/>
            <w:tcBorders>
              <w:top w:val="nil"/>
              <w:bottom w:val="nil"/>
              <w:right w:val="single" w:sz="6" w:space="0" w:color="auto"/>
            </w:tcBorders>
            <w:noWrap/>
          </w:tcPr>
          <w:p w14:paraId="4A530D4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F318621"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4" w:type="pct"/>
            <w:tcBorders>
              <w:top w:val="nil"/>
              <w:bottom w:val="nil"/>
              <w:right w:val="single" w:sz="6" w:space="0" w:color="auto"/>
            </w:tcBorders>
            <w:noWrap/>
          </w:tcPr>
          <w:p w14:paraId="59F38D4F" w14:textId="77777777" w:rsidR="008B6B35" w:rsidRPr="00B71F92" w:rsidRDefault="008B6B35" w:rsidP="00730932">
            <w:pPr>
              <w:spacing w:after="0" w:line="240" w:lineRule="auto"/>
              <w:jc w:val="right"/>
              <w:rPr>
                <w:rFonts w:eastAsia="Times New Roman"/>
                <w:sz w:val="18"/>
                <w:szCs w:val="18"/>
              </w:rPr>
            </w:pPr>
            <w:r w:rsidRPr="00B71F92">
              <w:rPr>
                <w:sz w:val="18"/>
                <w:szCs w:val="18"/>
              </w:rPr>
              <w:t>-6.20</w:t>
            </w:r>
          </w:p>
        </w:tc>
        <w:tc>
          <w:tcPr>
            <w:tcW w:w="152" w:type="pct"/>
            <w:tcBorders>
              <w:top w:val="nil"/>
              <w:left w:val="single" w:sz="6" w:space="0" w:color="auto"/>
              <w:bottom w:val="nil"/>
            </w:tcBorders>
            <w:noWrap/>
          </w:tcPr>
          <w:p w14:paraId="6F80EA23" w14:textId="77777777" w:rsidR="008B6B35" w:rsidRPr="00B71F92" w:rsidRDefault="008B6B35" w:rsidP="00730932">
            <w:pPr>
              <w:spacing w:after="0" w:line="240" w:lineRule="auto"/>
              <w:jc w:val="right"/>
              <w:rPr>
                <w:rFonts w:eastAsia="Times New Roman"/>
                <w:sz w:val="18"/>
                <w:szCs w:val="18"/>
              </w:rPr>
            </w:pPr>
            <w:r w:rsidRPr="00B71F92">
              <w:rPr>
                <w:sz w:val="18"/>
                <w:szCs w:val="18"/>
              </w:rPr>
              <w:t>0.34</w:t>
            </w:r>
          </w:p>
        </w:tc>
        <w:tc>
          <w:tcPr>
            <w:tcW w:w="153" w:type="pct"/>
            <w:tcBorders>
              <w:top w:val="nil"/>
              <w:bottom w:val="nil"/>
              <w:right w:val="single" w:sz="6" w:space="0" w:color="auto"/>
            </w:tcBorders>
            <w:noWrap/>
          </w:tcPr>
          <w:p w14:paraId="3FA323C5" w14:textId="77777777" w:rsidR="008B6B35" w:rsidRPr="00B71F92" w:rsidRDefault="008B6B35" w:rsidP="00730932">
            <w:pPr>
              <w:spacing w:after="0" w:line="240" w:lineRule="auto"/>
              <w:jc w:val="right"/>
              <w:rPr>
                <w:rFonts w:eastAsia="Times New Roman"/>
                <w:sz w:val="18"/>
                <w:szCs w:val="18"/>
              </w:rPr>
            </w:pPr>
            <w:r w:rsidRPr="00B71F92">
              <w:rPr>
                <w:sz w:val="18"/>
                <w:szCs w:val="18"/>
              </w:rPr>
              <w:t>8.13</w:t>
            </w:r>
          </w:p>
        </w:tc>
        <w:tc>
          <w:tcPr>
            <w:tcW w:w="152" w:type="pct"/>
            <w:tcBorders>
              <w:top w:val="nil"/>
              <w:left w:val="single" w:sz="6" w:space="0" w:color="auto"/>
              <w:bottom w:val="nil"/>
            </w:tcBorders>
            <w:noWrap/>
          </w:tcPr>
          <w:p w14:paraId="70A01B7F"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3" w:type="pct"/>
            <w:tcBorders>
              <w:top w:val="nil"/>
              <w:bottom w:val="nil"/>
              <w:right w:val="single" w:sz="6" w:space="0" w:color="auto"/>
            </w:tcBorders>
            <w:noWrap/>
          </w:tcPr>
          <w:p w14:paraId="494BDCA9" w14:textId="77777777" w:rsidR="008B6B35" w:rsidRPr="00B71F92" w:rsidRDefault="008B6B35" w:rsidP="00730932">
            <w:pPr>
              <w:spacing w:after="0" w:line="240" w:lineRule="auto"/>
              <w:jc w:val="right"/>
              <w:rPr>
                <w:rFonts w:eastAsia="Times New Roman"/>
                <w:sz w:val="18"/>
                <w:szCs w:val="18"/>
              </w:rPr>
            </w:pPr>
            <w:r w:rsidRPr="00B71F92">
              <w:rPr>
                <w:sz w:val="18"/>
                <w:szCs w:val="18"/>
              </w:rPr>
              <w:t>-3.22</w:t>
            </w:r>
          </w:p>
        </w:tc>
        <w:tc>
          <w:tcPr>
            <w:tcW w:w="152" w:type="pct"/>
            <w:tcBorders>
              <w:top w:val="nil"/>
              <w:left w:val="single" w:sz="6" w:space="0" w:color="auto"/>
              <w:bottom w:val="nil"/>
            </w:tcBorders>
            <w:noWrap/>
          </w:tcPr>
          <w:p w14:paraId="7E5D0D3E" w14:textId="77777777" w:rsidR="008B6B35" w:rsidRPr="00B71F92" w:rsidRDefault="008B6B35" w:rsidP="00730932">
            <w:pPr>
              <w:spacing w:after="0" w:line="240" w:lineRule="auto"/>
              <w:jc w:val="right"/>
              <w:rPr>
                <w:rFonts w:eastAsia="Times New Roman"/>
                <w:sz w:val="18"/>
                <w:szCs w:val="18"/>
              </w:rPr>
            </w:pPr>
            <w:r w:rsidRPr="00B71F92">
              <w:rPr>
                <w:sz w:val="18"/>
                <w:szCs w:val="18"/>
              </w:rPr>
              <w:t>-0.13</w:t>
            </w:r>
          </w:p>
        </w:tc>
        <w:tc>
          <w:tcPr>
            <w:tcW w:w="153" w:type="pct"/>
            <w:tcBorders>
              <w:top w:val="nil"/>
              <w:bottom w:val="nil"/>
              <w:right w:val="single" w:sz="6" w:space="0" w:color="auto"/>
            </w:tcBorders>
            <w:noWrap/>
          </w:tcPr>
          <w:p w14:paraId="52D1F929" w14:textId="77777777" w:rsidR="008B6B35" w:rsidRPr="00B71F92" w:rsidRDefault="008B6B35" w:rsidP="00730932">
            <w:pPr>
              <w:spacing w:after="0" w:line="240" w:lineRule="auto"/>
              <w:jc w:val="right"/>
              <w:rPr>
                <w:rFonts w:eastAsia="Times New Roman"/>
                <w:sz w:val="18"/>
                <w:szCs w:val="18"/>
              </w:rPr>
            </w:pPr>
            <w:r w:rsidRPr="00B71F92">
              <w:rPr>
                <w:sz w:val="18"/>
                <w:szCs w:val="18"/>
              </w:rPr>
              <w:t>-1.68</w:t>
            </w:r>
          </w:p>
        </w:tc>
        <w:tc>
          <w:tcPr>
            <w:tcW w:w="152" w:type="pct"/>
            <w:tcBorders>
              <w:top w:val="nil"/>
              <w:left w:val="single" w:sz="6" w:space="0" w:color="auto"/>
              <w:bottom w:val="nil"/>
            </w:tcBorders>
            <w:noWrap/>
          </w:tcPr>
          <w:p w14:paraId="5C507AA0" w14:textId="77777777" w:rsidR="008B6B35" w:rsidRPr="00B71F92" w:rsidRDefault="008B6B35" w:rsidP="00730932">
            <w:pPr>
              <w:spacing w:after="0" w:line="240" w:lineRule="auto"/>
              <w:jc w:val="right"/>
              <w:rPr>
                <w:rFonts w:eastAsia="Times New Roman"/>
                <w:sz w:val="18"/>
                <w:szCs w:val="18"/>
              </w:rPr>
            </w:pPr>
            <w:r w:rsidRPr="00B71F92">
              <w:rPr>
                <w:sz w:val="18"/>
                <w:szCs w:val="18"/>
              </w:rPr>
              <w:t>0.26</w:t>
            </w:r>
          </w:p>
        </w:tc>
        <w:tc>
          <w:tcPr>
            <w:tcW w:w="173" w:type="pct"/>
            <w:tcBorders>
              <w:top w:val="nil"/>
              <w:bottom w:val="nil"/>
              <w:right w:val="single" w:sz="6" w:space="0" w:color="auto"/>
            </w:tcBorders>
            <w:noWrap/>
          </w:tcPr>
          <w:p w14:paraId="167D3913" w14:textId="77777777" w:rsidR="008B6B35" w:rsidRPr="00B71F92" w:rsidRDefault="008B6B35" w:rsidP="00730932">
            <w:pPr>
              <w:spacing w:after="0" w:line="240" w:lineRule="auto"/>
              <w:jc w:val="right"/>
              <w:rPr>
                <w:rFonts w:eastAsia="Times New Roman"/>
                <w:sz w:val="18"/>
                <w:szCs w:val="18"/>
              </w:rPr>
            </w:pPr>
            <w:r w:rsidRPr="00B71F92">
              <w:rPr>
                <w:sz w:val="18"/>
                <w:szCs w:val="18"/>
              </w:rPr>
              <w:t>4.51</w:t>
            </w:r>
          </w:p>
        </w:tc>
        <w:tc>
          <w:tcPr>
            <w:tcW w:w="152" w:type="pct"/>
            <w:tcBorders>
              <w:top w:val="nil"/>
              <w:left w:val="single" w:sz="6" w:space="0" w:color="auto"/>
              <w:bottom w:val="nil"/>
            </w:tcBorders>
            <w:noWrap/>
          </w:tcPr>
          <w:p w14:paraId="5D03456C" w14:textId="77777777" w:rsidR="008B6B35" w:rsidRPr="00B71F92" w:rsidRDefault="008B6B35" w:rsidP="00730932">
            <w:pPr>
              <w:spacing w:after="0" w:line="240" w:lineRule="auto"/>
              <w:jc w:val="right"/>
              <w:rPr>
                <w:rFonts w:eastAsia="Times New Roman"/>
                <w:sz w:val="18"/>
                <w:szCs w:val="18"/>
              </w:rPr>
            </w:pPr>
            <w:r w:rsidRPr="00B71F92">
              <w:rPr>
                <w:sz w:val="18"/>
                <w:szCs w:val="18"/>
              </w:rPr>
              <w:t>-0.09</w:t>
            </w:r>
          </w:p>
        </w:tc>
        <w:tc>
          <w:tcPr>
            <w:tcW w:w="153" w:type="pct"/>
            <w:tcBorders>
              <w:top w:val="nil"/>
              <w:bottom w:val="nil"/>
              <w:right w:val="single" w:sz="6" w:space="0" w:color="auto"/>
            </w:tcBorders>
            <w:noWrap/>
          </w:tcPr>
          <w:p w14:paraId="618B30ED" w14:textId="77777777" w:rsidR="008B6B35" w:rsidRPr="00B71F92" w:rsidRDefault="008B6B35" w:rsidP="00730932">
            <w:pPr>
              <w:spacing w:after="0" w:line="240" w:lineRule="auto"/>
              <w:jc w:val="right"/>
              <w:rPr>
                <w:rFonts w:eastAsia="Times New Roman"/>
                <w:sz w:val="18"/>
                <w:szCs w:val="18"/>
              </w:rPr>
            </w:pPr>
            <w:r w:rsidRPr="00B71F92">
              <w:rPr>
                <w:sz w:val="18"/>
                <w:szCs w:val="18"/>
              </w:rPr>
              <w:t>-1.70</w:t>
            </w:r>
          </w:p>
        </w:tc>
        <w:tc>
          <w:tcPr>
            <w:tcW w:w="152" w:type="pct"/>
            <w:tcBorders>
              <w:top w:val="nil"/>
              <w:left w:val="single" w:sz="6" w:space="0" w:color="auto"/>
              <w:bottom w:val="nil"/>
            </w:tcBorders>
            <w:noWrap/>
          </w:tcPr>
          <w:p w14:paraId="33E0D521" w14:textId="77777777" w:rsidR="008B6B35" w:rsidRPr="00B71F92" w:rsidRDefault="008B6B35" w:rsidP="00730932">
            <w:pPr>
              <w:spacing w:after="0" w:line="240" w:lineRule="auto"/>
              <w:jc w:val="right"/>
              <w:rPr>
                <w:rFonts w:eastAsia="Times New Roman"/>
                <w:sz w:val="18"/>
                <w:szCs w:val="18"/>
              </w:rPr>
            </w:pPr>
            <w:r w:rsidRPr="00B71F92">
              <w:rPr>
                <w:sz w:val="18"/>
                <w:szCs w:val="18"/>
              </w:rPr>
              <w:t>-0.20</w:t>
            </w:r>
          </w:p>
        </w:tc>
        <w:tc>
          <w:tcPr>
            <w:tcW w:w="153" w:type="pct"/>
            <w:tcBorders>
              <w:top w:val="nil"/>
              <w:bottom w:val="nil"/>
              <w:right w:val="single" w:sz="6" w:space="0" w:color="auto"/>
            </w:tcBorders>
            <w:noWrap/>
          </w:tcPr>
          <w:p w14:paraId="535D3571" w14:textId="77777777" w:rsidR="008B6B35" w:rsidRPr="00B71F92" w:rsidRDefault="008B6B35" w:rsidP="00730932">
            <w:pPr>
              <w:spacing w:after="0" w:line="240" w:lineRule="auto"/>
              <w:jc w:val="right"/>
              <w:rPr>
                <w:rFonts w:eastAsia="Times New Roman"/>
                <w:sz w:val="18"/>
                <w:szCs w:val="18"/>
              </w:rPr>
            </w:pPr>
            <w:r w:rsidRPr="00B71F92">
              <w:rPr>
                <w:sz w:val="18"/>
                <w:szCs w:val="18"/>
              </w:rPr>
              <w:t>-2.07</w:t>
            </w:r>
          </w:p>
        </w:tc>
        <w:tc>
          <w:tcPr>
            <w:tcW w:w="152" w:type="pct"/>
            <w:tcBorders>
              <w:top w:val="nil"/>
              <w:left w:val="single" w:sz="6" w:space="0" w:color="auto"/>
              <w:bottom w:val="nil"/>
            </w:tcBorders>
            <w:noWrap/>
          </w:tcPr>
          <w:p w14:paraId="39D823D1" w14:textId="77777777" w:rsidR="008B6B35" w:rsidRPr="00B71F92" w:rsidRDefault="008B6B35" w:rsidP="00730932">
            <w:pPr>
              <w:spacing w:after="0" w:line="240" w:lineRule="auto"/>
              <w:jc w:val="right"/>
              <w:rPr>
                <w:rFonts w:eastAsia="Times New Roman"/>
                <w:sz w:val="18"/>
                <w:szCs w:val="18"/>
              </w:rPr>
            </w:pPr>
            <w:r w:rsidRPr="00B71F92">
              <w:rPr>
                <w:sz w:val="18"/>
                <w:szCs w:val="18"/>
              </w:rPr>
              <w:t>-0.23</w:t>
            </w:r>
          </w:p>
        </w:tc>
        <w:tc>
          <w:tcPr>
            <w:tcW w:w="155" w:type="pct"/>
            <w:tcBorders>
              <w:top w:val="nil"/>
              <w:bottom w:val="nil"/>
              <w:right w:val="single" w:sz="8" w:space="0" w:color="auto"/>
            </w:tcBorders>
            <w:noWrap/>
          </w:tcPr>
          <w:p w14:paraId="33E2D4C1" w14:textId="77777777" w:rsidR="008B6B35" w:rsidRPr="00B71F92" w:rsidRDefault="008B6B35" w:rsidP="00730932">
            <w:pPr>
              <w:spacing w:after="0" w:line="240" w:lineRule="auto"/>
              <w:jc w:val="right"/>
              <w:rPr>
                <w:rFonts w:eastAsia="Times New Roman"/>
                <w:sz w:val="18"/>
                <w:szCs w:val="18"/>
              </w:rPr>
            </w:pPr>
            <w:r w:rsidRPr="00B71F92">
              <w:rPr>
                <w:sz w:val="18"/>
                <w:szCs w:val="18"/>
              </w:rPr>
              <w:t>-2.76</w:t>
            </w:r>
          </w:p>
        </w:tc>
        <w:tc>
          <w:tcPr>
            <w:tcW w:w="152" w:type="pct"/>
            <w:tcBorders>
              <w:top w:val="nil"/>
              <w:left w:val="single" w:sz="8" w:space="0" w:color="auto"/>
              <w:bottom w:val="nil"/>
            </w:tcBorders>
          </w:tcPr>
          <w:p w14:paraId="2008C310" w14:textId="77777777" w:rsidR="008B6B35" w:rsidRPr="00B71F92" w:rsidRDefault="008B6B35" w:rsidP="00730932">
            <w:pPr>
              <w:spacing w:after="0" w:line="240" w:lineRule="auto"/>
              <w:jc w:val="right"/>
              <w:rPr>
                <w:rFonts w:eastAsia="Times New Roman"/>
                <w:sz w:val="18"/>
                <w:szCs w:val="18"/>
              </w:rPr>
            </w:pPr>
            <w:r w:rsidRPr="00B71F92">
              <w:rPr>
                <w:sz w:val="18"/>
                <w:szCs w:val="18"/>
              </w:rPr>
              <w:t>-0.17</w:t>
            </w:r>
          </w:p>
        </w:tc>
        <w:tc>
          <w:tcPr>
            <w:tcW w:w="191" w:type="pct"/>
            <w:tcBorders>
              <w:top w:val="nil"/>
              <w:bottom w:val="nil"/>
              <w:right w:val="single" w:sz="12" w:space="0" w:color="auto"/>
            </w:tcBorders>
          </w:tcPr>
          <w:p w14:paraId="0B2FF337" w14:textId="77777777" w:rsidR="008B6B35" w:rsidRPr="00B71F92" w:rsidRDefault="008B6B35" w:rsidP="00730932">
            <w:pPr>
              <w:spacing w:after="0" w:line="240" w:lineRule="auto"/>
              <w:jc w:val="right"/>
              <w:rPr>
                <w:rFonts w:eastAsia="Times New Roman"/>
                <w:sz w:val="18"/>
                <w:szCs w:val="18"/>
              </w:rPr>
            </w:pPr>
            <w:r w:rsidRPr="00B71F92">
              <w:rPr>
                <w:sz w:val="18"/>
                <w:szCs w:val="18"/>
              </w:rPr>
              <w:t>-2.53</w:t>
            </w:r>
          </w:p>
        </w:tc>
      </w:tr>
      <w:tr w:rsidR="008B6B35" w:rsidRPr="00B71F92" w14:paraId="701F5AD7" w14:textId="77777777" w:rsidTr="002F5607">
        <w:trPr>
          <w:trHeight w:val="230"/>
          <w:jc w:val="center"/>
        </w:trPr>
        <w:tc>
          <w:tcPr>
            <w:tcW w:w="1220" w:type="pct"/>
            <w:tcBorders>
              <w:top w:val="nil"/>
              <w:left w:val="single" w:sz="12" w:space="0" w:color="auto"/>
              <w:bottom w:val="nil"/>
              <w:right w:val="single" w:sz="12" w:space="0" w:color="auto"/>
            </w:tcBorders>
            <w:noWrap/>
          </w:tcPr>
          <w:p w14:paraId="08CEFAB7" w14:textId="77777777" w:rsidR="008B6B35" w:rsidRPr="00B71F92" w:rsidRDefault="008B6B35" w:rsidP="00730932">
            <w:pPr>
              <w:spacing w:after="0" w:line="240" w:lineRule="auto"/>
              <w:rPr>
                <w:rFonts w:eastAsia="Times New Roman"/>
                <w:sz w:val="18"/>
                <w:szCs w:val="18"/>
              </w:rPr>
            </w:pPr>
            <w:r w:rsidRPr="00B71F92">
              <w:rPr>
                <w:sz w:val="18"/>
                <w:szCs w:val="18"/>
              </w:rPr>
              <w:t>Change in who you live with</w:t>
            </w:r>
          </w:p>
        </w:tc>
        <w:tc>
          <w:tcPr>
            <w:tcW w:w="152" w:type="pct"/>
            <w:tcBorders>
              <w:top w:val="nil"/>
              <w:left w:val="single" w:sz="12" w:space="0" w:color="auto"/>
              <w:bottom w:val="nil"/>
            </w:tcBorders>
            <w:noWrap/>
            <w:hideMark/>
          </w:tcPr>
          <w:p w14:paraId="0774F4F5"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2CE61081"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1113F2D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4558E57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E69117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nil"/>
              <w:right w:val="single" w:sz="6" w:space="0" w:color="auto"/>
            </w:tcBorders>
            <w:noWrap/>
          </w:tcPr>
          <w:p w14:paraId="1FD0551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65CBF81"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4" w:type="pct"/>
            <w:tcBorders>
              <w:top w:val="nil"/>
              <w:bottom w:val="nil"/>
              <w:right w:val="single" w:sz="6" w:space="0" w:color="auto"/>
            </w:tcBorders>
            <w:noWrap/>
          </w:tcPr>
          <w:p w14:paraId="7F2B662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EFB6334" w14:textId="77777777" w:rsidR="008B6B35" w:rsidRPr="00B71F92" w:rsidRDefault="008B6B35" w:rsidP="00730932">
            <w:pPr>
              <w:spacing w:after="0" w:line="240" w:lineRule="auto"/>
              <w:jc w:val="right"/>
              <w:rPr>
                <w:rFonts w:eastAsia="Times New Roman"/>
                <w:sz w:val="18"/>
                <w:szCs w:val="18"/>
              </w:rPr>
            </w:pPr>
            <w:r w:rsidRPr="00B71F92">
              <w:rPr>
                <w:sz w:val="18"/>
                <w:szCs w:val="18"/>
              </w:rPr>
              <w:t>-0.11</w:t>
            </w:r>
          </w:p>
        </w:tc>
        <w:tc>
          <w:tcPr>
            <w:tcW w:w="153" w:type="pct"/>
            <w:tcBorders>
              <w:top w:val="nil"/>
              <w:bottom w:val="nil"/>
              <w:right w:val="single" w:sz="6" w:space="0" w:color="auto"/>
            </w:tcBorders>
            <w:noWrap/>
          </w:tcPr>
          <w:p w14:paraId="4D1984CD" w14:textId="77777777" w:rsidR="008B6B35" w:rsidRPr="00B71F92" w:rsidRDefault="008B6B35" w:rsidP="00730932">
            <w:pPr>
              <w:spacing w:after="0" w:line="240" w:lineRule="auto"/>
              <w:jc w:val="right"/>
              <w:rPr>
                <w:rFonts w:eastAsia="Times New Roman"/>
                <w:sz w:val="18"/>
                <w:szCs w:val="18"/>
              </w:rPr>
            </w:pPr>
            <w:r w:rsidRPr="00B71F92">
              <w:rPr>
                <w:sz w:val="18"/>
                <w:szCs w:val="18"/>
              </w:rPr>
              <w:t>-2.44</w:t>
            </w:r>
          </w:p>
        </w:tc>
        <w:tc>
          <w:tcPr>
            <w:tcW w:w="152" w:type="pct"/>
            <w:tcBorders>
              <w:top w:val="nil"/>
              <w:left w:val="single" w:sz="6" w:space="0" w:color="auto"/>
              <w:bottom w:val="nil"/>
            </w:tcBorders>
            <w:noWrap/>
          </w:tcPr>
          <w:p w14:paraId="67088E2D"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4E434F2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7408036"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5083407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64C7BC1" w14:textId="77777777" w:rsidR="008B6B35" w:rsidRPr="00B71F92" w:rsidRDefault="008B6B35" w:rsidP="00730932">
            <w:pPr>
              <w:spacing w:after="0" w:line="240" w:lineRule="auto"/>
              <w:jc w:val="right"/>
              <w:rPr>
                <w:rFonts w:eastAsia="Times New Roman"/>
                <w:sz w:val="18"/>
                <w:szCs w:val="18"/>
              </w:rPr>
            </w:pPr>
            <w:r w:rsidRPr="00B71F92">
              <w:rPr>
                <w:sz w:val="18"/>
                <w:szCs w:val="18"/>
              </w:rPr>
              <w:t>-0.22</w:t>
            </w:r>
          </w:p>
        </w:tc>
        <w:tc>
          <w:tcPr>
            <w:tcW w:w="173" w:type="pct"/>
            <w:tcBorders>
              <w:top w:val="nil"/>
              <w:bottom w:val="nil"/>
              <w:right w:val="single" w:sz="6" w:space="0" w:color="auto"/>
            </w:tcBorders>
            <w:noWrap/>
          </w:tcPr>
          <w:p w14:paraId="4F347E3E" w14:textId="77777777" w:rsidR="008B6B35" w:rsidRPr="00B71F92" w:rsidRDefault="008B6B35" w:rsidP="00730932">
            <w:pPr>
              <w:spacing w:after="0" w:line="240" w:lineRule="auto"/>
              <w:jc w:val="right"/>
              <w:rPr>
                <w:rFonts w:eastAsia="Times New Roman"/>
                <w:sz w:val="18"/>
                <w:szCs w:val="18"/>
              </w:rPr>
            </w:pPr>
            <w:r w:rsidRPr="00B71F92">
              <w:rPr>
                <w:sz w:val="18"/>
                <w:szCs w:val="18"/>
              </w:rPr>
              <w:t>-3.60</w:t>
            </w:r>
          </w:p>
        </w:tc>
        <w:tc>
          <w:tcPr>
            <w:tcW w:w="152" w:type="pct"/>
            <w:tcBorders>
              <w:top w:val="nil"/>
              <w:left w:val="single" w:sz="6" w:space="0" w:color="auto"/>
              <w:bottom w:val="nil"/>
            </w:tcBorders>
            <w:noWrap/>
          </w:tcPr>
          <w:p w14:paraId="2BDBF647" w14:textId="77777777" w:rsidR="008B6B35" w:rsidRPr="00B71F92" w:rsidRDefault="008B6B35" w:rsidP="00730932">
            <w:pPr>
              <w:spacing w:after="0" w:line="240" w:lineRule="auto"/>
              <w:jc w:val="right"/>
              <w:rPr>
                <w:rFonts w:eastAsia="Times New Roman"/>
                <w:sz w:val="18"/>
                <w:szCs w:val="18"/>
              </w:rPr>
            </w:pPr>
            <w:r w:rsidRPr="00B71F92">
              <w:rPr>
                <w:sz w:val="18"/>
                <w:szCs w:val="18"/>
              </w:rPr>
              <w:t>-0.22</w:t>
            </w:r>
          </w:p>
        </w:tc>
        <w:tc>
          <w:tcPr>
            <w:tcW w:w="153" w:type="pct"/>
            <w:tcBorders>
              <w:top w:val="nil"/>
              <w:bottom w:val="nil"/>
              <w:right w:val="single" w:sz="6" w:space="0" w:color="auto"/>
            </w:tcBorders>
            <w:noWrap/>
          </w:tcPr>
          <w:p w14:paraId="3083CEE5" w14:textId="77777777" w:rsidR="008B6B35" w:rsidRPr="00B71F92" w:rsidRDefault="008B6B35" w:rsidP="00730932">
            <w:pPr>
              <w:spacing w:after="0" w:line="240" w:lineRule="auto"/>
              <w:jc w:val="right"/>
              <w:rPr>
                <w:rFonts w:eastAsia="Times New Roman"/>
                <w:sz w:val="18"/>
                <w:szCs w:val="18"/>
              </w:rPr>
            </w:pPr>
            <w:r w:rsidRPr="00B71F92">
              <w:rPr>
                <w:sz w:val="18"/>
                <w:szCs w:val="18"/>
              </w:rPr>
              <w:t>-4.03</w:t>
            </w:r>
          </w:p>
        </w:tc>
        <w:tc>
          <w:tcPr>
            <w:tcW w:w="152" w:type="pct"/>
            <w:tcBorders>
              <w:top w:val="nil"/>
              <w:left w:val="single" w:sz="6" w:space="0" w:color="auto"/>
              <w:bottom w:val="nil"/>
            </w:tcBorders>
            <w:noWrap/>
          </w:tcPr>
          <w:p w14:paraId="4BA4FD82"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139E47A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A2FD34B"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5" w:type="pct"/>
            <w:tcBorders>
              <w:top w:val="nil"/>
              <w:bottom w:val="nil"/>
              <w:right w:val="single" w:sz="8" w:space="0" w:color="auto"/>
            </w:tcBorders>
            <w:noWrap/>
          </w:tcPr>
          <w:p w14:paraId="57C9C73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72ECD3E2"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91" w:type="pct"/>
            <w:tcBorders>
              <w:top w:val="nil"/>
              <w:bottom w:val="nil"/>
              <w:right w:val="single" w:sz="12" w:space="0" w:color="auto"/>
            </w:tcBorders>
          </w:tcPr>
          <w:p w14:paraId="028980D0" w14:textId="77777777" w:rsidR="008B6B35" w:rsidRPr="00B71F92" w:rsidRDefault="008B6B35" w:rsidP="00730932">
            <w:pPr>
              <w:spacing w:after="0" w:line="240" w:lineRule="auto"/>
              <w:jc w:val="right"/>
              <w:rPr>
                <w:rFonts w:eastAsia="Times New Roman"/>
                <w:sz w:val="18"/>
                <w:szCs w:val="18"/>
              </w:rPr>
            </w:pPr>
          </w:p>
        </w:tc>
      </w:tr>
      <w:tr w:rsidR="008B6B35" w:rsidRPr="00B71F92" w14:paraId="4B48DF9B" w14:textId="77777777" w:rsidTr="002F5607">
        <w:trPr>
          <w:trHeight w:val="230"/>
          <w:jc w:val="center"/>
        </w:trPr>
        <w:tc>
          <w:tcPr>
            <w:tcW w:w="1220" w:type="pct"/>
            <w:tcBorders>
              <w:top w:val="nil"/>
              <w:left w:val="single" w:sz="12" w:space="0" w:color="auto"/>
              <w:bottom w:val="nil"/>
              <w:right w:val="single" w:sz="12" w:space="0" w:color="auto"/>
            </w:tcBorders>
            <w:noWrap/>
          </w:tcPr>
          <w:p w14:paraId="7DECDB8C" w14:textId="77777777" w:rsidR="008B6B35" w:rsidRPr="00B71F92" w:rsidRDefault="008B6B35" w:rsidP="00730932">
            <w:pPr>
              <w:spacing w:after="0" w:line="240" w:lineRule="auto"/>
              <w:rPr>
                <w:rFonts w:eastAsia="Times New Roman"/>
                <w:sz w:val="18"/>
                <w:szCs w:val="18"/>
              </w:rPr>
            </w:pPr>
            <w:r w:rsidRPr="00B71F92">
              <w:rPr>
                <w:sz w:val="18"/>
                <w:szCs w:val="18"/>
              </w:rPr>
              <w:t>Need for more space</w:t>
            </w:r>
          </w:p>
        </w:tc>
        <w:tc>
          <w:tcPr>
            <w:tcW w:w="152" w:type="pct"/>
            <w:tcBorders>
              <w:top w:val="nil"/>
              <w:left w:val="single" w:sz="12" w:space="0" w:color="auto"/>
              <w:bottom w:val="nil"/>
            </w:tcBorders>
            <w:noWrap/>
          </w:tcPr>
          <w:p w14:paraId="02AF7AE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210BB3AF"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58F91565"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66B6A5D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8054DBA"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nil"/>
              <w:right w:val="single" w:sz="6" w:space="0" w:color="auto"/>
            </w:tcBorders>
            <w:noWrap/>
          </w:tcPr>
          <w:p w14:paraId="4E838E8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7FF55C4"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098A04B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EE2AE87"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3" w:type="pct"/>
            <w:tcBorders>
              <w:top w:val="nil"/>
              <w:bottom w:val="nil"/>
              <w:right w:val="single" w:sz="6" w:space="0" w:color="auto"/>
            </w:tcBorders>
            <w:noWrap/>
          </w:tcPr>
          <w:p w14:paraId="294E3BA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9540C07"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685E3A8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1F7A8DB" w14:textId="77777777" w:rsidR="008B6B35" w:rsidRPr="00B71F92" w:rsidRDefault="008B6B35" w:rsidP="00730932">
            <w:pPr>
              <w:spacing w:after="0" w:line="240" w:lineRule="auto"/>
              <w:jc w:val="right"/>
              <w:rPr>
                <w:rFonts w:eastAsia="Times New Roman"/>
                <w:sz w:val="18"/>
                <w:szCs w:val="18"/>
              </w:rPr>
            </w:pPr>
            <w:r w:rsidRPr="00B71F92">
              <w:rPr>
                <w:sz w:val="18"/>
                <w:szCs w:val="18"/>
              </w:rPr>
              <w:t>-0.24</w:t>
            </w:r>
          </w:p>
        </w:tc>
        <w:tc>
          <w:tcPr>
            <w:tcW w:w="153" w:type="pct"/>
            <w:tcBorders>
              <w:top w:val="nil"/>
              <w:bottom w:val="nil"/>
              <w:right w:val="single" w:sz="6" w:space="0" w:color="auto"/>
            </w:tcBorders>
            <w:noWrap/>
          </w:tcPr>
          <w:p w14:paraId="1515974D" w14:textId="77777777" w:rsidR="008B6B35" w:rsidRPr="00B71F92" w:rsidRDefault="008B6B35" w:rsidP="00730932">
            <w:pPr>
              <w:spacing w:after="0" w:line="240" w:lineRule="auto"/>
              <w:jc w:val="right"/>
              <w:rPr>
                <w:rFonts w:eastAsia="Times New Roman"/>
                <w:sz w:val="18"/>
                <w:szCs w:val="18"/>
              </w:rPr>
            </w:pPr>
            <w:r w:rsidRPr="00B71F92">
              <w:rPr>
                <w:sz w:val="18"/>
                <w:szCs w:val="18"/>
              </w:rPr>
              <w:t>-3.87</w:t>
            </w:r>
          </w:p>
        </w:tc>
        <w:tc>
          <w:tcPr>
            <w:tcW w:w="152" w:type="pct"/>
            <w:tcBorders>
              <w:top w:val="nil"/>
              <w:left w:val="single" w:sz="6" w:space="0" w:color="auto"/>
              <w:bottom w:val="nil"/>
            </w:tcBorders>
            <w:noWrap/>
          </w:tcPr>
          <w:p w14:paraId="785A3239" w14:textId="77777777" w:rsidR="008B6B35" w:rsidRPr="00B71F92" w:rsidRDefault="008B6B35" w:rsidP="00730932">
            <w:pPr>
              <w:spacing w:after="0" w:line="240" w:lineRule="auto"/>
              <w:jc w:val="right"/>
              <w:rPr>
                <w:rFonts w:eastAsia="Times New Roman"/>
                <w:sz w:val="18"/>
                <w:szCs w:val="18"/>
              </w:rPr>
            </w:pPr>
            <w:r w:rsidRPr="00B71F92">
              <w:rPr>
                <w:sz w:val="18"/>
                <w:szCs w:val="18"/>
              </w:rPr>
              <w:t>0.28</w:t>
            </w:r>
          </w:p>
        </w:tc>
        <w:tc>
          <w:tcPr>
            <w:tcW w:w="173" w:type="pct"/>
            <w:tcBorders>
              <w:top w:val="nil"/>
              <w:bottom w:val="nil"/>
              <w:right w:val="single" w:sz="6" w:space="0" w:color="auto"/>
            </w:tcBorders>
            <w:noWrap/>
          </w:tcPr>
          <w:p w14:paraId="3745AFF7" w14:textId="77777777" w:rsidR="008B6B35" w:rsidRPr="00B71F92" w:rsidRDefault="008B6B35" w:rsidP="00730932">
            <w:pPr>
              <w:spacing w:after="0" w:line="240" w:lineRule="auto"/>
              <w:jc w:val="right"/>
              <w:rPr>
                <w:rFonts w:eastAsia="Times New Roman"/>
                <w:sz w:val="18"/>
                <w:szCs w:val="18"/>
              </w:rPr>
            </w:pPr>
            <w:r w:rsidRPr="00B71F92">
              <w:rPr>
                <w:sz w:val="18"/>
                <w:szCs w:val="18"/>
              </w:rPr>
              <w:t>5.20</w:t>
            </w:r>
          </w:p>
        </w:tc>
        <w:tc>
          <w:tcPr>
            <w:tcW w:w="152" w:type="pct"/>
            <w:tcBorders>
              <w:top w:val="nil"/>
              <w:left w:val="single" w:sz="6" w:space="0" w:color="auto"/>
              <w:bottom w:val="nil"/>
            </w:tcBorders>
            <w:noWrap/>
          </w:tcPr>
          <w:p w14:paraId="077C68E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4AD22FE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C8488A8" w14:textId="77777777" w:rsidR="008B6B35" w:rsidRPr="00B71F92" w:rsidRDefault="008B6B35" w:rsidP="00730932">
            <w:pPr>
              <w:spacing w:after="0" w:line="240" w:lineRule="auto"/>
              <w:jc w:val="right"/>
              <w:rPr>
                <w:sz w:val="18"/>
                <w:szCs w:val="18"/>
              </w:rPr>
            </w:pPr>
            <w:r w:rsidRPr="00B71F92">
              <w:rPr>
                <w:sz w:val="18"/>
                <w:szCs w:val="18"/>
              </w:rPr>
              <w:t>-0.23</w:t>
            </w:r>
          </w:p>
        </w:tc>
        <w:tc>
          <w:tcPr>
            <w:tcW w:w="153" w:type="pct"/>
            <w:tcBorders>
              <w:top w:val="nil"/>
              <w:bottom w:val="nil"/>
              <w:right w:val="single" w:sz="6" w:space="0" w:color="auto"/>
            </w:tcBorders>
            <w:noWrap/>
          </w:tcPr>
          <w:p w14:paraId="037B89C6" w14:textId="77777777" w:rsidR="008B6B35" w:rsidRPr="00B71F92" w:rsidRDefault="008B6B35" w:rsidP="00730932">
            <w:pPr>
              <w:spacing w:after="0" w:line="240" w:lineRule="auto"/>
              <w:jc w:val="right"/>
              <w:rPr>
                <w:sz w:val="18"/>
                <w:szCs w:val="18"/>
              </w:rPr>
            </w:pPr>
            <w:r w:rsidRPr="00B71F92">
              <w:rPr>
                <w:sz w:val="18"/>
                <w:szCs w:val="18"/>
              </w:rPr>
              <w:t>-2.40</w:t>
            </w:r>
          </w:p>
        </w:tc>
        <w:tc>
          <w:tcPr>
            <w:tcW w:w="152" w:type="pct"/>
            <w:tcBorders>
              <w:top w:val="nil"/>
              <w:left w:val="single" w:sz="6" w:space="0" w:color="auto"/>
              <w:bottom w:val="nil"/>
            </w:tcBorders>
            <w:noWrap/>
          </w:tcPr>
          <w:p w14:paraId="35612468" w14:textId="77777777" w:rsidR="008B6B35" w:rsidRPr="00B71F92" w:rsidRDefault="008B6B35" w:rsidP="00730932">
            <w:pPr>
              <w:spacing w:after="0" w:line="240" w:lineRule="auto"/>
              <w:jc w:val="right"/>
              <w:rPr>
                <w:sz w:val="18"/>
                <w:szCs w:val="18"/>
              </w:rPr>
            </w:pPr>
            <w:r w:rsidRPr="00B71F92">
              <w:rPr>
                <w:sz w:val="18"/>
                <w:szCs w:val="18"/>
              </w:rPr>
              <w:t>--</w:t>
            </w:r>
          </w:p>
        </w:tc>
        <w:tc>
          <w:tcPr>
            <w:tcW w:w="155" w:type="pct"/>
            <w:tcBorders>
              <w:top w:val="nil"/>
              <w:bottom w:val="nil"/>
              <w:right w:val="single" w:sz="8" w:space="0" w:color="auto"/>
            </w:tcBorders>
            <w:noWrap/>
          </w:tcPr>
          <w:p w14:paraId="6ABE7B73" w14:textId="77777777" w:rsidR="008B6B35" w:rsidRPr="00B71F92" w:rsidRDefault="008B6B35" w:rsidP="00730932">
            <w:pPr>
              <w:spacing w:after="0" w:line="240" w:lineRule="auto"/>
              <w:jc w:val="right"/>
              <w:rPr>
                <w:sz w:val="18"/>
                <w:szCs w:val="18"/>
              </w:rPr>
            </w:pPr>
          </w:p>
        </w:tc>
        <w:tc>
          <w:tcPr>
            <w:tcW w:w="152" w:type="pct"/>
            <w:tcBorders>
              <w:top w:val="nil"/>
              <w:left w:val="single" w:sz="8" w:space="0" w:color="auto"/>
              <w:bottom w:val="nil"/>
            </w:tcBorders>
          </w:tcPr>
          <w:p w14:paraId="2892EA88" w14:textId="77777777" w:rsidR="008B6B35" w:rsidRPr="00B71F92" w:rsidRDefault="008B6B35" w:rsidP="00730932">
            <w:pPr>
              <w:spacing w:after="0" w:line="240" w:lineRule="auto"/>
              <w:jc w:val="right"/>
              <w:rPr>
                <w:rFonts w:eastAsia="Times New Roman"/>
                <w:sz w:val="18"/>
                <w:szCs w:val="18"/>
              </w:rPr>
            </w:pPr>
            <w:r w:rsidRPr="00B71F92">
              <w:rPr>
                <w:sz w:val="18"/>
                <w:szCs w:val="18"/>
              </w:rPr>
              <w:t>-0.58</w:t>
            </w:r>
          </w:p>
        </w:tc>
        <w:tc>
          <w:tcPr>
            <w:tcW w:w="191" w:type="pct"/>
            <w:tcBorders>
              <w:top w:val="nil"/>
              <w:bottom w:val="nil"/>
              <w:right w:val="single" w:sz="12" w:space="0" w:color="auto"/>
            </w:tcBorders>
          </w:tcPr>
          <w:p w14:paraId="273C31A2" w14:textId="77777777" w:rsidR="008B6B35" w:rsidRPr="00B71F92" w:rsidRDefault="008B6B35" w:rsidP="00730932">
            <w:pPr>
              <w:spacing w:after="0" w:line="240" w:lineRule="auto"/>
              <w:jc w:val="right"/>
              <w:rPr>
                <w:rFonts w:eastAsia="Times New Roman"/>
                <w:sz w:val="18"/>
                <w:szCs w:val="18"/>
              </w:rPr>
            </w:pPr>
            <w:r w:rsidRPr="00B71F92">
              <w:rPr>
                <w:sz w:val="18"/>
                <w:szCs w:val="18"/>
              </w:rPr>
              <w:t>-5.90</w:t>
            </w:r>
          </w:p>
        </w:tc>
      </w:tr>
      <w:tr w:rsidR="008B6B35" w:rsidRPr="00B71F92" w14:paraId="7DE4E874" w14:textId="77777777" w:rsidTr="002F5607">
        <w:trPr>
          <w:trHeight w:val="230"/>
          <w:jc w:val="center"/>
        </w:trPr>
        <w:tc>
          <w:tcPr>
            <w:tcW w:w="1220" w:type="pct"/>
            <w:tcBorders>
              <w:top w:val="nil"/>
              <w:left w:val="single" w:sz="12" w:space="0" w:color="auto"/>
              <w:bottom w:val="nil"/>
              <w:right w:val="single" w:sz="12" w:space="0" w:color="auto"/>
            </w:tcBorders>
            <w:noWrap/>
          </w:tcPr>
          <w:p w14:paraId="45B70949" w14:textId="77777777" w:rsidR="008B6B35" w:rsidRPr="00B71F92" w:rsidRDefault="008B6B35" w:rsidP="00730932">
            <w:pPr>
              <w:spacing w:after="0" w:line="240" w:lineRule="auto"/>
              <w:rPr>
                <w:rFonts w:eastAsia="Times New Roman"/>
                <w:sz w:val="18"/>
                <w:szCs w:val="18"/>
              </w:rPr>
            </w:pPr>
            <w:r w:rsidRPr="00B71F92">
              <w:rPr>
                <w:sz w:val="18"/>
                <w:szCs w:val="18"/>
              </w:rPr>
              <w:t>Need for less space</w:t>
            </w:r>
          </w:p>
        </w:tc>
        <w:tc>
          <w:tcPr>
            <w:tcW w:w="152" w:type="pct"/>
            <w:tcBorders>
              <w:top w:val="nil"/>
              <w:left w:val="single" w:sz="12" w:space="0" w:color="auto"/>
              <w:bottom w:val="nil"/>
            </w:tcBorders>
            <w:noWrap/>
          </w:tcPr>
          <w:p w14:paraId="19EC1668"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112441F1"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370269D5"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72A2DB7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CC9F17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nil"/>
              <w:right w:val="single" w:sz="6" w:space="0" w:color="auto"/>
            </w:tcBorders>
            <w:noWrap/>
          </w:tcPr>
          <w:p w14:paraId="1A424E7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CC8B6B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3B159C7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721285F"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5E16B0D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78BB46D"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3" w:type="pct"/>
            <w:tcBorders>
              <w:top w:val="nil"/>
              <w:bottom w:val="nil"/>
              <w:right w:val="single" w:sz="6" w:space="0" w:color="auto"/>
            </w:tcBorders>
            <w:noWrap/>
          </w:tcPr>
          <w:p w14:paraId="35957E8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3240571" w14:textId="77777777" w:rsidR="008B6B35" w:rsidRPr="00B71F92" w:rsidRDefault="008B6B35" w:rsidP="00730932">
            <w:pPr>
              <w:spacing w:after="0" w:line="240" w:lineRule="auto"/>
              <w:jc w:val="right"/>
              <w:rPr>
                <w:rFonts w:eastAsia="Times New Roman"/>
                <w:sz w:val="18"/>
                <w:szCs w:val="18"/>
              </w:rPr>
            </w:pPr>
            <w:r w:rsidRPr="00B71F92">
              <w:rPr>
                <w:sz w:val="18"/>
                <w:szCs w:val="18"/>
              </w:rPr>
              <w:t>0.30</w:t>
            </w:r>
          </w:p>
        </w:tc>
        <w:tc>
          <w:tcPr>
            <w:tcW w:w="153" w:type="pct"/>
            <w:tcBorders>
              <w:top w:val="nil"/>
              <w:bottom w:val="nil"/>
              <w:right w:val="single" w:sz="6" w:space="0" w:color="auto"/>
            </w:tcBorders>
            <w:noWrap/>
          </w:tcPr>
          <w:p w14:paraId="57F19851" w14:textId="77777777" w:rsidR="008B6B35" w:rsidRPr="00B71F92" w:rsidRDefault="008B6B35" w:rsidP="00730932">
            <w:pPr>
              <w:spacing w:after="0" w:line="240" w:lineRule="auto"/>
              <w:jc w:val="right"/>
              <w:rPr>
                <w:rFonts w:eastAsia="Times New Roman"/>
                <w:sz w:val="18"/>
                <w:szCs w:val="18"/>
              </w:rPr>
            </w:pPr>
            <w:r w:rsidRPr="00B71F92">
              <w:rPr>
                <w:sz w:val="18"/>
                <w:szCs w:val="18"/>
              </w:rPr>
              <w:t>2.38</w:t>
            </w:r>
          </w:p>
        </w:tc>
        <w:tc>
          <w:tcPr>
            <w:tcW w:w="152" w:type="pct"/>
            <w:tcBorders>
              <w:top w:val="nil"/>
              <w:left w:val="single" w:sz="6" w:space="0" w:color="auto"/>
              <w:bottom w:val="nil"/>
            </w:tcBorders>
            <w:noWrap/>
          </w:tcPr>
          <w:p w14:paraId="6A6D3437"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73" w:type="pct"/>
            <w:tcBorders>
              <w:top w:val="nil"/>
              <w:bottom w:val="nil"/>
              <w:right w:val="single" w:sz="6" w:space="0" w:color="auto"/>
            </w:tcBorders>
            <w:noWrap/>
          </w:tcPr>
          <w:p w14:paraId="7A79052F" w14:textId="77777777" w:rsidR="008B6B35" w:rsidRPr="00B71F92" w:rsidRDefault="008B6B35" w:rsidP="00730932">
            <w:pPr>
              <w:spacing w:after="0" w:line="240" w:lineRule="auto"/>
              <w:jc w:val="right"/>
              <w:rPr>
                <w:rFonts w:eastAsia="Times New Roman"/>
                <w:sz w:val="18"/>
                <w:szCs w:val="18"/>
              </w:rPr>
            </w:pPr>
            <w:r w:rsidRPr="00B71F92">
              <w:rPr>
                <w:sz w:val="18"/>
                <w:szCs w:val="18"/>
              </w:rPr>
              <w:t>-1.99</w:t>
            </w:r>
          </w:p>
        </w:tc>
        <w:tc>
          <w:tcPr>
            <w:tcW w:w="152" w:type="pct"/>
            <w:tcBorders>
              <w:top w:val="nil"/>
              <w:left w:val="single" w:sz="6" w:space="0" w:color="auto"/>
              <w:bottom w:val="nil"/>
            </w:tcBorders>
            <w:noWrap/>
          </w:tcPr>
          <w:p w14:paraId="0FC8C8CC"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24CC032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1A23FEB" w14:textId="77777777" w:rsidR="008B6B35" w:rsidRPr="00B71F92" w:rsidRDefault="008B6B35" w:rsidP="00730932">
            <w:pPr>
              <w:spacing w:after="0" w:line="240" w:lineRule="auto"/>
              <w:jc w:val="right"/>
              <w:rPr>
                <w:sz w:val="18"/>
                <w:szCs w:val="18"/>
              </w:rPr>
            </w:pPr>
            <w:r w:rsidRPr="00B71F92">
              <w:rPr>
                <w:sz w:val="18"/>
                <w:szCs w:val="18"/>
              </w:rPr>
              <w:t>0.29</w:t>
            </w:r>
          </w:p>
        </w:tc>
        <w:tc>
          <w:tcPr>
            <w:tcW w:w="153" w:type="pct"/>
            <w:tcBorders>
              <w:top w:val="nil"/>
              <w:bottom w:val="nil"/>
              <w:right w:val="single" w:sz="6" w:space="0" w:color="auto"/>
            </w:tcBorders>
            <w:noWrap/>
          </w:tcPr>
          <w:p w14:paraId="087AF629" w14:textId="77777777" w:rsidR="008B6B35" w:rsidRPr="00B71F92" w:rsidRDefault="008B6B35" w:rsidP="00730932">
            <w:pPr>
              <w:spacing w:after="0" w:line="240" w:lineRule="auto"/>
              <w:jc w:val="right"/>
              <w:rPr>
                <w:sz w:val="18"/>
                <w:szCs w:val="18"/>
              </w:rPr>
            </w:pPr>
            <w:r w:rsidRPr="00B71F92">
              <w:rPr>
                <w:sz w:val="18"/>
                <w:szCs w:val="18"/>
              </w:rPr>
              <w:t>2.41</w:t>
            </w:r>
          </w:p>
        </w:tc>
        <w:tc>
          <w:tcPr>
            <w:tcW w:w="152" w:type="pct"/>
            <w:tcBorders>
              <w:top w:val="nil"/>
              <w:left w:val="single" w:sz="6" w:space="0" w:color="auto"/>
              <w:bottom w:val="nil"/>
            </w:tcBorders>
            <w:noWrap/>
          </w:tcPr>
          <w:p w14:paraId="704249ED" w14:textId="77777777" w:rsidR="008B6B35" w:rsidRPr="00B71F92" w:rsidRDefault="008B6B35" w:rsidP="00730932">
            <w:pPr>
              <w:spacing w:after="0" w:line="240" w:lineRule="auto"/>
              <w:jc w:val="right"/>
              <w:rPr>
                <w:sz w:val="18"/>
                <w:szCs w:val="18"/>
              </w:rPr>
            </w:pPr>
            <w:r w:rsidRPr="00B71F92">
              <w:rPr>
                <w:sz w:val="18"/>
                <w:szCs w:val="18"/>
              </w:rPr>
              <w:t>0.23</w:t>
            </w:r>
          </w:p>
        </w:tc>
        <w:tc>
          <w:tcPr>
            <w:tcW w:w="155" w:type="pct"/>
            <w:tcBorders>
              <w:top w:val="nil"/>
              <w:bottom w:val="nil"/>
              <w:right w:val="single" w:sz="8" w:space="0" w:color="auto"/>
            </w:tcBorders>
            <w:noWrap/>
          </w:tcPr>
          <w:p w14:paraId="3A1AEA6E" w14:textId="77777777" w:rsidR="008B6B35" w:rsidRPr="00B71F92" w:rsidRDefault="008B6B35" w:rsidP="00730932">
            <w:pPr>
              <w:spacing w:after="0" w:line="240" w:lineRule="auto"/>
              <w:jc w:val="right"/>
              <w:rPr>
                <w:sz w:val="18"/>
                <w:szCs w:val="18"/>
              </w:rPr>
            </w:pPr>
            <w:r w:rsidRPr="00B71F92">
              <w:rPr>
                <w:sz w:val="18"/>
                <w:szCs w:val="18"/>
              </w:rPr>
              <w:t>2.18</w:t>
            </w:r>
          </w:p>
        </w:tc>
        <w:tc>
          <w:tcPr>
            <w:tcW w:w="152" w:type="pct"/>
            <w:tcBorders>
              <w:top w:val="nil"/>
              <w:left w:val="single" w:sz="8" w:space="0" w:color="auto"/>
              <w:bottom w:val="nil"/>
            </w:tcBorders>
          </w:tcPr>
          <w:p w14:paraId="35A0560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91" w:type="pct"/>
            <w:tcBorders>
              <w:top w:val="nil"/>
              <w:bottom w:val="nil"/>
              <w:right w:val="single" w:sz="12" w:space="0" w:color="auto"/>
            </w:tcBorders>
          </w:tcPr>
          <w:p w14:paraId="6310283F" w14:textId="77777777" w:rsidR="008B6B35" w:rsidRPr="00B71F92" w:rsidRDefault="008B6B35" w:rsidP="00730932">
            <w:pPr>
              <w:spacing w:after="0" w:line="240" w:lineRule="auto"/>
              <w:jc w:val="right"/>
              <w:rPr>
                <w:rFonts w:eastAsia="Times New Roman"/>
                <w:sz w:val="18"/>
                <w:szCs w:val="18"/>
              </w:rPr>
            </w:pPr>
          </w:p>
        </w:tc>
      </w:tr>
      <w:tr w:rsidR="008B6B35" w:rsidRPr="00B71F92" w14:paraId="012971B6" w14:textId="77777777" w:rsidTr="002F5607">
        <w:trPr>
          <w:trHeight w:val="230"/>
          <w:jc w:val="center"/>
        </w:trPr>
        <w:tc>
          <w:tcPr>
            <w:tcW w:w="1220" w:type="pct"/>
            <w:tcBorders>
              <w:top w:val="nil"/>
              <w:left w:val="single" w:sz="12" w:space="0" w:color="auto"/>
              <w:bottom w:val="nil"/>
              <w:right w:val="single" w:sz="12" w:space="0" w:color="auto"/>
            </w:tcBorders>
            <w:noWrap/>
          </w:tcPr>
          <w:p w14:paraId="51B695BD" w14:textId="77777777" w:rsidR="008B6B35" w:rsidRPr="00B71F92" w:rsidRDefault="008B6B35" w:rsidP="00730932">
            <w:pPr>
              <w:spacing w:after="0" w:line="240" w:lineRule="auto"/>
              <w:rPr>
                <w:rFonts w:eastAsia="Times New Roman"/>
                <w:sz w:val="18"/>
                <w:szCs w:val="18"/>
              </w:rPr>
            </w:pPr>
            <w:r w:rsidRPr="00B71F92">
              <w:rPr>
                <w:sz w:val="18"/>
                <w:szCs w:val="18"/>
              </w:rPr>
              <w:t>Better access to amenities</w:t>
            </w:r>
          </w:p>
        </w:tc>
        <w:tc>
          <w:tcPr>
            <w:tcW w:w="152" w:type="pct"/>
            <w:tcBorders>
              <w:top w:val="nil"/>
              <w:left w:val="single" w:sz="12" w:space="0" w:color="auto"/>
              <w:bottom w:val="nil"/>
            </w:tcBorders>
            <w:noWrap/>
          </w:tcPr>
          <w:p w14:paraId="649B4734"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34078409"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1F61278F"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3" w:type="pct"/>
            <w:tcBorders>
              <w:top w:val="nil"/>
              <w:bottom w:val="nil"/>
              <w:right w:val="single" w:sz="6" w:space="0" w:color="auto"/>
            </w:tcBorders>
            <w:noWrap/>
          </w:tcPr>
          <w:p w14:paraId="6D376E1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2866935"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83" w:type="pct"/>
            <w:tcBorders>
              <w:top w:val="nil"/>
              <w:bottom w:val="nil"/>
              <w:right w:val="single" w:sz="6" w:space="0" w:color="auto"/>
            </w:tcBorders>
            <w:noWrap/>
          </w:tcPr>
          <w:p w14:paraId="797EC06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EA96CA6"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14B9CC5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6E0C347"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67B051E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244212D"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3AB9B602"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1882B8B"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3" w:type="pct"/>
            <w:tcBorders>
              <w:top w:val="nil"/>
              <w:bottom w:val="nil"/>
              <w:right w:val="single" w:sz="6" w:space="0" w:color="auto"/>
            </w:tcBorders>
            <w:noWrap/>
          </w:tcPr>
          <w:p w14:paraId="5FFB2B8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1C2483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73" w:type="pct"/>
            <w:tcBorders>
              <w:top w:val="nil"/>
              <w:bottom w:val="nil"/>
              <w:right w:val="single" w:sz="6" w:space="0" w:color="auto"/>
            </w:tcBorders>
            <w:noWrap/>
          </w:tcPr>
          <w:p w14:paraId="555A422C"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2A96F0D"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3915E9C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8B5C5D8" w14:textId="77777777" w:rsidR="008B6B35" w:rsidRPr="00B71F92" w:rsidRDefault="008B6B35" w:rsidP="00730932">
            <w:pPr>
              <w:spacing w:after="0" w:line="240" w:lineRule="auto"/>
              <w:jc w:val="right"/>
              <w:rPr>
                <w:sz w:val="18"/>
                <w:szCs w:val="18"/>
              </w:rPr>
            </w:pPr>
            <w:r w:rsidRPr="00B71F92">
              <w:rPr>
                <w:sz w:val="18"/>
                <w:szCs w:val="18"/>
              </w:rPr>
              <w:t>--</w:t>
            </w:r>
          </w:p>
        </w:tc>
        <w:tc>
          <w:tcPr>
            <w:tcW w:w="153" w:type="pct"/>
            <w:tcBorders>
              <w:top w:val="nil"/>
              <w:bottom w:val="nil"/>
              <w:right w:val="single" w:sz="6" w:space="0" w:color="auto"/>
            </w:tcBorders>
            <w:noWrap/>
          </w:tcPr>
          <w:p w14:paraId="1073BE72" w14:textId="77777777" w:rsidR="008B6B35" w:rsidRPr="00B71F92" w:rsidRDefault="008B6B35" w:rsidP="00730932">
            <w:pPr>
              <w:spacing w:after="0" w:line="240" w:lineRule="auto"/>
              <w:jc w:val="right"/>
              <w:rPr>
                <w:sz w:val="18"/>
                <w:szCs w:val="18"/>
              </w:rPr>
            </w:pPr>
          </w:p>
        </w:tc>
        <w:tc>
          <w:tcPr>
            <w:tcW w:w="152" w:type="pct"/>
            <w:tcBorders>
              <w:top w:val="nil"/>
              <w:left w:val="single" w:sz="6" w:space="0" w:color="auto"/>
              <w:bottom w:val="nil"/>
            </w:tcBorders>
            <w:noWrap/>
          </w:tcPr>
          <w:p w14:paraId="435DE020" w14:textId="77777777" w:rsidR="008B6B35" w:rsidRPr="00B71F92" w:rsidRDefault="008B6B35" w:rsidP="00730932">
            <w:pPr>
              <w:spacing w:after="0" w:line="240" w:lineRule="auto"/>
              <w:jc w:val="right"/>
              <w:rPr>
                <w:sz w:val="18"/>
                <w:szCs w:val="18"/>
              </w:rPr>
            </w:pPr>
            <w:r w:rsidRPr="00B71F92">
              <w:rPr>
                <w:sz w:val="18"/>
                <w:szCs w:val="18"/>
              </w:rPr>
              <w:t>0.32</w:t>
            </w:r>
          </w:p>
        </w:tc>
        <w:tc>
          <w:tcPr>
            <w:tcW w:w="155" w:type="pct"/>
            <w:tcBorders>
              <w:top w:val="nil"/>
              <w:bottom w:val="nil"/>
              <w:right w:val="single" w:sz="8" w:space="0" w:color="auto"/>
            </w:tcBorders>
            <w:noWrap/>
          </w:tcPr>
          <w:p w14:paraId="036BF4C2" w14:textId="77777777" w:rsidR="008B6B35" w:rsidRPr="00B71F92" w:rsidRDefault="008B6B35" w:rsidP="00730932">
            <w:pPr>
              <w:spacing w:after="0" w:line="240" w:lineRule="auto"/>
              <w:jc w:val="right"/>
              <w:rPr>
                <w:sz w:val="18"/>
                <w:szCs w:val="18"/>
              </w:rPr>
            </w:pPr>
            <w:r w:rsidRPr="00B71F92">
              <w:rPr>
                <w:sz w:val="18"/>
                <w:szCs w:val="18"/>
              </w:rPr>
              <w:t>2.61</w:t>
            </w:r>
          </w:p>
        </w:tc>
        <w:tc>
          <w:tcPr>
            <w:tcW w:w="152" w:type="pct"/>
            <w:tcBorders>
              <w:top w:val="nil"/>
              <w:left w:val="single" w:sz="8" w:space="0" w:color="auto"/>
              <w:bottom w:val="nil"/>
            </w:tcBorders>
          </w:tcPr>
          <w:p w14:paraId="5F9974BE" w14:textId="77777777" w:rsidR="008B6B35" w:rsidRPr="00B71F92" w:rsidRDefault="008B6B35" w:rsidP="00730932">
            <w:pPr>
              <w:spacing w:after="0" w:line="240" w:lineRule="auto"/>
              <w:jc w:val="right"/>
              <w:rPr>
                <w:rFonts w:eastAsia="Times New Roman"/>
                <w:sz w:val="18"/>
                <w:szCs w:val="18"/>
              </w:rPr>
            </w:pPr>
            <w:r w:rsidRPr="00B71F92">
              <w:rPr>
                <w:sz w:val="18"/>
                <w:szCs w:val="18"/>
              </w:rPr>
              <w:t>-0.17</w:t>
            </w:r>
          </w:p>
        </w:tc>
        <w:tc>
          <w:tcPr>
            <w:tcW w:w="191" w:type="pct"/>
            <w:tcBorders>
              <w:top w:val="nil"/>
              <w:bottom w:val="nil"/>
              <w:right w:val="single" w:sz="12" w:space="0" w:color="auto"/>
            </w:tcBorders>
          </w:tcPr>
          <w:p w14:paraId="1D2074B1" w14:textId="77777777" w:rsidR="008B6B35" w:rsidRPr="00B71F92" w:rsidRDefault="008B6B35" w:rsidP="00730932">
            <w:pPr>
              <w:spacing w:after="0" w:line="240" w:lineRule="auto"/>
              <w:jc w:val="right"/>
              <w:rPr>
                <w:rFonts w:eastAsia="Times New Roman"/>
                <w:sz w:val="18"/>
                <w:szCs w:val="18"/>
              </w:rPr>
            </w:pPr>
            <w:r w:rsidRPr="00B71F92">
              <w:rPr>
                <w:sz w:val="18"/>
                <w:szCs w:val="18"/>
              </w:rPr>
              <w:t>-1.96</w:t>
            </w:r>
          </w:p>
        </w:tc>
      </w:tr>
      <w:tr w:rsidR="008B6B35" w:rsidRPr="00B71F92" w14:paraId="5525463D" w14:textId="77777777" w:rsidTr="002F5607">
        <w:trPr>
          <w:trHeight w:val="230"/>
          <w:jc w:val="center"/>
        </w:trPr>
        <w:tc>
          <w:tcPr>
            <w:tcW w:w="1220" w:type="pct"/>
            <w:tcBorders>
              <w:top w:val="nil"/>
              <w:left w:val="single" w:sz="12" w:space="0" w:color="auto"/>
              <w:bottom w:val="nil"/>
              <w:right w:val="single" w:sz="12" w:space="0" w:color="auto"/>
            </w:tcBorders>
            <w:noWrap/>
          </w:tcPr>
          <w:p w14:paraId="2DFC0A91" w14:textId="77777777" w:rsidR="008B6B35" w:rsidRPr="00B71F92" w:rsidRDefault="008B6B35" w:rsidP="00730932">
            <w:pPr>
              <w:spacing w:after="0" w:line="240" w:lineRule="auto"/>
              <w:rPr>
                <w:rFonts w:eastAsia="Times New Roman"/>
                <w:sz w:val="18"/>
                <w:szCs w:val="18"/>
              </w:rPr>
            </w:pPr>
            <w:r w:rsidRPr="00B71F92">
              <w:rPr>
                <w:sz w:val="18"/>
                <w:szCs w:val="18"/>
              </w:rPr>
              <w:t>Concerns about safety or crime</w:t>
            </w:r>
          </w:p>
        </w:tc>
        <w:tc>
          <w:tcPr>
            <w:tcW w:w="152" w:type="pct"/>
            <w:tcBorders>
              <w:top w:val="nil"/>
              <w:left w:val="single" w:sz="12" w:space="0" w:color="auto"/>
              <w:bottom w:val="nil"/>
            </w:tcBorders>
            <w:noWrap/>
          </w:tcPr>
          <w:p w14:paraId="392E200A"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398FE9ED"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610DF36D"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6F407DA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8206BF2"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nil"/>
              <w:right w:val="single" w:sz="6" w:space="0" w:color="auto"/>
            </w:tcBorders>
            <w:noWrap/>
          </w:tcPr>
          <w:p w14:paraId="2ED9F07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9EADEF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4279A75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015923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6696369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BBA3CEB"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22BFBDF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0E78838"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3D619DDE"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4F21919"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73" w:type="pct"/>
            <w:tcBorders>
              <w:top w:val="nil"/>
              <w:bottom w:val="nil"/>
              <w:right w:val="single" w:sz="6" w:space="0" w:color="auto"/>
            </w:tcBorders>
            <w:noWrap/>
          </w:tcPr>
          <w:p w14:paraId="36B9D0E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1906C04" w14:textId="77777777" w:rsidR="008B6B35" w:rsidRPr="00B71F92" w:rsidRDefault="008B6B35" w:rsidP="00730932">
            <w:pPr>
              <w:spacing w:after="0" w:line="240" w:lineRule="auto"/>
              <w:jc w:val="right"/>
              <w:rPr>
                <w:rFonts w:eastAsia="Times New Roman"/>
                <w:sz w:val="18"/>
                <w:szCs w:val="18"/>
              </w:rPr>
            </w:pPr>
            <w:r w:rsidRPr="00B71F92">
              <w:rPr>
                <w:sz w:val="18"/>
                <w:szCs w:val="18"/>
              </w:rPr>
              <w:t>0.13</w:t>
            </w:r>
          </w:p>
        </w:tc>
        <w:tc>
          <w:tcPr>
            <w:tcW w:w="153" w:type="pct"/>
            <w:tcBorders>
              <w:top w:val="nil"/>
              <w:bottom w:val="nil"/>
              <w:right w:val="single" w:sz="6" w:space="0" w:color="auto"/>
            </w:tcBorders>
            <w:noWrap/>
          </w:tcPr>
          <w:p w14:paraId="6C8C821C" w14:textId="77777777" w:rsidR="008B6B35" w:rsidRPr="00B71F92" w:rsidRDefault="008B6B35" w:rsidP="00730932">
            <w:pPr>
              <w:spacing w:after="0" w:line="240" w:lineRule="auto"/>
              <w:jc w:val="right"/>
              <w:rPr>
                <w:rFonts w:eastAsia="Times New Roman"/>
                <w:sz w:val="18"/>
                <w:szCs w:val="18"/>
              </w:rPr>
            </w:pPr>
            <w:r w:rsidRPr="00B71F92">
              <w:rPr>
                <w:sz w:val="18"/>
                <w:szCs w:val="18"/>
              </w:rPr>
              <w:t>2.05</w:t>
            </w:r>
          </w:p>
        </w:tc>
        <w:tc>
          <w:tcPr>
            <w:tcW w:w="152" w:type="pct"/>
            <w:tcBorders>
              <w:top w:val="nil"/>
              <w:left w:val="single" w:sz="6" w:space="0" w:color="auto"/>
              <w:bottom w:val="nil"/>
            </w:tcBorders>
            <w:noWrap/>
          </w:tcPr>
          <w:p w14:paraId="65684FE6" w14:textId="77777777" w:rsidR="008B6B35" w:rsidRPr="00B71F92" w:rsidRDefault="008B6B35" w:rsidP="00730932">
            <w:pPr>
              <w:spacing w:after="0" w:line="240" w:lineRule="auto"/>
              <w:jc w:val="right"/>
              <w:rPr>
                <w:sz w:val="18"/>
                <w:szCs w:val="18"/>
              </w:rPr>
            </w:pPr>
            <w:r w:rsidRPr="00B71F92">
              <w:rPr>
                <w:sz w:val="18"/>
                <w:szCs w:val="18"/>
              </w:rPr>
              <w:t>--</w:t>
            </w:r>
          </w:p>
        </w:tc>
        <w:tc>
          <w:tcPr>
            <w:tcW w:w="153" w:type="pct"/>
            <w:tcBorders>
              <w:top w:val="nil"/>
              <w:bottom w:val="nil"/>
              <w:right w:val="single" w:sz="6" w:space="0" w:color="auto"/>
            </w:tcBorders>
            <w:noWrap/>
          </w:tcPr>
          <w:p w14:paraId="6DCE21C3" w14:textId="77777777" w:rsidR="008B6B35" w:rsidRPr="00B71F92" w:rsidRDefault="008B6B35" w:rsidP="00730932">
            <w:pPr>
              <w:spacing w:after="0" w:line="240" w:lineRule="auto"/>
              <w:jc w:val="right"/>
              <w:rPr>
                <w:sz w:val="18"/>
                <w:szCs w:val="18"/>
              </w:rPr>
            </w:pPr>
          </w:p>
        </w:tc>
        <w:tc>
          <w:tcPr>
            <w:tcW w:w="152" w:type="pct"/>
            <w:tcBorders>
              <w:top w:val="nil"/>
              <w:left w:val="single" w:sz="6" w:space="0" w:color="auto"/>
              <w:bottom w:val="nil"/>
            </w:tcBorders>
            <w:noWrap/>
          </w:tcPr>
          <w:p w14:paraId="17F235AC" w14:textId="77777777" w:rsidR="008B6B35" w:rsidRPr="00B71F92" w:rsidRDefault="008B6B35" w:rsidP="00730932">
            <w:pPr>
              <w:spacing w:after="0" w:line="240" w:lineRule="auto"/>
              <w:jc w:val="right"/>
              <w:rPr>
                <w:sz w:val="18"/>
                <w:szCs w:val="18"/>
              </w:rPr>
            </w:pPr>
            <w:r w:rsidRPr="00B71F92">
              <w:rPr>
                <w:sz w:val="18"/>
                <w:szCs w:val="18"/>
              </w:rPr>
              <w:t>0.15</w:t>
            </w:r>
          </w:p>
        </w:tc>
        <w:tc>
          <w:tcPr>
            <w:tcW w:w="155" w:type="pct"/>
            <w:tcBorders>
              <w:top w:val="nil"/>
              <w:bottom w:val="nil"/>
              <w:right w:val="single" w:sz="8" w:space="0" w:color="auto"/>
            </w:tcBorders>
            <w:noWrap/>
          </w:tcPr>
          <w:p w14:paraId="4201B677" w14:textId="77777777" w:rsidR="008B6B35" w:rsidRPr="00B71F92" w:rsidRDefault="008B6B35" w:rsidP="00730932">
            <w:pPr>
              <w:spacing w:after="0" w:line="240" w:lineRule="auto"/>
              <w:jc w:val="right"/>
              <w:rPr>
                <w:sz w:val="18"/>
                <w:szCs w:val="18"/>
              </w:rPr>
            </w:pPr>
            <w:r w:rsidRPr="00B71F92">
              <w:rPr>
                <w:sz w:val="18"/>
                <w:szCs w:val="18"/>
              </w:rPr>
              <w:t>1.83</w:t>
            </w:r>
          </w:p>
        </w:tc>
        <w:tc>
          <w:tcPr>
            <w:tcW w:w="152" w:type="pct"/>
            <w:tcBorders>
              <w:top w:val="nil"/>
              <w:left w:val="single" w:sz="8" w:space="0" w:color="auto"/>
              <w:bottom w:val="nil"/>
            </w:tcBorders>
          </w:tcPr>
          <w:p w14:paraId="56C1C8CC"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91" w:type="pct"/>
            <w:tcBorders>
              <w:top w:val="nil"/>
              <w:bottom w:val="nil"/>
              <w:right w:val="single" w:sz="12" w:space="0" w:color="auto"/>
            </w:tcBorders>
          </w:tcPr>
          <w:p w14:paraId="63412495" w14:textId="77777777" w:rsidR="008B6B35" w:rsidRPr="00B71F92" w:rsidRDefault="008B6B35" w:rsidP="00730932">
            <w:pPr>
              <w:spacing w:after="0" w:line="240" w:lineRule="auto"/>
              <w:jc w:val="right"/>
              <w:rPr>
                <w:rFonts w:eastAsia="Times New Roman"/>
                <w:sz w:val="18"/>
                <w:szCs w:val="18"/>
              </w:rPr>
            </w:pPr>
          </w:p>
        </w:tc>
      </w:tr>
      <w:tr w:rsidR="008B6B35" w:rsidRPr="00B71F92" w14:paraId="136A78AD" w14:textId="77777777" w:rsidTr="002F5607">
        <w:trPr>
          <w:trHeight w:val="230"/>
          <w:jc w:val="center"/>
        </w:trPr>
        <w:tc>
          <w:tcPr>
            <w:tcW w:w="1220" w:type="pct"/>
            <w:tcBorders>
              <w:top w:val="nil"/>
              <w:left w:val="single" w:sz="12" w:space="0" w:color="auto"/>
              <w:bottom w:val="nil"/>
              <w:right w:val="single" w:sz="12" w:space="0" w:color="auto"/>
            </w:tcBorders>
            <w:noWrap/>
          </w:tcPr>
          <w:p w14:paraId="12047166" w14:textId="77777777" w:rsidR="008B6B35" w:rsidRPr="00B71F92" w:rsidRDefault="008B6B35" w:rsidP="00730932">
            <w:pPr>
              <w:spacing w:after="0" w:line="240" w:lineRule="auto"/>
              <w:rPr>
                <w:rFonts w:eastAsia="Times New Roman"/>
                <w:sz w:val="18"/>
                <w:szCs w:val="18"/>
              </w:rPr>
            </w:pPr>
            <w:r w:rsidRPr="00B71F92">
              <w:rPr>
                <w:sz w:val="18"/>
                <w:szCs w:val="18"/>
              </w:rPr>
              <w:t>Increase in housing costs</w:t>
            </w:r>
          </w:p>
        </w:tc>
        <w:tc>
          <w:tcPr>
            <w:tcW w:w="152" w:type="pct"/>
            <w:tcBorders>
              <w:top w:val="nil"/>
              <w:left w:val="single" w:sz="12" w:space="0" w:color="auto"/>
              <w:bottom w:val="nil"/>
            </w:tcBorders>
            <w:noWrap/>
            <w:hideMark/>
          </w:tcPr>
          <w:p w14:paraId="4F7F045C"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56D72100"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1619E634"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7AA10D4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F86C246"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nil"/>
              <w:right w:val="single" w:sz="6" w:space="0" w:color="auto"/>
            </w:tcBorders>
            <w:noWrap/>
          </w:tcPr>
          <w:p w14:paraId="3FD79F84"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E0F6B9C"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40A025A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AD1334F"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26AA4E0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E7FD40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38F5216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2F101E34"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18636EE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9A38996"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73" w:type="pct"/>
            <w:tcBorders>
              <w:top w:val="nil"/>
              <w:bottom w:val="nil"/>
              <w:right w:val="single" w:sz="6" w:space="0" w:color="auto"/>
            </w:tcBorders>
            <w:noWrap/>
          </w:tcPr>
          <w:p w14:paraId="51E2134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909CE06"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3" w:type="pct"/>
            <w:tcBorders>
              <w:top w:val="nil"/>
              <w:bottom w:val="nil"/>
              <w:right w:val="single" w:sz="6" w:space="0" w:color="auto"/>
            </w:tcBorders>
            <w:noWrap/>
          </w:tcPr>
          <w:p w14:paraId="3831B07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54BC1D6" w14:textId="77777777" w:rsidR="008B6B35" w:rsidRPr="00B71F92" w:rsidRDefault="008B6B35" w:rsidP="00730932">
            <w:pPr>
              <w:spacing w:after="0" w:line="240" w:lineRule="auto"/>
              <w:jc w:val="right"/>
              <w:rPr>
                <w:rFonts w:eastAsia="Times New Roman"/>
                <w:sz w:val="18"/>
                <w:szCs w:val="18"/>
              </w:rPr>
            </w:pPr>
            <w:r w:rsidRPr="00B71F92">
              <w:rPr>
                <w:sz w:val="18"/>
                <w:szCs w:val="18"/>
              </w:rPr>
              <w:t>0.45</w:t>
            </w:r>
          </w:p>
        </w:tc>
        <w:tc>
          <w:tcPr>
            <w:tcW w:w="153" w:type="pct"/>
            <w:tcBorders>
              <w:top w:val="nil"/>
              <w:bottom w:val="nil"/>
              <w:right w:val="single" w:sz="6" w:space="0" w:color="auto"/>
            </w:tcBorders>
            <w:noWrap/>
          </w:tcPr>
          <w:p w14:paraId="26580B35" w14:textId="77777777" w:rsidR="008B6B35" w:rsidRPr="00B71F92" w:rsidRDefault="008B6B35" w:rsidP="00730932">
            <w:pPr>
              <w:spacing w:after="0" w:line="240" w:lineRule="auto"/>
              <w:jc w:val="right"/>
              <w:rPr>
                <w:rFonts w:eastAsia="Times New Roman"/>
                <w:sz w:val="18"/>
                <w:szCs w:val="18"/>
              </w:rPr>
            </w:pPr>
            <w:r w:rsidRPr="00B71F92">
              <w:rPr>
                <w:sz w:val="18"/>
                <w:szCs w:val="18"/>
              </w:rPr>
              <w:t>6.41</w:t>
            </w:r>
          </w:p>
        </w:tc>
        <w:tc>
          <w:tcPr>
            <w:tcW w:w="152" w:type="pct"/>
            <w:tcBorders>
              <w:top w:val="nil"/>
              <w:left w:val="single" w:sz="6" w:space="0" w:color="auto"/>
              <w:bottom w:val="nil"/>
            </w:tcBorders>
            <w:noWrap/>
          </w:tcPr>
          <w:p w14:paraId="1AB2A947" w14:textId="77777777" w:rsidR="008B6B35" w:rsidRPr="00B71F92" w:rsidRDefault="008B6B35" w:rsidP="00730932">
            <w:pPr>
              <w:spacing w:after="0" w:line="240" w:lineRule="auto"/>
              <w:jc w:val="right"/>
              <w:rPr>
                <w:rFonts w:eastAsia="Times New Roman"/>
                <w:sz w:val="18"/>
                <w:szCs w:val="18"/>
              </w:rPr>
            </w:pPr>
            <w:r w:rsidRPr="00B71F92">
              <w:rPr>
                <w:sz w:val="18"/>
                <w:szCs w:val="18"/>
              </w:rPr>
              <w:t>0.14</w:t>
            </w:r>
          </w:p>
        </w:tc>
        <w:tc>
          <w:tcPr>
            <w:tcW w:w="155" w:type="pct"/>
            <w:tcBorders>
              <w:top w:val="nil"/>
              <w:bottom w:val="nil"/>
              <w:right w:val="single" w:sz="8" w:space="0" w:color="auto"/>
            </w:tcBorders>
            <w:noWrap/>
          </w:tcPr>
          <w:p w14:paraId="5314C509" w14:textId="77777777" w:rsidR="008B6B35" w:rsidRPr="00B71F92" w:rsidRDefault="008B6B35" w:rsidP="00730932">
            <w:pPr>
              <w:spacing w:after="0" w:line="240" w:lineRule="auto"/>
              <w:jc w:val="right"/>
              <w:rPr>
                <w:rFonts w:eastAsia="Times New Roman"/>
                <w:sz w:val="18"/>
                <w:szCs w:val="18"/>
              </w:rPr>
            </w:pPr>
            <w:r w:rsidRPr="00B71F92">
              <w:rPr>
                <w:sz w:val="18"/>
                <w:szCs w:val="18"/>
              </w:rPr>
              <w:t>1.73</w:t>
            </w:r>
          </w:p>
        </w:tc>
        <w:tc>
          <w:tcPr>
            <w:tcW w:w="152" w:type="pct"/>
            <w:tcBorders>
              <w:top w:val="nil"/>
              <w:left w:val="single" w:sz="8" w:space="0" w:color="auto"/>
              <w:bottom w:val="nil"/>
            </w:tcBorders>
          </w:tcPr>
          <w:p w14:paraId="5ED7C59B" w14:textId="77777777" w:rsidR="008B6B35" w:rsidRPr="00B71F92" w:rsidRDefault="008B6B35" w:rsidP="00730932">
            <w:pPr>
              <w:spacing w:after="0" w:line="240" w:lineRule="auto"/>
              <w:jc w:val="right"/>
              <w:rPr>
                <w:rFonts w:eastAsia="Times New Roman"/>
                <w:sz w:val="18"/>
                <w:szCs w:val="18"/>
              </w:rPr>
            </w:pPr>
            <w:r w:rsidRPr="00B71F92">
              <w:rPr>
                <w:sz w:val="18"/>
                <w:szCs w:val="18"/>
              </w:rPr>
              <w:t>-0.21</w:t>
            </w:r>
          </w:p>
        </w:tc>
        <w:tc>
          <w:tcPr>
            <w:tcW w:w="191" w:type="pct"/>
            <w:tcBorders>
              <w:top w:val="nil"/>
              <w:bottom w:val="nil"/>
              <w:right w:val="single" w:sz="12" w:space="0" w:color="auto"/>
            </w:tcBorders>
          </w:tcPr>
          <w:p w14:paraId="16C4B543" w14:textId="77777777" w:rsidR="008B6B35" w:rsidRPr="00B71F92" w:rsidRDefault="008B6B35" w:rsidP="00730932">
            <w:pPr>
              <w:spacing w:after="0" w:line="240" w:lineRule="auto"/>
              <w:jc w:val="right"/>
              <w:rPr>
                <w:rFonts w:eastAsia="Times New Roman"/>
                <w:sz w:val="18"/>
                <w:szCs w:val="18"/>
              </w:rPr>
            </w:pPr>
            <w:r w:rsidRPr="00B71F92">
              <w:rPr>
                <w:sz w:val="18"/>
                <w:szCs w:val="18"/>
              </w:rPr>
              <w:t>-2.84</w:t>
            </w:r>
          </w:p>
        </w:tc>
      </w:tr>
      <w:tr w:rsidR="008B6B35" w:rsidRPr="00B71F92" w14:paraId="08563469" w14:textId="77777777" w:rsidTr="002F5607">
        <w:trPr>
          <w:trHeight w:val="230"/>
          <w:jc w:val="center"/>
        </w:trPr>
        <w:tc>
          <w:tcPr>
            <w:tcW w:w="1220" w:type="pct"/>
            <w:tcBorders>
              <w:top w:val="nil"/>
              <w:left w:val="single" w:sz="12" w:space="0" w:color="auto"/>
              <w:bottom w:val="nil"/>
              <w:right w:val="single" w:sz="12" w:space="0" w:color="auto"/>
            </w:tcBorders>
            <w:noWrap/>
          </w:tcPr>
          <w:p w14:paraId="76A43433" w14:textId="77777777" w:rsidR="008B6B35" w:rsidRPr="00B71F92" w:rsidRDefault="008B6B35" w:rsidP="00730932">
            <w:pPr>
              <w:spacing w:after="0" w:line="240" w:lineRule="auto"/>
              <w:rPr>
                <w:rFonts w:eastAsia="Times New Roman"/>
                <w:sz w:val="18"/>
                <w:szCs w:val="18"/>
              </w:rPr>
            </w:pPr>
            <w:r w:rsidRPr="00B71F92">
              <w:rPr>
                <w:sz w:val="18"/>
                <w:szCs w:val="18"/>
              </w:rPr>
              <w:t>Change in income or finances</w:t>
            </w:r>
          </w:p>
        </w:tc>
        <w:tc>
          <w:tcPr>
            <w:tcW w:w="152" w:type="pct"/>
            <w:tcBorders>
              <w:top w:val="nil"/>
              <w:left w:val="single" w:sz="12" w:space="0" w:color="auto"/>
              <w:bottom w:val="nil"/>
            </w:tcBorders>
            <w:noWrap/>
            <w:hideMark/>
          </w:tcPr>
          <w:p w14:paraId="147380F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2E264D22"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0E69D1F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0CA7D40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D7EFE32"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nil"/>
              <w:right w:val="single" w:sz="6" w:space="0" w:color="auto"/>
            </w:tcBorders>
            <w:noWrap/>
          </w:tcPr>
          <w:p w14:paraId="2BEA873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F52855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7BD299E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966DBFA"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5A11F45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DD7845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4FFE176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1D419F0"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20F3F86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A8CAC88"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73" w:type="pct"/>
            <w:tcBorders>
              <w:top w:val="nil"/>
              <w:bottom w:val="nil"/>
              <w:right w:val="single" w:sz="6" w:space="0" w:color="auto"/>
            </w:tcBorders>
            <w:noWrap/>
          </w:tcPr>
          <w:p w14:paraId="11C3AA9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1A73F36B"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6D4E08D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5B51590"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3" w:type="pct"/>
            <w:tcBorders>
              <w:top w:val="nil"/>
              <w:bottom w:val="nil"/>
              <w:right w:val="single" w:sz="6" w:space="0" w:color="auto"/>
            </w:tcBorders>
            <w:noWrap/>
          </w:tcPr>
          <w:p w14:paraId="6F0914D8"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4A719303" w14:textId="77777777" w:rsidR="008B6B35" w:rsidRPr="00B71F92" w:rsidRDefault="008B6B35" w:rsidP="00730932">
            <w:pPr>
              <w:spacing w:after="0" w:line="240" w:lineRule="auto"/>
              <w:jc w:val="right"/>
              <w:rPr>
                <w:rFonts w:eastAsia="Times New Roman"/>
                <w:sz w:val="18"/>
                <w:szCs w:val="18"/>
              </w:rPr>
            </w:pPr>
            <w:r w:rsidRPr="00B71F92">
              <w:rPr>
                <w:rFonts w:eastAsia="Times New Roman"/>
                <w:sz w:val="18"/>
                <w:szCs w:val="18"/>
              </w:rPr>
              <w:t>--</w:t>
            </w:r>
          </w:p>
        </w:tc>
        <w:tc>
          <w:tcPr>
            <w:tcW w:w="155" w:type="pct"/>
            <w:tcBorders>
              <w:top w:val="nil"/>
              <w:bottom w:val="nil"/>
              <w:right w:val="single" w:sz="8" w:space="0" w:color="auto"/>
            </w:tcBorders>
            <w:noWrap/>
          </w:tcPr>
          <w:p w14:paraId="0221AD57"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61038E83"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91" w:type="pct"/>
            <w:tcBorders>
              <w:top w:val="nil"/>
              <w:bottom w:val="nil"/>
              <w:right w:val="single" w:sz="12" w:space="0" w:color="auto"/>
            </w:tcBorders>
          </w:tcPr>
          <w:p w14:paraId="607F225D" w14:textId="77777777" w:rsidR="008B6B35" w:rsidRPr="00B71F92" w:rsidRDefault="008B6B35" w:rsidP="00730932">
            <w:pPr>
              <w:spacing w:after="0" w:line="240" w:lineRule="auto"/>
              <w:jc w:val="right"/>
              <w:rPr>
                <w:rFonts w:eastAsia="Times New Roman"/>
                <w:sz w:val="18"/>
                <w:szCs w:val="18"/>
              </w:rPr>
            </w:pPr>
          </w:p>
        </w:tc>
      </w:tr>
      <w:tr w:rsidR="008B6B35" w:rsidRPr="00B71F92" w14:paraId="4BAD57B2" w14:textId="77777777" w:rsidTr="002F5607">
        <w:trPr>
          <w:trHeight w:val="230"/>
          <w:jc w:val="center"/>
        </w:trPr>
        <w:tc>
          <w:tcPr>
            <w:tcW w:w="1220" w:type="pct"/>
            <w:tcBorders>
              <w:top w:val="nil"/>
              <w:left w:val="single" w:sz="12" w:space="0" w:color="auto"/>
              <w:bottom w:val="nil"/>
              <w:right w:val="single" w:sz="12" w:space="0" w:color="auto"/>
            </w:tcBorders>
            <w:noWrap/>
          </w:tcPr>
          <w:p w14:paraId="6E2565D3" w14:textId="77777777" w:rsidR="008B6B35" w:rsidRPr="00B71F92" w:rsidRDefault="008B6B35" w:rsidP="00730932">
            <w:pPr>
              <w:spacing w:after="0" w:line="240" w:lineRule="auto"/>
              <w:rPr>
                <w:rFonts w:eastAsia="Times New Roman"/>
                <w:sz w:val="18"/>
                <w:szCs w:val="18"/>
              </w:rPr>
            </w:pPr>
            <w:r w:rsidRPr="00B71F92">
              <w:rPr>
                <w:sz w:val="18"/>
                <w:szCs w:val="18"/>
              </w:rPr>
              <w:t>Friends leaving</w:t>
            </w:r>
          </w:p>
        </w:tc>
        <w:tc>
          <w:tcPr>
            <w:tcW w:w="152" w:type="pct"/>
            <w:tcBorders>
              <w:top w:val="nil"/>
              <w:left w:val="single" w:sz="12" w:space="0" w:color="auto"/>
              <w:bottom w:val="nil"/>
            </w:tcBorders>
            <w:noWrap/>
            <w:hideMark/>
          </w:tcPr>
          <w:p w14:paraId="2BC04D02"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nil"/>
              <w:right w:val="single" w:sz="12" w:space="0" w:color="auto"/>
            </w:tcBorders>
            <w:noWrap/>
          </w:tcPr>
          <w:p w14:paraId="0B571B39"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nil"/>
            </w:tcBorders>
            <w:noWrap/>
          </w:tcPr>
          <w:p w14:paraId="27BC16DA"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75C5650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0C2F5AC"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nil"/>
              <w:right w:val="single" w:sz="6" w:space="0" w:color="auto"/>
            </w:tcBorders>
            <w:noWrap/>
          </w:tcPr>
          <w:p w14:paraId="42579FD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69B416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nil"/>
              <w:right w:val="single" w:sz="6" w:space="0" w:color="auto"/>
            </w:tcBorders>
            <w:noWrap/>
          </w:tcPr>
          <w:p w14:paraId="7D29383A"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15EF62B"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2316951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46208B7"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2FF5364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6D2F83C0"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52DE4DA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355668C5"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73" w:type="pct"/>
            <w:tcBorders>
              <w:top w:val="nil"/>
              <w:bottom w:val="nil"/>
              <w:right w:val="single" w:sz="6" w:space="0" w:color="auto"/>
            </w:tcBorders>
            <w:noWrap/>
          </w:tcPr>
          <w:p w14:paraId="4EFE2AA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07B62CE5"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72E50ED3"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5876B95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nil"/>
              <w:right w:val="single" w:sz="6" w:space="0" w:color="auto"/>
            </w:tcBorders>
            <w:noWrap/>
          </w:tcPr>
          <w:p w14:paraId="5DB17F8B"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nil"/>
            </w:tcBorders>
            <w:noWrap/>
          </w:tcPr>
          <w:p w14:paraId="7D76ED21"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55" w:type="pct"/>
            <w:tcBorders>
              <w:top w:val="nil"/>
              <w:bottom w:val="nil"/>
              <w:right w:val="single" w:sz="8" w:space="0" w:color="auto"/>
            </w:tcBorders>
            <w:noWrap/>
          </w:tcPr>
          <w:p w14:paraId="567411E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nil"/>
            </w:tcBorders>
          </w:tcPr>
          <w:p w14:paraId="3DE0DCE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91" w:type="pct"/>
            <w:tcBorders>
              <w:top w:val="nil"/>
              <w:bottom w:val="nil"/>
              <w:right w:val="single" w:sz="12" w:space="0" w:color="auto"/>
            </w:tcBorders>
          </w:tcPr>
          <w:p w14:paraId="76879D60" w14:textId="77777777" w:rsidR="008B6B35" w:rsidRPr="00B71F92" w:rsidRDefault="008B6B35" w:rsidP="00730932">
            <w:pPr>
              <w:spacing w:after="0" w:line="240" w:lineRule="auto"/>
              <w:jc w:val="right"/>
              <w:rPr>
                <w:rFonts w:eastAsia="Times New Roman"/>
                <w:sz w:val="18"/>
                <w:szCs w:val="18"/>
              </w:rPr>
            </w:pPr>
          </w:p>
        </w:tc>
      </w:tr>
      <w:tr w:rsidR="008B6B35" w:rsidRPr="00B71F92" w14:paraId="513C89B2" w14:textId="77777777" w:rsidTr="002F5607">
        <w:trPr>
          <w:trHeight w:val="230"/>
          <w:jc w:val="center"/>
        </w:trPr>
        <w:tc>
          <w:tcPr>
            <w:tcW w:w="1220" w:type="pct"/>
            <w:tcBorders>
              <w:top w:val="nil"/>
              <w:left w:val="single" w:sz="12" w:space="0" w:color="auto"/>
              <w:bottom w:val="single" w:sz="12" w:space="0" w:color="auto"/>
              <w:right w:val="single" w:sz="12" w:space="0" w:color="auto"/>
            </w:tcBorders>
            <w:noWrap/>
          </w:tcPr>
          <w:p w14:paraId="540A3030" w14:textId="77777777" w:rsidR="008B6B35" w:rsidRPr="00B71F92" w:rsidRDefault="008B6B35" w:rsidP="00730932">
            <w:pPr>
              <w:spacing w:after="0" w:line="240" w:lineRule="auto"/>
              <w:rPr>
                <w:rFonts w:eastAsia="Times New Roman"/>
                <w:sz w:val="18"/>
                <w:szCs w:val="18"/>
              </w:rPr>
            </w:pPr>
            <w:r w:rsidRPr="00B71F92">
              <w:rPr>
                <w:sz w:val="18"/>
                <w:szCs w:val="18"/>
              </w:rPr>
              <w:t>Threat of being forced to move out</w:t>
            </w:r>
          </w:p>
        </w:tc>
        <w:tc>
          <w:tcPr>
            <w:tcW w:w="152" w:type="pct"/>
            <w:tcBorders>
              <w:top w:val="nil"/>
              <w:left w:val="single" w:sz="12" w:space="0" w:color="auto"/>
              <w:bottom w:val="single" w:sz="12" w:space="0" w:color="auto"/>
            </w:tcBorders>
            <w:noWrap/>
            <w:hideMark/>
          </w:tcPr>
          <w:p w14:paraId="25E78A30"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2" w:type="pct"/>
            <w:tcBorders>
              <w:top w:val="nil"/>
              <w:bottom w:val="single" w:sz="12" w:space="0" w:color="auto"/>
              <w:right w:val="single" w:sz="12" w:space="0" w:color="auto"/>
            </w:tcBorders>
            <w:noWrap/>
          </w:tcPr>
          <w:p w14:paraId="3EAD2ABB" w14:textId="77777777" w:rsidR="008B6B35" w:rsidRPr="00B71F92" w:rsidRDefault="008B6B35" w:rsidP="00730932">
            <w:pPr>
              <w:spacing w:after="0" w:line="240" w:lineRule="auto"/>
              <w:jc w:val="right"/>
              <w:rPr>
                <w:rFonts w:eastAsia="Times New Roman"/>
                <w:sz w:val="18"/>
                <w:szCs w:val="18"/>
              </w:rPr>
            </w:pPr>
          </w:p>
        </w:tc>
        <w:tc>
          <w:tcPr>
            <w:tcW w:w="182" w:type="pct"/>
            <w:tcBorders>
              <w:top w:val="nil"/>
              <w:left w:val="single" w:sz="12" w:space="0" w:color="auto"/>
              <w:bottom w:val="single" w:sz="12" w:space="0" w:color="auto"/>
            </w:tcBorders>
            <w:noWrap/>
          </w:tcPr>
          <w:p w14:paraId="144D12DD"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single" w:sz="12" w:space="0" w:color="auto"/>
              <w:right w:val="single" w:sz="6" w:space="0" w:color="auto"/>
            </w:tcBorders>
            <w:noWrap/>
          </w:tcPr>
          <w:p w14:paraId="6BD9745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1050EF19"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83" w:type="pct"/>
            <w:tcBorders>
              <w:top w:val="nil"/>
              <w:bottom w:val="single" w:sz="12" w:space="0" w:color="auto"/>
              <w:right w:val="single" w:sz="6" w:space="0" w:color="auto"/>
            </w:tcBorders>
            <w:noWrap/>
          </w:tcPr>
          <w:p w14:paraId="0BF13C4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40A1E0A8"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4" w:type="pct"/>
            <w:tcBorders>
              <w:top w:val="nil"/>
              <w:bottom w:val="single" w:sz="12" w:space="0" w:color="auto"/>
              <w:right w:val="single" w:sz="6" w:space="0" w:color="auto"/>
            </w:tcBorders>
            <w:noWrap/>
          </w:tcPr>
          <w:p w14:paraId="1D3472B6"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00217641"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single" w:sz="12" w:space="0" w:color="auto"/>
              <w:right w:val="single" w:sz="6" w:space="0" w:color="auto"/>
            </w:tcBorders>
            <w:noWrap/>
          </w:tcPr>
          <w:p w14:paraId="1EC24FB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1F77F5FF"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single" w:sz="12" w:space="0" w:color="auto"/>
              <w:right w:val="single" w:sz="6" w:space="0" w:color="auto"/>
            </w:tcBorders>
            <w:noWrap/>
          </w:tcPr>
          <w:p w14:paraId="5824FE71"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1E4227D8"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single" w:sz="12" w:space="0" w:color="auto"/>
              <w:right w:val="single" w:sz="6" w:space="0" w:color="auto"/>
            </w:tcBorders>
            <w:noWrap/>
          </w:tcPr>
          <w:p w14:paraId="6AFF476F"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5E644F7B"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73" w:type="pct"/>
            <w:tcBorders>
              <w:top w:val="nil"/>
              <w:bottom w:val="single" w:sz="12" w:space="0" w:color="auto"/>
              <w:right w:val="single" w:sz="6" w:space="0" w:color="auto"/>
            </w:tcBorders>
            <w:noWrap/>
          </w:tcPr>
          <w:p w14:paraId="4949F9B9"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35FE1875"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single" w:sz="12" w:space="0" w:color="auto"/>
              <w:right w:val="single" w:sz="6" w:space="0" w:color="auto"/>
            </w:tcBorders>
            <w:noWrap/>
          </w:tcPr>
          <w:p w14:paraId="6FFD09B5"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596A505A"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3" w:type="pct"/>
            <w:tcBorders>
              <w:top w:val="nil"/>
              <w:bottom w:val="single" w:sz="12" w:space="0" w:color="auto"/>
              <w:right w:val="single" w:sz="6" w:space="0" w:color="auto"/>
            </w:tcBorders>
            <w:noWrap/>
          </w:tcPr>
          <w:p w14:paraId="5E99603D"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6" w:space="0" w:color="auto"/>
              <w:bottom w:val="single" w:sz="12" w:space="0" w:color="auto"/>
            </w:tcBorders>
            <w:noWrap/>
          </w:tcPr>
          <w:p w14:paraId="3D0DF24E" w14:textId="77777777" w:rsidR="008B6B35" w:rsidRPr="00B71F92" w:rsidRDefault="008B6B35" w:rsidP="00730932">
            <w:pPr>
              <w:spacing w:after="0" w:line="240" w:lineRule="auto"/>
              <w:jc w:val="right"/>
              <w:rPr>
                <w:rFonts w:eastAsia="Times New Roman"/>
                <w:sz w:val="18"/>
                <w:szCs w:val="18"/>
              </w:rPr>
            </w:pPr>
            <w:r w:rsidRPr="00B71F92">
              <w:rPr>
                <w:sz w:val="18"/>
                <w:szCs w:val="18"/>
              </w:rPr>
              <w:t>--</w:t>
            </w:r>
          </w:p>
        </w:tc>
        <w:tc>
          <w:tcPr>
            <w:tcW w:w="155" w:type="pct"/>
            <w:tcBorders>
              <w:top w:val="nil"/>
              <w:bottom w:val="single" w:sz="12" w:space="0" w:color="auto"/>
              <w:right w:val="single" w:sz="8" w:space="0" w:color="auto"/>
            </w:tcBorders>
            <w:noWrap/>
          </w:tcPr>
          <w:p w14:paraId="5B1574A0" w14:textId="77777777" w:rsidR="008B6B35" w:rsidRPr="00B71F92" w:rsidRDefault="008B6B35" w:rsidP="00730932">
            <w:pPr>
              <w:spacing w:after="0" w:line="240" w:lineRule="auto"/>
              <w:jc w:val="right"/>
              <w:rPr>
                <w:rFonts w:eastAsia="Times New Roman"/>
                <w:sz w:val="18"/>
                <w:szCs w:val="18"/>
              </w:rPr>
            </w:pPr>
          </w:p>
        </w:tc>
        <w:tc>
          <w:tcPr>
            <w:tcW w:w="152" w:type="pct"/>
            <w:tcBorders>
              <w:top w:val="nil"/>
              <w:left w:val="single" w:sz="8" w:space="0" w:color="auto"/>
              <w:bottom w:val="single" w:sz="12" w:space="0" w:color="auto"/>
            </w:tcBorders>
          </w:tcPr>
          <w:p w14:paraId="6127F33E" w14:textId="77777777" w:rsidR="008B6B35" w:rsidRPr="00B71F92" w:rsidRDefault="008B6B35" w:rsidP="00730932">
            <w:pPr>
              <w:spacing w:after="0" w:line="240" w:lineRule="auto"/>
              <w:jc w:val="right"/>
              <w:rPr>
                <w:rFonts w:eastAsia="Times New Roman"/>
                <w:sz w:val="18"/>
                <w:szCs w:val="18"/>
              </w:rPr>
            </w:pPr>
            <w:r w:rsidRPr="00B71F92">
              <w:rPr>
                <w:sz w:val="18"/>
                <w:szCs w:val="18"/>
              </w:rPr>
              <w:t>1.00</w:t>
            </w:r>
          </w:p>
        </w:tc>
        <w:tc>
          <w:tcPr>
            <w:tcW w:w="191" w:type="pct"/>
            <w:tcBorders>
              <w:top w:val="nil"/>
              <w:bottom w:val="single" w:sz="12" w:space="0" w:color="auto"/>
              <w:right w:val="single" w:sz="12" w:space="0" w:color="auto"/>
            </w:tcBorders>
          </w:tcPr>
          <w:p w14:paraId="54AB788D" w14:textId="77777777" w:rsidR="008B6B35" w:rsidRPr="00B71F92" w:rsidRDefault="008B6B35" w:rsidP="00730932">
            <w:pPr>
              <w:spacing w:after="0" w:line="240" w:lineRule="auto"/>
              <w:jc w:val="right"/>
              <w:rPr>
                <w:rFonts w:eastAsia="Times New Roman"/>
                <w:sz w:val="18"/>
                <w:szCs w:val="18"/>
              </w:rPr>
            </w:pPr>
          </w:p>
        </w:tc>
      </w:tr>
    </w:tbl>
    <w:p w14:paraId="1A7B4EA7" w14:textId="77777777" w:rsidR="008B6B35" w:rsidRPr="00B71F92" w:rsidRDefault="008B6B35" w:rsidP="008B6B35">
      <w:pPr>
        <w:spacing w:after="0" w:line="240" w:lineRule="auto"/>
        <w:jc w:val="both"/>
        <w:rPr>
          <w:b/>
          <w:bCs/>
        </w:rPr>
      </w:pPr>
    </w:p>
    <w:p w14:paraId="0785201B" w14:textId="77777777" w:rsidR="008B6B35" w:rsidRDefault="008B6B35" w:rsidP="008B6B35">
      <w:pPr>
        <w:spacing w:after="0" w:line="240" w:lineRule="auto"/>
        <w:jc w:val="both"/>
      </w:pPr>
      <w:r>
        <w:br w:type="page"/>
      </w:r>
    </w:p>
    <w:p w14:paraId="0BA98704" w14:textId="77777777" w:rsidR="008B6B35" w:rsidRDefault="008B6B35" w:rsidP="00980C71">
      <w:pPr>
        <w:keepNext/>
        <w:keepLines/>
        <w:spacing w:after="0" w:line="240" w:lineRule="auto"/>
        <w:jc w:val="both"/>
        <w:rPr>
          <w:b/>
          <w:bCs/>
        </w:rPr>
        <w:sectPr w:rsidR="008B6B35" w:rsidSect="008B6B35">
          <w:pgSz w:w="15840" w:h="12240" w:orient="landscape"/>
          <w:pgMar w:top="1440" w:right="1440" w:bottom="1440" w:left="1440" w:header="720" w:footer="720" w:gutter="0"/>
          <w:cols w:space="720"/>
          <w:docGrid w:linePitch="360"/>
        </w:sectPr>
      </w:pPr>
    </w:p>
    <w:p w14:paraId="79815084" w14:textId="766E9726" w:rsidR="008404B6" w:rsidRPr="00B71F92" w:rsidRDefault="008404B6" w:rsidP="00980C71">
      <w:pPr>
        <w:keepNext/>
        <w:keepLines/>
        <w:spacing w:after="0" w:line="240" w:lineRule="auto"/>
        <w:jc w:val="both"/>
        <w:rPr>
          <w:b/>
          <w:bCs/>
        </w:rPr>
      </w:pPr>
      <w:r w:rsidRPr="00B71F92">
        <w:rPr>
          <w:b/>
          <w:bCs/>
        </w:rPr>
        <w:lastRenderedPageBreak/>
        <w:t>4.1 Main Estimation</w:t>
      </w:r>
      <w:r w:rsidR="00684CE6" w:rsidRPr="00B71F92">
        <w:rPr>
          <w:b/>
          <w:bCs/>
        </w:rPr>
        <w:t xml:space="preserve"> Results </w:t>
      </w:r>
    </w:p>
    <w:p w14:paraId="72948F37" w14:textId="00B31C3F" w:rsidR="009E7B12" w:rsidRPr="00B71F92" w:rsidRDefault="00D17502" w:rsidP="00980C71">
      <w:pPr>
        <w:keepNext/>
        <w:keepLines/>
        <w:spacing w:after="0" w:line="240" w:lineRule="auto"/>
        <w:jc w:val="both"/>
      </w:pPr>
      <w:r w:rsidRPr="00B71F92">
        <w:t xml:space="preserve">The main estimation results are presented in Table 3. </w:t>
      </w:r>
      <w:r w:rsidR="00AF1FA1" w:rsidRPr="00B71F92">
        <w:t xml:space="preserve">The first three rows in the table provide the overall </w:t>
      </w:r>
      <w:r w:rsidR="00AB46AB" w:rsidRPr="00B71F92">
        <w:t xml:space="preserve">constant effects and shift effects for the 2021 and 2023 periods. </w:t>
      </w:r>
      <w:r w:rsidR="00471133" w:rsidRPr="00B71F92">
        <w:t xml:space="preserve">These variables are estimated for </w:t>
      </w:r>
      <w:r w:rsidR="007E513F" w:rsidRPr="00B71F92">
        <w:t>all outcome</w:t>
      </w:r>
      <w:r w:rsidR="007336C4" w:rsidRPr="00B71F92">
        <w:t xml:space="preserve">s </w:t>
      </w:r>
      <w:r w:rsidR="007E513F" w:rsidRPr="00B71F92">
        <w:t xml:space="preserve">regardless of </w:t>
      </w:r>
      <w:r w:rsidR="007336C4" w:rsidRPr="00B71F92">
        <w:t xml:space="preserve">their </w:t>
      </w:r>
      <w:r w:rsidR="007E513F" w:rsidRPr="00B71F92">
        <w:t xml:space="preserve">statistical significance </w:t>
      </w:r>
      <w:r w:rsidR="00554D2B" w:rsidRPr="00B71F92">
        <w:t xml:space="preserve">simply to match the </w:t>
      </w:r>
      <w:r w:rsidR="00EE39FF" w:rsidRPr="00B71F92">
        <w:t>proportions of individuals selecting each outcome in each period. Thus, they do not have any substantial interpretations</w:t>
      </w:r>
      <w:r w:rsidR="00C305C6" w:rsidRPr="00B71F92">
        <w:t xml:space="preserve"> except </w:t>
      </w:r>
      <w:r w:rsidR="002F5138" w:rsidRPr="00B71F92">
        <w:t>that</w:t>
      </w:r>
      <w:r w:rsidR="00C305C6" w:rsidRPr="00B71F92">
        <w:t xml:space="preserve">, after accounting for </w:t>
      </w:r>
      <w:r w:rsidR="00B16C43" w:rsidRPr="00B71F92">
        <w:t>other exogenous variable effects</w:t>
      </w:r>
      <w:r w:rsidR="001D6FDB" w:rsidRPr="00B71F92">
        <w:t>, they</w:t>
      </w:r>
      <w:r w:rsidR="00B16C43" w:rsidRPr="00B71F92">
        <w:t xml:space="preserve"> </w:t>
      </w:r>
      <w:r w:rsidR="00AC2BD1" w:rsidRPr="00B71F92">
        <w:t xml:space="preserve">suggest an overall shift toward increased residential mobility in the 2021 period </w:t>
      </w:r>
      <w:r w:rsidR="003E3CED" w:rsidRPr="00B71F92">
        <w:t xml:space="preserve">(relative to the 2019 period; the constant value is </w:t>
      </w:r>
      <w:r w:rsidR="0062603C" w:rsidRPr="007F58BA">
        <w:rPr>
          <w:color w:val="161616"/>
          <w:shd w:val="clear" w:color="auto" w:fill="FFFFFF"/>
        </w:rPr>
        <w:t>−</w:t>
      </w:r>
      <w:r w:rsidR="003E3CED" w:rsidRPr="00B71F92">
        <w:t>0.36</w:t>
      </w:r>
      <w:r w:rsidR="00524CDC">
        <w:t xml:space="preserve"> </w:t>
      </w:r>
      <w:r w:rsidR="003E3CED" w:rsidRPr="00B71F92">
        <w:t>+</w:t>
      </w:r>
      <w:r w:rsidR="00524CDC">
        <w:t xml:space="preserve"> </w:t>
      </w:r>
      <w:r w:rsidR="003E3CED" w:rsidRPr="00B71F92">
        <w:t>0.10</w:t>
      </w:r>
      <w:r w:rsidR="00524CDC">
        <w:t xml:space="preserve"> </w:t>
      </w:r>
      <w:r w:rsidR="003E3CED" w:rsidRPr="00B71F92">
        <w:t>=</w:t>
      </w:r>
      <w:r w:rsidR="00524CDC">
        <w:t xml:space="preserve"> </w:t>
      </w:r>
      <w:r w:rsidR="0062603C" w:rsidRPr="007F58BA">
        <w:rPr>
          <w:color w:val="161616"/>
          <w:shd w:val="clear" w:color="auto" w:fill="FFFFFF"/>
        </w:rPr>
        <w:t>−</w:t>
      </w:r>
      <w:r w:rsidR="003E3CED" w:rsidRPr="00B71F92">
        <w:t xml:space="preserve">0.26 in 2021 relative to </w:t>
      </w:r>
      <w:r w:rsidR="0062603C" w:rsidRPr="007F58BA">
        <w:rPr>
          <w:color w:val="161616"/>
          <w:shd w:val="clear" w:color="auto" w:fill="FFFFFF"/>
        </w:rPr>
        <w:t>−</w:t>
      </w:r>
      <w:r w:rsidR="003E3CED" w:rsidRPr="00B71F92">
        <w:t xml:space="preserve">0.36 in 2019) </w:t>
      </w:r>
      <w:r w:rsidR="001D6FDB" w:rsidRPr="00B71F92">
        <w:t>with</w:t>
      </w:r>
      <w:r w:rsidR="000A2641" w:rsidRPr="00B71F92">
        <w:t xml:space="preserve"> motivations </w:t>
      </w:r>
      <w:r w:rsidR="001D6FDB" w:rsidRPr="00B71F92">
        <w:t xml:space="preserve">becoming more </w:t>
      </w:r>
      <w:r w:rsidR="000A2641" w:rsidRPr="00B71F92">
        <w:t>based on improving access to work locations</w:t>
      </w:r>
      <w:r w:rsidR="001D6FDB" w:rsidRPr="00B71F92">
        <w:t>, space in the home, and responding to changes in income or finances</w:t>
      </w:r>
      <w:r w:rsidR="003E3CED" w:rsidRPr="00B71F92">
        <w:t xml:space="preserve">. Residential mobility, overall, is the least in the 2023 period (the constant value for this period is </w:t>
      </w:r>
      <w:r w:rsidR="0062603C" w:rsidRPr="007F58BA">
        <w:rPr>
          <w:color w:val="161616"/>
          <w:shd w:val="clear" w:color="auto" w:fill="FFFFFF"/>
        </w:rPr>
        <w:t>−</w:t>
      </w:r>
      <w:r w:rsidR="003E3CED" w:rsidRPr="00B71F92">
        <w:t>0.36</w:t>
      </w:r>
      <w:r w:rsidR="00524CDC">
        <w:t xml:space="preserve"> </w:t>
      </w:r>
      <w:r w:rsidR="003E3CED" w:rsidRPr="00B71F92">
        <w:t>+</w:t>
      </w:r>
      <w:r w:rsidR="00524CDC">
        <w:t xml:space="preserve"> </w:t>
      </w:r>
      <w:r w:rsidR="003E3CED" w:rsidRPr="00B71F92">
        <w:t>0.10</w:t>
      </w:r>
      <w:r w:rsidR="00524CDC">
        <w:t xml:space="preserve"> </w:t>
      </w:r>
      <w:r w:rsidR="0062603C" w:rsidRPr="007F58BA">
        <w:rPr>
          <w:color w:val="161616"/>
          <w:shd w:val="clear" w:color="auto" w:fill="FFFFFF"/>
        </w:rPr>
        <w:t>−</w:t>
      </w:r>
      <w:r w:rsidR="002F5607">
        <w:rPr>
          <w:color w:val="161616"/>
          <w:shd w:val="clear" w:color="auto" w:fill="FFFFFF"/>
        </w:rPr>
        <w:t xml:space="preserve"> </w:t>
      </w:r>
      <w:r w:rsidR="003E3CED" w:rsidRPr="00B71F92">
        <w:t>0.44</w:t>
      </w:r>
      <w:r w:rsidR="00524CDC">
        <w:t xml:space="preserve"> </w:t>
      </w:r>
      <w:r w:rsidR="003E3CED" w:rsidRPr="00B71F92">
        <w:t>=</w:t>
      </w:r>
      <w:r w:rsidR="00524CDC">
        <w:t xml:space="preserve"> </w:t>
      </w:r>
      <w:r w:rsidR="0062603C" w:rsidRPr="007F58BA">
        <w:rPr>
          <w:color w:val="161616"/>
          <w:shd w:val="clear" w:color="auto" w:fill="FFFFFF"/>
        </w:rPr>
        <w:t>−</w:t>
      </w:r>
      <w:r w:rsidR="003E3CED" w:rsidRPr="00B71F92">
        <w:t xml:space="preserve">0.70), </w:t>
      </w:r>
      <w:r w:rsidR="001D6FDB" w:rsidRPr="00B71F92">
        <w:t xml:space="preserve">with motivations </w:t>
      </w:r>
      <w:r w:rsidR="003E3CED" w:rsidRPr="00B71F92">
        <w:t xml:space="preserve">(relative to the earlier periods) </w:t>
      </w:r>
      <w:r w:rsidR="00AF5974" w:rsidRPr="00B71F92">
        <w:t xml:space="preserve">shifting more </w:t>
      </w:r>
      <w:r w:rsidR="003E3CED" w:rsidRPr="00B71F92">
        <w:t xml:space="preserve">toward </w:t>
      </w:r>
      <w:r w:rsidR="00AF5974" w:rsidRPr="00B71F92">
        <w:t xml:space="preserve">changing household composition and </w:t>
      </w:r>
      <w:r w:rsidR="00C52058" w:rsidRPr="00B71F92">
        <w:t>the movement of friends and family members</w:t>
      </w:r>
      <w:r w:rsidR="00EE39FF" w:rsidRPr="00B71F92">
        <w:t xml:space="preserve">. </w:t>
      </w:r>
      <w:r w:rsidR="0054398E" w:rsidRPr="00B71F92">
        <w:t>The results of the remaining exogenous variables and interactions between exogenous variables and the 2021 and 2023 indicators are discussed selectively in the remainder of this section, focusing on the changes in moving motivations over time</w:t>
      </w:r>
      <w:r w:rsidR="0062603C">
        <w:t>.</w:t>
      </w:r>
    </w:p>
    <w:p w14:paraId="22D890C0" w14:textId="6935D4EA" w:rsidR="009E7B12" w:rsidRPr="00B71F92" w:rsidRDefault="009E7B12" w:rsidP="008404B6">
      <w:pPr>
        <w:spacing w:after="0" w:line="240" w:lineRule="auto"/>
        <w:jc w:val="both"/>
      </w:pPr>
    </w:p>
    <w:p w14:paraId="5135F391" w14:textId="3395B457" w:rsidR="009E7B12" w:rsidRPr="00B71F92" w:rsidRDefault="009E7B12" w:rsidP="008404B6">
      <w:pPr>
        <w:spacing w:after="0" w:line="240" w:lineRule="auto"/>
        <w:jc w:val="both"/>
        <w:rPr>
          <w:i/>
          <w:iCs/>
          <w:u w:val="single"/>
        </w:rPr>
      </w:pPr>
      <w:r w:rsidRPr="00B71F92">
        <w:rPr>
          <w:i/>
          <w:iCs/>
          <w:u w:val="single"/>
        </w:rPr>
        <w:t>Lifecycle and Household Composition Effects</w:t>
      </w:r>
    </w:p>
    <w:p w14:paraId="4D9D4392" w14:textId="119ABA5B" w:rsidR="00CE218B" w:rsidRPr="00B71F92" w:rsidRDefault="00282F9D" w:rsidP="00CE218B">
      <w:pPr>
        <w:spacing w:after="0" w:line="240" w:lineRule="auto"/>
        <w:jc w:val="both"/>
      </w:pPr>
      <w:r w:rsidRPr="00B71F92">
        <w:t>H</w:t>
      </w:r>
      <w:r w:rsidR="00485270" w:rsidRPr="00B71F92">
        <w:t xml:space="preserve">ouseholds comprised of middle-aged </w:t>
      </w:r>
      <w:r w:rsidR="00050CDE" w:rsidRPr="00B71F92">
        <w:t>adults</w:t>
      </w:r>
      <w:r w:rsidR="00A8390D" w:rsidRPr="00B71F92">
        <w:t xml:space="preserve"> (aged 45-64)</w:t>
      </w:r>
      <w:r w:rsidR="00050CDE" w:rsidRPr="00B71F92">
        <w:t>, older adults</w:t>
      </w:r>
      <w:r w:rsidR="00A8390D" w:rsidRPr="00B71F92">
        <w:t xml:space="preserve"> (aged 65+)</w:t>
      </w:r>
      <w:r w:rsidR="00050CDE" w:rsidRPr="00B71F92">
        <w:t>, and extended</w:t>
      </w:r>
      <w:r w:rsidR="003E3CED" w:rsidRPr="00B71F92">
        <w:t>/multigenerational</w:t>
      </w:r>
      <w:r w:rsidR="00050CDE" w:rsidRPr="00B71F92">
        <w:t xml:space="preserve"> families</w:t>
      </w:r>
      <w:r w:rsidRPr="00B71F92">
        <w:t>, compared with younger households</w:t>
      </w:r>
      <w:r w:rsidR="00A8390D" w:rsidRPr="00B71F92">
        <w:t xml:space="preserve"> (aged 18-44)</w:t>
      </w:r>
      <w:r w:rsidRPr="00B71F92">
        <w:t>,</w:t>
      </w:r>
      <w:r w:rsidR="00050CDE" w:rsidRPr="00B71F92">
        <w:t xml:space="preserve"> all exhibit a lower propensity for moving overall.</w:t>
      </w:r>
      <w:r w:rsidR="0073784E" w:rsidRPr="00B71F92">
        <w:t xml:space="preserve"> This result aligns with well documented findings suggesting that households at later life stages tend to have </w:t>
      </w:r>
      <w:r w:rsidR="006F2724" w:rsidRPr="00B71F92">
        <w:t xml:space="preserve">more </w:t>
      </w:r>
      <w:r w:rsidR="00896F0F" w:rsidRPr="00B71F92">
        <w:t xml:space="preserve">well-established and stable lifestyle preferences and routines, more </w:t>
      </w:r>
      <w:r w:rsidR="006F2724" w:rsidRPr="00B71F92">
        <w:t>location-based social capital (such as social and professional networks and familiarity with local services),</w:t>
      </w:r>
      <w:r w:rsidR="00F414BA" w:rsidRPr="00B71F92">
        <w:t xml:space="preserve"> and are more likely to own their homes, leading to lower rates of residential mobility</w:t>
      </w:r>
      <w:r w:rsidR="00D0361A" w:rsidRPr="00B71F92">
        <w:t xml:space="preserve"> </w:t>
      </w:r>
      <w:r w:rsidR="00D0361A" w:rsidRPr="00B71F92">
        <w:fldChar w:fldCharType="begin"/>
      </w:r>
      <w:r w:rsidR="00A86FA8">
        <w:instrText xml:space="preserve"> ADDIN ZOTERO_ITEM CSL_CITATION {"citationID":"WIGiQWc5","properties":{"unsorted":true,"formattedCitation":"(Fischer and Malmberg, 2001; Falkingham et al., 2016; Artamonova et al., 2020; Wang and Durst, 2023)","plainCitation":"(Fischer and Malmberg, 2001; Falkingham et al., 2016; Artamonova et al., 2020; Wang and Durst, 2023)","noteIndex":0},"citationItems":[{"id":4674,"uris":["http://zotero.org/users/12832277/items/M49DIFBQ"],"itemData":{"id":4674,"type":"article-journal","abstract":"This study analyses the impact on mobility of social ties, life-course events and local insider advantages. Empirical analyses are based on a comprehensive data-set covering all movers between the 108 local labour market regions in Sweden in 1994. The empirical investigation is based on individual micro-data from the TOPSWING database, covering the whole Swedish population. The distribution of major events over the life course in the Swedish population is shown. Furthermore, partial effects of regional economic conditions, individual socio-economic conditions, family ties, life-course events, and duration of residence on the probability of staying in a local labour market are estimated using a probit model. The study reveals that age-specific migration propensities are influenced by a variety of conditions. The analysis lends support for the hypothesis that ties to work and family are major determinants of (im-)mobility and that the distribution of various life projects influences the age-specific migration pattern. Furthermore, we see a strong general effect of the previous duration of stay in a place of residence and workplace on the probability of staying, and we regard this as strong empirical evidence of what we call location-specific insider advantages. People who are, in different ways, deeply settled in a geographical area are very likely to be immobile and to remain residents of that region. Copyright © 2001 John Wiley &amp; Sons, Ltd.","container-title":"International Journal of Population Geography","DOI":"10.1002/ijpg.230","ISSN":"1099-1220","issue":"5","language":"en","license":"Copyright © 2001 John Wiley &amp; Sons, Ltd.","note":"_eprint: https://onlinelibrary.wiley.com/doi/pdf/10.1002/ijpg.230","page":"357-371","source":"Wiley Online Library","title":"Settled People Don't Move: On Life Course and (Im-)Mobility in Sweden","volume":"7","author":[{"family":"Fischer","given":"Peter A."},{"family":"Malmberg","given":"Gunnar"}],"issued":{"date-parts":[["2001"]]}}},{"id":4668,"uris":["http://zotero.org/users/12832277/items/5W9PFFU2"],"itemData":{"id":4668,"type":"article-journal","abstract":"Although a buoyant literature has emerged examining residential mobility across sections of the life course, a full life course perspective has remained lacking. This paper exploits an as yet under-used data source – the English Longitudinal Study of Ageing – to achieve this. The lifetime residential mobility trajectories of older men and women in three birth cohorts born between 1918 and 1947 are compared, examining how these are associated with changes in cohort members’ socio-historical contexts, and life course events in the domains of employment, partnership and fertility. Results indicate that change in residential mobility between cohorts is gendered, with persistent continuity between male cohorts, and marked change between female cohorts. Such gender differentials are particularly notable during young adulthood, highlighting the significance of de-standardising pathways to adulthood and the changing role of women in society. Generalised mobility pathways from birth to age 60 for men and women are identified using sequence analysis, and the paper discusses how these may be associated with contextual changes and life course characteristics. In conclusion, the research reflects on the benefits of the life course perspective for understanding the complexities of residential mobility, and the importance of socio-historical context in understanding trends and patterns in this area.","container-title":"Advances in Life Course Research","DOI":"10.1016/j.alcr.2016.06.001","ISSN":"1569-4909","page":"111-123","source":"ScienceDirect","title":"Residential Mobility Across the Life Course: Continuity and Change Across Three Cohorts in Britain","volume":"30","author":[{"family":"Falkingham","given":"Jane"},{"family":"Sage","given":"Jo"},{"family":"Stone","given":"Juliet"},{"family":"Vlachantoni","given":"Athina"}],"issued":{"date-parts":[["2016",12,1]]}}},{"id":4671,"uris":["http://zotero.org/users/12832277/items/H8SLNHTG"],"itemData":{"id":4671,"type":"article-journal","abstract":"This research examines the relationship between older parents' health issues and (i) their relocations closer to their faraway adult children, (ii) their relocations into institutionalised care facilities, or (iii) having distant children move closer. Additionally, we investigate how these relocations are structured by children's gender and location. We focused on parents aged 80 years and older and their distant children. Multinomial logistic regression models were employed for older men and women based on data from administrative registers of Sweden. Whereas severe health problems were associated with an increased likelihood of parent relocations closer to their children or into institutions, they were not associated with the likelihood of children's moves towards parents. Mothers were more likely to move towards daughters or towards distant children who had at least one sibling living nearby. Children moved closer to their parents when there was at least one sibling living near the parent or in response to their own life circumstances.","container-title":"Population, Space and Place","DOI":"10.1002/psp.2371","ISSN":"1544-8444","issue":"8","note":"PMID: 33935604\nPMCID: PMC8072412","page":"2371","source":"PubMed Central","title":"Geographic Mobility Among Older People and Their Adult Children: The Role of Parents' Health Issues and Family Ties","volume":"26","author":[{"family":"Artamonova","given":"Alyona"},{"family":"Gillespie","given":"Brian Joseph"},{"family":"Brandén","given":"Maria"}],"issued":{"date-parts":[["2020",11]]}}},{"id":5157,"uris":["http://zotero.org/users/12832277/items/XVNNF5SJ"],"itemData":{"id":5157,"type":"article-journal","abstract":"Increases in the elderly population (defined as people aged 65 years old and above by the United States Census Bureau) in the United States (U.S.) have reached an inflection point. This demographic shift fundamentally reshapes the magnitude of housing needs in U.S. communities. Planning housing markets for active aging, our study (1) examines how the overall housing market in the U.S. responds to increases in the elderly population, (2) identifies housing preferences of elderly populations by exploring the heterogeneous effects of increasing elderly populations on different types/sizes of houses. Our results suggest that increases in the elderly population are associated with a slight rise in prices in the overall housing market. It points towards the role of increasing elderly populations in shaping the housing market, bringing both opportunities and challenges in reframing urban and housing policy. The study also shows that increases in the elderly population have significant and positive effects on single-family homes and small homes, but no impact on condominiums and large homes. The heterogeneous effects on different types/sizes of housing represent the preferences of elderly populations to single-family homes and small homes. Given the increasing size and share of elderly populations and severe shortages in affordable elderly housing, our study suggests that a strong commitment to reframing urban policy and housing programs targeting assistance and support toward elderly populations such as the Sect. 202 Supportive Housing for the Elderly Program, is in great need of federal and local governments’ interventions.","container-title":"Journal of Housing and the Built Environment","DOI":"10.1007/s10901-022-09962-0","ISSN":"1573-7772","issue":"2","language":"en","page":"795-809","source":"Springer Link","title":"Planning for Active Aging: Exploring Housing Preferences of Elderly Populations in the United States","volume":"38","author":[{"family":"Wang","given":"Weijing"},{"family":"Durst","given":"Noah J."}],"issued":{"date-parts":[["2023",6,1]]}}}],"schema":"https://github.com/citation-style-language/schema/raw/master/csl-citation.json"} </w:instrText>
      </w:r>
      <w:r w:rsidR="00D0361A" w:rsidRPr="00B71F92">
        <w:fldChar w:fldCharType="separate"/>
      </w:r>
      <w:r w:rsidR="00A86FA8" w:rsidRPr="00A86FA8">
        <w:t>(Fischer and Malmberg, 2001; Falkingham et al., 2016; Artamonova et al., 2020; Wang and Durst, 2023)</w:t>
      </w:r>
      <w:r w:rsidR="00D0361A" w:rsidRPr="00B71F92">
        <w:fldChar w:fldCharType="end"/>
      </w:r>
      <w:r w:rsidR="00C108F4" w:rsidRPr="00B71F92">
        <w:t xml:space="preserve">. </w:t>
      </w:r>
      <w:r w:rsidR="00F363C9" w:rsidRPr="00B71F92">
        <w:t xml:space="preserve">This </w:t>
      </w:r>
      <w:r w:rsidR="003E3CED" w:rsidRPr="00B71F92">
        <w:t xml:space="preserve">lower residential mobility </w:t>
      </w:r>
      <w:r w:rsidR="00F363C9" w:rsidRPr="00B71F92">
        <w:t>grew even stronger for older adults</w:t>
      </w:r>
      <w:r w:rsidR="009A03B7" w:rsidRPr="00B71F92">
        <w:t xml:space="preserve"> during the 2021 period relative to the 2019 period</w:t>
      </w:r>
      <w:r w:rsidR="00F363C9" w:rsidRPr="00B71F92">
        <w:t xml:space="preserve">, possibly because mobility reductions due to the COVID-19 pandemic impacted these adults more strongly than </w:t>
      </w:r>
      <w:r w:rsidR="000F6A4F" w:rsidRPr="00B71F92">
        <w:t xml:space="preserve">for </w:t>
      </w:r>
      <w:r w:rsidR="00F363C9" w:rsidRPr="00B71F92">
        <w:t>other individuals</w:t>
      </w:r>
      <w:r w:rsidR="00E73FF9" w:rsidRPr="00B71F92">
        <w:t xml:space="preserve"> </w:t>
      </w:r>
      <w:r w:rsidR="008B1AB7" w:rsidRPr="00B71F92">
        <w:fldChar w:fldCharType="begin"/>
      </w:r>
      <w:r w:rsidR="000B24C4" w:rsidRPr="00B71F92">
        <w:instrText xml:space="preserve"> ADDIN ZOTERO_ITEM CSL_CITATION {"citationID":"odf34aPE","properties":{"formattedCitation":"(Gaertner et al., 2021)","plainCitation":"(Gaertner et al., 2021)","dontUpdate":true,"noteIndex":0},"citationItems":[{"id":4679,"uris":["http://zotero.org/users/12832277/items/MRIEMUMP"],"itemData":{"id":4679,"type":"article-journal","abstract":"This scoping review focuses on evidence gaps regarding the effects on health, social participation and life contexts of older people at the beginning of the COVID-19 pandemic. It is based on a systematic search strategy of the international literature covering a period between December 2019 and June 2020. The review is supplemented by a search of the websites of selected organisations in Germany (cut-off date: 29 June 2020). Search hits were differentiated by types of publication (empirical study, review, discussion paper). The contents were summarised in tabular form according to topic. The publications mainly discussed the high risks of suffering severe courses of COVID-19 faced by older people, specifically those belonging to certain subgroups. In addition, further main topics were the pandemic’s indirect impacts on physical and mental health, physical and cognitive functions and participation in society. Social isolation, loneliness, reduced levels of physical activity and difficulties in maintaining care were discussed as major health risks. Ageism was an issue that was addressed across all of the identified topics. The publications highlighted the need, but also the opportunity, for raising public awareness of the needs of older people in various life contexts. Publications pointed to the urgent need for research into the biological and social causes of older peoples’ high infection risk and how measures could be adapted in a differentiated manner (infection prevention and control measures, social support, medical and nursing care).","container-title":"Journal of Health Monitoring","DOI":"10.25646/7857","ISSN":"2511-2708","issue":"Suppl 4","note":"PMID: 35586562\nPMCID: PMC8832372","page":"2-37","source":"PubMed Central","title":"Older People at the Beginning of the COVID-19 Pandemic: A Scoping Review","volume":"6","author":[{"family":"Gaertner","given":"Beate"},{"family":"Fuchs","given":"Judith"},{"family":"Möhler","given":"Ralph"},{"family":"Meyer","given":"Gabriele"},{"family":"Scheidt-Nave","given":"Christa"}],"issued":{"date-parts":[["2021",4,30]]}}}],"schema":"https://github.com/citation-style-language/schema/raw/master/csl-citation.json"} </w:instrText>
      </w:r>
      <w:r w:rsidR="008B1AB7" w:rsidRPr="00B71F92">
        <w:fldChar w:fldCharType="separate"/>
      </w:r>
      <w:r w:rsidR="008B1AB7" w:rsidRPr="00B71F92">
        <w:t>(</w:t>
      </w:r>
      <w:r w:rsidR="00CA7079" w:rsidRPr="00B71F92">
        <w:t xml:space="preserve">see </w:t>
      </w:r>
      <w:r w:rsidR="008B1AB7" w:rsidRPr="00B71F92">
        <w:t>Gaertner et al., 2021)</w:t>
      </w:r>
      <w:r w:rsidR="008B1AB7" w:rsidRPr="00B71F92">
        <w:fldChar w:fldCharType="end"/>
      </w:r>
      <w:r w:rsidR="001975B6" w:rsidRPr="00B71F92">
        <w:t>. But</w:t>
      </w:r>
      <w:r w:rsidR="003D2C8B" w:rsidRPr="00B71F92">
        <w:t>,</w:t>
      </w:r>
      <w:r w:rsidR="001975B6" w:rsidRPr="00B71F92">
        <w:t xml:space="preserve"> the age-related gaps in residential mobility</w:t>
      </w:r>
      <w:r w:rsidR="00DA467E" w:rsidRPr="00B71F92">
        <w:t xml:space="preserve"> </w:t>
      </w:r>
      <w:r w:rsidR="00CA7079" w:rsidRPr="00B71F92">
        <w:t>narrowed again</w:t>
      </w:r>
      <w:r w:rsidR="003D2C8B" w:rsidRPr="00B71F92">
        <w:t>,</w:t>
      </w:r>
      <w:r w:rsidR="00CA7079" w:rsidRPr="00B71F92">
        <w:t xml:space="preserve"> </w:t>
      </w:r>
      <w:r w:rsidR="001975B6" w:rsidRPr="00B71F92">
        <w:t>back to almost the 2019 period levels</w:t>
      </w:r>
      <w:r w:rsidR="003D2C8B" w:rsidRPr="00B71F92">
        <w:t>,</w:t>
      </w:r>
      <w:r w:rsidR="001975B6" w:rsidRPr="00B71F92">
        <w:t xml:space="preserve"> </w:t>
      </w:r>
      <w:r w:rsidR="00CA7079" w:rsidRPr="00B71F92">
        <w:t xml:space="preserve">in </w:t>
      </w:r>
      <w:r w:rsidR="00E73FF9" w:rsidRPr="00B71F92">
        <w:t xml:space="preserve">the 2023 period, </w:t>
      </w:r>
      <w:r w:rsidR="00B336AE" w:rsidRPr="00B71F92">
        <w:t xml:space="preserve">with younger adults </w:t>
      </w:r>
      <w:r w:rsidR="00600661" w:rsidRPr="00B71F92">
        <w:t xml:space="preserve">moving less frequently </w:t>
      </w:r>
      <w:r w:rsidR="00DE4BE1" w:rsidRPr="00B71F92">
        <w:t>than</w:t>
      </w:r>
      <w:r w:rsidR="00600661" w:rsidRPr="00B71F92">
        <w:t xml:space="preserve"> they had previously</w:t>
      </w:r>
      <w:r w:rsidR="001975B6" w:rsidRPr="00B71F92">
        <w:t xml:space="preserve"> (note that the net negative effect on the propensity for a residential move in the 2023 period for older adult households, relative to households with adults in the young lifecycle stage, is </w:t>
      </w:r>
      <w:r w:rsidR="0062603C" w:rsidRPr="007F58BA">
        <w:rPr>
          <w:color w:val="161616"/>
          <w:shd w:val="clear" w:color="auto" w:fill="FFFFFF"/>
        </w:rPr>
        <w:t>−</w:t>
      </w:r>
      <w:r w:rsidR="001975B6" w:rsidRPr="00B71F92">
        <w:t>0.90</w:t>
      </w:r>
      <w:r w:rsidR="00524CDC">
        <w:t xml:space="preserve"> </w:t>
      </w:r>
      <w:r w:rsidR="0062603C" w:rsidRPr="007F58BA">
        <w:rPr>
          <w:color w:val="161616"/>
          <w:shd w:val="clear" w:color="auto" w:fill="FFFFFF"/>
        </w:rPr>
        <w:t>−</w:t>
      </w:r>
      <w:r w:rsidR="0062603C">
        <w:rPr>
          <w:color w:val="161616"/>
          <w:shd w:val="clear" w:color="auto" w:fill="FFFFFF"/>
        </w:rPr>
        <w:t xml:space="preserve"> </w:t>
      </w:r>
      <w:r w:rsidR="001975B6" w:rsidRPr="00B71F92">
        <w:t>0.25</w:t>
      </w:r>
      <w:r w:rsidR="00524CDC">
        <w:t xml:space="preserve"> </w:t>
      </w:r>
      <w:r w:rsidR="001975B6" w:rsidRPr="00B71F92">
        <w:t>+</w:t>
      </w:r>
      <w:r w:rsidR="00524CDC">
        <w:t xml:space="preserve"> </w:t>
      </w:r>
      <w:r w:rsidR="001975B6" w:rsidRPr="00B71F92">
        <w:t>0.31</w:t>
      </w:r>
      <w:r w:rsidR="00524CDC">
        <w:t xml:space="preserve"> </w:t>
      </w:r>
      <w:r w:rsidR="001975B6" w:rsidRPr="00B71F92">
        <w:t>=</w:t>
      </w:r>
      <w:r w:rsidR="00524CDC">
        <w:t xml:space="preserve"> </w:t>
      </w:r>
      <w:r w:rsidR="0062603C" w:rsidRPr="007F58BA">
        <w:rPr>
          <w:color w:val="161616"/>
          <w:shd w:val="clear" w:color="auto" w:fill="FFFFFF"/>
        </w:rPr>
        <w:t>−</w:t>
      </w:r>
      <w:r w:rsidR="001975B6" w:rsidRPr="00B71F92">
        <w:t>0.83)</w:t>
      </w:r>
      <w:r w:rsidR="00506E5E" w:rsidRPr="00B71F92">
        <w:t>.</w:t>
      </w:r>
      <w:r w:rsidR="00CA7079" w:rsidRPr="00B71F92">
        <w:t xml:space="preserve"> </w:t>
      </w:r>
      <w:r w:rsidR="00600661" w:rsidRPr="00B71F92">
        <w:t>Regarding the reasons for relocation among households at different lifecycle stages</w:t>
      </w:r>
      <w:r w:rsidR="00F6735B" w:rsidRPr="00B71F92">
        <w:t xml:space="preserve"> (see the main column heading labeled “Reason for Considering </w:t>
      </w:r>
      <w:r w:rsidR="005C4179" w:rsidRPr="00B71F92">
        <w:t xml:space="preserve">a </w:t>
      </w:r>
      <w:r w:rsidR="00F6735B" w:rsidRPr="00B71F92">
        <w:t>Move” in Table 3)</w:t>
      </w:r>
      <w:r w:rsidR="00600661" w:rsidRPr="00B71F92">
        <w:t xml:space="preserve">, </w:t>
      </w:r>
      <w:r w:rsidR="00BE2549" w:rsidRPr="00B71F92">
        <w:t xml:space="preserve">younger families </w:t>
      </w:r>
      <w:r w:rsidR="00DD05E6" w:rsidRPr="00B71F92">
        <w:t>a</w:t>
      </w:r>
      <w:r w:rsidR="00BE2549" w:rsidRPr="00B71F92">
        <w:t>re more likely than those at other lifecycle stages t</w:t>
      </w:r>
      <w:r w:rsidR="006111F3" w:rsidRPr="00B71F92">
        <w:t xml:space="preserve">o </w:t>
      </w:r>
      <w:r w:rsidR="003E3F87" w:rsidRPr="00B71F92">
        <w:t>consider relocating</w:t>
      </w:r>
      <w:r w:rsidR="006111F3" w:rsidRPr="00B71F92">
        <w:t xml:space="preserve"> because of </w:t>
      </w:r>
      <w:r w:rsidR="000308A2" w:rsidRPr="00B71F92">
        <w:t>a desire to “upgrade or buy a home</w:t>
      </w:r>
      <w:r w:rsidR="00C6147C" w:rsidRPr="00B71F92">
        <w:t>,</w:t>
      </w:r>
      <w:r w:rsidR="000308A2" w:rsidRPr="00B71F92">
        <w:t>”</w:t>
      </w:r>
      <w:r w:rsidR="00334D4F" w:rsidRPr="00B71F92">
        <w:t xml:space="preserve"> a </w:t>
      </w:r>
      <w:r w:rsidR="00E54B75" w:rsidRPr="00B71F92">
        <w:t>“</w:t>
      </w:r>
      <w:r w:rsidR="006111F3" w:rsidRPr="00B71F92">
        <w:t xml:space="preserve">change in </w:t>
      </w:r>
      <w:r w:rsidR="00E54B75" w:rsidRPr="00B71F92">
        <w:t>who you live with</w:t>
      </w:r>
      <w:r w:rsidR="00C6147C" w:rsidRPr="00B71F92">
        <w:t>,</w:t>
      </w:r>
      <w:r w:rsidR="00E54B75" w:rsidRPr="00B71F92">
        <w:t>”</w:t>
      </w:r>
      <w:r w:rsidR="006111F3" w:rsidRPr="00B71F92">
        <w:t xml:space="preserve"> </w:t>
      </w:r>
      <w:r w:rsidR="00334D4F" w:rsidRPr="00B71F92">
        <w:t>or a “need for more space</w:t>
      </w:r>
      <w:r w:rsidR="00C6147C" w:rsidRPr="00B71F92">
        <w:t>.</w:t>
      </w:r>
      <w:r w:rsidR="00334D4F" w:rsidRPr="00B71F92">
        <w:t>”</w:t>
      </w:r>
      <w:r w:rsidR="006111F3" w:rsidRPr="00B71F92">
        <w:t xml:space="preserve"> </w:t>
      </w:r>
      <w:r w:rsidR="00E5359D" w:rsidRPr="00B71F92">
        <w:t xml:space="preserve">These results are intuitive as younger families are </w:t>
      </w:r>
      <w:r w:rsidR="001A62E5" w:rsidRPr="00B71F92">
        <w:t xml:space="preserve">less likely to have settled into a long-term lifestyle </w:t>
      </w:r>
      <w:r w:rsidR="00335EDE" w:rsidRPr="00B71F92">
        <w:t xml:space="preserve">and more likely to experience life events such as job changes or changes in household composition </w:t>
      </w:r>
      <w:r w:rsidR="00335EDE" w:rsidRPr="00B71F92">
        <w:fldChar w:fldCharType="begin"/>
      </w:r>
      <w:r w:rsidR="00335EDE" w:rsidRPr="00B71F92">
        <w:instrText xml:space="preserve"> ADDIN ZOTERO_ITEM CSL_CITATION {"citationID":"R5g7G6DP","properties":{"formattedCitation":"(Falkingham et al., 2016)","plainCitation":"(Falkingham et al., 2016)","noteIndex":0},"citationItems":[{"id":4668,"uris":["http://zotero.org/users/12832277/items/5W9PFFU2"],"itemData":{"id":4668,"type":"article-journal","abstract":"Although a buoyant literature has emerged examining residential mobility across sections of the life course, a full life course perspective has remained lacking. This paper exploits an as yet under-used data source – the English Longitudinal Study of Ageing – to achieve this. The lifetime residential mobility trajectories of older men and women in three birth cohorts born between 1918 and 1947 are compared, examining how these are associated with changes in cohort members’ socio-historical contexts, and life course events in the domains of employment, partnership and fertility. Results indicate that change in residential mobility between cohorts is gendered, with persistent continuity between male cohorts, and marked change between female cohorts. Such gender differentials are particularly notable during young adulthood, highlighting the significance of de-standardising pathways to adulthood and the changing role of women in society. Generalised mobility pathways from birth to age 60 for men and women are identified using sequence analysis, and the paper discusses how these may be associated with contextual changes and life course characteristics. In conclusion, the research reflects on the benefits of the life course perspective for understanding the complexities of residential mobility, and the importance of socio-historical context in understanding trends and patterns in this area.","container-title":"Advances in Life Course Research","DOI":"10.1016/j.alcr.2016.06.001","ISSN":"1569-4909","page":"111-123","source":"ScienceDirect","title":"Residential Mobility Across the Life Course: Continuity and Change Across Three Cohorts in Britain","volume":"30","author":[{"family":"Falkingham","given":"Jane"},{"family":"Sage","given":"Jo"},{"family":"Stone","given":"Juliet"},{"family":"Vlachantoni","given":"Athina"}],"issued":{"date-parts":[["2016",12,1]]}}}],"schema":"https://github.com/citation-style-language/schema/raw/master/csl-citation.json"} </w:instrText>
      </w:r>
      <w:r w:rsidR="00335EDE" w:rsidRPr="00B71F92">
        <w:fldChar w:fldCharType="separate"/>
      </w:r>
      <w:r w:rsidR="00335EDE" w:rsidRPr="00B71F92">
        <w:t>(Falkingham et al., 2016)</w:t>
      </w:r>
      <w:r w:rsidR="00335EDE" w:rsidRPr="00B71F92">
        <w:fldChar w:fldCharType="end"/>
      </w:r>
      <w:r w:rsidR="00335EDE" w:rsidRPr="00B71F92">
        <w:t xml:space="preserve">. </w:t>
      </w:r>
      <w:r w:rsidR="006F39DC" w:rsidRPr="00B71F92">
        <w:t xml:space="preserve">Many of these </w:t>
      </w:r>
      <w:r w:rsidR="00E54B75" w:rsidRPr="00B71F92">
        <w:t xml:space="preserve">reasons for considering moving </w:t>
      </w:r>
      <w:r w:rsidR="006F39DC" w:rsidRPr="00B71F92">
        <w:t xml:space="preserve">were moderated in the </w:t>
      </w:r>
      <w:r w:rsidR="00AE4C0C" w:rsidRPr="00B71F92">
        <w:t xml:space="preserve">2021 period, suggesting that these younger households </w:t>
      </w:r>
      <w:r w:rsidR="00BA2CF7" w:rsidRPr="00B71F92">
        <w:t>were</w:t>
      </w:r>
      <w:r w:rsidR="00580A8C" w:rsidRPr="00B71F92">
        <w:t xml:space="preserve"> </w:t>
      </w:r>
      <w:r w:rsidR="00AE4C0C" w:rsidRPr="00B71F92">
        <w:t>experienc</w:t>
      </w:r>
      <w:r w:rsidR="00580A8C" w:rsidRPr="00B71F92">
        <w:t>ing</w:t>
      </w:r>
      <w:r w:rsidR="00AE4C0C" w:rsidRPr="00B71F92">
        <w:t xml:space="preserve"> </w:t>
      </w:r>
      <w:r w:rsidR="00580A8C" w:rsidRPr="00B71F92">
        <w:t xml:space="preserve">increased </w:t>
      </w:r>
      <w:r w:rsidR="00AE4C0C" w:rsidRPr="00B71F92">
        <w:t xml:space="preserve">difficulties in </w:t>
      </w:r>
      <w:r w:rsidR="00580A8C" w:rsidRPr="00B71F92">
        <w:t xml:space="preserve">making proactive moves to improve their housing options during this time. </w:t>
      </w:r>
      <w:r w:rsidR="00334D4F" w:rsidRPr="00B71F92">
        <w:t>Further, in the 2019 period, older families and extended families were more likely than those in earlier life stages to consider moving due to a “change in income or finances</w:t>
      </w:r>
      <w:r w:rsidR="008E5F28" w:rsidRPr="00B71F92">
        <w:t>,</w:t>
      </w:r>
      <w:r w:rsidR="00334D4F" w:rsidRPr="00B71F92">
        <w:t xml:space="preserve">” likely relating to retirement decisions for these families </w:t>
      </w:r>
      <w:r w:rsidR="00334D4F" w:rsidRPr="00B71F92">
        <w:fldChar w:fldCharType="begin"/>
      </w:r>
      <w:r w:rsidR="00334D4F" w:rsidRPr="00B71F92">
        <w:instrText xml:space="preserve"> ADDIN ZOTERO_ITEM CSL_CITATION {"citationID":"zzDqeW6G","properties":{"unsorted":true,"formattedCitation":"(Kim and Waldorf, 2021; Eriksson et al., 2022)","plainCitation":"(Kim and Waldorf, 2021; Eriksson et al., 2022)","dontUpdate":true,"noteIndex":0},"citationItems":[{"id":4716,"uris":["http://zotero.org/users/12832277/items/QT3D2TW9"],"itemData":{"id":4716,"type":"chapter","abstract":"In today’s aging societies, a good deal of the older population is faced with the decision of when to exit the labor force. The decision is often made jointly with a locational choice and a choice about housing consumption (Banks et al. 2012). Prior to retirement, the workplace location strongly influences where people live. Upon retirement, however, other factors such as closeness to children and grandchildren, climate, and amenities take on a pivotal role (Whisler et al. 2008; Wiseman and Roseman 1979; Serow 2001). Moreover—upon retirement—households typically receive less income and change their consumption patterns, spending relatively more on housing, food, and healthcare than on clothing, transportation, and household furnishing (Lee et al. 2014). As a result, many households downsize their home (Bian 2016) and move to places that are more affordable and easily accessible in anticipation that health and strength may become compromised (Abramsson and Andersson 2016).","container-title":"Labor Markets, Migration, and Mobility: Essays in Honor of Jacques Poot","event-place":"Singapore","ISBN":"9789811592751","language":"en","note":"DOI: 10.1007/978-981-15-9275-1_8","page":"181-196","publisher":"Springer","publisher-place":"Singapore","source":"Springer Link","title":"Retirement, Relocation, and Residential Choices","URL":"https://doi.org/10.1007/978-981-15-9275-1_8","author":[{"family":"Kim","given":"Ayoung"},{"family":"Waldorf","given":"Brigitte S."}],"editor":[{"family":"Cochrane","given":"William"},{"family":"Cameron","given":"Michael P."},{"family":"Alimi","given":"Omoniyi"}],"accessed":{"date-parts":[["2025",6,22]]},"issued":{"date-parts":[["2021"]]}}},{"id":4714,"uris":["http://zotero.org/users/12832277/items/NTZVJRSH"],"itemData":{"id":4714,"type":"article-journal","abstract":"As people age the home environment becomes increasingly important. Retirement commonly leads to spending more time in one’s home, and relocating from your own home in older age could be associated with reduced health or wellbeing. The relationship between home and person is complex and perceived aspects of one’s housing such as social, emotional and cognitive ties are considered important factors for health and wellbeing. However, little is known about how perceived aspects of the home change in relation to retirement and relocation. This paper used Situational Analysis to explore, via situational mapping, how community dwelling older adults (aged 60–75) perceived their housing situation in relation to retirement and relocation. The results suggest complex relations between relocation/retirement and perceived housing, and between different aspects of perceived housing. Furthermore, the results suggest that the relationship between life transitions and perceived housing can be seen as bi-directional, where different life transitions affect aspects of perceived housing, and that perceived housing affects (decisions for) relocation. The results suggest complex relations between retirement and relocation, as well as other life transitions, and perceived aspects of one’s housing. It is important to consider these interactions to understand factors that affect health and wellbeing in older adults.","container-title":"International Journal of Environmental Research and Public Health","DOI":"10.3390/ijerph192013314","ISSN":"1660-4601","issue":"20","language":"en","license":"http://creativecommons.org/licenses/by/3.0/","note":"number: 20\npublisher: Multidisciplinary Digital Publishing Institute","source":"www.mdpi.com","title":"Perceived Housing in Relation to Retirement and Relocation: A Qualitative Interview Study among Older Adults","URL":"https://www.mdpi.com/1660-4601/19/20/13314","volume":"19","author":[{"family":"Eriksson","given":"Erik"},{"family":"Wazinski","given":"Karla"},{"family":"Wanka","given":"Anna"},{"family":"Kylén","given":"Maya"},{"family":"Oswald","given":"Frank"},{"family":"Slaug","given":"Björn"},{"family":"Iwarsson","given":"Susanne"},{"family":"Schmidt","given":"Steven M."}],"accessed":{"date-parts":[["2025",6,22]]},"issued":{"date-parts":[["2022",1]]}}}],"schema":"https://github.com/citation-style-language/schema/raw/master/csl-citation.json"} </w:instrText>
      </w:r>
      <w:r w:rsidR="00334D4F" w:rsidRPr="00B71F92">
        <w:fldChar w:fldCharType="separate"/>
      </w:r>
      <w:r w:rsidR="00334D4F" w:rsidRPr="00B71F92">
        <w:t>(see Kim and Waldorf, 2021; Eriksson et al., 2022)</w:t>
      </w:r>
      <w:r w:rsidR="00334D4F" w:rsidRPr="00B71F92">
        <w:fldChar w:fldCharType="end"/>
      </w:r>
      <w:r w:rsidR="00334D4F" w:rsidRPr="00B71F92">
        <w:t xml:space="preserve">. A significant reduction in this effect in the 2021 period may be due to greater employment stability among older individuals compared to younger individuals and increasing retirement age after the onset of the pandemic and changes to pension systems, as well as greater </w:t>
      </w:r>
      <w:r w:rsidR="00334D4F" w:rsidRPr="00B71F92">
        <w:lastRenderedPageBreak/>
        <w:t xml:space="preserve">work location changes made by younger individuals after the onset of the COVID-19 pandemic </w:t>
      </w:r>
      <w:r w:rsidR="00334D4F" w:rsidRPr="00B71F92">
        <w:fldChar w:fldCharType="begin"/>
      </w:r>
      <w:r w:rsidR="00334D4F" w:rsidRPr="00B71F92">
        <w:instrText xml:space="preserve"> ADDIN ZOTERO_ITEM CSL_CITATION {"citationID":"XxYBBv6l","properties":{"unsorted":true,"formattedCitation":"(Munnell and Chen, 2021; Bassoli et al., 2023)","plainCitation":"(Munnell and Chen, 2021; Bassoli et al., 2023)","noteIndex":0},"citationItems":[{"id":4718,"uris":["http://zotero.org/users/12832277/items/6SGCNLH3"],"itemData":{"id":4718,"type":"report","collection-title":"Issue in Brief","publisher":"Center for Retirement Research at Boston College","source":"Google Scholar","title":"COVID-19 Is Not a Retirement Story","URL":"https://crr.bc.edu/wp-content/uploads/2021/02/IB_21-4.pdf","author":[{"family":"Munnell","given":"Alicia H."},{"family":"Chen","given":"Anqi"}],"accessed":{"date-parts":[["2025",6,22]]},"issued":{"date-parts":[["2021"]]}}},{"id":4720,"uris":["http://zotero.org/users/12832277/items/NNKMDHYN"],"itemData":{"id":4720,"type":"chapter","container-title":"Social, Health, and Economic Impacts of the COVID-19 Pandemic and the Epidemiological Control Measures","event-place":"Boston, MA","page":"129-140","publisher":"De Gruyter","publisher-place":"Boston, MA","title":"Did the Pandemic Change Retirement Trends?","URL":"https://library.oapen.org/bitstream/handle/20.500.12657/87855/1/9783111135908.pdf#page=149","author":[{"family":"Bassoli","given":"Elena"},{"family":"Belloni","given":"Michele"},{"family":"Brugiavini","given":"Agar"},{"family":"Gao","given":"Ya"}],"issued":{"date-parts":[["2023"]]}}}],"schema":"https://github.com/citation-style-language/schema/raw/master/csl-citation.json"} </w:instrText>
      </w:r>
      <w:r w:rsidR="00334D4F" w:rsidRPr="00B71F92">
        <w:fldChar w:fldCharType="separate"/>
      </w:r>
      <w:r w:rsidR="00334D4F" w:rsidRPr="00B71F92">
        <w:t>(Munnell and Chen, 2021; Bassoli et al., 2023)</w:t>
      </w:r>
      <w:r w:rsidR="00334D4F" w:rsidRPr="00B71F92">
        <w:fldChar w:fldCharType="end"/>
      </w:r>
      <w:r w:rsidR="00334D4F" w:rsidRPr="00B71F92">
        <w:t>. Finally, o</w:t>
      </w:r>
      <w:r w:rsidR="00946402" w:rsidRPr="00B71F92">
        <w:t xml:space="preserve">lder families seem more stable than others in terms of being less likely to </w:t>
      </w:r>
      <w:r w:rsidR="00334D4F" w:rsidRPr="00B71F92">
        <w:t xml:space="preserve">consider moving because of increased housing costs or because of a </w:t>
      </w:r>
      <w:r w:rsidR="00E54B75" w:rsidRPr="00B71F92">
        <w:t xml:space="preserve">threat of being </w:t>
      </w:r>
      <w:r w:rsidR="00946402" w:rsidRPr="00B71F92">
        <w:t>forced to move</w:t>
      </w:r>
      <w:r w:rsidR="0054398E" w:rsidRPr="00B71F92">
        <w:t>, again a result like</w:t>
      </w:r>
      <w:r w:rsidR="00E54B75" w:rsidRPr="00B71F92">
        <w:t xml:space="preserve">ly </w:t>
      </w:r>
      <w:r w:rsidR="0054398E" w:rsidRPr="00B71F92">
        <w:t>relat</w:t>
      </w:r>
      <w:r w:rsidR="00E54B75" w:rsidRPr="00B71F92">
        <w:t>ed</w:t>
      </w:r>
      <w:r w:rsidR="0054398E" w:rsidRPr="00B71F92">
        <w:t xml:space="preserve"> to the greater stability of individuals at later life stages. </w:t>
      </w:r>
    </w:p>
    <w:p w14:paraId="6FD256D9" w14:textId="1478714F" w:rsidR="00776918" w:rsidRPr="00B71F92" w:rsidRDefault="00CA3F6D" w:rsidP="00282F9D">
      <w:pPr>
        <w:spacing w:after="0" w:line="240" w:lineRule="auto"/>
        <w:ind w:firstLine="720"/>
        <w:jc w:val="both"/>
      </w:pPr>
      <w:r w:rsidRPr="00B71F92">
        <w:t xml:space="preserve">The results </w:t>
      </w:r>
      <w:r w:rsidR="00776918" w:rsidRPr="00B71F92">
        <w:t xml:space="preserve">also </w:t>
      </w:r>
      <w:r w:rsidRPr="00B71F92">
        <w:t xml:space="preserve">suggest that </w:t>
      </w:r>
      <w:r w:rsidR="000C61FA" w:rsidRPr="00B71F92">
        <w:t xml:space="preserve">the number of adults in the household by gender </w:t>
      </w:r>
      <w:r w:rsidRPr="00B71F92">
        <w:t xml:space="preserve">plays an important role in </w:t>
      </w:r>
      <w:r w:rsidR="00D35219" w:rsidRPr="00B71F92">
        <w:t xml:space="preserve">relocation patterns. </w:t>
      </w:r>
      <w:r w:rsidR="001B7B69" w:rsidRPr="00B71F92">
        <w:t xml:space="preserve">Compared with households with </w:t>
      </w:r>
      <w:r w:rsidR="001975B6" w:rsidRPr="00B71F92">
        <w:t xml:space="preserve">two or </w:t>
      </w:r>
      <w:r w:rsidR="001B7B69" w:rsidRPr="00B71F92">
        <w:t xml:space="preserve">more adults, single female adult households exhibit higher residential mobility, while single </w:t>
      </w:r>
      <w:r w:rsidR="009D3850" w:rsidRPr="00B71F92">
        <w:t>male</w:t>
      </w:r>
      <w:r w:rsidR="001B7B69" w:rsidRPr="00B71F92">
        <w:t xml:space="preserve"> adult households have a lower baseline propensity to move but greater responsiveness to changing conditions (as evidenced by increased overall residential mobility in the 2021 period before reverting toward the baseline in the 2023 period). Further, in terms of relocation motivations, s</w:t>
      </w:r>
      <w:r w:rsidR="00334D4F" w:rsidRPr="00B71F92">
        <w:t xml:space="preserve">ingle </w:t>
      </w:r>
      <w:r w:rsidR="00602F7A" w:rsidRPr="00B71F92">
        <w:t>adult households</w:t>
      </w:r>
      <w:r w:rsidR="00334D4F" w:rsidRPr="00B71F92">
        <w:t>, regardless of gender</w:t>
      </w:r>
      <w:r w:rsidR="00602F7A" w:rsidRPr="00B71F92">
        <w:t xml:space="preserve"> (and relative to </w:t>
      </w:r>
      <w:r w:rsidR="001B7B69" w:rsidRPr="00B71F92">
        <w:t>households with more than one adult</w:t>
      </w:r>
      <w:r w:rsidR="00602F7A" w:rsidRPr="00B71F92">
        <w:t xml:space="preserve">), </w:t>
      </w:r>
      <w:r w:rsidR="00334D4F" w:rsidRPr="00B71F92">
        <w:t xml:space="preserve">appear to be primarily </w:t>
      </w:r>
      <w:r w:rsidR="001B7B69" w:rsidRPr="00B71F92">
        <w:t xml:space="preserve">driven </w:t>
      </w:r>
      <w:r w:rsidR="00334D4F" w:rsidRPr="00B71F92">
        <w:t>by a “change in income or finances</w:t>
      </w:r>
      <w:r w:rsidR="00E7767C" w:rsidRPr="00B71F92">
        <w:t>,</w:t>
      </w:r>
      <w:r w:rsidR="00334D4F" w:rsidRPr="00B71F92">
        <w:t xml:space="preserve">” </w:t>
      </w:r>
      <w:r w:rsidR="001B7B69" w:rsidRPr="00B71F92">
        <w:t>or</w:t>
      </w:r>
      <w:r w:rsidR="00334D4F" w:rsidRPr="00B71F92">
        <w:t xml:space="preserve"> disruptions in </w:t>
      </w:r>
      <w:r w:rsidR="001B7B69" w:rsidRPr="00B71F92">
        <w:t xml:space="preserve">the </w:t>
      </w:r>
      <w:r w:rsidR="00334D4F" w:rsidRPr="00B71F92">
        <w:t xml:space="preserve">social network (that is, “friends leaving”), though the “change in income or finances” reason </w:t>
      </w:r>
      <w:r w:rsidR="00602F7A" w:rsidRPr="00B71F92">
        <w:t xml:space="preserve">is tempered substantially in </w:t>
      </w:r>
      <w:r w:rsidR="001E1E5A" w:rsidRPr="00B71F92">
        <w:t xml:space="preserve">the </w:t>
      </w:r>
      <w:r w:rsidR="00602F7A" w:rsidRPr="00B71F92">
        <w:t>2023</w:t>
      </w:r>
      <w:r w:rsidR="001E1E5A" w:rsidRPr="00B71F92">
        <w:t xml:space="preserve"> period</w:t>
      </w:r>
      <w:r w:rsidR="00334D4F" w:rsidRPr="00B71F92">
        <w:t xml:space="preserve">. </w:t>
      </w:r>
      <w:r w:rsidR="00282530" w:rsidRPr="00B71F92">
        <w:t xml:space="preserve">Also, single adult households regardless of gender, are less influenced by </w:t>
      </w:r>
      <w:r w:rsidR="001975B6" w:rsidRPr="00B71F92">
        <w:t>a desire to “upgrade or buy a home,” or “</w:t>
      </w:r>
      <w:r w:rsidR="00282530" w:rsidRPr="00B71F92">
        <w:t>need for more space</w:t>
      </w:r>
      <w:r w:rsidR="00487AD5" w:rsidRPr="00B71F92">
        <w:t>,</w:t>
      </w:r>
      <w:r w:rsidR="001975B6" w:rsidRPr="00B71F92">
        <w:t>”</w:t>
      </w:r>
      <w:r w:rsidR="00282530" w:rsidRPr="00B71F92">
        <w:t xml:space="preserve"> </w:t>
      </w:r>
      <w:r w:rsidR="00781076" w:rsidRPr="00B71F92">
        <w:t>and</w:t>
      </w:r>
      <w:r w:rsidR="00282530" w:rsidRPr="00B71F92">
        <w:t xml:space="preserve"> s</w:t>
      </w:r>
      <w:r w:rsidR="00DA4E7F" w:rsidRPr="00B71F92">
        <w:t>ingle m</w:t>
      </w:r>
      <w:r w:rsidR="001B7B69" w:rsidRPr="00B71F92">
        <w:t xml:space="preserve">ale adult households </w:t>
      </w:r>
      <w:r w:rsidR="00282530" w:rsidRPr="00B71F92">
        <w:t xml:space="preserve">in particular </w:t>
      </w:r>
      <w:r w:rsidR="00DA4E7F" w:rsidRPr="00B71F92">
        <w:t xml:space="preserve">are more likely to </w:t>
      </w:r>
      <w:r w:rsidR="00FF0CE4" w:rsidRPr="00B71F92">
        <w:t xml:space="preserve">consider </w:t>
      </w:r>
      <w:r w:rsidR="00DA4E7F" w:rsidRPr="00B71F92">
        <w:t>mov</w:t>
      </w:r>
      <w:r w:rsidR="00FF0CE4" w:rsidRPr="00B71F92">
        <w:t>ing</w:t>
      </w:r>
      <w:r w:rsidR="00DA4E7F" w:rsidRPr="00B71F92">
        <w:t xml:space="preserve"> to households with less space</w:t>
      </w:r>
      <w:r w:rsidR="00282530" w:rsidRPr="00B71F92">
        <w:t xml:space="preserve"> (</w:t>
      </w:r>
      <w:r w:rsidR="00DA4E7F" w:rsidRPr="00B71F92">
        <w:t xml:space="preserve">although </w:t>
      </w:r>
      <w:r w:rsidR="00282530" w:rsidRPr="00B71F92">
        <w:t xml:space="preserve">even </w:t>
      </w:r>
      <w:r w:rsidR="00DA4E7F" w:rsidRPr="00B71F92">
        <w:t>this effect has fluctuated over time</w:t>
      </w:r>
      <w:r w:rsidR="00282530" w:rsidRPr="00B71F92">
        <w:t>)</w:t>
      </w:r>
      <w:r w:rsidR="000E2522" w:rsidRPr="00B71F92">
        <w:t xml:space="preserve">. </w:t>
      </w:r>
      <w:r w:rsidR="00981D7D" w:rsidRPr="00B71F92">
        <w:t>Single m</w:t>
      </w:r>
      <w:r w:rsidR="00282530" w:rsidRPr="00B71F92">
        <w:t>ale adult households</w:t>
      </w:r>
      <w:r w:rsidR="00981D7D" w:rsidRPr="00B71F92">
        <w:t xml:space="preserve"> also seem less </w:t>
      </w:r>
      <w:r w:rsidR="00282530" w:rsidRPr="00B71F92">
        <w:t>affected</w:t>
      </w:r>
      <w:r w:rsidR="00981D7D" w:rsidRPr="00B71F92">
        <w:t xml:space="preserve"> </w:t>
      </w:r>
      <w:r w:rsidR="00282530" w:rsidRPr="00B71F92">
        <w:t xml:space="preserve">by </w:t>
      </w:r>
      <w:r w:rsidR="00981D7D" w:rsidRPr="00B71F92">
        <w:t xml:space="preserve">safety concerns, although both single </w:t>
      </w:r>
      <w:r w:rsidR="00282530" w:rsidRPr="00B71F92">
        <w:t xml:space="preserve">male </w:t>
      </w:r>
      <w:r w:rsidR="00981D7D" w:rsidRPr="00B71F92">
        <w:t>and single</w:t>
      </w:r>
      <w:r w:rsidR="00282530" w:rsidRPr="00B71F92">
        <w:t xml:space="preserve"> female adult households </w:t>
      </w:r>
      <w:r w:rsidR="002B4A3A" w:rsidRPr="00B71F92">
        <w:t>seem more inclined</w:t>
      </w:r>
      <w:r w:rsidR="009831C9" w:rsidRPr="00B71F92">
        <w:t>, relative to larger families,</w:t>
      </w:r>
      <w:r w:rsidR="002B4A3A" w:rsidRPr="00B71F92">
        <w:t xml:space="preserve"> to move in response to safety concerns starting in the 2021 period. </w:t>
      </w:r>
      <w:r w:rsidR="004E221A" w:rsidRPr="00B71F92">
        <w:t xml:space="preserve">These results highlight the greater flexibility that single </w:t>
      </w:r>
      <w:r w:rsidR="00F25450" w:rsidRPr="00B71F92">
        <w:t>individuals</w:t>
      </w:r>
      <w:r w:rsidR="004E221A" w:rsidRPr="00B71F92">
        <w:t xml:space="preserve"> have in the housing market </w:t>
      </w:r>
      <w:r w:rsidR="00F25450" w:rsidRPr="00B71F92">
        <w:t xml:space="preserve">to respond to changing conditions and preferences. </w:t>
      </w:r>
    </w:p>
    <w:p w14:paraId="67E4B0B1" w14:textId="2D39A601" w:rsidR="00BB4156" w:rsidRPr="00B71F92" w:rsidRDefault="00782911" w:rsidP="00FB52EB">
      <w:pPr>
        <w:spacing w:after="0" w:line="240" w:lineRule="auto"/>
        <w:ind w:firstLine="720"/>
        <w:jc w:val="both"/>
      </w:pPr>
      <w:r w:rsidRPr="00B71F92">
        <w:t xml:space="preserve">The effect of the presence of </w:t>
      </w:r>
      <w:r w:rsidR="000D45C9" w:rsidRPr="00B71F92">
        <w:t xml:space="preserve">children </w:t>
      </w:r>
      <w:r w:rsidR="00282530" w:rsidRPr="00B71F92">
        <w:t xml:space="preserve">indicates that </w:t>
      </w:r>
      <w:r w:rsidR="000D45C9" w:rsidRPr="00B71F92">
        <w:t xml:space="preserve">households with </w:t>
      </w:r>
      <w:r w:rsidR="00282530" w:rsidRPr="00B71F92">
        <w:t xml:space="preserve">very </w:t>
      </w:r>
      <w:r w:rsidR="000D45C9" w:rsidRPr="00B71F92">
        <w:t xml:space="preserve">young children </w:t>
      </w:r>
      <w:r w:rsidR="00776918" w:rsidRPr="00B71F92">
        <w:t xml:space="preserve">(0-4 years old) </w:t>
      </w:r>
      <w:r w:rsidR="000D45C9" w:rsidRPr="00B71F92">
        <w:t>exhibit higher residential mobility than those with older children</w:t>
      </w:r>
      <w:r w:rsidR="00694195" w:rsidRPr="00B71F92">
        <w:t>, while those with older children exhibit a lower residential mobility than households with no children at all</w:t>
      </w:r>
      <w:r w:rsidR="00FB5CB7" w:rsidRPr="00B71F92">
        <w:t xml:space="preserve">. </w:t>
      </w:r>
      <w:r w:rsidR="00CE1A59" w:rsidRPr="00B71F92">
        <w:t xml:space="preserve">This finding is consistent </w:t>
      </w:r>
      <w:r w:rsidR="00776918" w:rsidRPr="00B71F92">
        <w:t xml:space="preserve">with </w:t>
      </w:r>
      <w:r w:rsidR="00D30D78" w:rsidRPr="00B71F92">
        <w:t>existing results suggesting</w:t>
      </w:r>
      <w:r w:rsidR="00CE1A59" w:rsidRPr="00B71F92">
        <w:t xml:space="preserve"> that households with (or who are expecting) younger children have an increased likelihood of moving in response to changing housing needs, while those with older children </w:t>
      </w:r>
      <w:r w:rsidR="00776918" w:rsidRPr="00B71F92">
        <w:t xml:space="preserve">(5 years or older) </w:t>
      </w:r>
      <w:r w:rsidR="00CE1A59" w:rsidRPr="00B71F92">
        <w:t>endeavor to move less often to provide stability as children grow up</w:t>
      </w:r>
      <w:r w:rsidR="00D30D78" w:rsidRPr="00B71F92">
        <w:t xml:space="preserve"> </w:t>
      </w:r>
      <w:r w:rsidR="0041798F" w:rsidRPr="00B71F92">
        <w:fldChar w:fldCharType="begin"/>
      </w:r>
      <w:r w:rsidR="0041798F" w:rsidRPr="00B71F92">
        <w:instrText xml:space="preserve"> ADDIN ZOTERO_ITEM CSL_CITATION {"citationID":"jLYWgkfe","properties":{"unsorted":true,"formattedCitation":"(Mulder and Hooimeijer, 1999; Haartsen and Stockdale, 2018)","plainCitation":"(Mulder and Hooimeijer, 1999; Haartsen and Stockdale, 2018)","noteIndex":0},"citationItems":[{"id":4135,"uris":["http://zotero.org/users/12832277/items/VNQJK2VJ"],"itemData":{"id":4135,"type":"chapter","abstract":"The life course perspective has proved to be a powerful instrument in developing a general theoretical framework to interpret a variety of phenomena pertaining to residential relocation. The first phenomenon is that relocations are instrumental to goals arising from a specific life course trajectory or “career”. It is important to distinguish between moves triggered by the educational career, the labor career, the family career and the housing career. The second phenomenon is that even those careers that are not the actual trigger for the move, are still pertinent to the relocation decision. These other careers condition the decision by providing the resources for the move and by imposing restrictions on geographical mobility. The third phenomenon is that residential relocation, which has a positive effect on the triggering career, can have a detrimental effect on other careers or on the careers of other household members. The attractiveness of the life course perspective is that it allows for feedback effects between these phenomena, thereby improving the understanding of relocation behavior.","container-title":"Population Issues: An Interdisciplinary Focus","event-place":"Dordrecht","ISBN":"978-94-011-4389-9","language":"en","note":"DOI: 10.1007/978-94-011-4389-9_6","page":"159-186","publisher":"Springer Netherlands","publisher-place":"Dordrecht","source":"Springer Link","title":"Residential Relocations in the Life Course","URL":"https://doi.org/10.1007/978-94-011-4389-9_6","author":[{"family":"Mulder","given":"Clara H."},{"family":"Hooimeijer","given":"Pieter"}],"editor":[{"family":"Wissen","given":"Leo J. G.","non-dropping-particle":"van"},{"family":"Dykstra","given":"Pearl A."}],"accessed":{"date-parts":[["2025",2,12]]},"issued":{"date-parts":[["1999"]]}}},{"id":4682,"uris":["http://zotero.org/users/12832277/items/AJBKKBQ9"],"itemData":{"id":4682,"type":"article-journal","abstract":"Rural stayers are often defined as people who have never left their rural home region or village. However, rural regions and villages also receive new inhabitants. This paper explores if and how newcomers become inhabitants who stay put. We do so by interviewing couples of newcomers who moved to a rural area of the Netherlands at the family formation life stage. All had moved between 5 and 10 years prior to this study. We view the process of becoming a stayer through the lens of getting attached to and identifying with the new home region. We adopt the concepts of 'elective belonging' and 'selective belonging' to explore the newcomers' actual experiences of rural place and, in turn, the ways rural newcomer families become stayers. We identify two types of stayers: children-led and convinced stayers. Both envisage a re-negotiation of staying or leaving at a later life stage (either the empty nest or old age stage). They all elected to belong to residential places in enchanted rural landscapes. But they also are selective in developing belonging to the rural. First, especially convinced stayers consciously adapt their behaviour in order to fit in the local community. Second, children-led stayers seek only to become involved in child-related activities. Third, both types of stayers ‘identify against’ certain elements of local culture and of real rural stayers. S/elective strategies of belonging are found to go hand-in-hand with processes of becoming a stayer. Moreover, s/elective belonging to the place leaves the option to 'leave in future'.","container-title":"Population, Space and Place","DOI":"10.1002/psp.2137","ISSN":"1544-8452","issue":"4","language":"en","license":"© 2017 The Authors. Population, Space and Place published by John Wiley &amp; Sons Ltd.","note":"_eprint: https://onlinelibrary.wiley.com/doi/pdf/10.1002/psp.2137","page":"e2137","source":"Wiley Online Library","title":"S/Elective Belonging: How Rural Newcomer Families with Children Become Stayers","volume":"24","author":[{"family":"Haartsen","given":"Tialda"},{"family":"Stockdale","given":"Aileen"}],"issued":{"date-parts":[["2018"]]}}}],"schema":"https://github.com/citation-style-language/schema/raw/master/csl-citation.json"} </w:instrText>
      </w:r>
      <w:r w:rsidR="0041798F" w:rsidRPr="00B71F92">
        <w:fldChar w:fldCharType="separate"/>
      </w:r>
      <w:r w:rsidR="0041798F" w:rsidRPr="00B71F92">
        <w:t>(Mulder and Hooimeijer, 1999; Haartsen and Stockdale, 2018)</w:t>
      </w:r>
      <w:r w:rsidR="0041798F" w:rsidRPr="00B71F92">
        <w:fldChar w:fldCharType="end"/>
      </w:r>
      <w:r w:rsidR="00CE1A59" w:rsidRPr="00B71F92">
        <w:t>. Relocation</w:t>
      </w:r>
      <w:r w:rsidR="001A56A7" w:rsidRPr="00B71F92">
        <w:t xml:space="preserve"> motivations</w:t>
      </w:r>
      <w:r w:rsidR="00CE1A59" w:rsidRPr="00B71F92">
        <w:t xml:space="preserve"> among households with children</w:t>
      </w:r>
      <w:r w:rsidR="00B22A2A" w:rsidRPr="00B71F92">
        <w:t>, in general,</w:t>
      </w:r>
      <w:r w:rsidR="00CE1A59" w:rsidRPr="00B71F92">
        <w:t xml:space="preserve"> are driven by </w:t>
      </w:r>
      <w:r w:rsidR="00B22A2A" w:rsidRPr="00B71F92">
        <w:t xml:space="preserve">(a) </w:t>
      </w:r>
      <w:r w:rsidR="00694195" w:rsidRPr="00B71F92">
        <w:t>opportunities to upgrade to a better home (</w:t>
      </w:r>
      <w:r w:rsidR="00B22A2A" w:rsidRPr="00B71F92">
        <w:t xml:space="preserve">particularly when there are children in the 0-4 years age bracket, </w:t>
      </w:r>
      <w:r w:rsidR="00694195" w:rsidRPr="00B71F92">
        <w:t xml:space="preserve">though this effect is substantially tempered in </w:t>
      </w:r>
      <w:r w:rsidR="00B37B05" w:rsidRPr="00B71F92">
        <w:t xml:space="preserve">the </w:t>
      </w:r>
      <w:r w:rsidR="00694195" w:rsidRPr="00B71F92">
        <w:t>2023</w:t>
      </w:r>
      <w:r w:rsidR="00B37B05" w:rsidRPr="00B71F92">
        <w:t xml:space="preserve"> period</w:t>
      </w:r>
      <w:r w:rsidR="00694195" w:rsidRPr="00B71F92">
        <w:t xml:space="preserve">), </w:t>
      </w:r>
      <w:r w:rsidR="00B22A2A" w:rsidRPr="00B71F92">
        <w:t xml:space="preserve">(b) </w:t>
      </w:r>
      <w:r w:rsidR="00694195" w:rsidRPr="00B71F92">
        <w:t xml:space="preserve">higher space needs, </w:t>
      </w:r>
      <w:r w:rsidR="00B22A2A" w:rsidRPr="00B71F92">
        <w:t>(c) safety concerns (for households with children in the 0-4 years age group), and (d) the threat of being forced to move</w:t>
      </w:r>
      <w:r w:rsidR="00855AAB" w:rsidRPr="00B71F92">
        <w:t>,</w:t>
      </w:r>
      <w:r w:rsidR="00B22A2A" w:rsidRPr="00B71F92">
        <w:t xml:space="preserve"> </w:t>
      </w:r>
      <w:r w:rsidR="006A41E0" w:rsidRPr="00B71F92">
        <w:t xml:space="preserve">aligning with the notion that these families undertake proactive processes to </w:t>
      </w:r>
      <w:r w:rsidR="007C680F" w:rsidRPr="00B71F92">
        <w:t xml:space="preserve">align their housing situation with </w:t>
      </w:r>
      <w:r w:rsidR="00A07DF5" w:rsidRPr="00B71F92">
        <w:t>child-related needs</w:t>
      </w:r>
      <w:r w:rsidR="007879C9" w:rsidRPr="00B71F92">
        <w:t xml:space="preserve">. </w:t>
      </w:r>
      <w:r w:rsidR="00855AAB" w:rsidRPr="00B71F92">
        <w:t xml:space="preserve">The last result is also consistent with existing findings showing that the presence of children is a risk factor for eviction, a significant cause for concern among vulnerable families in the housing market </w:t>
      </w:r>
      <w:r w:rsidR="00855AAB" w:rsidRPr="00B71F92">
        <w:fldChar w:fldCharType="begin"/>
      </w:r>
      <w:r w:rsidR="00855AAB" w:rsidRPr="00B71F92">
        <w:instrText xml:space="preserve"> ADDIN ZOTERO_ITEM CSL_CITATION {"citationID":"9fWiiZey","properties":{"formattedCitation":"(Desmond et al., 2013)","plainCitation":"(Desmond et al., 2013)","dontUpdate":true,"noteIndex":0},"citationItems":[{"id":4721,"uris":["http://zotero.org/users/12832277/items/F784XAPD"],"itemData":{"id":4721,"type":"article-journal","abstract":"This study identifies children as a risk factor for eviction. An analysis of aggregate data shows that neighborhoods with a high percentage of children experience increased evictions. An analysis of individual data based on an original survey shows that among tenants who appear in eviction court, those with children are significantly more likely to receive an eviction judgment. These findings indicate that policymakers interested in monitoring and reducing discrimination should focus not only on the front end of the housing process—the freedom to obtain housing anywhere—but also on the back end: the freedom to maintain housing anywhere.","container-title":"Social Forces","DOI":"10.1093/sf/sot047","ISSN":"0037-7732","issue":"1","page":"303-327","source":"Silverchair","title":"Evicting Children","volume":"92","author":[{"family":"Desmond","given":"Matthew"},{"family":"An","given":"Weihua"},{"family":"Winkler","given":"Richelle"},{"family":"Ferriss","given":"Thomas"}],"issued":{"date-parts":[["2013",9,1]]}}}],"schema":"https://github.com/citation-style-language/schema/raw/master/csl-citation.json"} </w:instrText>
      </w:r>
      <w:r w:rsidR="00855AAB" w:rsidRPr="00B71F92">
        <w:fldChar w:fldCharType="separate"/>
      </w:r>
      <w:r w:rsidR="00855AAB" w:rsidRPr="00B71F92">
        <w:t>(see Desmond et al., 2013)</w:t>
      </w:r>
      <w:r w:rsidR="00855AAB" w:rsidRPr="00B71F92">
        <w:fldChar w:fldCharType="end"/>
      </w:r>
      <w:r w:rsidR="00855AAB" w:rsidRPr="00B71F92">
        <w:t>. In contrast</w:t>
      </w:r>
      <w:r w:rsidR="00B22A2A" w:rsidRPr="00B71F92">
        <w:t xml:space="preserve">, relative to households with no children, those with children appear to be less affected by an “increase in housing costs” (except for the case of households with children </w:t>
      </w:r>
      <w:r w:rsidR="00855AAB" w:rsidRPr="00B71F92">
        <w:t xml:space="preserve">in the 0-4 years age group and only for </w:t>
      </w:r>
      <w:r w:rsidR="000A06C1" w:rsidRPr="00B71F92">
        <w:t xml:space="preserve">the </w:t>
      </w:r>
      <w:r w:rsidR="00855AAB" w:rsidRPr="00B71F92">
        <w:t>2019</w:t>
      </w:r>
      <w:r w:rsidR="00B37B05" w:rsidRPr="00B71F92">
        <w:t xml:space="preserve"> period</w:t>
      </w:r>
      <w:r w:rsidR="00855AAB" w:rsidRPr="00B71F92">
        <w:t xml:space="preserve">), and </w:t>
      </w:r>
      <w:r w:rsidR="00735B37" w:rsidRPr="00B71F92">
        <w:t xml:space="preserve">are less likely to </w:t>
      </w:r>
      <w:r w:rsidR="00776918" w:rsidRPr="00B71F92">
        <w:t xml:space="preserve">consider </w:t>
      </w:r>
      <w:r w:rsidR="00735B37" w:rsidRPr="00B71F92">
        <w:t>mov</w:t>
      </w:r>
      <w:r w:rsidR="00776918" w:rsidRPr="00B71F92">
        <w:t>ing for reasons related to better work access</w:t>
      </w:r>
      <w:r w:rsidR="00855AAB" w:rsidRPr="00B71F92">
        <w:t xml:space="preserve"> (for households with children less than 11 years old)</w:t>
      </w:r>
      <w:r w:rsidR="00023138" w:rsidRPr="00B71F92">
        <w:t xml:space="preserve">, </w:t>
      </w:r>
      <w:r w:rsidR="00776918" w:rsidRPr="00B71F92">
        <w:t>a desire for less space, and</w:t>
      </w:r>
      <w:r w:rsidR="00855AAB" w:rsidRPr="00B71F92">
        <w:t xml:space="preserve">, </w:t>
      </w:r>
      <w:r w:rsidR="00FE0782" w:rsidRPr="00B71F92">
        <w:t>among households with children</w:t>
      </w:r>
      <w:r w:rsidR="00855AAB" w:rsidRPr="00B71F92">
        <w:t xml:space="preserve"> five years or older,</w:t>
      </w:r>
      <w:r w:rsidR="00FE0782" w:rsidRPr="00B71F92">
        <w:t xml:space="preserve"> a desire for better access to amenities</w:t>
      </w:r>
      <w:r w:rsidR="00855AAB" w:rsidRPr="00B71F92">
        <w:t xml:space="preserve">, all </w:t>
      </w:r>
      <w:r w:rsidR="00735B37" w:rsidRPr="00B71F92">
        <w:t>aligning with a motivation to maintain stability for children</w:t>
      </w:r>
      <w:r w:rsidR="00855AAB" w:rsidRPr="00B71F92">
        <w:t xml:space="preserve">. </w:t>
      </w:r>
      <w:r w:rsidR="00735B37" w:rsidRPr="00B71F92">
        <w:t xml:space="preserve"> </w:t>
      </w:r>
    </w:p>
    <w:p w14:paraId="6C53B771" w14:textId="1FB60803" w:rsidR="009E7B12" w:rsidRPr="00B71F92" w:rsidRDefault="009E7B12" w:rsidP="009E7B12">
      <w:pPr>
        <w:spacing w:after="0" w:line="240" w:lineRule="auto"/>
        <w:jc w:val="both"/>
      </w:pPr>
    </w:p>
    <w:p w14:paraId="255E1DB4" w14:textId="765868C7" w:rsidR="009E7B12" w:rsidRPr="00B71F92" w:rsidRDefault="009E7B12" w:rsidP="00595D7A">
      <w:pPr>
        <w:keepNext/>
        <w:keepLines/>
        <w:spacing w:after="0" w:line="240" w:lineRule="auto"/>
        <w:jc w:val="both"/>
        <w:rPr>
          <w:b/>
          <w:bCs/>
          <w:i/>
          <w:iCs/>
          <w:u w:val="single"/>
        </w:rPr>
      </w:pPr>
      <w:r w:rsidRPr="00B71F92">
        <w:rPr>
          <w:i/>
          <w:iCs/>
          <w:u w:val="single"/>
        </w:rPr>
        <w:lastRenderedPageBreak/>
        <w:t>Employment-Related and Education Effects</w:t>
      </w:r>
    </w:p>
    <w:p w14:paraId="33F58DE1" w14:textId="750A8634" w:rsidR="00567BF1" w:rsidRPr="00B71F92" w:rsidRDefault="00D53478" w:rsidP="00595D7A">
      <w:pPr>
        <w:keepNext/>
        <w:keepLines/>
        <w:spacing w:after="0" w:line="240" w:lineRule="auto"/>
        <w:jc w:val="both"/>
      </w:pPr>
      <w:r w:rsidRPr="00B71F92">
        <w:t>Households composed of at least one employed adult</w:t>
      </w:r>
      <w:r w:rsidR="00855AAB" w:rsidRPr="00B71F92">
        <w:t xml:space="preserve">, according to our results, </w:t>
      </w:r>
      <w:r w:rsidRPr="00B71F92">
        <w:t>move</w:t>
      </w:r>
      <w:r w:rsidR="00855AAB" w:rsidRPr="00B71F92">
        <w:t>d</w:t>
      </w:r>
      <w:r w:rsidRPr="00B71F92">
        <w:t xml:space="preserve"> at similar rates to those without employed adults</w:t>
      </w:r>
      <w:r w:rsidR="00921A99" w:rsidRPr="00B71F92">
        <w:t xml:space="preserve"> during the 2019 and 2021 </w:t>
      </w:r>
      <w:r w:rsidR="000B2F55" w:rsidRPr="00B71F92">
        <w:t>periods</w:t>
      </w:r>
      <w:r w:rsidRPr="00B71F92">
        <w:t xml:space="preserve">, although </w:t>
      </w:r>
      <w:r w:rsidR="00921A99" w:rsidRPr="00B71F92">
        <w:t>households with</w:t>
      </w:r>
      <w:r w:rsidR="00E76E23" w:rsidRPr="00B71F92">
        <w:t xml:space="preserve"> employed adults </w:t>
      </w:r>
      <w:r w:rsidR="00921A99" w:rsidRPr="00B71F92">
        <w:t xml:space="preserve">moved more than households without employed adults </w:t>
      </w:r>
      <w:r w:rsidR="00E76E23" w:rsidRPr="00B71F92">
        <w:t>in the 2023 period</w:t>
      </w:r>
      <w:r w:rsidR="006D7FDF" w:rsidRPr="00B71F92">
        <w:t xml:space="preserve">. The relatively increased </w:t>
      </w:r>
      <w:r w:rsidR="008F2F70" w:rsidRPr="00B71F92">
        <w:t>propensity to relocate among households with employed adults in the 2023 period may be due to realignment with employment changes and remote work in the aftermath of the pandemic as well as in response to increases in the employment rate and wage increases during this period</w:t>
      </w:r>
      <w:r w:rsidR="00DA6D52" w:rsidRPr="00B71F92">
        <w:t xml:space="preserve"> (including ongoing minimum wage increases; see </w:t>
      </w:r>
      <w:r w:rsidR="006B2DFB" w:rsidRPr="00B71F92">
        <w:fldChar w:fldCharType="begin"/>
      </w:r>
      <w:r w:rsidR="00ED365A">
        <w:instrText xml:space="preserve"> ADDIN ZOTERO_ITEM CSL_CITATION {"citationID":"6YgFmhhc","properties":{"formattedCitation":"(Somashekhar et al., 2022; United States Department of Labor, 2025)","plainCitation":"(Somashekhar et al., 2022; United States Department of Labor, 2025)","dontUpdate":true,"noteIndex":0},"citationItems":[{"id":4906,"uris":["http://zotero.org/users/12832277/items/M75FGSII"],"itemData":{"id":4906,"type":"article-journal","abstract":"Minimum wage opponents often argue that businesses owned by marginalized communities, which include woman-owned, Black-owned, and immigrant-owned businesses, are exceptionally vulnerable to minimum wage increases. Little research has investigated this claim. Using a unique survey of Seattle businesses that includes owners’ nativity status and was administered while the city began to phase in its $15 minimum wage ordinance, the authors find that immigrant-owned businesses respond to the higher minimum wage in ways that largely conform to the responses of other businesses. Nevertheless, immigrant-owned franchises are less likely than other franchises to fire employees, reduce employees’ hours, or lower the wages of employees earning more than $15 per hour. Evidence suggests that immigrant franchisees have a lower likelihood of passing the increased labor costs onto employees because they use fewer employees and rely more heavily on family labor compared to other franchisees. The authors’ findings suggest that firms owned by marginalized and nonmarginalized groups respond to municipal-level minimum wage increases in comparable ways. Nevertheless, marginalized status may matter more in certain sectors of the economy than in others.","container-title":"Economic Development Quarterly","DOI":"10.1177/08912424221089918","ISSN":"0891-2424","issue":"2","language":"EN","note":"publisher: SAGE Publications Inc","page":"108-123","source":"SAGE Journals","title":"How Do Employers Belonging to Marginalized Communities Respond to Minimum Wage Increases? The Case of Immigrant-Owned Businesses in Seattle","volume":"36","author":[{"family":"Somashekhar","given":"Mahesh"},{"family":"Buszkiewicz","given":"James"},{"family":"Allard","given":"Scott W."},{"family":"Romich","given":"Jennifer"}],"issued":{"date-parts":[["2022",5,1]]}}},{"id":4905,"uris":["http://zotero.org/users/12832277/items/88INCYLJ"],"itemData":{"id":4905,"type":"webpage","container-title":"U.S. Bureau of Labor Statistics","title":"Changing Compensation Costs in the Seattle Metropolitan Area","URL":"https://www.bls.gov/regions/west/news-release/employmentcostindex_seattle.htm","author":[{"family":"United States Department of Labor","given":""}],"issued":{"date-parts":[["2025"]]}}}],"schema":"https://github.com/citation-style-language/schema/raw/master/csl-citation.json"} </w:instrText>
      </w:r>
      <w:r w:rsidR="006B2DFB" w:rsidRPr="00B71F92">
        <w:fldChar w:fldCharType="separate"/>
      </w:r>
      <w:r w:rsidR="006B2DFB" w:rsidRPr="00B71F92">
        <w:t>Somashekhar et al., 2022; United States Department of Labor, 2025)</w:t>
      </w:r>
      <w:r w:rsidR="006B2DFB" w:rsidRPr="00B71F92">
        <w:fldChar w:fldCharType="end"/>
      </w:r>
      <w:r w:rsidR="00A66010" w:rsidRPr="00B71F92">
        <w:t xml:space="preserve"> </w:t>
      </w:r>
      <w:r w:rsidR="008F2F70" w:rsidRPr="00B71F92">
        <w:t>that may have provided more opportunities for relocation among households with employed adults.</w:t>
      </w:r>
      <w:r w:rsidR="00A66010" w:rsidRPr="00B71F92">
        <w:t xml:space="preserve"> </w:t>
      </w:r>
      <w:r w:rsidR="00610141" w:rsidRPr="00B71F92">
        <w:t xml:space="preserve">Further, </w:t>
      </w:r>
      <w:r w:rsidR="00855AAB" w:rsidRPr="00B71F92">
        <w:t xml:space="preserve">and not surprisingly, </w:t>
      </w:r>
      <w:r w:rsidR="00921A99" w:rsidRPr="00B71F92">
        <w:t xml:space="preserve">households in which at least one adult has experienced a job change within the past </w:t>
      </w:r>
      <w:r w:rsidR="006A138D" w:rsidRPr="00B71F92">
        <w:t xml:space="preserve">five years from the date of each survey (simply labeled as “job change in past five years” in Table 3 and beyond) </w:t>
      </w:r>
      <w:r w:rsidR="003610FC" w:rsidRPr="00B71F92">
        <w:t xml:space="preserve">exhibit higher residential mobility, a trend that has grown in the 2023 period. </w:t>
      </w:r>
      <w:r w:rsidR="00DF7E33" w:rsidRPr="00B71F92">
        <w:t xml:space="preserve">The </w:t>
      </w:r>
      <w:r w:rsidR="007D1B38" w:rsidRPr="00B71F92">
        <w:t>motivations for moving also differ significantly based on employment status</w:t>
      </w:r>
      <w:r w:rsidR="001A2DDB" w:rsidRPr="00B71F92">
        <w:t>. Predictably, “better access to work” considerations play</w:t>
      </w:r>
      <w:r w:rsidR="009831C9" w:rsidRPr="00B71F92">
        <w:t>ed</w:t>
      </w:r>
      <w:r w:rsidR="001A2DDB" w:rsidRPr="00B71F92">
        <w:t xml:space="preserve"> an important role in motivating relocation among employed individuals. This effect </w:t>
      </w:r>
      <w:r w:rsidR="009831C9" w:rsidRPr="00B71F92">
        <w:t>reversed</w:t>
      </w:r>
      <w:r w:rsidR="001A2DDB" w:rsidRPr="00B71F92">
        <w:t xml:space="preserve"> during the 2021-period</w:t>
      </w:r>
      <w:r w:rsidR="009831C9" w:rsidRPr="00B71F92">
        <w:t xml:space="preserve"> (with the relocation propensity among households with employed individuals actually being a shade less than the relocation propensity among households with non-employed individuals)</w:t>
      </w:r>
      <w:r w:rsidR="001A2DDB" w:rsidRPr="00B71F92">
        <w:t>, likely due to the reduced commuting importance among teleworkers</w:t>
      </w:r>
      <w:r w:rsidR="009831C9" w:rsidRPr="00B71F92">
        <w:t xml:space="preserve"> and the ability to stay put during a period of economic hardship</w:t>
      </w:r>
      <w:r w:rsidR="001A2DDB" w:rsidRPr="00B71F92">
        <w:t>, before rebounding in the 2023-period as many individuals returned to in-period work routines or settled more firmly into long-term remote or hybrid work arrangements.</w:t>
      </w:r>
      <w:r w:rsidR="007D1B38" w:rsidRPr="00B71F92">
        <w:t xml:space="preserve"> </w:t>
      </w:r>
      <w:r w:rsidR="001A2DDB" w:rsidRPr="00B71F92">
        <w:t>Households with employed individuals are also more likely to consider moving due to a desire to access recreation, restaurants, shops, or other amenities, suggesting that these households have more freedom to align their housing with such preferences. In contrast, h</w:t>
      </w:r>
      <w:r w:rsidR="00921A99" w:rsidRPr="00B71F92">
        <w:t xml:space="preserve">ouseholds with </w:t>
      </w:r>
      <w:r w:rsidR="007D1B38" w:rsidRPr="00B71F92">
        <w:t xml:space="preserve">employed individuals </w:t>
      </w:r>
      <w:r w:rsidR="001A2DDB" w:rsidRPr="00B71F92">
        <w:t xml:space="preserve">are </w:t>
      </w:r>
      <w:r w:rsidR="002D1E8D" w:rsidRPr="00B71F92">
        <w:t xml:space="preserve">less likely to cite </w:t>
      </w:r>
      <w:r w:rsidR="00921A99" w:rsidRPr="00B71F92">
        <w:t>“</w:t>
      </w:r>
      <w:r w:rsidR="002D1E8D" w:rsidRPr="00B71F92">
        <w:t xml:space="preserve">change in </w:t>
      </w:r>
      <w:r w:rsidR="00921A99" w:rsidRPr="00B71F92">
        <w:t xml:space="preserve">income or </w:t>
      </w:r>
      <w:r w:rsidR="000B59D0" w:rsidRPr="00B71F92">
        <w:t>finance</w:t>
      </w:r>
      <w:r w:rsidR="00921A99" w:rsidRPr="00B71F92">
        <w:t>s”</w:t>
      </w:r>
      <w:r w:rsidR="002D1E8D" w:rsidRPr="00B71F92">
        <w:t xml:space="preserve"> as a reason to move, while </w:t>
      </w:r>
      <w:r w:rsidR="00921A99" w:rsidRPr="00B71F92">
        <w:t xml:space="preserve">households with adults holding </w:t>
      </w:r>
      <w:r w:rsidR="002D1E8D" w:rsidRPr="00B71F92">
        <w:t xml:space="preserve">multiple jobs or </w:t>
      </w:r>
      <w:r w:rsidR="006A138D" w:rsidRPr="00B71F92">
        <w:t xml:space="preserve">households with adults experiencing </w:t>
      </w:r>
      <w:r w:rsidR="002D1E8D" w:rsidRPr="00B71F92">
        <w:t>recent job changes tend</w:t>
      </w:r>
      <w:r w:rsidR="001A2DDB" w:rsidRPr="00B71F92">
        <w:t xml:space="preserve"> </w:t>
      </w:r>
      <w:r w:rsidR="002D1E8D" w:rsidRPr="00B71F92">
        <w:t xml:space="preserve">to cite this reason more often. </w:t>
      </w:r>
      <w:r w:rsidR="005B27A2" w:rsidRPr="00B71F92">
        <w:t xml:space="preserve">This </w:t>
      </w:r>
      <w:r w:rsidR="001A2DDB" w:rsidRPr="00B71F92">
        <w:t xml:space="preserve">is presumably because </w:t>
      </w:r>
      <w:r w:rsidR="005B27A2" w:rsidRPr="00B71F92">
        <w:t>stable employment</w:t>
      </w:r>
      <w:r w:rsidR="001A2DDB" w:rsidRPr="00B71F92">
        <w:t xml:space="preserve"> </w:t>
      </w:r>
      <w:r w:rsidR="005B27A2" w:rsidRPr="00B71F92">
        <w:t>provide</w:t>
      </w:r>
      <w:r w:rsidR="001A2DDB" w:rsidRPr="00B71F92">
        <w:t>s</w:t>
      </w:r>
      <w:r w:rsidR="005B27A2" w:rsidRPr="00B71F92">
        <w:t xml:space="preserve"> income security that reduces financially</w:t>
      </w:r>
      <w:r w:rsidR="00A63A68" w:rsidRPr="00B71F92">
        <w:t xml:space="preserve"> </w:t>
      </w:r>
      <w:r w:rsidR="005B27A2" w:rsidRPr="00B71F92">
        <w:t>motivated moves</w:t>
      </w:r>
      <w:r w:rsidR="006A138D" w:rsidRPr="00B71F92">
        <w:t>,</w:t>
      </w:r>
      <w:r w:rsidR="005B27A2" w:rsidRPr="00B71F92">
        <w:t xml:space="preserve"> </w:t>
      </w:r>
      <w:r w:rsidR="00A63A68" w:rsidRPr="00B71F92">
        <w:t>while</w:t>
      </w:r>
      <w:r w:rsidR="005B27A2" w:rsidRPr="00B71F92">
        <w:t xml:space="preserve"> those with multiple jobs or recent job changes may face more financial precarity</w:t>
      </w:r>
      <w:r w:rsidR="00A63A68" w:rsidRPr="00B71F92">
        <w:t xml:space="preserve"> and </w:t>
      </w:r>
      <w:r w:rsidR="005B27A2" w:rsidRPr="00B71F92">
        <w:t xml:space="preserve">economic volatility associated with employment transitions and </w:t>
      </w:r>
      <w:r w:rsidR="00A63A68" w:rsidRPr="00B71F92">
        <w:t xml:space="preserve">multiple part-time work arrangements, motivating more </w:t>
      </w:r>
      <w:r w:rsidR="006A138D" w:rsidRPr="00B71F92">
        <w:t xml:space="preserve">consideration of </w:t>
      </w:r>
      <w:r w:rsidR="00A63A68" w:rsidRPr="00B71F92">
        <w:t xml:space="preserve">relocations </w:t>
      </w:r>
      <w:r w:rsidR="0050296E" w:rsidRPr="00B71F92">
        <w:fldChar w:fldCharType="begin"/>
      </w:r>
      <w:r w:rsidR="0050296E" w:rsidRPr="00B71F92">
        <w:instrText xml:space="preserve"> ADDIN ZOTERO_ITEM CSL_CITATION {"citationID":"UF5abMh0","properties":{"formattedCitation":"(Ghasri et al., 2023)","plainCitation":"(Ghasri et al., 2023)","noteIndex":0},"citationItems":[{"id":4069,"uris":["http://zotero.org/users/12832277/items/HTWBFKCX"],"itemData":{"id":4069,"type":"article-journal","abstract":"This study introduces a survey instrument to collect retrospective life-course events, focusing on residential relocation, and it utilizes the survey to evaluate determinants of residential mobility. The survey consists of seven modules collecting information about household structure and household demographics, latest residential relocation, current and previous home, employment, education, vehicle ownership, and travel behavior. The time window of the life-course calendar in the survey is customized according to the latest residential relocation as an anchor point to assist with memory recollection and balance the required input from participants. The survey is used to collect data from a sample of 514 respondents in Sydney, Australia, and another sample of 404 respondents in Chicago, Illinois, in the US. The Cox proportional hazard model is used to analyze residential mobility. The results show primary school commencement is a salient determinant of residential relocation, but its impact is significantly higher in Chicago compared to Sydney.","container-title":"Transportation Letters","DOI":"10.1080/19427867.2022.2038347","ISSN":"1942-7867","issue":"2","note":"publisher: Taylor &amp; Francis\n_eprint: https://doi.org/10.1080/19427867.2022.2038347","page":"129-141","source":"Taylor and Francis+NEJM","title":"Determinants of Residential Mobility: An Adaptive Retrospective Survey Method","volume":"15","author":[{"family":"Ghasri","given":"Milad"},{"family":"Rashidi","given":"Taha"},{"family":"Auld","given":"Joshua"}],"issued":{"date-parts":[["2023",2,7]]}}}],"schema":"https://github.com/citation-style-language/schema/raw/master/csl-citation.json"} </w:instrText>
      </w:r>
      <w:r w:rsidR="0050296E" w:rsidRPr="00B71F92">
        <w:fldChar w:fldCharType="separate"/>
      </w:r>
      <w:r w:rsidR="0050296E" w:rsidRPr="00B71F92">
        <w:t>(Ghasri et al., 2023)</w:t>
      </w:r>
      <w:r w:rsidR="0050296E" w:rsidRPr="00B71F92">
        <w:fldChar w:fldCharType="end"/>
      </w:r>
      <w:r w:rsidR="00A63A68" w:rsidRPr="00B71F92">
        <w:t>.</w:t>
      </w:r>
      <w:r w:rsidR="009C5E84" w:rsidRPr="00B71F92">
        <w:t xml:space="preserve"> Regarding </w:t>
      </w:r>
      <w:r w:rsidR="00110976" w:rsidRPr="00B71F92">
        <w:t>s</w:t>
      </w:r>
      <w:r w:rsidR="009C5E84" w:rsidRPr="00B71F92">
        <w:t xml:space="preserve">ocial network effects, </w:t>
      </w:r>
      <w:r w:rsidR="00110976" w:rsidRPr="00B71F92">
        <w:t xml:space="preserve">households with </w:t>
      </w:r>
      <w:r w:rsidR="009C5E84" w:rsidRPr="00B71F92">
        <w:t xml:space="preserve">employed individuals </w:t>
      </w:r>
      <w:r w:rsidR="007F192D" w:rsidRPr="00B71F92">
        <w:t xml:space="preserve">exhibited a greater propensity to </w:t>
      </w:r>
      <w:r w:rsidR="001355D9" w:rsidRPr="00B71F92">
        <w:t>consider relocation</w:t>
      </w:r>
      <w:r w:rsidR="009C5E84" w:rsidRPr="00B71F92">
        <w:t xml:space="preserve"> </w:t>
      </w:r>
      <w:r w:rsidR="00110976" w:rsidRPr="00B71F92">
        <w:t>because</w:t>
      </w:r>
      <w:r w:rsidR="009C5E84" w:rsidRPr="00B71F92">
        <w:t xml:space="preserve"> friends and family</w:t>
      </w:r>
      <w:r w:rsidR="007F192D" w:rsidRPr="00B71F92">
        <w:t xml:space="preserve"> were leaving the area during the 2021-period, </w:t>
      </w:r>
      <w:r w:rsidR="009C5E84" w:rsidRPr="00B71F92">
        <w:t>possibly reflecting pandemic-related social disruptions</w:t>
      </w:r>
      <w:r w:rsidR="00E77B2C" w:rsidRPr="00B71F92">
        <w:t xml:space="preserve"> that were particularly pronounced for those relying on employment-related social networks </w:t>
      </w:r>
      <w:r w:rsidR="00B92870" w:rsidRPr="00B71F92">
        <w:fldChar w:fldCharType="begin"/>
      </w:r>
      <w:r w:rsidR="000B24C4" w:rsidRPr="00B71F92">
        <w:instrText xml:space="preserve"> ADDIN ZOTERO_ITEM CSL_CITATION {"citationID":"LAEqviIB","properties":{"formattedCitation":"(Breetzke and Wild, 2022; Zou, 2022)","plainCitation":"(Breetzke and Wild, 2022; Zou, 2022)","dontUpdate":true,"noteIndex":0},"citationItems":[{"id":4710,"uris":["http://zotero.org/users/12832277/items/TS3IW3QI"],"itemData":{"id":4710,"type":"article-journal","abstract":"Empirical evidence on the social and psychological impact of the COVID-19 pandemic in the workplace and the resulting consequences for the mental health of employees is lacking. As a result, research on this subject is urgently needed to develop appropriate countermeasures. This study builds on Person-Environment fit theory to investigate social connections at work and mental health during the first wave of the COVID-19 pandemic. It analyses employees’ needs for social connections and how social connections affect different mental health measures. Data were collected in May 2020 in an online survey of employees across Germany and analysed using response surface analysis. Mental health was measured as positive mental health and mental health disorders. Social connections were measured as social support and social interactions. 507 employees participated in the survey and more than one third reported having less social support and social interaction at work than they desired (p &lt; .001). This was associated with a decrease in mental health. In contrast, having more than the desired amount of social support was associated with a decrease, and having more than the desired amount of social interaction with an increase, in mental health. This study provides important early evidence on the impact of the first wave of the COVID-19 pandemic in the workplace. With it, we aim to stimulate further research in the field and provide early evidence on the potential mental health consequences of social distancing–while also opening avenues to combat them.","container-title":"PLOS ONE","DOI":"10.1371/journal.pone.0264602","ISSN":"1932-6203","issue":"6","journalAbbreviation":"PLOS ONE","language":"en","note":"publisher: Public Library of Science","source":"PLoS Journals","title":"Social Connections at Work and Mental Health During the First Wave of the COVID-19 Pandemic: Evidence from Employees in Germany","URL":"https://journals.plos.org/plosone/article?id=10.1371/journal.pone.0264602","volume":"17","author":[{"family":"Breetzke","given":"Jonas"},{"family":"Wild","given":"Eva-Maria"}],"accessed":{"date-parts":[["2025",6,20]]},"issued":{"date-parts":[["2022",6,2]]}}},{"id":4712,"uris":["http://zotero.org/users/12832277/items/RZC4AB8B"],"itemData":{"id":4712,"type":"article","abstract":"This paper examines the influence of social networks on individual migration choices, particularly during the COVID-19 pandemic. Using nationally representative ACS migration data and the metropolitan-level Social Connectedness Index (SCI) from Facebook, I estimate a conditional logit model with an instrumental variable to analyze these network effects. The findings show that social networks play a significant role in individual migration decisions, with varying impacts across demographic groups and geographic contexts. High-risk COVID-19 areas rely more on social networks to attract in-migrants, while individuals in low-risk areas are less likely to move out and less dependent on social networks for migration decisions.","DOI":"10.2139/ssrn.4289153","event-place":"Rochester, NY","genre":"SSRN Scholarly Paper","language":"en","number":"4289153","publisher":"Social Science Research Network","publisher-place":"Rochester, NY","source":"papers.ssrn.com","title":"Metropolitan Social Networks and Migration: Insights from Facebook Connections","URL":"https://papers.ssrn.com/abstract=4289153","author":[{"family":"Zou","given":"Haoqian"}],"accessed":{"date-parts":[["2025",6,20]]},"issued":{"date-parts":[["2022",11,29]]}}}],"schema":"https://github.com/citation-style-language/schema/raw/master/csl-citation.json"} </w:instrText>
      </w:r>
      <w:r w:rsidR="00B92870" w:rsidRPr="00B71F92">
        <w:fldChar w:fldCharType="separate"/>
      </w:r>
      <w:r w:rsidR="00B92870" w:rsidRPr="00B71F92">
        <w:t>(</w:t>
      </w:r>
      <w:r w:rsidR="007C43AF" w:rsidRPr="00B71F92">
        <w:t xml:space="preserve">see </w:t>
      </w:r>
      <w:r w:rsidR="00B92870" w:rsidRPr="00B71F92">
        <w:t>Breetzke and Wild, 2022; Zou, 2022)</w:t>
      </w:r>
      <w:r w:rsidR="00B92870" w:rsidRPr="00B71F92">
        <w:fldChar w:fldCharType="end"/>
      </w:r>
      <w:r w:rsidR="001A2DDB" w:rsidRPr="00B71F92">
        <w:t>. T</w:t>
      </w:r>
      <w:r w:rsidR="00871CCF" w:rsidRPr="00B71F92">
        <w:t>his</w:t>
      </w:r>
      <w:r w:rsidR="009C5E84" w:rsidRPr="00B71F92">
        <w:t xml:space="preserve"> effect</w:t>
      </w:r>
      <w:r w:rsidR="001A2DDB" w:rsidRPr="00B71F92">
        <w:t>, however,</w:t>
      </w:r>
      <w:r w:rsidR="009C5E84" w:rsidRPr="00B71F92">
        <w:t xml:space="preserve"> </w:t>
      </w:r>
      <w:r w:rsidR="009831C9" w:rsidRPr="00B71F92">
        <w:t>reversed</w:t>
      </w:r>
      <w:r w:rsidR="009C5E84" w:rsidRPr="00B71F92">
        <w:t xml:space="preserve"> in </w:t>
      </w:r>
      <w:r w:rsidR="00871CCF" w:rsidRPr="00B71F92">
        <w:t>the 2023 period</w:t>
      </w:r>
      <w:r w:rsidR="009C5E84" w:rsidRPr="00B71F92">
        <w:t xml:space="preserve">, particularly among those with </w:t>
      </w:r>
      <w:r w:rsidR="00076F90" w:rsidRPr="00B71F92">
        <w:t xml:space="preserve">recent </w:t>
      </w:r>
      <w:r w:rsidR="009C5E84" w:rsidRPr="00B71F92">
        <w:t>job changes</w:t>
      </w:r>
      <w:r w:rsidR="001A2DDB" w:rsidRPr="00B71F92">
        <w:t>,</w:t>
      </w:r>
      <w:r w:rsidR="006A138D" w:rsidRPr="00B71F92">
        <w:t xml:space="preserve"> presumably because they </w:t>
      </w:r>
      <w:r w:rsidR="009C5E84" w:rsidRPr="00B71F92">
        <w:t xml:space="preserve">may have developed new social connections </w:t>
      </w:r>
      <w:r w:rsidR="00076F90" w:rsidRPr="00B71F92">
        <w:t xml:space="preserve">and associated place-based attachments </w:t>
      </w:r>
      <w:r w:rsidR="009C5E84" w:rsidRPr="00B71F92">
        <w:t xml:space="preserve">through employment transitions. </w:t>
      </w:r>
      <w:r w:rsidR="00567BF1" w:rsidRPr="00B71F92">
        <w:t xml:space="preserve">Finally, </w:t>
      </w:r>
      <w:r w:rsidR="006A138D" w:rsidRPr="00B71F92">
        <w:t xml:space="preserve">households with </w:t>
      </w:r>
      <w:r w:rsidR="00567BF1" w:rsidRPr="00B71F92">
        <w:t xml:space="preserve">employed individuals demonstrate lower susceptibility to safety-motivated moves and </w:t>
      </w:r>
      <w:r w:rsidR="009831C9" w:rsidRPr="00B71F92">
        <w:t xml:space="preserve">threat of </w:t>
      </w:r>
      <w:r w:rsidR="00567BF1" w:rsidRPr="00B71F92">
        <w:t>forced relocations</w:t>
      </w:r>
      <w:r w:rsidR="009831C9" w:rsidRPr="00B71F92">
        <w:t xml:space="preserve"> in the 2019 and 2021 periods</w:t>
      </w:r>
      <w:r w:rsidR="00567BF1" w:rsidRPr="00B71F92">
        <w:t>, reflecting the greater economic security that employment provides</w:t>
      </w:r>
      <w:r w:rsidR="00280182" w:rsidRPr="00B71F92">
        <w:t xml:space="preserve">. </w:t>
      </w:r>
      <w:r w:rsidR="00FD29A9" w:rsidRPr="00B71F92">
        <w:t>However,</w:t>
      </w:r>
      <w:r w:rsidR="00280182" w:rsidRPr="00B71F92">
        <w:t xml:space="preserve"> these effects </w:t>
      </w:r>
      <w:r w:rsidR="009831C9" w:rsidRPr="00B71F92">
        <w:t xml:space="preserve">either reversed (for safety concerns) or </w:t>
      </w:r>
      <w:r w:rsidR="00280182" w:rsidRPr="00B71F92">
        <w:t xml:space="preserve">diminished </w:t>
      </w:r>
      <w:r w:rsidR="009831C9" w:rsidRPr="00B71F92">
        <w:t xml:space="preserve">(for the threat of forced relocations) </w:t>
      </w:r>
      <w:r w:rsidR="00280182" w:rsidRPr="00B71F92">
        <w:t>in the 2023-period</w:t>
      </w:r>
      <w:r w:rsidR="009831C9" w:rsidRPr="00B71F92">
        <w:t xml:space="preserve">. The latter diminished effect is presumably an </w:t>
      </w:r>
      <w:r w:rsidR="00567BF1" w:rsidRPr="00B71F92">
        <w:t>indicati</w:t>
      </w:r>
      <w:r w:rsidR="009831C9" w:rsidRPr="00B71F92">
        <w:t xml:space="preserve">on that </w:t>
      </w:r>
      <w:r w:rsidR="00567BF1" w:rsidRPr="00B71F92">
        <w:t xml:space="preserve">even employed households </w:t>
      </w:r>
      <w:r w:rsidR="006A138D" w:rsidRPr="00B71F92">
        <w:t xml:space="preserve">are </w:t>
      </w:r>
      <w:r w:rsidR="00567BF1" w:rsidRPr="00B71F92">
        <w:t>fac</w:t>
      </w:r>
      <w:r w:rsidR="006A138D" w:rsidRPr="00B71F92">
        <w:t>ing</w:t>
      </w:r>
      <w:r w:rsidR="00567BF1" w:rsidRPr="00B71F92">
        <w:t xml:space="preserve"> increased housing pressures </w:t>
      </w:r>
      <w:r w:rsidR="00280182" w:rsidRPr="00B71F92">
        <w:t xml:space="preserve">in recent years, </w:t>
      </w:r>
      <w:r w:rsidR="004B7924" w:rsidRPr="00B71F92">
        <w:t xml:space="preserve">with </w:t>
      </w:r>
      <w:r w:rsidR="002E6321" w:rsidRPr="00B71F92">
        <w:t xml:space="preserve">the erosion of employment </w:t>
      </w:r>
      <w:r w:rsidR="00E42380" w:rsidRPr="00B71F92">
        <w:t>as a reliable bu</w:t>
      </w:r>
      <w:r w:rsidR="00FD29A9" w:rsidRPr="00B71F92">
        <w:t>ff</w:t>
      </w:r>
      <w:r w:rsidR="00E42380" w:rsidRPr="00B71F92">
        <w:t>er against housing insecurity</w:t>
      </w:r>
      <w:r w:rsidR="00FF186B" w:rsidRPr="00B71F92">
        <w:t xml:space="preserve">. </w:t>
      </w:r>
    </w:p>
    <w:p w14:paraId="098EDDB1" w14:textId="64FF11A9" w:rsidR="00F35875" w:rsidRPr="00B71F92" w:rsidRDefault="00F35875" w:rsidP="00FB52EB">
      <w:pPr>
        <w:spacing w:after="0" w:line="240" w:lineRule="auto"/>
        <w:ind w:firstLine="720"/>
        <w:jc w:val="both"/>
      </w:pPr>
      <w:r w:rsidRPr="00B71F92">
        <w:t xml:space="preserve">Higher income households </w:t>
      </w:r>
      <w:r w:rsidR="006E7097" w:rsidRPr="00B71F92">
        <w:t xml:space="preserve">(those with </w:t>
      </w:r>
      <w:r w:rsidR="006A138D" w:rsidRPr="00B71F92">
        <w:t xml:space="preserve">annual </w:t>
      </w:r>
      <w:r w:rsidR="006E7097" w:rsidRPr="00B71F92">
        <w:t xml:space="preserve">income </w:t>
      </w:r>
      <w:r w:rsidR="006A138D" w:rsidRPr="00B71F92">
        <w:t>of $100,000 or more</w:t>
      </w:r>
      <w:r w:rsidR="006E7097" w:rsidRPr="00B71F92">
        <w:t xml:space="preserve">) </w:t>
      </w:r>
      <w:r w:rsidRPr="00B71F92">
        <w:t>ha</w:t>
      </w:r>
      <w:r w:rsidR="006A138D" w:rsidRPr="00B71F92">
        <w:t>d</w:t>
      </w:r>
      <w:r w:rsidRPr="00B71F92">
        <w:t xml:space="preserve"> a lower propensity for moving </w:t>
      </w:r>
      <w:r w:rsidR="006A138D" w:rsidRPr="00B71F92">
        <w:t>than lower income households (</w:t>
      </w:r>
      <w:r w:rsidR="00544DC5" w:rsidRPr="00B71F92">
        <w:t xml:space="preserve">those with an annual income of </w:t>
      </w:r>
      <w:r w:rsidR="00376415" w:rsidRPr="00B71F92">
        <w:t xml:space="preserve">less than </w:t>
      </w:r>
      <w:r w:rsidR="006A138D" w:rsidRPr="00B71F92">
        <w:t>$100,000</w:t>
      </w:r>
      <w:r w:rsidR="00544DC5" w:rsidRPr="00B71F92">
        <w:t>)</w:t>
      </w:r>
      <w:r w:rsidR="006A138D" w:rsidRPr="00B71F92">
        <w:t xml:space="preserve"> in </w:t>
      </w:r>
      <w:r w:rsidR="00376415" w:rsidRPr="00B71F92">
        <w:t xml:space="preserve">the </w:t>
      </w:r>
      <w:r w:rsidR="006A138D" w:rsidRPr="00B71F92">
        <w:t>2019 and 2021</w:t>
      </w:r>
      <w:r w:rsidR="00376415" w:rsidRPr="00B71F92">
        <w:t xml:space="preserve"> periods</w:t>
      </w:r>
      <w:r w:rsidR="006A138D" w:rsidRPr="00B71F92">
        <w:t xml:space="preserve">, though </w:t>
      </w:r>
      <w:r w:rsidR="00544DC5" w:rsidRPr="00B71F92">
        <w:t xml:space="preserve">this income threshold for reduced moving </w:t>
      </w:r>
      <w:r w:rsidR="00544DC5" w:rsidRPr="00B71F92">
        <w:lastRenderedPageBreak/>
        <w:t xml:space="preserve">propensity moved up to $200,000 in </w:t>
      </w:r>
      <w:r w:rsidR="00376415" w:rsidRPr="00B71F92">
        <w:t xml:space="preserve">the </w:t>
      </w:r>
      <w:r w:rsidR="00544DC5" w:rsidRPr="00B71F92">
        <w:t>2023</w:t>
      </w:r>
      <w:r w:rsidR="00376415" w:rsidRPr="00B71F92">
        <w:t xml:space="preserve"> period</w:t>
      </w:r>
      <w:r w:rsidR="00544DC5" w:rsidRPr="00B71F92">
        <w:t xml:space="preserve"> (note that the base coefficient of </w:t>
      </w:r>
      <w:r w:rsidR="002F5607" w:rsidRPr="007F58BA">
        <w:rPr>
          <w:color w:val="161616"/>
          <w:shd w:val="clear" w:color="auto" w:fill="FFFFFF"/>
        </w:rPr>
        <w:t>−</w:t>
      </w:r>
      <w:r w:rsidR="00544DC5" w:rsidRPr="00B71F92">
        <w:t xml:space="preserve">0.16 for the </w:t>
      </w:r>
      <w:r w:rsidR="00376415" w:rsidRPr="00B71F92">
        <w:t>$</w:t>
      </w:r>
      <w:r w:rsidR="00544DC5" w:rsidRPr="00B71F92">
        <w:t>100,000-</w:t>
      </w:r>
      <w:r w:rsidR="00376415" w:rsidRPr="00B71F92">
        <w:t>$</w:t>
      </w:r>
      <w:r w:rsidR="00544DC5" w:rsidRPr="00B71F92">
        <w:t>199,999 income category i</w:t>
      </w:r>
      <w:r w:rsidR="004B7924" w:rsidRPr="00B71F92">
        <w:t>s</w:t>
      </w:r>
      <w:r w:rsidR="00544DC5" w:rsidRPr="00B71F92">
        <w:t xml:space="preserve"> effectively annulled by the 2023 shift coefficient of 0.14 for the same income category). Overall, though, higher income households are </w:t>
      </w:r>
      <w:r w:rsidRPr="00B71F92">
        <w:t xml:space="preserve">better able to align their </w:t>
      </w:r>
      <w:r w:rsidR="00AE1906" w:rsidRPr="00B71F92">
        <w:t xml:space="preserve">housing outcomes with their housing needs when they move and have higher overall housing satisfaction </w:t>
      </w:r>
      <w:r w:rsidR="00650BAD" w:rsidRPr="00B71F92">
        <w:fldChar w:fldCharType="begin"/>
      </w:r>
      <w:r w:rsidR="00650BAD" w:rsidRPr="00B71F92">
        <w:instrText xml:space="preserve"> ADDIN ZOTERO_ITEM CSL_CITATION {"citationID":"OYHgqFg5","properties":{"formattedCitation":"(Fallahi and Mehrad, 2015; Ong ViforJ et al., 2024)","plainCitation":"(Fallahi and Mehrad, 2015; Ong ViforJ et al., 2024)","noteIndex":0},"citationItems":[{"id":4686,"uris":["http://zotero.org/users/12832277/items/7942J9P9"],"itemData":{"id":4686,"type":"article-journal","abstract":"Read on Neliti","container-title":"Journal of Educational, Health and Community Psychology","DOI":"10.12928/jehcp.v4i1.3694","ISSN":"2088-3129, 2460-8467","issue":"1","language":"en","license":"(c) Journal of Educational, Health and Community Psychology, 2015","note":"publisher: Universitas Ahmad Dahlan","source":"www.neliti.com","title":"The Effect of Income on Job Satisfaction and Residential Satisfaction: a Literature Review","URL":"https://www.neliti.com/publications/24801/","volume":"4","author":[{"family":"Fallahi","given":"Bahare"},{"family":"Mehrad","given":"Aida"}],"accessed":{"date-parts":[["2025",6,20]]},"issued":{"date-parts":[["2015",4]]}}},{"id":4688,"uris":["http://zotero.org/users/12832277/items/7FVK4MPG"],"itemData":{"id":4688,"type":"article-journal","abstract":"This article examines the impact of homeownership on subjective well-being and how it varies by location, age and income in Australia. We apply panel data models with instrumental variables within a two-stage modelling framework and find that homeownership, particularly outright ownership, positively affects subjective well-being – as measured by life, financial, home and neighbourhood satisfaction – relative to renting. However, these effects are not homogeneous. Outright owners in major urban locations enjoy higher financial satisfaction but poorer neighbourhood satisfaction than their counterparts outside major urban locations. The subjective well-being gap between owners and renters widens as age increases within the age range of 30s to 60s. However, the presence of mortgage debt depresses the financial satisfaction associated with homeownership. Beyond age 50, the existence of a mortgage debt burden cancels any positive financial satisfaction effects that homeownership has relative to renting. As income increases, the positive effects of homeownership on subjective well-being diminishes in the domain of financial satisfaction This reflects greater diversification in high-income households’ asset portfolios compared to low-income households’ portfolios. We discuss the policy implications of these heterogeneous effects.","container-title":"Urban Studies","DOI":"10.1177/00420980231190479","ISSN":"0042-0980","issue":"5","language":"EN","note":"publisher: SAGE Publications Ltd","page":"859-877","source":"SAGE Journals","title":"Homeownership and Subjective Well-Being: Are the Links Heterogeneous Across Location, Age and Income?","title-short":"Homeownership and Subjective Well-Being","volume":"61","author":[{"family":"Ong ViforJ","given":"Rachel"},{"family":"Suenaga","given":"Hiroaki"},{"family":"Brierty","given":"Ryan"}],"issued":{"date-parts":[["2024",4,1]]}}}],"schema":"https://github.com/citation-style-language/schema/raw/master/csl-citation.json"} </w:instrText>
      </w:r>
      <w:r w:rsidR="00650BAD" w:rsidRPr="00B71F92">
        <w:fldChar w:fldCharType="separate"/>
      </w:r>
      <w:r w:rsidR="00650BAD" w:rsidRPr="00B71F92">
        <w:t>(Fallahi and Mehrad, 2015; Ong ViforJ et al., 2024)</w:t>
      </w:r>
      <w:r w:rsidR="00650BAD" w:rsidRPr="00B71F92">
        <w:fldChar w:fldCharType="end"/>
      </w:r>
      <w:r w:rsidR="0098733A" w:rsidRPr="00B71F92">
        <w:t>, so are less likely to move at any time</w:t>
      </w:r>
      <w:r w:rsidR="00AE1906" w:rsidRPr="00B71F92">
        <w:t xml:space="preserve">. </w:t>
      </w:r>
      <w:r w:rsidR="0098733A" w:rsidRPr="00B71F92">
        <w:t>In terms of considerations for a relocation, however, higher-income households are more likely than low-income households to be motivated to move by a desire to “upgrade or buy a home</w:t>
      </w:r>
      <w:r w:rsidR="00A1043D" w:rsidRPr="00B71F92">
        <w:t>,</w:t>
      </w:r>
      <w:r w:rsidR="0098733A" w:rsidRPr="00B71F92">
        <w:t xml:space="preserve">” or because they need either more or less space. This points to the elevated ability of high-income households to continually seek to align their housing with their changing needs over time. </w:t>
      </w:r>
      <w:r w:rsidR="00726A78" w:rsidRPr="00B71F92">
        <w:t>Further</w:t>
      </w:r>
      <w:r w:rsidR="00F4082F" w:rsidRPr="00B71F92">
        <w:t xml:space="preserve">, higher income households are </w:t>
      </w:r>
      <w:r w:rsidR="00EC120A" w:rsidRPr="00B71F92">
        <w:t xml:space="preserve">less likely to </w:t>
      </w:r>
      <w:r w:rsidR="00726A78" w:rsidRPr="00B71F92">
        <w:t xml:space="preserve">consider relocating </w:t>
      </w:r>
      <w:r w:rsidR="00EC120A" w:rsidRPr="00B71F92">
        <w:t xml:space="preserve">because of </w:t>
      </w:r>
      <w:r w:rsidR="000308A2" w:rsidRPr="00B71F92">
        <w:t xml:space="preserve">an increase </w:t>
      </w:r>
      <w:r w:rsidR="00EC120A" w:rsidRPr="00B71F92">
        <w:t>in housing costs</w:t>
      </w:r>
      <w:r w:rsidR="00544DC5" w:rsidRPr="00B71F92">
        <w:t xml:space="preserve"> and</w:t>
      </w:r>
      <w:r w:rsidR="00EC120A" w:rsidRPr="00B71F92">
        <w:t xml:space="preserve"> </w:t>
      </w:r>
      <w:r w:rsidR="000308A2" w:rsidRPr="00B71F92">
        <w:t>a “</w:t>
      </w:r>
      <w:r w:rsidR="00EC120A" w:rsidRPr="00B71F92">
        <w:t xml:space="preserve">change in </w:t>
      </w:r>
      <w:r w:rsidR="000308A2" w:rsidRPr="00B71F92">
        <w:t>income or finances</w:t>
      </w:r>
      <w:r w:rsidR="008A2E18" w:rsidRPr="00B71F92">
        <w:t>,</w:t>
      </w:r>
      <w:r w:rsidR="000308A2" w:rsidRPr="00B71F92">
        <w:t>”</w:t>
      </w:r>
      <w:r w:rsidR="00EC120A" w:rsidRPr="00B71F92">
        <w:t xml:space="preserve"> </w:t>
      </w:r>
      <w:r w:rsidR="00544DC5" w:rsidRPr="00B71F92">
        <w:t xml:space="preserve">though, again, such reduced consideration for moving </w:t>
      </w:r>
      <w:r w:rsidR="000308A2" w:rsidRPr="00B71F92">
        <w:t xml:space="preserve">effectively </w:t>
      </w:r>
      <w:r w:rsidR="00544DC5" w:rsidRPr="00B71F92">
        <w:t xml:space="preserve">vanishes even at the highest income category of $200,000 or more for housing cost </w:t>
      </w:r>
      <w:r w:rsidR="000308A2" w:rsidRPr="00B71F92">
        <w:t xml:space="preserve">in </w:t>
      </w:r>
      <w:r w:rsidR="00A1043D" w:rsidRPr="00B71F92">
        <w:t xml:space="preserve">the </w:t>
      </w:r>
      <w:r w:rsidR="000308A2" w:rsidRPr="00B71F92">
        <w:t xml:space="preserve">2023 </w:t>
      </w:r>
      <w:r w:rsidR="00A1043D" w:rsidRPr="00B71F92">
        <w:t xml:space="preserve">period </w:t>
      </w:r>
      <w:r w:rsidR="00544DC5" w:rsidRPr="00B71F92">
        <w:t xml:space="preserve">and </w:t>
      </w:r>
      <w:r w:rsidR="000308A2" w:rsidRPr="00B71F92">
        <w:t xml:space="preserve">applies only to households with annual incomes of $200,000 or more </w:t>
      </w:r>
      <w:r w:rsidR="001A2DDB" w:rsidRPr="00B71F92">
        <w:t xml:space="preserve">for a “change in income or finances” </w:t>
      </w:r>
      <w:r w:rsidR="000308A2" w:rsidRPr="00B71F92">
        <w:t xml:space="preserve">in </w:t>
      </w:r>
      <w:r w:rsidR="00A1043D" w:rsidRPr="00B71F92">
        <w:t xml:space="preserve">the </w:t>
      </w:r>
      <w:r w:rsidR="000308A2" w:rsidRPr="00B71F92">
        <w:t>2023</w:t>
      </w:r>
      <w:r w:rsidR="00A1043D" w:rsidRPr="00B71F92">
        <w:t xml:space="preserve"> period</w:t>
      </w:r>
      <w:r w:rsidR="000308A2" w:rsidRPr="00B71F92">
        <w:t>. These results indicate that higher-income households have increasingly been motivat</w:t>
      </w:r>
      <w:r w:rsidR="001A2DDB" w:rsidRPr="00B71F92">
        <w:t>e</w:t>
      </w:r>
      <w:r w:rsidR="000308A2" w:rsidRPr="00B71F92">
        <w:t xml:space="preserve">d by affordability concerns (either due to changing rent or changing income) in the 2023 period. This may in part </w:t>
      </w:r>
      <w:r w:rsidR="0098733A" w:rsidRPr="00B71F92">
        <w:t xml:space="preserve">be </w:t>
      </w:r>
      <w:r w:rsidR="000308A2" w:rsidRPr="00B71F92">
        <w:t xml:space="preserve">due to the rapidly rising housing costs in Seattle over the past several years, which have occurred throughout both high- and low-income neighborhoods </w:t>
      </w:r>
      <w:r w:rsidR="000308A2" w:rsidRPr="00B71F92">
        <w:fldChar w:fldCharType="begin"/>
      </w:r>
      <w:r w:rsidR="000308A2" w:rsidRPr="00B71F92">
        <w:instrText xml:space="preserve"> ADDIN ZOTERO_ITEM CSL_CITATION {"citationID":"mViUMjgM","properties":{"formattedCitation":"(Washington Center for Real Estate Research, 2023)","plainCitation":"(Washington Center for Real Estate Research, 2023)","noteIndex":0},"citationItems":[{"id":4691,"uris":["http://zotero.org/users/12832277/items/8CJHAZI5"],"itemData":{"id":4691,"type":"report","event-place":"Seattle, WA","page":"1-30","publisher":"University of Washington","publisher-place":"Seattle, WA","title":"Washington State Housing Market Report","URL":"https://wcrer.be.uw.edu/wp-content/uploads/sites/60/2024/02/Housing-Market-Report-Q4-2023.pdf","author":[{"family":"Washington Center for Real Estate Research","given":""}],"issued":{"date-parts":[["2023"]]}}}],"schema":"https://github.com/citation-style-language/schema/raw/master/csl-citation.json"} </w:instrText>
      </w:r>
      <w:r w:rsidR="000308A2" w:rsidRPr="00B71F92">
        <w:fldChar w:fldCharType="separate"/>
      </w:r>
      <w:r w:rsidR="000308A2" w:rsidRPr="00B71F92">
        <w:t>(Washington Center for Real Estate Research, 2023)</w:t>
      </w:r>
      <w:r w:rsidR="000308A2" w:rsidRPr="00B71F92">
        <w:fldChar w:fldCharType="end"/>
      </w:r>
      <w:r w:rsidR="000308A2" w:rsidRPr="00B71F92">
        <w:t xml:space="preserve">. Additionally, as Seattle has a large share of high-income renters, changes to rent policies, including the expiry of state-level rent freezes in June 2021 and city-level eviction moratorium in February, 2022 may be contributing to this effect </w:t>
      </w:r>
      <w:r w:rsidR="000308A2" w:rsidRPr="00B71F92">
        <w:fldChar w:fldCharType="begin"/>
      </w:r>
      <w:r w:rsidR="000308A2" w:rsidRPr="00B71F92">
        <w:instrText xml:space="preserve"> ADDIN ZOTERO_ITEM CSL_CITATION {"citationID":"dxJdeL9q","properties":{"unsorted":true,"formattedCitation":"(Gonzalez, 2020; Kuderer et al., 2020; Divounguy, 2025)","plainCitation":"(Gonzalez, 2020; Kuderer et al., 2020; Divounguy, 2025)","noteIndex":0},"citationItems":[{"id":4692,"uris":["http://zotero.org/users/12832277/items/F7GZAEIJ"],"itemData":{"id":4692,"type":"bill","authority":"City of Seattle","container-title":"126075","number":"119784","title":"LEG Emergency Defense of Eviction ORD","URL":"https://seattle.legistar.com/View.ashx?M=F&amp;ID=8434202&amp;GUID=19A5C43D-2AC5-4983-BC6A-5B7B64223088","author":[{"family":"Gonzalez","given":"Lorena"}],"issued":{"date-parts":[["2020",5,4]]}}},{"id":4693,"uris":["http://zotero.org/users/12832277/items/BXEB2MLZ"],"itemData":{"id":4693,"type":"bill","authority":"Washington State Legislature","container-title":"Revised Code of Washington","title":"Eviction moratorium—Unpaid rent—Repayment plans—Rental assistance","URL":"https://app.leg.wa.gov/rcw/default.aspx?cite=59.18.630","volume":"59.18.630","author":[{"family":"Kuderer","given":"Patty"},{"family":"Liias","given":"Marko"},{"family":"Conway","given":"Steve"},{"family":"Das","given":"Mona"},{"family":"Lovelett","given":"Liz"},{"family":"Saldaña","given":"Rebecca"},{"family":"Wilson","given":"Claire"}],"issued":{"date-parts":[["2020",6,19]]}}},{"id":4694,"uris":["http://zotero.org/users/12832277/items/TVTF84GH"],"itemData":{"id":4694,"type":"report","abstract":"Nationwide, the salary required to afford rent is $20K higher than it was five years ago","collection-title":"Market Reports, Market Trends","language":"en-US","publisher":"Zillow","title":"Renters Need to Earn $100K in Twice as Many Markets Than in 2020 (April Rent Report)","URL":"https://www.zillow.com/research/april-2025-rent-report-35152/","author":[{"family":"Divounguy","given":"Orphe"}],"accessed":{"date-parts":[["2025",6,20]]},"issued":{"date-parts":[["2025",5,12]]}}}],"schema":"https://github.com/citation-style-language/schema/raw/master/csl-citation.json"} </w:instrText>
      </w:r>
      <w:r w:rsidR="000308A2" w:rsidRPr="00B71F92">
        <w:fldChar w:fldCharType="separate"/>
      </w:r>
      <w:r w:rsidR="000308A2" w:rsidRPr="00B71F92">
        <w:t>(Gonzalez, 2020; Kuderer et al., 2020; Divounguy, 2025)</w:t>
      </w:r>
      <w:r w:rsidR="000308A2" w:rsidRPr="00B71F92">
        <w:fldChar w:fldCharType="end"/>
      </w:r>
      <w:r w:rsidR="000308A2" w:rsidRPr="00B71F92">
        <w:t xml:space="preserve">. In contrast, higher income households are consistently less likely to consider relocation because </w:t>
      </w:r>
      <w:r w:rsidR="004213A7" w:rsidRPr="00B71F92">
        <w:t xml:space="preserve">of </w:t>
      </w:r>
      <w:r w:rsidR="000308A2" w:rsidRPr="00B71F92">
        <w:t xml:space="preserve">the threat of </w:t>
      </w:r>
      <w:r w:rsidR="004213A7" w:rsidRPr="00B71F92">
        <w:t>being forced to move</w:t>
      </w:r>
      <w:r w:rsidR="000308A2" w:rsidRPr="00B71F92">
        <w:t xml:space="preserve"> out. </w:t>
      </w:r>
    </w:p>
    <w:p w14:paraId="24341A46" w14:textId="4EFA8E95" w:rsidR="009461ED" w:rsidRPr="00B71F92" w:rsidRDefault="00962FBC" w:rsidP="00FF186B">
      <w:pPr>
        <w:spacing w:after="0" w:line="240" w:lineRule="auto"/>
        <w:ind w:firstLine="720"/>
        <w:jc w:val="both"/>
      </w:pPr>
      <w:r w:rsidRPr="00B71F92">
        <w:t xml:space="preserve">Regarding educational attainment, </w:t>
      </w:r>
      <w:r w:rsidR="00C51C00" w:rsidRPr="00B71F92">
        <w:t xml:space="preserve">we find that </w:t>
      </w:r>
      <w:r w:rsidR="004B1B38" w:rsidRPr="00B71F92">
        <w:t xml:space="preserve">households </w:t>
      </w:r>
      <w:r w:rsidR="00C51C00" w:rsidRPr="00B71F92">
        <w:t xml:space="preserve">with high levels of educational attainment </w:t>
      </w:r>
      <w:r w:rsidR="00A84BA1" w:rsidRPr="00B71F92">
        <w:t xml:space="preserve">tend to have a lower propensity to move overall. </w:t>
      </w:r>
      <w:r w:rsidR="004B1B38" w:rsidRPr="00B71F92">
        <w:t xml:space="preserve">In terms of relocation considerations, households </w:t>
      </w:r>
      <w:r w:rsidR="00A442DF" w:rsidRPr="00B71F92">
        <w:t xml:space="preserve">with </w:t>
      </w:r>
      <w:r w:rsidR="00984B26" w:rsidRPr="00B71F92">
        <w:t>at least one</w:t>
      </w:r>
      <w:r w:rsidR="004B1B38" w:rsidRPr="00B71F92">
        <w:t xml:space="preserve"> </w:t>
      </w:r>
      <w:r w:rsidR="00A442DF" w:rsidRPr="00B71F92">
        <w:t>graduate degree</w:t>
      </w:r>
      <w:r w:rsidR="004B1B38" w:rsidRPr="00B71F92">
        <w:t xml:space="preserve"> holder</w:t>
      </w:r>
      <w:r w:rsidR="00A442DF" w:rsidRPr="00B71F92">
        <w:t xml:space="preserve"> </w:t>
      </w:r>
      <w:r w:rsidR="0098733A" w:rsidRPr="00B71F92">
        <w:t xml:space="preserve">were motivated </w:t>
      </w:r>
      <w:r w:rsidR="004B1B38" w:rsidRPr="00B71F92">
        <w:t xml:space="preserve">to consider relocation for better access to work and upgrade possibilities in the 2019 period, but these motivations faded in </w:t>
      </w:r>
      <w:r w:rsidR="00F13218" w:rsidRPr="00B71F92">
        <w:t xml:space="preserve">the </w:t>
      </w:r>
      <w:r w:rsidR="004B1B38" w:rsidRPr="00B71F92">
        <w:t>2021</w:t>
      </w:r>
      <w:r w:rsidR="00F13218" w:rsidRPr="00B71F92">
        <w:t xml:space="preserve"> period</w:t>
      </w:r>
      <w:r w:rsidR="004B1B38" w:rsidRPr="00B71F92">
        <w:t xml:space="preserve"> and beyond, likely a reflection of the uptake of telework during the pandemic era that persisted through the 2023</w:t>
      </w:r>
      <w:r w:rsidR="00F13218" w:rsidRPr="00B71F92">
        <w:t xml:space="preserve"> </w:t>
      </w:r>
      <w:r w:rsidR="004B1B38" w:rsidRPr="00B71F92">
        <w:t xml:space="preserve">period. Households with </w:t>
      </w:r>
      <w:r w:rsidR="00984B26" w:rsidRPr="00B71F92">
        <w:t>at least one</w:t>
      </w:r>
      <w:r w:rsidR="004B1B38" w:rsidRPr="00B71F92">
        <w:t xml:space="preserve"> </w:t>
      </w:r>
      <w:r w:rsidR="00E806FC" w:rsidRPr="00B71F92">
        <w:t>bachelor’s</w:t>
      </w:r>
      <w:r w:rsidR="004B1B38" w:rsidRPr="00B71F92">
        <w:t xml:space="preserve"> or graduate degree holder also appear to </w:t>
      </w:r>
      <w:r w:rsidR="007F4623" w:rsidRPr="00B71F92">
        <w:t>be</w:t>
      </w:r>
      <w:r w:rsidR="004B1B38" w:rsidRPr="00B71F92">
        <w:t xml:space="preserve"> </w:t>
      </w:r>
      <w:r w:rsidR="007F4623" w:rsidRPr="00B71F92">
        <w:t>motivated by</w:t>
      </w:r>
      <w:r w:rsidR="007B4229" w:rsidRPr="00B71F92">
        <w:t xml:space="preserve"> </w:t>
      </w:r>
      <w:r w:rsidR="00A14CED" w:rsidRPr="00B71F92">
        <w:t xml:space="preserve">a desire </w:t>
      </w:r>
      <w:r w:rsidR="004B7924" w:rsidRPr="00B71F92">
        <w:t xml:space="preserve">for more space and </w:t>
      </w:r>
      <w:r w:rsidR="00A14CED" w:rsidRPr="00B71F92">
        <w:t>to have better access to amenities</w:t>
      </w:r>
      <w:r w:rsidR="007B4229" w:rsidRPr="00B71F92">
        <w:t>. These results</w:t>
      </w:r>
      <w:r w:rsidR="004B1B38" w:rsidRPr="00B71F92">
        <w:t>, together,</w:t>
      </w:r>
      <w:r w:rsidR="007B4229" w:rsidRPr="00B71F92">
        <w:t xml:space="preserve"> suggest that those with higher levels of educational attainment have</w:t>
      </w:r>
      <w:r w:rsidR="000B2F96" w:rsidRPr="00B71F92">
        <w:t xml:space="preserve"> greater economic stability that </w:t>
      </w:r>
      <w:r w:rsidR="00B6630C" w:rsidRPr="00B71F92">
        <w:t>mitigates the effects of financial changes</w:t>
      </w:r>
      <w:r w:rsidR="009461ED" w:rsidRPr="00B71F92">
        <w:t xml:space="preserve"> on relocations, but that they also have greater resources to pursue </w:t>
      </w:r>
      <w:r w:rsidR="003228E8" w:rsidRPr="00B71F92">
        <w:t xml:space="preserve">proactive planning processes leading to </w:t>
      </w:r>
      <w:r w:rsidR="009461ED" w:rsidRPr="00B71F92">
        <w:t xml:space="preserve">housing upgrades and career-related relocations </w:t>
      </w:r>
      <w:r w:rsidR="002478CC" w:rsidRPr="00B71F92">
        <w:fldChar w:fldCharType="begin"/>
      </w:r>
      <w:r w:rsidR="002478CC" w:rsidRPr="00B71F92">
        <w:instrText xml:space="preserve"> ADDIN ZOTERO_ITEM CSL_CITATION {"citationID":"D0ggpQdJ","properties":{"formattedCitation":"(Frederick et al., 2014; Hur and Koh, 2023)","plainCitation":"(Frederick et al., 2014; Hur and Koh, 2023)","noteIndex":0},"citationItems":[{"id":4698,"uris":["http://zotero.org/users/12832277/items/F7K2XFJQ"],"itemData":{"id":4698,"type":"article-journal","abstract":"Despite housing stability being a key concept in housing and homelessness policy, research, and service provision, it remains poorly defined and conceptualized, and to date there are no standard measures. We use in-depth qualitative interviews with 51 young people transitioning away homelessness over the course of a year to examine the core dimensions of housing stability. Due to the potential for sudden change, we define housing stability as the extent to which an individual's customary access to housing of reasonable quality is secure. We define housing security among 8 main dimensions: housing type, recent housing history, current housing tenure, financial status, standing in the legal system, education and employment status, harmful substance use, and subjective assessments of housing satisfaction and stability. Based on these dimensions, we suggest a brief 13-question scale that measures housing security.","archive_location":"98881947","container-title":"Journal of Community Psychology","DOI":"10.1002/jcop.21665","ISSN":"0090-4392","issue":"8","journalAbbreviation":"Journal of Community Psychology","language":"eng","note":"publisher: Wiley-Blackwell","page":"964-979","source":"EBSCOhost","title":"How Stable Is Stable? Defining and Measuring Housing Stability.","volume":"42","author":[{"family":"Frederick","given":"Tyler J."},{"family":"Chwalek","given":"Michal"},{"family":"Hughes","given":"Jean"},{"family":"Karabanow","given":"Jeff"},{"family":"Kidd","given":"Sean"}],"issued":{"date-parts":[["2014",11,1]]}}},{"id":4700,"uris":["http://zotero.org/users/12832277/items/SSBL85U6"],"itemData":{"id":4700,"type":"article-journal","abstract":"Like those in other advanced economies, local American governments attempt to attract and retain skilled workers in their areas. This study aims to examine the determinants and spatial patterns of relocation among new graduates with a bachelor’s degree or higher across the U.S. Census Regions, in 2013–2015, using a nationally representative sample collected by the National Science Foundation. While the Northeast and Midwest had negative net migration, the South and West had positive net migration. Compared to the South, skilled workers in all the other regions were more mobile. In general, job satisfaction determined at multiple levels influences the relocation of the highly educated in multiple ways. We found skilled workers satisfied with their job location, security, promotion opportunities, and contributions to society were less likely to relocate. Workers satisfied with their intellectual challenge and independence were more likely to relocate. Race was also an important predictor among the highly educated in deciding whether and where to relocate. Policies considering geographic perspectives are recommended to improve talent attraction and retention. Therefore, our study provides public policymakers with a need to think about how to increase pull factors attracting workers, reduce the push factors making workers relocate, and maintain factors keeping workers in their regions.","container-title":"Sustainability","DOI":"10.3390/su15021423","ISSN":"2071-1050","issue":"2","language":"en","license":"http://creativecommons.org/licenses/by/3.0/","note":"number: 2\npublisher: Multidisciplinary Digital Publishing Institute","page":"1423","source":"www.mdpi.com","title":"Why and Where Do Highly Educated Workers Relocate? A National-Level Analysis across U.S. Census Regions","volume":"15","author":[{"family":"Hur","given":"Hyungjo"},{"family":"Koh","given":"Keumseok"}],"issued":{"date-parts":[["2023",1]]}}}],"schema":"https://github.com/citation-style-language/schema/raw/master/csl-citation.json"} </w:instrText>
      </w:r>
      <w:r w:rsidR="002478CC" w:rsidRPr="00B71F92">
        <w:fldChar w:fldCharType="separate"/>
      </w:r>
      <w:r w:rsidR="002478CC" w:rsidRPr="00B71F92">
        <w:t>(Frederick et al., 2014; Hur and Koh, 2023)</w:t>
      </w:r>
      <w:r w:rsidR="002478CC" w:rsidRPr="00B71F92">
        <w:fldChar w:fldCharType="end"/>
      </w:r>
      <w:r w:rsidR="009461ED" w:rsidRPr="00B71F92">
        <w:t xml:space="preserve">. </w:t>
      </w:r>
      <w:r w:rsidR="00191625" w:rsidRPr="00B71F92">
        <w:t xml:space="preserve">Further, </w:t>
      </w:r>
      <w:r w:rsidR="004B1B38" w:rsidRPr="00B71F92">
        <w:t xml:space="preserve">households with at least one bachelor’s or graduate degree holder </w:t>
      </w:r>
      <w:r w:rsidR="00191625" w:rsidRPr="00B71F92">
        <w:t xml:space="preserve">were associated with </w:t>
      </w:r>
      <w:r w:rsidR="00DC37BD" w:rsidRPr="00B71F92">
        <w:t xml:space="preserve">an </w:t>
      </w:r>
      <w:r w:rsidR="00191625" w:rsidRPr="00B71F92">
        <w:t xml:space="preserve">increased </w:t>
      </w:r>
      <w:r w:rsidR="00DC37BD" w:rsidRPr="00B71F92">
        <w:t>consideration of relocations</w:t>
      </w:r>
      <w:r w:rsidR="00191625" w:rsidRPr="00B71F92">
        <w:t xml:space="preserve"> due to household composition changes during the 2021-period</w:t>
      </w:r>
      <w:r w:rsidR="004B7924" w:rsidRPr="00B71F92">
        <w:t>. However, t</w:t>
      </w:r>
      <w:r w:rsidR="00191625" w:rsidRPr="00B71F92">
        <w:t xml:space="preserve">his effect </w:t>
      </w:r>
      <w:r w:rsidR="004B7924" w:rsidRPr="00B71F92">
        <w:t xml:space="preserve">all but vanished </w:t>
      </w:r>
      <w:r w:rsidR="00A14CED" w:rsidRPr="00B71F92">
        <w:t xml:space="preserve">in </w:t>
      </w:r>
      <w:r w:rsidR="000A1674" w:rsidRPr="00B71F92">
        <w:t>the 2023 period</w:t>
      </w:r>
      <w:r w:rsidR="004B7924" w:rsidRPr="00B71F92">
        <w:t>. That is, there was effectively no difference between highly educated and other households in residential relocation consideration due to household composition changes in 2023, falling back to the situation that existed in 2019. This result is potentially reflecting educated households</w:t>
      </w:r>
      <w:r w:rsidR="00595D7A">
        <w:t>’</w:t>
      </w:r>
      <w:r w:rsidR="004B7924" w:rsidRPr="00B71F92">
        <w:t xml:space="preserve"> greater ability to adapt their living arrangements and make more significant household structure changes during the pandemic </w:t>
      </w:r>
      <w:r w:rsidR="00026BB7" w:rsidRPr="00B71F92">
        <w:fldChar w:fldCharType="begin"/>
      </w:r>
      <w:r w:rsidR="00026BB7" w:rsidRPr="00B71F92">
        <w:instrText xml:space="preserve"> ADDIN ZOTERO_ITEM CSL_CITATION {"citationID":"Hev2w6Pl","properties":{"formattedCitation":"(Chesterman et al., 2021)","plainCitation":"(Chesterman et al., 2021)","noteIndex":0},"citationItems":[{"id":4707,"uris":["http://zotero.org/users/12832277/items/BC4J5B3G"],"itemData":{"id":4707,"type":"article-journal","abstract":"In France, the COVID-19 pandemic and ensuing lockdown measures have created unprecedented circumstances that increase stress and anxiety, thus leading individuals experiencing home confinement to adopt various coping strategies that contribute to building resilience. Given the novelty and recency of the COVID-19 lockdown, factors of coping and resilience in this specific context of home confinement remain undefined. Based on some recent observations, we conducted a study on a convenience sample in France (N = 809) in order to investigate two potential factors of lockdown resilience and coping: social position and household affordances, while also exploring some complementary hypotheses based on the literature. Social position and household affordances were identified as significant predictors of lockdown coping and resilience, and low social position was found to coincide with less social support coping strategies. Results are discussed in relation to the theory and the limits identified in this study. Recommendations are made for potential second waves of COVID-19 spread or similar pandemics in the future.","container-title":"Journal of Environmental Psychology","DOI":"10.1016/j.jenvp.2021.101687","ISSN":"0272-4944","journalAbbreviation":"Journal of Environmental Psychology","page":"101687","source":"ScienceDirect","title":"Effects of Social Position and Household Affordances on Covid-19 Lockdown Resilience and Coping","volume":"78","author":[{"family":"Chesterman","given":"A."},{"family":"Battista","given":"M.","non-dropping-particle":"de"},{"family":"Causse","given":"E."}],"issued":{"date-parts":[["2021",12,1]]}}}],"schema":"https://github.com/citation-style-language/schema/raw/master/csl-citation.json"} </w:instrText>
      </w:r>
      <w:r w:rsidR="00026BB7" w:rsidRPr="00B71F92">
        <w:fldChar w:fldCharType="separate"/>
      </w:r>
      <w:r w:rsidR="00026BB7" w:rsidRPr="00B71F92">
        <w:t>(Chesterman et al., 2021)</w:t>
      </w:r>
      <w:r w:rsidR="00026BB7" w:rsidRPr="00B71F92">
        <w:fldChar w:fldCharType="end"/>
      </w:r>
      <w:r w:rsidR="00191625" w:rsidRPr="00B71F92">
        <w:t>.</w:t>
      </w:r>
      <w:r w:rsidR="000A1674" w:rsidRPr="00B71F92">
        <w:t xml:space="preserve"> </w:t>
      </w:r>
      <w:r w:rsidR="002C1DC4" w:rsidRPr="00B71F92">
        <w:t xml:space="preserve">Finally, relocations motivated by concerns of safety and crime were much less common among </w:t>
      </w:r>
      <w:r w:rsidR="00A14CED" w:rsidRPr="00B71F92">
        <w:t xml:space="preserve">households with </w:t>
      </w:r>
      <w:r w:rsidR="002C1DC4" w:rsidRPr="00B71F92">
        <w:t>highly</w:t>
      </w:r>
      <w:r w:rsidR="00483E4B" w:rsidRPr="00B71F92">
        <w:t xml:space="preserve"> </w:t>
      </w:r>
      <w:r w:rsidR="002C1DC4" w:rsidRPr="00B71F92">
        <w:t>educated individuals in the 2019-</w:t>
      </w:r>
      <w:r w:rsidR="00483E4B" w:rsidRPr="00B71F92">
        <w:t>period</w:t>
      </w:r>
      <w:r w:rsidR="00A14CED" w:rsidRPr="00B71F92">
        <w:t>,</w:t>
      </w:r>
      <w:r w:rsidR="00483E4B" w:rsidRPr="00B71F92">
        <w:t xml:space="preserve"> but</w:t>
      </w:r>
      <w:r w:rsidR="002C1DC4" w:rsidRPr="00B71F92">
        <w:t xml:space="preserve"> spiked in the 2021-period </w:t>
      </w:r>
      <w:r w:rsidR="00BF0C07" w:rsidRPr="00B71F92">
        <w:t xml:space="preserve">before returning to the baseline levels in the 2023-period. </w:t>
      </w:r>
      <w:r w:rsidR="00B449E5" w:rsidRPr="00B71F92">
        <w:t xml:space="preserve">This increase during the 2021-period is likely due to a combination of factors including (1) </w:t>
      </w:r>
      <w:r w:rsidR="00BA2940" w:rsidRPr="00B71F92">
        <w:t xml:space="preserve">changes to daily routines causing more highly-educated individuals to spend more time at home and in their neighborhood and making them more </w:t>
      </w:r>
      <w:r w:rsidR="00BA2940" w:rsidRPr="00B71F92">
        <w:lastRenderedPageBreak/>
        <w:t xml:space="preserve">aware of safety issues, (2) </w:t>
      </w:r>
      <w:r w:rsidR="0042161D" w:rsidRPr="00B71F92">
        <w:t xml:space="preserve">changes in patterns of violent crimes </w:t>
      </w:r>
      <w:r w:rsidR="00C17B04" w:rsidRPr="00B71F92">
        <w:t xml:space="preserve">alongside changing utilization of public space that </w:t>
      </w:r>
      <w:r w:rsidR="00417348" w:rsidRPr="00B71F92">
        <w:t xml:space="preserve">led to more victimization in public spaces, and (3) </w:t>
      </w:r>
      <w:r w:rsidR="006D7AEF" w:rsidRPr="00B71F92">
        <w:t xml:space="preserve">social disruptions related to widespread protests in 2020 that heightened </w:t>
      </w:r>
      <w:r w:rsidR="00F54953" w:rsidRPr="00B71F92">
        <w:t>public attention to safety issues</w:t>
      </w:r>
      <w:r w:rsidR="00F12057" w:rsidRPr="00B71F92">
        <w:t xml:space="preserve"> </w:t>
      </w:r>
      <w:r w:rsidR="00F12057" w:rsidRPr="00B71F92">
        <w:fldChar w:fldCharType="begin"/>
      </w:r>
      <w:r w:rsidR="000B24C4" w:rsidRPr="00B71F92">
        <w:instrText xml:space="preserve"> ADDIN ZOTERO_ITEM CSL_CITATION {"citationID":"S9yRFrOz","properties":{"formattedCitation":"(Massenkoff and Chalfin, 2022; Zevnik, 2023)","plainCitation":"(Massenkoff and Chalfin, 2022; Zevnik, 2023)","dontUpdate":true,"noteIndex":0},"citationItems":[{"id":4705,"uris":["http://zotero.org/users/12832277/items/CKCY2S7D"],"itemData":{"id":4705,"type":"article-journal","abstract":"The onset of the COVID-19 pandemic brought massive disruptions to economic and social life, including an unprecedented spike in homicides. Overall crime, however, was down. We resolve this apparent paradox by showing that after accounting for the fact that people were spending more time indoors in 2020, the risk of victimization in public actually increased. These recent changes in crime and activity provide a stark illustration of how conventional crime rates can fail to capture changes in public safety., This paper argues that changes in human activity during the COVID-19 pandemic led to an unusual divergence between crime rates and victimization risk in US cities. Most violent crimes declined during the pandemic. However, analysis using data on activity shows that the risk of street crime victimization was elevated throughout 2020. People in public spaces were 15 to 30% more likely to be robbed or assaulted. This increase is unlikely to be explained by changes in crime reporting or selection into outdoor activities by potential victims. Traditional crime rates may present a misleading view of the recent changes in public safety.","container-title":"Proceedings of the National Academy of Sciences of the United States of America","DOI":"10.1073/pnas.2208598119","ISSN":"0027-8424","issue":"46","note":"PMID: 36343240\nPMCID: PMC9674247","source":"PubMed Central","title":"Activity-Adjusted Crime Rates Show That Public Safety Worsened in 2020","URL":"https://www.ncbi.nlm.nih.gov/pmc/articles/PMC9674247/","volume":"119","author":[{"family":"Massenkoff","given":"Maxim"},{"family":"Chalfin","given":"Aaron"}],"accessed":{"date-parts":[["2025",6,20]]},"issued":{"date-parts":[["2022",11,15]]}}},{"id":4702,"uris":["http://zotero.org/users/12832277/items/HWV8J55V"],"itemData":{"id":4702,"type":"article-journal","abstract":"Since the beginning of the global Covid-19 pandemic in the spring of 2020\ncountries across the world have implemented various measures to contain the\nvirus. They have restricted public gatherings, mobility and congregation of\npeople at homes and in public places. These restrictions however did not stop\nanother chain of events – the global Black Lives Matter (BLM) protests. In the\nsummer of 2020 people across the globe mobilised to protest the police killing\nof George Floyd. In the UK the protest for Black Lives took place in all major\ncities, but they also continued weekly in smaller communities by ‘taking the\nknee’. What interests me in this contribution is how anxieties experienced\nduring the global pandemic contributed to the mobilisation of large-scale\npolitical actions for racial justice and how might we consider anxiety as a\nmobilising force in political space in times of global pandemic in particular in\nthe context of anti-racist protests such as BLM. This forum contribution opens\nby considering how global pandemic aided conditions for political action for\nracial justice, before discussing the role of anxiety in political mobilising.\nHere I first detailed how anxiety is understood in Lacanian psychoanalysis\nbefore considering what it tells us about the BLM protests for racial justice\nand specifically the removal of the Colston statue during the Bristol protest on\nJune 7 2020.","container-title":"International Relations (David Davies Memorial Institute of International Studies)","DOI":"10.1177/00471178221149632","ISSN":"0047-1178","issue":"1","note":"PMID: 38603309\nPMCID: PMC9845845","page":"164-171","source":"PubMed Central","title":"Anxiety and Political Action in Times of the Covid-19 Pandemic","volume":"37","author":[{"family":"Zevnik","given":"Andreja"}],"issued":{"date-parts":[["2023",3]]}}}],"schema":"https://github.com/citation-style-language/schema/raw/master/csl-citation.json"} </w:instrText>
      </w:r>
      <w:r w:rsidR="00F12057" w:rsidRPr="00B71F92">
        <w:fldChar w:fldCharType="separate"/>
      </w:r>
      <w:r w:rsidR="00F12057" w:rsidRPr="00B71F92">
        <w:t>(</w:t>
      </w:r>
      <w:r w:rsidR="00375D53" w:rsidRPr="00B71F92">
        <w:t xml:space="preserve">see </w:t>
      </w:r>
      <w:r w:rsidR="00F12057" w:rsidRPr="00B71F92">
        <w:t>Massenkoff and Chalfin, 2022; Zevnik, 2023)</w:t>
      </w:r>
      <w:r w:rsidR="00F12057" w:rsidRPr="00B71F92">
        <w:fldChar w:fldCharType="end"/>
      </w:r>
      <w:r w:rsidR="00F54953" w:rsidRPr="00B71F92">
        <w:t xml:space="preserve">. </w:t>
      </w:r>
      <w:r w:rsidR="00417348" w:rsidRPr="00B71F92">
        <w:t xml:space="preserve"> </w:t>
      </w:r>
    </w:p>
    <w:p w14:paraId="18AEA734" w14:textId="7F513C65" w:rsidR="00A14CED" w:rsidRPr="00B71F92" w:rsidRDefault="00A14CED" w:rsidP="00A14CED">
      <w:pPr>
        <w:spacing w:after="0" w:line="240" w:lineRule="auto"/>
        <w:jc w:val="both"/>
      </w:pPr>
    </w:p>
    <w:p w14:paraId="6A86EBF8" w14:textId="61823E7E" w:rsidR="00A14CED" w:rsidRPr="00B71F92" w:rsidRDefault="00A14CED" w:rsidP="00994742">
      <w:pPr>
        <w:spacing w:after="0" w:line="240" w:lineRule="auto"/>
        <w:jc w:val="both"/>
        <w:rPr>
          <w:i/>
          <w:iCs/>
          <w:u w:val="single"/>
        </w:rPr>
      </w:pPr>
      <w:r w:rsidRPr="00B71F92">
        <w:rPr>
          <w:i/>
          <w:iCs/>
          <w:u w:val="single"/>
        </w:rPr>
        <w:t>Race and Ethnicity Effects</w:t>
      </w:r>
    </w:p>
    <w:p w14:paraId="35B40686" w14:textId="0F0BE674" w:rsidR="00064866" w:rsidRPr="00B71F92" w:rsidRDefault="00EC5118" w:rsidP="008469F3">
      <w:pPr>
        <w:spacing w:after="0" w:line="240" w:lineRule="auto"/>
        <w:jc w:val="both"/>
      </w:pPr>
      <w:r w:rsidRPr="00B71F92">
        <w:t>O</w:t>
      </w:r>
      <w:r w:rsidR="00707019" w:rsidRPr="00B71F92">
        <w:t xml:space="preserve">ur findings suggest significant differences in relocation patterns based on race and ethnicity. </w:t>
      </w:r>
      <w:r w:rsidR="004E1E35" w:rsidRPr="00B71F92">
        <w:t xml:space="preserve">Asian </w:t>
      </w:r>
      <w:r w:rsidR="00A14CED" w:rsidRPr="00B71F92">
        <w:t xml:space="preserve">households consistently </w:t>
      </w:r>
      <w:r w:rsidR="004E1E35" w:rsidRPr="00B71F92">
        <w:t>exhibit higher residential mobility compared to other groups</w:t>
      </w:r>
      <w:r w:rsidR="00A14CED" w:rsidRPr="00B71F92">
        <w:t xml:space="preserve">. Hispanic households also exhibited higher residential mobility during the 2019 period, but not beyond. </w:t>
      </w:r>
      <w:r w:rsidR="00F60C59" w:rsidRPr="00B71F92">
        <w:t>In terms of relocation motivations, “better access to work” is a stronger consideration among Black and Asian households (compared with white households), although this consideration reduces substantially for Black households in the 2021</w:t>
      </w:r>
      <w:r w:rsidR="00973FF2" w:rsidRPr="00B71F92">
        <w:t xml:space="preserve"> </w:t>
      </w:r>
      <w:r w:rsidR="00F60C59" w:rsidRPr="00B71F92">
        <w:t xml:space="preserve">period and beyond. Black and Hispanic households also are less likely to consider moving to improve access to amenities. </w:t>
      </w:r>
      <w:r w:rsidR="00CE6B9E" w:rsidRPr="00B71F92">
        <w:t xml:space="preserve">Affordability concerns </w:t>
      </w:r>
      <w:r w:rsidR="009C21F7" w:rsidRPr="00B71F92">
        <w:t xml:space="preserve">have evolved </w:t>
      </w:r>
      <w:r w:rsidR="00CE6B9E" w:rsidRPr="00B71F92">
        <w:t xml:space="preserve">differently </w:t>
      </w:r>
      <w:r w:rsidR="009C21F7" w:rsidRPr="00B71F92">
        <w:t xml:space="preserve">for different racial and ethnic groups. </w:t>
      </w:r>
      <w:r w:rsidR="00CE6B9E" w:rsidRPr="00B71F92">
        <w:t xml:space="preserve">Asian </w:t>
      </w:r>
      <w:r w:rsidR="00F60C59" w:rsidRPr="00B71F92">
        <w:t xml:space="preserve">households </w:t>
      </w:r>
      <w:r w:rsidR="00D87B61" w:rsidRPr="00B71F92">
        <w:t xml:space="preserve">(relative to households of other races) </w:t>
      </w:r>
      <w:r w:rsidR="00F60C59" w:rsidRPr="00B71F92">
        <w:t>were</w:t>
      </w:r>
      <w:r w:rsidR="00D87B61" w:rsidRPr="00B71F92">
        <w:t xml:space="preserve"> the most </w:t>
      </w:r>
      <w:r w:rsidR="00F60C59" w:rsidRPr="00B71F92">
        <w:t xml:space="preserve">likely to consider an “increase in housing costs” in their stay/relocate decisions </w:t>
      </w:r>
      <w:r w:rsidR="00CE6B9E" w:rsidRPr="00B71F92">
        <w:t xml:space="preserve">during the </w:t>
      </w:r>
      <w:r w:rsidR="00D87B61" w:rsidRPr="00B71F92">
        <w:t xml:space="preserve">2019 period, but the least likely to do so in the </w:t>
      </w:r>
      <w:r w:rsidR="009C21F7" w:rsidRPr="00B71F92">
        <w:t>2021</w:t>
      </w:r>
      <w:r w:rsidR="00A968E2" w:rsidRPr="00B71F92">
        <w:t xml:space="preserve"> period</w:t>
      </w:r>
      <w:r w:rsidR="00D87B61" w:rsidRPr="00B71F92">
        <w:t>,</w:t>
      </w:r>
      <w:r w:rsidR="00A968E2" w:rsidRPr="00B71F92">
        <w:t xml:space="preserve"> </w:t>
      </w:r>
      <w:r w:rsidR="00D87B61" w:rsidRPr="00B71F92">
        <w:t>and again became more likely (but not to the extent of the 2019 period) to do so in the 2023 period</w:t>
      </w:r>
      <w:r w:rsidR="00855E5B" w:rsidRPr="00B71F92">
        <w:t>. I</w:t>
      </w:r>
      <w:r w:rsidR="009C21F7" w:rsidRPr="00B71F92">
        <w:t>n contrast,</w:t>
      </w:r>
      <w:r w:rsidR="00CE6B9E" w:rsidRPr="00B71F92">
        <w:t xml:space="preserve"> Hispanic </w:t>
      </w:r>
      <w:r w:rsidR="009C21F7" w:rsidRPr="00B71F92">
        <w:t>households</w:t>
      </w:r>
      <w:r w:rsidR="00CE6B9E" w:rsidRPr="00B71F92">
        <w:t xml:space="preserve"> became</w:t>
      </w:r>
      <w:r w:rsidR="009C21F7" w:rsidRPr="00B71F92">
        <w:t xml:space="preserve"> relatively</w:t>
      </w:r>
      <w:r w:rsidR="00CE6B9E" w:rsidRPr="00B71F92">
        <w:t xml:space="preserve"> more likely to </w:t>
      </w:r>
      <w:r w:rsidR="00EA12C9" w:rsidRPr="00B71F92">
        <w:t xml:space="preserve">consider </w:t>
      </w:r>
      <w:r w:rsidR="00CE6B9E" w:rsidRPr="00B71F92">
        <w:t>mov</w:t>
      </w:r>
      <w:r w:rsidR="00EA12C9" w:rsidRPr="00B71F92">
        <w:t>ing</w:t>
      </w:r>
      <w:r w:rsidR="00CE6B9E" w:rsidRPr="00B71F92">
        <w:t xml:space="preserve"> for affordability reasons during </w:t>
      </w:r>
      <w:r w:rsidR="009C21F7" w:rsidRPr="00B71F92">
        <w:t>the 2021-period</w:t>
      </w:r>
      <w:r w:rsidR="0088045C" w:rsidRPr="00B71F92">
        <w:t xml:space="preserve"> and beyond</w:t>
      </w:r>
      <w:r w:rsidR="00CE6B9E" w:rsidRPr="00B71F92">
        <w:t xml:space="preserve">, potentially reflecting greater economic vulnerability during the </w:t>
      </w:r>
      <w:r w:rsidR="009C21F7" w:rsidRPr="00B71F92">
        <w:t>pandemic</w:t>
      </w:r>
      <w:r w:rsidR="0088045C" w:rsidRPr="00B71F92">
        <w:t xml:space="preserve"> and after</w:t>
      </w:r>
      <w:r w:rsidR="00CE6B9E" w:rsidRPr="00B71F92">
        <w:t xml:space="preserve">. </w:t>
      </w:r>
      <w:r w:rsidR="00311807" w:rsidRPr="00B71F92">
        <w:t xml:space="preserve">Asian households also have a lower propensity to </w:t>
      </w:r>
      <w:r w:rsidR="00EA12C9" w:rsidRPr="00B71F92">
        <w:t>consider moving</w:t>
      </w:r>
      <w:r w:rsidR="00311807" w:rsidRPr="00B71F92">
        <w:t xml:space="preserve"> due to relocations of friends and </w:t>
      </w:r>
      <w:r w:rsidR="007472EB" w:rsidRPr="00B71F92">
        <w:t>family</w:t>
      </w:r>
      <w:r w:rsidR="0088045C" w:rsidRPr="00B71F92">
        <w:t xml:space="preserve"> in the 2019 and 2021 periods</w:t>
      </w:r>
      <w:r w:rsidR="00855E5B" w:rsidRPr="00B71F92">
        <w:t>,</w:t>
      </w:r>
      <w:r w:rsidR="007472EB" w:rsidRPr="00B71F92">
        <w:t xml:space="preserve"> but</w:t>
      </w:r>
      <w:r w:rsidR="00311807" w:rsidRPr="00B71F92">
        <w:t xml:space="preserve"> </w:t>
      </w:r>
      <w:r w:rsidR="0088045C" w:rsidRPr="00B71F92">
        <w:t>this situation gets reversed in the 2023 period, with Asian households having a higher propensity (relative to other households) to consider moving due to relocations of friends and family in the 2023 period</w:t>
      </w:r>
      <w:r w:rsidR="00EF1811" w:rsidRPr="00B71F92">
        <w:t xml:space="preserve">. This effect may reflect the rapid growth of the Asian population in the greater Seattle region over the previous several years </w:t>
      </w:r>
      <w:r w:rsidR="00B525C7" w:rsidRPr="00B71F92">
        <w:t>(see the increase in the Asian population exhibited in the ACS data for the region in Table 1)</w:t>
      </w:r>
      <w:r w:rsidR="00311807" w:rsidRPr="00B71F92">
        <w:t xml:space="preserve">, </w:t>
      </w:r>
      <w:r w:rsidR="00AC3990" w:rsidRPr="00B71F92">
        <w:t>leading Asian households to relocate to expanding Asian-community neighborhoods and take advantage of this growing social capital when considering relocations.</w:t>
      </w:r>
      <w:r w:rsidR="008425CB" w:rsidRPr="00B71F92">
        <w:t xml:space="preserve"> This trend also highlights how </w:t>
      </w:r>
      <w:r w:rsidR="00ED6B44" w:rsidRPr="00B71F92">
        <w:t xml:space="preserve">structural conditions result from the </w:t>
      </w:r>
      <w:r w:rsidR="008B4F59" w:rsidRPr="00B71F92">
        <w:t>aggregation</w:t>
      </w:r>
      <w:r w:rsidR="006C4851" w:rsidRPr="00B71F92">
        <w:t xml:space="preserve"> of</w:t>
      </w:r>
      <w:r w:rsidR="00855E5B" w:rsidRPr="00B71F92">
        <w:t xml:space="preserve"> </w:t>
      </w:r>
      <w:r w:rsidR="006C4851" w:rsidRPr="00B71F92">
        <w:t>individual-level decisions</w:t>
      </w:r>
      <w:r w:rsidR="006A3D56" w:rsidRPr="00B71F92">
        <w:t xml:space="preserve">, as the decisions of some movers influence the </w:t>
      </w:r>
      <w:r w:rsidR="00A7344D" w:rsidRPr="00B71F92">
        <w:t xml:space="preserve">social and economic landscape </w:t>
      </w:r>
      <w:r w:rsidR="00E601F2" w:rsidRPr="00B71F92">
        <w:t>within which others are making decisions.</w:t>
      </w:r>
      <w:r w:rsidR="00E601F2" w:rsidRPr="00B71F92">
        <w:rPr>
          <w:b/>
          <w:bCs/>
        </w:rPr>
        <w:t xml:space="preserve"> </w:t>
      </w:r>
      <w:r w:rsidR="00855E5B" w:rsidRPr="00B71F92">
        <w:t xml:space="preserve">Finally, </w:t>
      </w:r>
      <w:r w:rsidR="00A66F34" w:rsidRPr="00B71F92">
        <w:t xml:space="preserve">Black and Hispanic </w:t>
      </w:r>
      <w:r w:rsidR="00855E5B" w:rsidRPr="00B71F92">
        <w:t>households</w:t>
      </w:r>
      <w:r w:rsidR="00A66F34" w:rsidRPr="00B71F92">
        <w:t xml:space="preserve"> </w:t>
      </w:r>
      <w:r w:rsidR="00855E5B" w:rsidRPr="00B71F92">
        <w:t xml:space="preserve">(more so than white and Asian households) cite the threat of being forced to move out as a consideration for relocation, presumably </w:t>
      </w:r>
      <w:r w:rsidR="00A66F34" w:rsidRPr="00B71F92">
        <w:t>reflect</w:t>
      </w:r>
      <w:r w:rsidR="00855E5B" w:rsidRPr="00B71F92">
        <w:t>ing</w:t>
      </w:r>
      <w:r w:rsidR="00A66F34" w:rsidRPr="00B71F92">
        <w:t xml:space="preserve"> broader patterns of housing discrimination and economic vulnerability among </w:t>
      </w:r>
      <w:r w:rsidR="00C648C5" w:rsidRPr="00B71F92">
        <w:t>B</w:t>
      </w:r>
      <w:r w:rsidR="00A66F34" w:rsidRPr="00B71F92">
        <w:t>lack</w:t>
      </w:r>
      <w:r w:rsidR="00C648C5" w:rsidRPr="00B71F92">
        <w:t xml:space="preserve"> and Hispanic</w:t>
      </w:r>
      <w:r w:rsidR="00A66F34" w:rsidRPr="00B71F92">
        <w:t xml:space="preserve"> households</w:t>
      </w:r>
      <w:r w:rsidR="00CC7ABA" w:rsidRPr="00B71F92">
        <w:t xml:space="preserve"> </w:t>
      </w:r>
      <w:r w:rsidR="00CC7ABA" w:rsidRPr="00B71F92">
        <w:fldChar w:fldCharType="begin"/>
      </w:r>
      <w:r w:rsidR="00CC7ABA" w:rsidRPr="00B71F92">
        <w:instrText xml:space="preserve"> ADDIN ZOTERO_ITEM CSL_CITATION {"citationID":"T5KkAXLb","properties":{"formattedCitation":"(Desmond, 2022; Versey and Russell, 2023)","plainCitation":"(Desmond, 2022; Versey and Russell, 2023)","noteIndex":0},"citationItems":[{"id":4131,"uris":["http://zotero.org/users/12832277/items/B7XHI6PQ"],"itemData":{"id":4131,"type":"chapter","abstract":"Drawing from his own extensive ethnographic and quantitative research, Desmond outlines the trends that led to the current situation: rising housing costs, stagnant or falling incomes among the poor, and a shortfall of federal housing assistance. As a result of these trends, most poor renting families now devote over half of their income to housing costs, and eviction has become commonplace in low-income communities. Poor single mothers with young children, particularly African Americans, are at especially high risk of eviction. Desmond reviews the consequences of eviction – for parents, children, and neighborhoods – and concludes with suggested policy remedies and a call to pull housing back to the center of the poverty debate.","collection-title":"American Journal of Sociology","container-title":"The Affordable Housing Reader","edition":"2","ISBN":"978-0-429-29937-7","note":"number-of-pages: 7","publisher":"Routledge","title":"Unaffordable America: Poverty, housing, and eviction: American Journal of Sociology","title-short":"Unaffordable America","author":[{"family":"Desmond","given":"Matthew"}],"issued":{"date-parts":[["2022"]]}}},{"id":4724,"uris":["http://zotero.org/users/12832277/items/DINXUVFC"],"itemData":{"id":4724,"type":"article-journal","abstract":"During the COVID-19 pandemic, multiple groups faced increased risks for negative health and mortality. Using an intersectional framework, the current study explores how the global pandemic impacted lower-income women living in the United States through access to housing. Findings indicate several challenges remaining stably housed during the pandemic. Major themes included: (1) High-Risk Survival Economies, (2) Landlord Stress, Deception, and Exclusion, (3) Landlord Harassment, (4) Low Levels of Formal and Informal Support, (5) Housing as a Health Risk Factor, and (6) Resilience. These themes are explored through four in-depth narrative accounts. Implications for health and policy are discussed. Future research that examines and engages with both direct (e.g., material scarcity) and indirect (e.g., discrimination) pathways that connect housing to health are strongly encouraged.","container-title":"Journal of Social Issues","DOI":"10.1111/josi.12555","ISSN":"1540-4560","issue":"2","language":"en","license":"© 2022 The Society for the Psychological Study of Social Issues.","note":"_eprint: https://spssi.onlinelibrary.wiley.com/doi/pdf/10.1111/josi.12555","page":"773-793","source":"Wiley Online Library","title":"The Impact of COVID-19 and Housing Insecurity on Lower-Income Black Women","volume":"79","author":[{"family":"Versey","given":"H. Shellae"},{"family":"Russell","given":"Charity N."}],"issued":{"date-parts":[["2023"]]}}}],"schema":"https://github.com/citation-style-language/schema/raw/master/csl-citation.json"} </w:instrText>
      </w:r>
      <w:r w:rsidR="00CC7ABA" w:rsidRPr="00B71F92">
        <w:fldChar w:fldCharType="separate"/>
      </w:r>
      <w:r w:rsidR="00CC7ABA" w:rsidRPr="00B71F92">
        <w:t>(Desmond, 2022; Versey and Russell, 2023)</w:t>
      </w:r>
      <w:r w:rsidR="00CC7ABA" w:rsidRPr="00B71F92">
        <w:fldChar w:fldCharType="end"/>
      </w:r>
      <w:r w:rsidR="008469F3" w:rsidRPr="00B71F92">
        <w:t>.</w:t>
      </w:r>
    </w:p>
    <w:p w14:paraId="56C598AE" w14:textId="77777777" w:rsidR="008469F3" w:rsidRPr="00B71F92" w:rsidRDefault="008469F3" w:rsidP="008469F3">
      <w:pPr>
        <w:spacing w:after="0" w:line="240" w:lineRule="auto"/>
        <w:jc w:val="both"/>
      </w:pPr>
    </w:p>
    <w:p w14:paraId="5771DCED" w14:textId="3C0B1170" w:rsidR="008404B6" w:rsidRPr="00B71F92" w:rsidRDefault="008404B6" w:rsidP="008404B6">
      <w:pPr>
        <w:spacing w:after="0" w:line="240" w:lineRule="auto"/>
        <w:jc w:val="both"/>
        <w:rPr>
          <w:b/>
          <w:bCs/>
        </w:rPr>
      </w:pPr>
      <w:r w:rsidRPr="00B71F92">
        <w:rPr>
          <w:b/>
          <w:bCs/>
        </w:rPr>
        <w:t>4.2 Correlations</w:t>
      </w:r>
    </w:p>
    <w:p w14:paraId="268B5A31" w14:textId="0F544F69" w:rsidR="008404B6" w:rsidRPr="00B71F92" w:rsidRDefault="00E819EB" w:rsidP="008404B6">
      <w:pPr>
        <w:spacing w:after="0" w:line="240" w:lineRule="auto"/>
        <w:jc w:val="both"/>
      </w:pPr>
      <w:r w:rsidRPr="00B71F92">
        <w:t xml:space="preserve">The correlation parameters estimated in the model are shown in the final section of Table 3. </w:t>
      </w:r>
      <w:r w:rsidR="002A1357" w:rsidRPr="00B71F92">
        <w:t xml:space="preserve">A large number of these correlation terms </w:t>
      </w:r>
      <w:r w:rsidR="00BD38E8" w:rsidRPr="00B71F92">
        <w:t xml:space="preserve">are found to be statistically significant and retained in the model. Two of these are between the overall </w:t>
      </w:r>
      <w:r w:rsidR="00431AE4" w:rsidRPr="00B71F92">
        <w:t xml:space="preserve">decision to move in the </w:t>
      </w:r>
      <w:r w:rsidR="00A47135" w:rsidRPr="00B71F92">
        <w:t>two years</w:t>
      </w:r>
      <w:r w:rsidR="00431AE4" w:rsidRPr="00B71F92">
        <w:t xml:space="preserve"> prior to the survey and the motivating reasons for </w:t>
      </w:r>
      <w:r w:rsidR="00A47135" w:rsidRPr="00B71F92">
        <w:t>relocation</w:t>
      </w:r>
      <w:r w:rsidR="00431AE4" w:rsidRPr="00B71F92">
        <w:t xml:space="preserve">. Specifically, </w:t>
      </w:r>
      <w:r w:rsidR="00223E75" w:rsidRPr="00B71F92">
        <w:t xml:space="preserve">overall relocations are negatively correlated with </w:t>
      </w:r>
      <w:r w:rsidR="00F33A34" w:rsidRPr="00B71F92">
        <w:t>motivations for improving access to work locations</w:t>
      </w:r>
      <w:r w:rsidR="00223E75" w:rsidRPr="00B71F92">
        <w:t xml:space="preserve"> and strongly positively correlated with </w:t>
      </w:r>
      <w:r w:rsidR="00B759A2" w:rsidRPr="00B71F92">
        <w:t xml:space="preserve">being forced to move. The </w:t>
      </w:r>
      <w:r w:rsidR="004E1DB0" w:rsidRPr="00B71F92">
        <w:t xml:space="preserve">high and very statistically significant </w:t>
      </w:r>
      <w:r w:rsidR="00B759A2" w:rsidRPr="00B71F92">
        <w:t>correlation with forced relocations, in particular, is unsurprising</w:t>
      </w:r>
      <w:r w:rsidR="00EC5118" w:rsidRPr="00B71F92">
        <w:t xml:space="preserve">, as discussed earlier in Section 2.2. </w:t>
      </w:r>
      <w:r w:rsidR="00CA545E" w:rsidRPr="00B71F92">
        <w:t xml:space="preserve">The additional correlations among the reasons for relocation suggest that many of these concerns play a role at once in the decision of whether </w:t>
      </w:r>
      <w:r w:rsidR="00EC5118" w:rsidRPr="00B71F92">
        <w:t xml:space="preserve">or not </w:t>
      </w:r>
      <w:r w:rsidR="00CA545E" w:rsidRPr="00B71F92">
        <w:t xml:space="preserve">to relocate. </w:t>
      </w:r>
      <w:r w:rsidR="009D6CAB" w:rsidRPr="00B71F92">
        <w:t xml:space="preserve">For instance, </w:t>
      </w:r>
      <w:r w:rsidR="0088045C" w:rsidRPr="00B71F92">
        <w:t>the</w:t>
      </w:r>
      <w:r w:rsidR="00241271" w:rsidRPr="00B71F92">
        <w:t xml:space="preserve"> strong positive correlation </w:t>
      </w:r>
      <w:r w:rsidR="0088045C" w:rsidRPr="00B71F92">
        <w:t xml:space="preserve">of 0.45 (t-statistic of 6.41) </w:t>
      </w:r>
      <w:r w:rsidR="00241271" w:rsidRPr="00B71F92">
        <w:t xml:space="preserve">between </w:t>
      </w:r>
      <w:r w:rsidR="00E618A5" w:rsidRPr="00B71F92">
        <w:t xml:space="preserve">motivations to consider moving due to </w:t>
      </w:r>
      <w:r w:rsidR="00EC5118" w:rsidRPr="00B71F92">
        <w:t>an “</w:t>
      </w:r>
      <w:r w:rsidR="00241271" w:rsidRPr="00B71F92">
        <w:t>increase</w:t>
      </w:r>
      <w:r w:rsidR="00EC5118" w:rsidRPr="00B71F92">
        <w:t xml:space="preserve"> in</w:t>
      </w:r>
      <w:r w:rsidR="00241271" w:rsidRPr="00B71F92">
        <w:t xml:space="preserve"> housing </w:t>
      </w:r>
      <w:r w:rsidR="00241271" w:rsidRPr="00B71F92">
        <w:lastRenderedPageBreak/>
        <w:t>costs</w:t>
      </w:r>
      <w:r w:rsidR="00EC5118" w:rsidRPr="00B71F92">
        <w:t>”</w:t>
      </w:r>
      <w:r w:rsidR="00241271" w:rsidRPr="00B71F92">
        <w:t xml:space="preserve"> and </w:t>
      </w:r>
      <w:r w:rsidR="00EC5118" w:rsidRPr="00B71F92">
        <w:t>“</w:t>
      </w:r>
      <w:r w:rsidR="00241271" w:rsidRPr="00B71F92">
        <w:t xml:space="preserve">change in </w:t>
      </w:r>
      <w:r w:rsidR="00EC5118" w:rsidRPr="00B71F92">
        <w:t xml:space="preserve">income or </w:t>
      </w:r>
      <w:r w:rsidR="00241271" w:rsidRPr="00B71F92">
        <w:t>finances</w:t>
      </w:r>
      <w:r w:rsidR="00EC5118" w:rsidRPr="00B71F92">
        <w:t>”</w:t>
      </w:r>
      <w:r w:rsidR="00241271" w:rsidRPr="00B71F92">
        <w:t xml:space="preserve"> suggest</w:t>
      </w:r>
      <w:r w:rsidR="00EC5118" w:rsidRPr="00B71F92">
        <w:t>s</w:t>
      </w:r>
      <w:r w:rsidR="00241271" w:rsidRPr="00B71F92">
        <w:t xml:space="preserve"> a </w:t>
      </w:r>
      <w:r w:rsidR="00EC5118" w:rsidRPr="00B71F92">
        <w:t>snowballing effect of these two reasons on relocation choices</w:t>
      </w:r>
      <w:r w:rsidR="004E1DB0" w:rsidRPr="00B71F92">
        <w:t>, providing further reinforcement for our use of structuration theory, as discussed in Section 1</w:t>
      </w:r>
      <w:r w:rsidR="00EC5118" w:rsidRPr="00B71F92">
        <w:t xml:space="preserve">.  </w:t>
      </w:r>
    </w:p>
    <w:p w14:paraId="5E1EFDB3" w14:textId="77777777" w:rsidR="008404B6" w:rsidRPr="00B71F92" w:rsidRDefault="008404B6" w:rsidP="008404B6">
      <w:pPr>
        <w:spacing w:after="0" w:line="240" w:lineRule="auto"/>
        <w:jc w:val="both"/>
        <w:rPr>
          <w:b/>
          <w:bCs/>
        </w:rPr>
      </w:pPr>
    </w:p>
    <w:p w14:paraId="4B0FC0CC" w14:textId="517DB1E8" w:rsidR="008404B6" w:rsidRPr="00B71F92" w:rsidRDefault="008404B6" w:rsidP="008404B6">
      <w:pPr>
        <w:spacing w:after="0" w:line="240" w:lineRule="auto"/>
        <w:jc w:val="both"/>
        <w:rPr>
          <w:b/>
          <w:bCs/>
        </w:rPr>
      </w:pPr>
      <w:r w:rsidRPr="00B71F92">
        <w:rPr>
          <w:b/>
          <w:bCs/>
        </w:rPr>
        <w:t>4.3 Model Fit</w:t>
      </w:r>
    </w:p>
    <w:p w14:paraId="7A04B185" w14:textId="7AF6A61C" w:rsidR="008404B6" w:rsidRPr="00B71F92" w:rsidRDefault="000F019D" w:rsidP="008404B6">
      <w:pPr>
        <w:spacing w:after="0" w:line="240" w:lineRule="auto"/>
        <w:jc w:val="both"/>
      </w:pPr>
      <w:r w:rsidRPr="00B71F92">
        <w:t xml:space="preserve">We evaluate the performance of the proposed joint model with an independent model that </w:t>
      </w:r>
      <w:r w:rsidR="00CA6ED7" w:rsidRPr="00B71F92">
        <w:t xml:space="preserve">does not consider the correlations between the outcomes. </w:t>
      </w:r>
      <w:r w:rsidR="001570C2" w:rsidRPr="00B71F92">
        <w:t xml:space="preserve">The independent model specification considers all outcome dimensions independently, ignoring the correlations terms discussed in the previous section (and shown </w:t>
      </w:r>
      <w:r w:rsidR="00EC5118" w:rsidRPr="00B71F92">
        <w:t>at</w:t>
      </w:r>
      <w:r w:rsidR="001570C2" w:rsidRPr="00B71F92">
        <w:t xml:space="preserve"> the bottom section of Table 3). </w:t>
      </w:r>
      <w:r w:rsidR="00E83254" w:rsidRPr="00B71F92">
        <w:t xml:space="preserve">A variety of disaggregate and aggregate fit metrics are employed to compare the performance of the two models, as shown in Table 4. </w:t>
      </w:r>
      <w:r w:rsidR="00554437" w:rsidRPr="00B71F92">
        <w:t xml:space="preserve">At a disaggregate level, </w:t>
      </w:r>
      <w:r w:rsidR="00D6706D" w:rsidRPr="00B71F92">
        <w:t>the log-likelihood at convergence</w:t>
      </w:r>
      <w:r w:rsidR="00BF7DBE" w:rsidRPr="00B71F92">
        <w:t xml:space="preserve"> as well as</w:t>
      </w:r>
      <w:r w:rsidR="00D6706D" w:rsidRPr="00B71F92">
        <w:t xml:space="preserve"> </w:t>
      </w:r>
      <w:r w:rsidR="00655880" w:rsidRPr="00B71F92">
        <w:t xml:space="preserve">adjusted likelihood ratio index </w:t>
      </w:r>
      <w:r w:rsidR="00BF7DBE" w:rsidRPr="00B71F92">
        <w:t xml:space="preserve">calculated in comparison to both the constants only log-likelihood and the equal-probability log-likelihood </w:t>
      </w:r>
      <w:r w:rsidR="00655880" w:rsidRPr="00B71F92">
        <w:t xml:space="preserve">are </w:t>
      </w:r>
      <w:r w:rsidR="00BF7DBE" w:rsidRPr="00B71F92">
        <w:t>all</w:t>
      </w:r>
      <w:r w:rsidR="00655880" w:rsidRPr="00B71F92">
        <w:t xml:space="preserve"> larger for the proposed model, supporting the superior fit of this model. Additionally, the proposed model has a smaller </w:t>
      </w:r>
      <w:r w:rsidR="00FA7518" w:rsidRPr="00B71F92">
        <w:t>Bayesian information criterion</w:t>
      </w:r>
      <w:r w:rsidR="00411753" w:rsidRPr="00B71F92">
        <w:t xml:space="preserve"> than the independent model</w:t>
      </w:r>
      <w:r w:rsidR="00FA7518" w:rsidRPr="00B71F92">
        <w:t xml:space="preserve">, </w:t>
      </w:r>
      <w:r w:rsidR="00B66E22" w:rsidRPr="00B71F92">
        <w:t>suggesting that the proposed model has a better fit</w:t>
      </w:r>
      <w:r w:rsidR="00AB5155" w:rsidRPr="00B71F92">
        <w:t xml:space="preserve"> after accounting for the number of parameters. </w:t>
      </w:r>
      <w:r w:rsidR="00A6160C" w:rsidRPr="00B71F92">
        <w:t>Finally, at this disaggregate level, the two models are compared using a formal likelihood ratio test</w:t>
      </w:r>
      <w:r w:rsidR="000E4EDB" w:rsidRPr="00B71F92">
        <w:t>, which is found to be significant at any reasonable level of significance for a chi-square value with 3</w:t>
      </w:r>
      <w:r w:rsidR="007E61EC" w:rsidRPr="00B71F92">
        <w:t>5</w:t>
      </w:r>
      <w:r w:rsidR="000E4EDB" w:rsidRPr="00B71F92">
        <w:t xml:space="preserve"> degrees of freedom. </w:t>
      </w:r>
      <w:r w:rsidR="00B3141F" w:rsidRPr="00B71F92">
        <w:t xml:space="preserve">At an aggregate level, the two models can also be compared based on the predicted share of individuals selecting any combination </w:t>
      </w:r>
      <w:r w:rsidR="002F705B" w:rsidRPr="00B71F92">
        <w:t xml:space="preserve">of </w:t>
      </w:r>
      <w:r w:rsidR="001637AB" w:rsidRPr="00B71F92">
        <w:t xml:space="preserve">the binary relocation decision and </w:t>
      </w:r>
      <w:r w:rsidR="002F705B" w:rsidRPr="00B71F92">
        <w:t>motivating reasons</w:t>
      </w:r>
      <w:r w:rsidR="004E1DB0" w:rsidRPr="00B71F92">
        <w:t xml:space="preserve"> (there are a total of 2</w:t>
      </w:r>
      <w:r w:rsidR="004E1DB0" w:rsidRPr="00B71F92">
        <w:rPr>
          <w:vertAlign w:val="superscript"/>
        </w:rPr>
        <w:t>11</w:t>
      </w:r>
      <w:r w:rsidR="004E1DB0" w:rsidRPr="00B71F92">
        <w:t xml:space="preserve">=2048 combinations of reasons for those who actually relocated, and just one combination of not moving for those who did not move). </w:t>
      </w:r>
      <w:r w:rsidR="00FB52EB" w:rsidRPr="00B71F92">
        <w:t>Since it would be too tedious to report the performance of each model in terms of aggregate fit across each of the 2048 combinations for those who relocated, f</w:t>
      </w:r>
      <w:r w:rsidR="000C79A1" w:rsidRPr="00B71F92">
        <w:t xml:space="preserve">or the purposes of </w:t>
      </w:r>
      <w:r w:rsidR="00EC5118" w:rsidRPr="00B71F92">
        <w:t xml:space="preserve">this paper, </w:t>
      </w:r>
      <w:r w:rsidR="001637AB" w:rsidRPr="00B71F92">
        <w:t xml:space="preserve">we consider </w:t>
      </w:r>
      <w:r w:rsidR="0088045C" w:rsidRPr="00B71F92">
        <w:t xml:space="preserve">a positive </w:t>
      </w:r>
      <w:r w:rsidR="001637AB" w:rsidRPr="00B71F92">
        <w:t xml:space="preserve">binary relocation decision along with the top ten paired combinations of motivating reasons with the highest number of sample observations. </w:t>
      </w:r>
      <w:r w:rsidR="00356920" w:rsidRPr="00B71F92">
        <w:t xml:space="preserve">Thus, as shown in the lower section of Table 4, we </w:t>
      </w:r>
      <w:r w:rsidR="001637AB" w:rsidRPr="00B71F92">
        <w:t xml:space="preserve">calculate </w:t>
      </w:r>
      <w:r w:rsidR="00356920" w:rsidRPr="00B71F92">
        <w:t xml:space="preserve">the number of individuals </w:t>
      </w:r>
      <w:r w:rsidR="004F2A8C" w:rsidRPr="00B71F92">
        <w:t xml:space="preserve">in the sample </w:t>
      </w:r>
      <w:r w:rsidR="003A0B2B" w:rsidRPr="00B71F92">
        <w:t>who</w:t>
      </w:r>
      <w:r w:rsidR="001637AB" w:rsidRPr="00B71F92">
        <w:t xml:space="preserve"> </w:t>
      </w:r>
      <w:r w:rsidR="003A0B2B" w:rsidRPr="00B71F92">
        <w:rPr>
          <w:u w:val="single"/>
        </w:rPr>
        <w:t>do</w:t>
      </w:r>
      <w:r w:rsidR="003A0B2B" w:rsidRPr="00B71F92">
        <w:t xml:space="preserve"> move within two years of the survey </w:t>
      </w:r>
      <w:r w:rsidR="003A0B2B" w:rsidRPr="00B71F92">
        <w:rPr>
          <w:u w:val="single"/>
        </w:rPr>
        <w:t>and</w:t>
      </w:r>
      <w:r w:rsidR="003A0B2B" w:rsidRPr="00B71F92">
        <w:t xml:space="preserve"> select each </w:t>
      </w:r>
      <w:r w:rsidR="001637AB" w:rsidRPr="00B71F92">
        <w:t xml:space="preserve">of the top ten </w:t>
      </w:r>
      <w:r w:rsidR="001637AB" w:rsidRPr="00B71F92">
        <w:rPr>
          <w:u w:val="single"/>
        </w:rPr>
        <w:t>paired</w:t>
      </w:r>
      <w:r w:rsidR="001637AB" w:rsidRPr="00B71F92">
        <w:t xml:space="preserve"> </w:t>
      </w:r>
      <w:r w:rsidR="003A0B2B" w:rsidRPr="00B71F92">
        <w:t>reason</w:t>
      </w:r>
      <w:r w:rsidR="001637AB" w:rsidRPr="00B71F92">
        <w:t>s</w:t>
      </w:r>
      <w:r w:rsidR="003A0B2B" w:rsidRPr="00B71F92">
        <w:t xml:space="preserve"> for moving</w:t>
      </w:r>
      <w:r w:rsidR="00FB52EB" w:rsidRPr="00B71F92">
        <w:t xml:space="preserve"> (ignoring the response</w:t>
      </w:r>
      <w:r w:rsidR="00F655F5" w:rsidRPr="00B71F92">
        <w:t>s</w:t>
      </w:r>
      <w:r w:rsidR="00FB52EB" w:rsidRPr="00B71F92">
        <w:t xml:space="preserve"> provided to other reasons)</w:t>
      </w:r>
      <w:r w:rsidR="001637AB" w:rsidRPr="00B71F92">
        <w:t>.</w:t>
      </w:r>
      <w:r w:rsidR="003A0B2B" w:rsidRPr="00B71F92">
        <w:t xml:space="preserve"> </w:t>
      </w:r>
      <w:r w:rsidR="006201B4" w:rsidRPr="00B71F92">
        <w:t xml:space="preserve">Then, using each model, we </w:t>
      </w:r>
      <w:r w:rsidR="00467728" w:rsidRPr="00B71F92">
        <w:t xml:space="preserve">predict the share of individuals selecting each </w:t>
      </w:r>
      <w:r w:rsidR="00FB52EB" w:rsidRPr="00B71F92">
        <w:t xml:space="preserve">of the top ten paired </w:t>
      </w:r>
      <w:r w:rsidR="00467728" w:rsidRPr="00B71F92">
        <w:t>outcome combination</w:t>
      </w:r>
      <w:r w:rsidR="00FB52EB" w:rsidRPr="00B71F92">
        <w:t>s</w:t>
      </w:r>
      <w:r w:rsidR="00D51662" w:rsidRPr="00B71F92">
        <w:t xml:space="preserve"> and calculate the absolute percentage error (APE) between the predict</w:t>
      </w:r>
      <w:r w:rsidR="001637AB" w:rsidRPr="00B71F92">
        <w:t>ed</w:t>
      </w:r>
      <w:r w:rsidR="00D51662" w:rsidRPr="00B71F92">
        <w:t xml:space="preserve"> and the observed shares in the sample</w:t>
      </w:r>
      <w:r w:rsidR="00467728" w:rsidRPr="00B71F92">
        <w:t>.</w:t>
      </w:r>
      <w:r w:rsidR="00D51662" w:rsidRPr="00B71F92">
        <w:t xml:space="preserve"> </w:t>
      </w:r>
      <w:r w:rsidR="0029142E" w:rsidRPr="00B71F92">
        <w:t xml:space="preserve">Finally, </w:t>
      </w:r>
      <w:r w:rsidR="001637AB" w:rsidRPr="00B71F92">
        <w:t xml:space="preserve">we weight the outcome-specific APEs </w:t>
      </w:r>
      <w:r w:rsidR="0029142E" w:rsidRPr="00B71F92">
        <w:t>by the observed shares</w:t>
      </w:r>
      <w:r w:rsidR="001637AB" w:rsidRPr="00B71F92">
        <w:t xml:space="preserve"> of each outcome</w:t>
      </w:r>
      <w:r w:rsidR="00E1758C" w:rsidRPr="00B71F92">
        <w:t xml:space="preserve"> to </w:t>
      </w:r>
      <w:r w:rsidR="0029142E" w:rsidRPr="00B71F92">
        <w:t>get the weighted average percentage error (WAPE)</w:t>
      </w:r>
      <w:r w:rsidR="00E1758C" w:rsidRPr="00B71F92">
        <w:t>. This is provided in the last row of Table 4</w:t>
      </w:r>
      <w:r w:rsidR="0028153F" w:rsidRPr="00B71F92">
        <w:t xml:space="preserve">. </w:t>
      </w:r>
      <w:r w:rsidR="00E1758C" w:rsidRPr="00B71F92">
        <w:t>O</w:t>
      </w:r>
      <w:r w:rsidR="0028153F" w:rsidRPr="00B71F92">
        <w:t xml:space="preserve">ur proposed model </w:t>
      </w:r>
      <w:r w:rsidR="00E1758C" w:rsidRPr="00B71F92">
        <w:t xml:space="preserve">clearly </w:t>
      </w:r>
      <w:r w:rsidR="0028153F" w:rsidRPr="00B71F92">
        <w:t>outperforms the independent model based on both disaggregate and aggregate fit statistics</w:t>
      </w:r>
      <w:r w:rsidR="00F94EF0" w:rsidRPr="00B71F92">
        <w:t>.</w:t>
      </w:r>
      <w:r w:rsidR="0028153F" w:rsidRPr="00B71F92">
        <w:t xml:space="preserve"> </w:t>
      </w:r>
    </w:p>
    <w:p w14:paraId="1A3232F3" w14:textId="77777777" w:rsidR="00176F8F" w:rsidRDefault="00176F8F" w:rsidP="008404B6">
      <w:pPr>
        <w:spacing w:after="0" w:line="240" w:lineRule="auto"/>
        <w:jc w:val="both"/>
      </w:pPr>
    </w:p>
    <w:p w14:paraId="1F293068" w14:textId="77777777" w:rsidR="00026F97" w:rsidRDefault="00026F97" w:rsidP="009B43C9">
      <w:pPr>
        <w:spacing w:after="0" w:line="240" w:lineRule="auto"/>
        <w:jc w:val="both"/>
        <w:rPr>
          <w:b/>
          <w:bCs/>
        </w:rPr>
        <w:sectPr w:rsidR="00026F97" w:rsidSect="008B6B35">
          <w:pgSz w:w="12240" w:h="15840"/>
          <w:pgMar w:top="1440" w:right="1440" w:bottom="1440" w:left="1440" w:header="720" w:footer="720" w:gutter="0"/>
          <w:cols w:space="720"/>
          <w:docGrid w:linePitch="360"/>
        </w:sectPr>
      </w:pPr>
    </w:p>
    <w:p w14:paraId="29EA040C" w14:textId="2A3F14F9" w:rsidR="009B43C9" w:rsidRPr="00B71F92" w:rsidRDefault="009B43C9" w:rsidP="002F5607">
      <w:pPr>
        <w:spacing w:after="120" w:line="240" w:lineRule="auto"/>
        <w:jc w:val="both"/>
        <w:rPr>
          <w:b/>
          <w:bCs/>
        </w:rPr>
      </w:pPr>
      <w:r w:rsidRPr="00B71F92">
        <w:rPr>
          <w:b/>
          <w:bCs/>
        </w:rPr>
        <w:lastRenderedPageBreak/>
        <w:t>Table 4: Model Fit</w:t>
      </w:r>
    </w:p>
    <w:tbl>
      <w:tblPr>
        <w:tblW w:w="9620" w:type="dxa"/>
        <w:jc w:val="center"/>
        <w:tblLook w:val="04A0" w:firstRow="1" w:lastRow="0" w:firstColumn="1" w:lastColumn="0" w:noHBand="0" w:noVBand="1"/>
      </w:tblPr>
      <w:tblGrid>
        <w:gridCol w:w="2600"/>
        <w:gridCol w:w="2375"/>
        <w:gridCol w:w="325"/>
        <w:gridCol w:w="705"/>
        <w:gridCol w:w="693"/>
        <w:gridCol w:w="9"/>
        <w:gridCol w:w="695"/>
        <w:gridCol w:w="766"/>
        <w:gridCol w:w="9"/>
        <w:gridCol w:w="684"/>
        <w:gridCol w:w="759"/>
      </w:tblGrid>
      <w:tr w:rsidR="009B43C9" w:rsidRPr="00B71F92" w14:paraId="41FBD365" w14:textId="77777777" w:rsidTr="00AF15D1">
        <w:trPr>
          <w:trHeight w:val="288"/>
          <w:jc w:val="center"/>
        </w:trPr>
        <w:tc>
          <w:tcPr>
            <w:tcW w:w="9620" w:type="dxa"/>
            <w:gridSpan w:val="11"/>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1AA012D"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Disaggregate Measures</w:t>
            </w:r>
          </w:p>
        </w:tc>
      </w:tr>
      <w:tr w:rsidR="009B43C9" w:rsidRPr="00B71F92" w14:paraId="6F581F35" w14:textId="77777777" w:rsidTr="00AF15D1">
        <w:trPr>
          <w:trHeight w:val="288"/>
          <w:jc w:val="center"/>
        </w:trPr>
        <w:tc>
          <w:tcPr>
            <w:tcW w:w="6707"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4E99E6F"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Metric</w:t>
            </w:r>
          </w:p>
        </w:tc>
        <w:tc>
          <w:tcPr>
            <w:tcW w:w="1470" w:type="dxa"/>
            <w:gridSpan w:val="3"/>
            <w:tcBorders>
              <w:top w:val="single" w:sz="8" w:space="0" w:color="auto"/>
              <w:left w:val="nil"/>
              <w:bottom w:val="single" w:sz="8" w:space="0" w:color="auto"/>
              <w:right w:val="nil"/>
            </w:tcBorders>
            <w:shd w:val="clear" w:color="000000" w:fill="FFFFFF"/>
            <w:noWrap/>
            <w:vAlign w:val="center"/>
            <w:hideMark/>
          </w:tcPr>
          <w:p w14:paraId="416FF2DF"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Proposed Model</w:t>
            </w:r>
          </w:p>
        </w:tc>
        <w:tc>
          <w:tcPr>
            <w:tcW w:w="1443"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EC53A3D"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Independent Model</w:t>
            </w:r>
          </w:p>
        </w:tc>
      </w:tr>
      <w:tr w:rsidR="009B43C9" w:rsidRPr="00B71F92" w14:paraId="2C1330E7" w14:textId="77777777" w:rsidTr="00AF15D1">
        <w:trPr>
          <w:trHeight w:val="288"/>
          <w:jc w:val="center"/>
        </w:trPr>
        <w:tc>
          <w:tcPr>
            <w:tcW w:w="6707" w:type="dxa"/>
            <w:gridSpan w:val="6"/>
            <w:tcBorders>
              <w:top w:val="nil"/>
              <w:left w:val="single" w:sz="8" w:space="0" w:color="auto"/>
              <w:bottom w:val="nil"/>
              <w:right w:val="single" w:sz="8" w:space="0" w:color="000000"/>
            </w:tcBorders>
            <w:shd w:val="clear" w:color="000000" w:fill="FFFFFF"/>
            <w:noWrap/>
            <w:vAlign w:val="center"/>
            <w:hideMark/>
          </w:tcPr>
          <w:p w14:paraId="22B22792"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Log-Likelihood at Convergence</w:t>
            </w:r>
          </w:p>
        </w:tc>
        <w:tc>
          <w:tcPr>
            <w:tcW w:w="1470" w:type="dxa"/>
            <w:gridSpan w:val="3"/>
            <w:tcBorders>
              <w:top w:val="nil"/>
              <w:left w:val="nil"/>
              <w:bottom w:val="nil"/>
              <w:right w:val="nil"/>
            </w:tcBorders>
            <w:shd w:val="clear" w:color="000000" w:fill="FFFFFF"/>
            <w:noWrap/>
            <w:vAlign w:val="center"/>
            <w:hideMark/>
          </w:tcPr>
          <w:p w14:paraId="27A4D47F" w14:textId="77777777" w:rsidR="009B43C9" w:rsidRPr="00B71F92" w:rsidRDefault="009B43C9" w:rsidP="008C0804">
            <w:pPr>
              <w:spacing w:after="0" w:line="240" w:lineRule="auto"/>
              <w:jc w:val="center"/>
              <w:rPr>
                <w:rFonts w:eastAsia="Times New Roman"/>
                <w:sz w:val="20"/>
                <w:szCs w:val="20"/>
              </w:rPr>
            </w:pPr>
            <w:r w:rsidRPr="00B71F92">
              <w:rPr>
                <w:sz w:val="20"/>
                <w:szCs w:val="20"/>
              </w:rPr>
              <w:t>-11359.76</w:t>
            </w:r>
          </w:p>
        </w:tc>
        <w:tc>
          <w:tcPr>
            <w:tcW w:w="1443" w:type="dxa"/>
            <w:gridSpan w:val="2"/>
            <w:tcBorders>
              <w:top w:val="nil"/>
              <w:left w:val="nil"/>
              <w:bottom w:val="nil"/>
              <w:right w:val="single" w:sz="8" w:space="0" w:color="000000"/>
            </w:tcBorders>
            <w:shd w:val="clear" w:color="000000" w:fill="FFFFFF"/>
            <w:noWrap/>
            <w:vAlign w:val="center"/>
            <w:hideMark/>
          </w:tcPr>
          <w:p w14:paraId="7978D869" w14:textId="77777777" w:rsidR="009B43C9" w:rsidRPr="00B71F92" w:rsidRDefault="009B43C9" w:rsidP="008C0804">
            <w:pPr>
              <w:spacing w:after="0" w:line="240" w:lineRule="auto"/>
              <w:jc w:val="center"/>
              <w:rPr>
                <w:rFonts w:eastAsia="Times New Roman"/>
                <w:sz w:val="20"/>
                <w:szCs w:val="20"/>
              </w:rPr>
            </w:pPr>
            <w:r w:rsidRPr="00B71F92">
              <w:rPr>
                <w:sz w:val="20"/>
                <w:szCs w:val="20"/>
              </w:rPr>
              <w:t>-11858.97</w:t>
            </w:r>
          </w:p>
        </w:tc>
      </w:tr>
      <w:tr w:rsidR="009B43C9" w:rsidRPr="00B71F92" w14:paraId="5B5DC9E7" w14:textId="77777777" w:rsidTr="00AF15D1">
        <w:trPr>
          <w:trHeight w:val="288"/>
          <w:jc w:val="center"/>
        </w:trPr>
        <w:tc>
          <w:tcPr>
            <w:tcW w:w="6707" w:type="dxa"/>
            <w:gridSpan w:val="6"/>
            <w:tcBorders>
              <w:top w:val="nil"/>
              <w:left w:val="single" w:sz="8" w:space="0" w:color="auto"/>
              <w:bottom w:val="nil"/>
              <w:right w:val="single" w:sz="8" w:space="0" w:color="000000"/>
            </w:tcBorders>
            <w:shd w:val="clear" w:color="000000" w:fill="FFFFFF"/>
            <w:noWrap/>
            <w:vAlign w:val="center"/>
            <w:hideMark/>
          </w:tcPr>
          <w:p w14:paraId="7747D206"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Log-Likelihood at Constants</w:t>
            </w:r>
          </w:p>
        </w:tc>
        <w:tc>
          <w:tcPr>
            <w:tcW w:w="2913" w:type="dxa"/>
            <w:gridSpan w:val="5"/>
            <w:tcBorders>
              <w:top w:val="nil"/>
              <w:left w:val="nil"/>
              <w:bottom w:val="nil"/>
              <w:right w:val="single" w:sz="8" w:space="0" w:color="000000"/>
            </w:tcBorders>
            <w:shd w:val="clear" w:color="000000" w:fill="FFFFFF"/>
            <w:noWrap/>
            <w:vAlign w:val="center"/>
            <w:hideMark/>
          </w:tcPr>
          <w:p w14:paraId="195134A8" w14:textId="77777777" w:rsidR="009B43C9" w:rsidRPr="00B71F92" w:rsidRDefault="009B43C9" w:rsidP="008C0804">
            <w:pPr>
              <w:spacing w:after="0" w:line="240" w:lineRule="auto"/>
              <w:jc w:val="center"/>
              <w:rPr>
                <w:rFonts w:eastAsia="Times New Roman"/>
                <w:sz w:val="20"/>
                <w:szCs w:val="20"/>
              </w:rPr>
            </w:pPr>
            <w:r w:rsidRPr="00B71F92">
              <w:rPr>
                <w:sz w:val="20"/>
                <w:szCs w:val="20"/>
              </w:rPr>
              <w:t>-12682.11</w:t>
            </w:r>
          </w:p>
        </w:tc>
      </w:tr>
      <w:tr w:rsidR="009B43C9" w:rsidRPr="00B71F92" w14:paraId="5D2430BD" w14:textId="77777777" w:rsidTr="00AF15D1">
        <w:trPr>
          <w:trHeight w:val="288"/>
          <w:jc w:val="center"/>
        </w:trPr>
        <w:tc>
          <w:tcPr>
            <w:tcW w:w="6707" w:type="dxa"/>
            <w:gridSpan w:val="6"/>
            <w:tcBorders>
              <w:top w:val="nil"/>
              <w:left w:val="single" w:sz="8" w:space="0" w:color="auto"/>
              <w:bottom w:val="nil"/>
              <w:right w:val="single" w:sz="8" w:space="0" w:color="000000"/>
            </w:tcBorders>
            <w:shd w:val="clear" w:color="000000" w:fill="FFFFFF"/>
            <w:noWrap/>
            <w:vAlign w:val="center"/>
          </w:tcPr>
          <w:p w14:paraId="38177796"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Log-Likelihood at Zero</w:t>
            </w:r>
          </w:p>
        </w:tc>
        <w:tc>
          <w:tcPr>
            <w:tcW w:w="2913" w:type="dxa"/>
            <w:gridSpan w:val="5"/>
            <w:tcBorders>
              <w:top w:val="nil"/>
              <w:left w:val="nil"/>
              <w:bottom w:val="nil"/>
              <w:right w:val="single" w:sz="8" w:space="0" w:color="000000"/>
            </w:tcBorders>
            <w:shd w:val="clear" w:color="000000" w:fill="FFFFFF"/>
            <w:noWrap/>
            <w:vAlign w:val="center"/>
          </w:tcPr>
          <w:p w14:paraId="77539912" w14:textId="77777777" w:rsidR="009B43C9" w:rsidRPr="00B71F92" w:rsidRDefault="009B43C9" w:rsidP="008C0804">
            <w:pPr>
              <w:spacing w:after="0" w:line="240" w:lineRule="auto"/>
              <w:jc w:val="center"/>
              <w:rPr>
                <w:sz w:val="20"/>
                <w:szCs w:val="20"/>
              </w:rPr>
            </w:pPr>
            <w:r w:rsidRPr="00B71F92">
              <w:rPr>
                <w:sz w:val="20"/>
                <w:szCs w:val="20"/>
              </w:rPr>
              <w:t>-20440.22</w:t>
            </w:r>
          </w:p>
        </w:tc>
      </w:tr>
      <w:tr w:rsidR="009B43C9" w:rsidRPr="00B71F92" w14:paraId="77AE0C88" w14:textId="77777777" w:rsidTr="00AF15D1">
        <w:trPr>
          <w:trHeight w:val="288"/>
          <w:jc w:val="center"/>
        </w:trPr>
        <w:tc>
          <w:tcPr>
            <w:tcW w:w="6707" w:type="dxa"/>
            <w:gridSpan w:val="6"/>
            <w:tcBorders>
              <w:top w:val="nil"/>
              <w:left w:val="single" w:sz="8" w:space="0" w:color="auto"/>
              <w:bottom w:val="nil"/>
              <w:right w:val="single" w:sz="8" w:space="0" w:color="000000"/>
            </w:tcBorders>
            <w:shd w:val="clear" w:color="000000" w:fill="FFFFFF"/>
            <w:noWrap/>
            <w:vAlign w:val="center"/>
            <w:hideMark/>
          </w:tcPr>
          <w:p w14:paraId="506E9D66"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Number of Parameters</w:t>
            </w:r>
          </w:p>
        </w:tc>
        <w:tc>
          <w:tcPr>
            <w:tcW w:w="1470" w:type="dxa"/>
            <w:gridSpan w:val="3"/>
            <w:tcBorders>
              <w:top w:val="nil"/>
              <w:left w:val="nil"/>
              <w:bottom w:val="nil"/>
              <w:right w:val="nil"/>
            </w:tcBorders>
            <w:shd w:val="clear" w:color="000000" w:fill="FFFFFF"/>
            <w:noWrap/>
            <w:vAlign w:val="center"/>
            <w:hideMark/>
          </w:tcPr>
          <w:p w14:paraId="3E992A9F" w14:textId="77777777" w:rsidR="009B43C9" w:rsidRPr="00B71F92" w:rsidRDefault="009B43C9" w:rsidP="008C0804">
            <w:pPr>
              <w:spacing w:after="0" w:line="240" w:lineRule="auto"/>
              <w:jc w:val="center"/>
              <w:rPr>
                <w:rFonts w:eastAsia="Times New Roman"/>
                <w:sz w:val="20"/>
                <w:szCs w:val="20"/>
              </w:rPr>
            </w:pPr>
            <w:r w:rsidRPr="00B71F92">
              <w:rPr>
                <w:sz w:val="20"/>
                <w:szCs w:val="20"/>
              </w:rPr>
              <w:t>267</w:t>
            </w:r>
          </w:p>
        </w:tc>
        <w:tc>
          <w:tcPr>
            <w:tcW w:w="1443" w:type="dxa"/>
            <w:gridSpan w:val="2"/>
            <w:tcBorders>
              <w:top w:val="nil"/>
              <w:left w:val="nil"/>
              <w:bottom w:val="nil"/>
              <w:right w:val="single" w:sz="8" w:space="0" w:color="000000"/>
            </w:tcBorders>
            <w:shd w:val="clear" w:color="000000" w:fill="FFFFFF"/>
            <w:noWrap/>
            <w:vAlign w:val="center"/>
            <w:hideMark/>
          </w:tcPr>
          <w:p w14:paraId="1504E411" w14:textId="77777777" w:rsidR="009B43C9" w:rsidRPr="00B71F92" w:rsidRDefault="009B43C9" w:rsidP="008C0804">
            <w:pPr>
              <w:spacing w:after="0" w:line="240" w:lineRule="auto"/>
              <w:jc w:val="center"/>
              <w:rPr>
                <w:rFonts w:eastAsia="Times New Roman"/>
                <w:sz w:val="20"/>
                <w:szCs w:val="20"/>
              </w:rPr>
            </w:pPr>
            <w:r w:rsidRPr="00B71F92">
              <w:rPr>
                <w:sz w:val="20"/>
                <w:szCs w:val="20"/>
              </w:rPr>
              <w:t>232</w:t>
            </w:r>
          </w:p>
        </w:tc>
      </w:tr>
      <w:tr w:rsidR="009B43C9" w:rsidRPr="00B71F92" w14:paraId="4853E8BF" w14:textId="77777777" w:rsidTr="00AF15D1">
        <w:trPr>
          <w:trHeight w:val="288"/>
          <w:jc w:val="center"/>
        </w:trPr>
        <w:tc>
          <w:tcPr>
            <w:tcW w:w="6707" w:type="dxa"/>
            <w:gridSpan w:val="6"/>
            <w:tcBorders>
              <w:top w:val="nil"/>
              <w:left w:val="single" w:sz="8" w:space="0" w:color="auto"/>
              <w:bottom w:val="nil"/>
              <w:right w:val="single" w:sz="8" w:space="0" w:color="000000"/>
            </w:tcBorders>
            <w:shd w:val="clear" w:color="000000" w:fill="FFFFFF"/>
            <w:noWrap/>
            <w:vAlign w:val="center"/>
            <w:hideMark/>
          </w:tcPr>
          <w:p w14:paraId="6B23ABA0"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Adjusted Likelihood Ratio Index (relative to constants-only model)</w:t>
            </w:r>
          </w:p>
        </w:tc>
        <w:tc>
          <w:tcPr>
            <w:tcW w:w="1470" w:type="dxa"/>
            <w:gridSpan w:val="3"/>
            <w:tcBorders>
              <w:top w:val="nil"/>
              <w:left w:val="nil"/>
              <w:bottom w:val="nil"/>
              <w:right w:val="nil"/>
            </w:tcBorders>
            <w:shd w:val="clear" w:color="000000" w:fill="FFFFFF"/>
            <w:noWrap/>
            <w:vAlign w:val="center"/>
            <w:hideMark/>
          </w:tcPr>
          <w:p w14:paraId="527BFA75" w14:textId="77777777" w:rsidR="009B43C9" w:rsidRPr="00B71F92" w:rsidRDefault="009B43C9" w:rsidP="008C0804">
            <w:pPr>
              <w:spacing w:after="0" w:line="240" w:lineRule="auto"/>
              <w:jc w:val="center"/>
              <w:rPr>
                <w:rFonts w:eastAsia="Times New Roman"/>
                <w:sz w:val="20"/>
                <w:szCs w:val="20"/>
              </w:rPr>
            </w:pPr>
            <w:r w:rsidRPr="00B71F92">
              <w:rPr>
                <w:sz w:val="20"/>
                <w:szCs w:val="20"/>
              </w:rPr>
              <w:t>0.084</w:t>
            </w:r>
          </w:p>
        </w:tc>
        <w:tc>
          <w:tcPr>
            <w:tcW w:w="1443" w:type="dxa"/>
            <w:gridSpan w:val="2"/>
            <w:tcBorders>
              <w:top w:val="nil"/>
              <w:left w:val="nil"/>
              <w:bottom w:val="nil"/>
              <w:right w:val="single" w:sz="8" w:space="0" w:color="000000"/>
            </w:tcBorders>
            <w:shd w:val="clear" w:color="000000" w:fill="FFFFFF"/>
            <w:noWrap/>
            <w:vAlign w:val="center"/>
            <w:hideMark/>
          </w:tcPr>
          <w:p w14:paraId="7944328B" w14:textId="77777777" w:rsidR="009B43C9" w:rsidRPr="00B71F92" w:rsidRDefault="009B43C9" w:rsidP="008C0804">
            <w:pPr>
              <w:spacing w:after="0" w:line="240" w:lineRule="auto"/>
              <w:jc w:val="center"/>
              <w:rPr>
                <w:rFonts w:eastAsia="Times New Roman"/>
                <w:sz w:val="20"/>
                <w:szCs w:val="20"/>
              </w:rPr>
            </w:pPr>
            <w:r w:rsidRPr="00B71F92">
              <w:rPr>
                <w:sz w:val="20"/>
                <w:szCs w:val="20"/>
              </w:rPr>
              <w:t>0.048</w:t>
            </w:r>
          </w:p>
        </w:tc>
      </w:tr>
      <w:tr w:rsidR="009B43C9" w:rsidRPr="00B71F92" w14:paraId="60C36533" w14:textId="77777777" w:rsidTr="00AF15D1">
        <w:trPr>
          <w:trHeight w:val="288"/>
          <w:jc w:val="center"/>
        </w:trPr>
        <w:tc>
          <w:tcPr>
            <w:tcW w:w="6707" w:type="dxa"/>
            <w:gridSpan w:val="6"/>
            <w:tcBorders>
              <w:top w:val="nil"/>
              <w:left w:val="single" w:sz="8" w:space="0" w:color="auto"/>
              <w:bottom w:val="nil"/>
              <w:right w:val="single" w:sz="8" w:space="0" w:color="000000"/>
            </w:tcBorders>
            <w:shd w:val="clear" w:color="000000" w:fill="FFFFFF"/>
            <w:noWrap/>
            <w:vAlign w:val="center"/>
          </w:tcPr>
          <w:p w14:paraId="5614B0BE"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Adjusted Likelihood Ratio Index (relative to equal-probability model)</w:t>
            </w:r>
          </w:p>
        </w:tc>
        <w:tc>
          <w:tcPr>
            <w:tcW w:w="1470" w:type="dxa"/>
            <w:gridSpan w:val="3"/>
            <w:tcBorders>
              <w:top w:val="nil"/>
              <w:left w:val="nil"/>
              <w:bottom w:val="nil"/>
              <w:right w:val="nil"/>
            </w:tcBorders>
            <w:shd w:val="clear" w:color="000000" w:fill="FFFFFF"/>
            <w:noWrap/>
            <w:vAlign w:val="center"/>
          </w:tcPr>
          <w:p w14:paraId="72CD3C31" w14:textId="77777777" w:rsidR="009B43C9" w:rsidRPr="00B71F92" w:rsidRDefault="009B43C9" w:rsidP="008C0804">
            <w:pPr>
              <w:spacing w:after="0" w:line="240" w:lineRule="auto"/>
              <w:jc w:val="center"/>
              <w:rPr>
                <w:sz w:val="20"/>
                <w:szCs w:val="20"/>
              </w:rPr>
            </w:pPr>
            <w:r w:rsidRPr="00B71F92">
              <w:rPr>
                <w:sz w:val="20"/>
                <w:szCs w:val="20"/>
              </w:rPr>
              <w:t>0.432</w:t>
            </w:r>
          </w:p>
        </w:tc>
        <w:tc>
          <w:tcPr>
            <w:tcW w:w="1443" w:type="dxa"/>
            <w:gridSpan w:val="2"/>
            <w:tcBorders>
              <w:top w:val="nil"/>
              <w:left w:val="nil"/>
              <w:bottom w:val="nil"/>
              <w:right w:val="single" w:sz="8" w:space="0" w:color="000000"/>
            </w:tcBorders>
            <w:shd w:val="clear" w:color="000000" w:fill="FFFFFF"/>
            <w:noWrap/>
            <w:vAlign w:val="center"/>
          </w:tcPr>
          <w:p w14:paraId="468B1578" w14:textId="77777777" w:rsidR="009B43C9" w:rsidRPr="00B71F92" w:rsidRDefault="009B43C9" w:rsidP="008C0804">
            <w:pPr>
              <w:spacing w:after="0" w:line="240" w:lineRule="auto"/>
              <w:jc w:val="center"/>
              <w:rPr>
                <w:sz w:val="20"/>
                <w:szCs w:val="20"/>
              </w:rPr>
            </w:pPr>
            <w:r w:rsidRPr="00B71F92">
              <w:rPr>
                <w:sz w:val="20"/>
                <w:szCs w:val="20"/>
              </w:rPr>
              <w:t>0.409</w:t>
            </w:r>
          </w:p>
        </w:tc>
      </w:tr>
      <w:tr w:rsidR="009B43C9" w:rsidRPr="00B71F92" w14:paraId="3D6D2973" w14:textId="77777777" w:rsidTr="00AF15D1">
        <w:trPr>
          <w:trHeight w:val="288"/>
          <w:jc w:val="center"/>
        </w:trPr>
        <w:tc>
          <w:tcPr>
            <w:tcW w:w="6707" w:type="dxa"/>
            <w:gridSpan w:val="6"/>
            <w:tcBorders>
              <w:top w:val="nil"/>
              <w:left w:val="single" w:sz="8" w:space="0" w:color="auto"/>
              <w:bottom w:val="nil"/>
              <w:right w:val="single" w:sz="8" w:space="0" w:color="000000"/>
            </w:tcBorders>
            <w:shd w:val="clear" w:color="000000" w:fill="FFFFFF"/>
            <w:noWrap/>
            <w:vAlign w:val="center"/>
            <w:hideMark/>
          </w:tcPr>
          <w:p w14:paraId="430E2FBE"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Bayesian Information Criterion</w:t>
            </w:r>
          </w:p>
        </w:tc>
        <w:tc>
          <w:tcPr>
            <w:tcW w:w="1470" w:type="dxa"/>
            <w:gridSpan w:val="3"/>
            <w:tcBorders>
              <w:top w:val="nil"/>
              <w:left w:val="nil"/>
              <w:bottom w:val="nil"/>
              <w:right w:val="nil"/>
            </w:tcBorders>
            <w:shd w:val="clear" w:color="000000" w:fill="FFFFFF"/>
            <w:noWrap/>
            <w:vAlign w:val="center"/>
            <w:hideMark/>
          </w:tcPr>
          <w:p w14:paraId="124A5A2D" w14:textId="77777777" w:rsidR="009B43C9" w:rsidRPr="00B71F92" w:rsidRDefault="009B43C9" w:rsidP="008C0804">
            <w:pPr>
              <w:spacing w:after="0" w:line="240" w:lineRule="auto"/>
              <w:jc w:val="center"/>
              <w:rPr>
                <w:rFonts w:eastAsia="Times New Roman"/>
                <w:sz w:val="20"/>
                <w:szCs w:val="20"/>
              </w:rPr>
            </w:pPr>
            <w:r w:rsidRPr="00B71F92">
              <w:rPr>
                <w:sz w:val="20"/>
                <w:szCs w:val="20"/>
              </w:rPr>
              <w:t>11890.20</w:t>
            </w:r>
          </w:p>
        </w:tc>
        <w:tc>
          <w:tcPr>
            <w:tcW w:w="1443" w:type="dxa"/>
            <w:gridSpan w:val="2"/>
            <w:tcBorders>
              <w:top w:val="nil"/>
              <w:left w:val="nil"/>
              <w:bottom w:val="nil"/>
              <w:right w:val="single" w:sz="8" w:space="0" w:color="000000"/>
            </w:tcBorders>
            <w:shd w:val="clear" w:color="000000" w:fill="FFFFFF"/>
            <w:noWrap/>
            <w:vAlign w:val="center"/>
            <w:hideMark/>
          </w:tcPr>
          <w:p w14:paraId="49723522" w14:textId="77777777" w:rsidR="009B43C9" w:rsidRPr="00B71F92" w:rsidRDefault="009B43C9" w:rsidP="008C0804">
            <w:pPr>
              <w:spacing w:after="0" w:line="240" w:lineRule="auto"/>
              <w:jc w:val="center"/>
              <w:rPr>
                <w:rFonts w:eastAsia="Times New Roman"/>
                <w:sz w:val="20"/>
                <w:szCs w:val="20"/>
              </w:rPr>
            </w:pPr>
            <w:r w:rsidRPr="00B71F92">
              <w:rPr>
                <w:sz w:val="20"/>
                <w:szCs w:val="20"/>
              </w:rPr>
              <w:t>12319.87</w:t>
            </w:r>
          </w:p>
        </w:tc>
      </w:tr>
      <w:tr w:rsidR="009B43C9" w:rsidRPr="00B71F92" w14:paraId="29EFC933" w14:textId="77777777" w:rsidTr="00AF15D1">
        <w:trPr>
          <w:trHeight w:val="288"/>
          <w:jc w:val="center"/>
        </w:trPr>
        <w:tc>
          <w:tcPr>
            <w:tcW w:w="6707" w:type="dxa"/>
            <w:gridSpan w:val="6"/>
            <w:tcBorders>
              <w:top w:val="nil"/>
              <w:left w:val="single" w:sz="8" w:space="0" w:color="auto"/>
              <w:bottom w:val="single" w:sz="8" w:space="0" w:color="auto"/>
              <w:right w:val="single" w:sz="8" w:space="0" w:color="000000"/>
            </w:tcBorders>
            <w:shd w:val="clear" w:color="000000" w:fill="FFFFFF"/>
            <w:noWrap/>
            <w:vAlign w:val="center"/>
            <w:hideMark/>
          </w:tcPr>
          <w:p w14:paraId="1FDC014A" w14:textId="77777777" w:rsidR="009B43C9" w:rsidRPr="00B71F92" w:rsidRDefault="009B43C9" w:rsidP="008C0804">
            <w:pPr>
              <w:spacing w:after="0" w:line="240" w:lineRule="auto"/>
              <w:rPr>
                <w:rFonts w:eastAsia="Times New Roman"/>
                <w:sz w:val="20"/>
                <w:szCs w:val="20"/>
              </w:rPr>
            </w:pPr>
            <w:r w:rsidRPr="00B71F92">
              <w:rPr>
                <w:rFonts w:eastAsia="Times New Roman"/>
                <w:sz w:val="20"/>
                <w:szCs w:val="20"/>
              </w:rPr>
              <w:t>Likelihood Ratio Test</w:t>
            </w:r>
          </w:p>
        </w:tc>
        <w:tc>
          <w:tcPr>
            <w:tcW w:w="2913" w:type="dxa"/>
            <w:gridSpan w:val="5"/>
            <w:tcBorders>
              <w:top w:val="nil"/>
              <w:left w:val="nil"/>
              <w:bottom w:val="single" w:sz="8" w:space="0" w:color="auto"/>
              <w:right w:val="single" w:sz="8" w:space="0" w:color="000000"/>
            </w:tcBorders>
            <w:shd w:val="clear" w:color="000000" w:fill="FFFFFF"/>
            <w:noWrap/>
            <w:vAlign w:val="center"/>
            <w:hideMark/>
          </w:tcPr>
          <w:p w14:paraId="562A258F"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998.41</w:t>
            </w:r>
          </w:p>
        </w:tc>
      </w:tr>
      <w:tr w:rsidR="009B43C9" w:rsidRPr="00B71F92" w14:paraId="656C5B87" w14:textId="77777777" w:rsidTr="00AF15D1">
        <w:trPr>
          <w:trHeight w:val="288"/>
          <w:jc w:val="center"/>
        </w:trPr>
        <w:tc>
          <w:tcPr>
            <w:tcW w:w="9620" w:type="dxa"/>
            <w:gridSpan w:val="11"/>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F0672BB"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Aggregate Measures</w:t>
            </w:r>
          </w:p>
        </w:tc>
      </w:tr>
      <w:tr w:rsidR="009B43C9" w:rsidRPr="00B71F92" w14:paraId="3A099A23" w14:textId="77777777" w:rsidTr="00AF15D1">
        <w:trPr>
          <w:trHeight w:val="288"/>
          <w:jc w:val="center"/>
        </w:trPr>
        <w:tc>
          <w:tcPr>
            <w:tcW w:w="5300" w:type="dxa"/>
            <w:gridSpan w:val="3"/>
            <w:tcBorders>
              <w:top w:val="single" w:sz="8" w:space="0" w:color="auto"/>
              <w:left w:val="single" w:sz="8" w:space="0" w:color="auto"/>
              <w:bottom w:val="nil"/>
              <w:right w:val="single" w:sz="8" w:space="0" w:color="000000"/>
            </w:tcBorders>
            <w:shd w:val="clear" w:color="000000" w:fill="FFFFFF"/>
            <w:noWrap/>
            <w:vAlign w:val="center"/>
            <w:hideMark/>
          </w:tcPr>
          <w:p w14:paraId="090043F4"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Outcome Combinations</w:t>
            </w:r>
          </w:p>
        </w:tc>
        <w:tc>
          <w:tcPr>
            <w:tcW w:w="1398" w:type="dxa"/>
            <w:gridSpan w:val="2"/>
            <w:tcBorders>
              <w:top w:val="single" w:sz="8" w:space="0" w:color="auto"/>
              <w:left w:val="nil"/>
              <w:bottom w:val="nil"/>
              <w:right w:val="single" w:sz="8" w:space="0" w:color="000000"/>
            </w:tcBorders>
            <w:shd w:val="clear" w:color="000000" w:fill="FFFFFF"/>
            <w:noWrap/>
            <w:vAlign w:val="center"/>
            <w:hideMark/>
          </w:tcPr>
          <w:p w14:paraId="6A3BAF6B"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Observed</w:t>
            </w:r>
          </w:p>
        </w:tc>
        <w:tc>
          <w:tcPr>
            <w:tcW w:w="1470" w:type="dxa"/>
            <w:gridSpan w:val="3"/>
            <w:tcBorders>
              <w:top w:val="single" w:sz="8" w:space="0" w:color="auto"/>
              <w:left w:val="nil"/>
              <w:bottom w:val="nil"/>
              <w:right w:val="single" w:sz="8" w:space="0" w:color="000000"/>
            </w:tcBorders>
            <w:shd w:val="clear" w:color="000000" w:fill="FFFFFF"/>
            <w:noWrap/>
            <w:vAlign w:val="center"/>
            <w:hideMark/>
          </w:tcPr>
          <w:p w14:paraId="0EC59C87"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Proposed Model</w:t>
            </w:r>
          </w:p>
        </w:tc>
        <w:tc>
          <w:tcPr>
            <w:tcW w:w="1452" w:type="dxa"/>
            <w:gridSpan w:val="3"/>
            <w:tcBorders>
              <w:top w:val="single" w:sz="8" w:space="0" w:color="auto"/>
              <w:left w:val="nil"/>
              <w:bottom w:val="nil"/>
              <w:right w:val="single" w:sz="8" w:space="0" w:color="000000"/>
            </w:tcBorders>
            <w:shd w:val="clear" w:color="000000" w:fill="FFFFFF"/>
            <w:noWrap/>
            <w:vAlign w:val="center"/>
            <w:hideMark/>
          </w:tcPr>
          <w:p w14:paraId="4E1295CC" w14:textId="77777777" w:rsidR="009B43C9" w:rsidRPr="00B71F92" w:rsidRDefault="009B43C9" w:rsidP="008C0804">
            <w:pPr>
              <w:spacing w:after="0" w:line="240" w:lineRule="auto"/>
              <w:jc w:val="center"/>
              <w:rPr>
                <w:rFonts w:eastAsia="Times New Roman"/>
                <w:b/>
                <w:bCs/>
                <w:sz w:val="20"/>
                <w:szCs w:val="20"/>
              </w:rPr>
            </w:pPr>
            <w:r w:rsidRPr="00B71F92">
              <w:rPr>
                <w:rFonts w:eastAsia="Times New Roman"/>
                <w:b/>
                <w:bCs/>
                <w:sz w:val="20"/>
                <w:szCs w:val="20"/>
              </w:rPr>
              <w:t>Independent Model</w:t>
            </w:r>
          </w:p>
        </w:tc>
      </w:tr>
      <w:tr w:rsidR="009B43C9" w:rsidRPr="00B71F92" w14:paraId="13EDF497" w14:textId="77777777" w:rsidTr="00AF15D1">
        <w:trPr>
          <w:trHeight w:val="288"/>
          <w:jc w:val="center"/>
        </w:trPr>
        <w:tc>
          <w:tcPr>
            <w:tcW w:w="4975" w:type="dxa"/>
            <w:gridSpan w:val="2"/>
            <w:tcBorders>
              <w:top w:val="nil"/>
              <w:left w:val="single" w:sz="8" w:space="0" w:color="auto"/>
              <w:bottom w:val="single" w:sz="8" w:space="0" w:color="auto"/>
              <w:right w:val="nil"/>
            </w:tcBorders>
            <w:shd w:val="clear" w:color="000000" w:fill="FFFFFF"/>
            <w:vAlign w:val="center"/>
            <w:hideMark/>
          </w:tcPr>
          <w:p w14:paraId="1D6B0131"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 xml:space="preserve">Move Within Two Years </w:t>
            </w:r>
            <w:r w:rsidRPr="00B71F92">
              <w:rPr>
                <w:rFonts w:eastAsia="Times New Roman"/>
                <w:sz w:val="20"/>
                <w:szCs w:val="20"/>
                <w:u w:val="single"/>
              </w:rPr>
              <w:t>and</w:t>
            </w:r>
            <w:r w:rsidRPr="00B71F92">
              <w:rPr>
                <w:rFonts w:eastAsia="Times New Roman"/>
                <w:sz w:val="20"/>
                <w:szCs w:val="20"/>
              </w:rPr>
              <w:t xml:space="preserve"> </w:t>
            </w:r>
          </w:p>
          <w:p w14:paraId="2D196B6D"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Select Paired Motivations:</w:t>
            </w:r>
          </w:p>
        </w:tc>
        <w:tc>
          <w:tcPr>
            <w:tcW w:w="325" w:type="dxa"/>
            <w:tcBorders>
              <w:top w:val="nil"/>
              <w:left w:val="nil"/>
              <w:bottom w:val="single" w:sz="8" w:space="0" w:color="auto"/>
              <w:right w:val="single" w:sz="8" w:space="0" w:color="auto"/>
            </w:tcBorders>
            <w:shd w:val="clear" w:color="000000" w:fill="FFFFFF"/>
            <w:vAlign w:val="center"/>
            <w:hideMark/>
          </w:tcPr>
          <w:p w14:paraId="433AF809" w14:textId="77777777" w:rsidR="009B43C9" w:rsidRPr="00B71F92" w:rsidRDefault="009B43C9" w:rsidP="008C0804">
            <w:pPr>
              <w:spacing w:after="0" w:line="240" w:lineRule="auto"/>
              <w:jc w:val="center"/>
              <w:rPr>
                <w:rFonts w:eastAsia="Times New Roman"/>
                <w:sz w:val="20"/>
                <w:szCs w:val="20"/>
              </w:rPr>
            </w:pPr>
          </w:p>
        </w:tc>
        <w:tc>
          <w:tcPr>
            <w:tcW w:w="705" w:type="dxa"/>
            <w:tcBorders>
              <w:top w:val="nil"/>
              <w:left w:val="nil"/>
              <w:bottom w:val="single" w:sz="8" w:space="0" w:color="auto"/>
              <w:right w:val="nil"/>
            </w:tcBorders>
            <w:shd w:val="clear" w:color="000000" w:fill="FFFFFF"/>
            <w:vAlign w:val="center"/>
            <w:hideMark/>
          </w:tcPr>
          <w:p w14:paraId="484A3707"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Count</w:t>
            </w:r>
          </w:p>
        </w:tc>
        <w:tc>
          <w:tcPr>
            <w:tcW w:w="693" w:type="dxa"/>
            <w:tcBorders>
              <w:top w:val="nil"/>
              <w:left w:val="nil"/>
              <w:bottom w:val="single" w:sz="8" w:space="0" w:color="auto"/>
              <w:right w:val="single" w:sz="8" w:space="0" w:color="auto"/>
            </w:tcBorders>
            <w:shd w:val="clear" w:color="000000" w:fill="FFFFFF"/>
            <w:vAlign w:val="center"/>
            <w:hideMark/>
          </w:tcPr>
          <w:p w14:paraId="622DE580"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Share (%)</w:t>
            </w:r>
          </w:p>
        </w:tc>
        <w:tc>
          <w:tcPr>
            <w:tcW w:w="704" w:type="dxa"/>
            <w:gridSpan w:val="2"/>
            <w:tcBorders>
              <w:top w:val="nil"/>
              <w:left w:val="nil"/>
              <w:bottom w:val="single" w:sz="8" w:space="0" w:color="auto"/>
              <w:right w:val="nil"/>
            </w:tcBorders>
            <w:shd w:val="clear" w:color="000000" w:fill="FFFFFF"/>
            <w:vAlign w:val="center"/>
            <w:hideMark/>
          </w:tcPr>
          <w:p w14:paraId="15CA572A"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Share (%)</w:t>
            </w:r>
          </w:p>
        </w:tc>
        <w:tc>
          <w:tcPr>
            <w:tcW w:w="766" w:type="dxa"/>
            <w:tcBorders>
              <w:top w:val="nil"/>
              <w:left w:val="nil"/>
              <w:bottom w:val="single" w:sz="8" w:space="0" w:color="auto"/>
              <w:right w:val="single" w:sz="8" w:space="0" w:color="auto"/>
            </w:tcBorders>
            <w:shd w:val="clear" w:color="000000" w:fill="FFFFFF"/>
            <w:vAlign w:val="center"/>
            <w:hideMark/>
          </w:tcPr>
          <w:p w14:paraId="0E7E9CCF"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APE</w:t>
            </w:r>
          </w:p>
        </w:tc>
        <w:tc>
          <w:tcPr>
            <w:tcW w:w="693" w:type="dxa"/>
            <w:gridSpan w:val="2"/>
            <w:tcBorders>
              <w:top w:val="nil"/>
              <w:left w:val="nil"/>
              <w:bottom w:val="single" w:sz="8" w:space="0" w:color="auto"/>
              <w:right w:val="nil"/>
            </w:tcBorders>
            <w:shd w:val="clear" w:color="000000" w:fill="FFFFFF"/>
            <w:vAlign w:val="center"/>
            <w:hideMark/>
          </w:tcPr>
          <w:p w14:paraId="2A526DAB"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Share (%)</w:t>
            </w:r>
          </w:p>
        </w:tc>
        <w:tc>
          <w:tcPr>
            <w:tcW w:w="759" w:type="dxa"/>
            <w:tcBorders>
              <w:top w:val="nil"/>
              <w:left w:val="nil"/>
              <w:bottom w:val="single" w:sz="8" w:space="0" w:color="auto"/>
              <w:right w:val="single" w:sz="8" w:space="0" w:color="auto"/>
            </w:tcBorders>
            <w:shd w:val="clear" w:color="000000" w:fill="FFFFFF"/>
            <w:vAlign w:val="center"/>
            <w:hideMark/>
          </w:tcPr>
          <w:p w14:paraId="37460300" w14:textId="77777777" w:rsidR="009B43C9" w:rsidRPr="00B71F92" w:rsidRDefault="009B43C9" w:rsidP="008C0804">
            <w:pPr>
              <w:spacing w:after="0" w:line="240" w:lineRule="auto"/>
              <w:jc w:val="center"/>
              <w:rPr>
                <w:rFonts w:eastAsia="Times New Roman"/>
                <w:sz w:val="20"/>
                <w:szCs w:val="20"/>
              </w:rPr>
            </w:pPr>
            <w:r w:rsidRPr="00B71F92">
              <w:rPr>
                <w:rFonts w:eastAsia="Times New Roman"/>
                <w:sz w:val="20"/>
                <w:szCs w:val="20"/>
              </w:rPr>
              <w:t>APE</w:t>
            </w:r>
          </w:p>
        </w:tc>
      </w:tr>
      <w:tr w:rsidR="009B43C9" w:rsidRPr="00B71F92" w14:paraId="7900CF43"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hideMark/>
          </w:tcPr>
          <w:p w14:paraId="2ACCF350" w14:textId="77777777" w:rsidR="009B43C9" w:rsidRPr="00B71F92" w:rsidRDefault="009B43C9" w:rsidP="008C0804">
            <w:pPr>
              <w:spacing w:after="0" w:line="240" w:lineRule="auto"/>
              <w:rPr>
                <w:rFonts w:eastAsia="Times New Roman"/>
                <w:sz w:val="20"/>
                <w:szCs w:val="20"/>
              </w:rPr>
            </w:pPr>
            <w:r w:rsidRPr="00B71F92">
              <w:rPr>
                <w:sz w:val="20"/>
                <w:szCs w:val="20"/>
              </w:rPr>
              <w:t>Upgrade or buy a home</w:t>
            </w:r>
          </w:p>
        </w:tc>
        <w:tc>
          <w:tcPr>
            <w:tcW w:w="2700" w:type="dxa"/>
            <w:gridSpan w:val="2"/>
            <w:tcBorders>
              <w:top w:val="nil"/>
              <w:left w:val="nil"/>
              <w:bottom w:val="nil"/>
              <w:right w:val="single" w:sz="8" w:space="0" w:color="auto"/>
            </w:tcBorders>
            <w:shd w:val="clear" w:color="000000" w:fill="FFFFFF"/>
            <w:noWrap/>
            <w:tcMar>
              <w:left w:w="115" w:type="dxa"/>
              <w:right w:w="58" w:type="dxa"/>
            </w:tcMar>
            <w:hideMark/>
          </w:tcPr>
          <w:p w14:paraId="139F0F38"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Need for more space</w:t>
            </w:r>
          </w:p>
        </w:tc>
        <w:tc>
          <w:tcPr>
            <w:tcW w:w="705" w:type="dxa"/>
            <w:tcBorders>
              <w:top w:val="nil"/>
              <w:left w:val="nil"/>
              <w:bottom w:val="nil"/>
              <w:right w:val="nil"/>
            </w:tcBorders>
            <w:shd w:val="clear" w:color="000000" w:fill="FFFFFF"/>
            <w:noWrap/>
            <w:hideMark/>
          </w:tcPr>
          <w:p w14:paraId="581791F0"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316</w:t>
            </w:r>
          </w:p>
        </w:tc>
        <w:tc>
          <w:tcPr>
            <w:tcW w:w="693" w:type="dxa"/>
            <w:tcBorders>
              <w:top w:val="nil"/>
              <w:left w:val="nil"/>
              <w:bottom w:val="nil"/>
              <w:right w:val="single" w:sz="8" w:space="0" w:color="auto"/>
            </w:tcBorders>
            <w:shd w:val="clear" w:color="000000" w:fill="FFFFFF"/>
            <w:noWrap/>
            <w:hideMark/>
          </w:tcPr>
          <w:p w14:paraId="1B467FAD"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3.36</w:t>
            </w:r>
          </w:p>
        </w:tc>
        <w:tc>
          <w:tcPr>
            <w:tcW w:w="704" w:type="dxa"/>
            <w:gridSpan w:val="2"/>
            <w:tcBorders>
              <w:top w:val="nil"/>
              <w:left w:val="nil"/>
              <w:bottom w:val="nil"/>
              <w:right w:val="nil"/>
            </w:tcBorders>
            <w:shd w:val="clear" w:color="000000" w:fill="FFFFFF"/>
            <w:noWrap/>
            <w:hideMark/>
          </w:tcPr>
          <w:p w14:paraId="7A9CE15E"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3.29</w:t>
            </w:r>
          </w:p>
        </w:tc>
        <w:tc>
          <w:tcPr>
            <w:tcW w:w="766" w:type="dxa"/>
            <w:tcBorders>
              <w:top w:val="nil"/>
              <w:left w:val="nil"/>
              <w:bottom w:val="nil"/>
              <w:right w:val="single" w:sz="8" w:space="0" w:color="auto"/>
            </w:tcBorders>
            <w:shd w:val="clear" w:color="000000" w:fill="FFFFFF"/>
            <w:noWrap/>
            <w:hideMark/>
          </w:tcPr>
          <w:p w14:paraId="6F7EC4F6"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2.12</w:t>
            </w:r>
          </w:p>
        </w:tc>
        <w:tc>
          <w:tcPr>
            <w:tcW w:w="693" w:type="dxa"/>
            <w:gridSpan w:val="2"/>
            <w:tcBorders>
              <w:top w:val="nil"/>
              <w:left w:val="nil"/>
              <w:bottom w:val="nil"/>
              <w:right w:val="nil"/>
            </w:tcBorders>
            <w:shd w:val="clear" w:color="000000" w:fill="FFFFFF"/>
            <w:noWrap/>
            <w:hideMark/>
          </w:tcPr>
          <w:p w14:paraId="6D570E45"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2.55</w:t>
            </w:r>
          </w:p>
        </w:tc>
        <w:tc>
          <w:tcPr>
            <w:tcW w:w="759" w:type="dxa"/>
            <w:tcBorders>
              <w:top w:val="nil"/>
              <w:left w:val="nil"/>
              <w:bottom w:val="nil"/>
              <w:right w:val="single" w:sz="8" w:space="0" w:color="auto"/>
            </w:tcBorders>
            <w:shd w:val="clear" w:color="000000" w:fill="FFFFFF"/>
            <w:noWrap/>
            <w:hideMark/>
          </w:tcPr>
          <w:p w14:paraId="3FCB657A"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24.02</w:t>
            </w:r>
          </w:p>
        </w:tc>
      </w:tr>
      <w:tr w:rsidR="009B43C9" w:rsidRPr="00B71F92" w14:paraId="20E298E6"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2F1C244B" w14:textId="77777777" w:rsidR="009B43C9" w:rsidRPr="00B71F92" w:rsidRDefault="009B43C9" w:rsidP="008C0804">
            <w:pPr>
              <w:spacing w:after="0" w:line="240" w:lineRule="auto"/>
              <w:rPr>
                <w:rFonts w:eastAsia="Times New Roman"/>
                <w:sz w:val="20"/>
                <w:szCs w:val="20"/>
              </w:rPr>
            </w:pPr>
            <w:r w:rsidRPr="00B71F92">
              <w:rPr>
                <w:sz w:val="20"/>
                <w:szCs w:val="20"/>
              </w:rPr>
              <w:t>Change in who you live with</w:t>
            </w:r>
          </w:p>
        </w:tc>
        <w:tc>
          <w:tcPr>
            <w:tcW w:w="2700" w:type="dxa"/>
            <w:gridSpan w:val="2"/>
            <w:tcBorders>
              <w:top w:val="nil"/>
              <w:left w:val="nil"/>
              <w:bottom w:val="nil"/>
              <w:right w:val="single" w:sz="8" w:space="0" w:color="auto"/>
            </w:tcBorders>
            <w:shd w:val="clear" w:color="000000" w:fill="FFFFFF"/>
            <w:noWrap/>
            <w:tcMar>
              <w:left w:w="115" w:type="dxa"/>
              <w:right w:w="58" w:type="dxa"/>
            </w:tcMar>
          </w:tcPr>
          <w:p w14:paraId="65A91AE6"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Need for more space</w:t>
            </w:r>
          </w:p>
        </w:tc>
        <w:tc>
          <w:tcPr>
            <w:tcW w:w="705" w:type="dxa"/>
            <w:tcBorders>
              <w:top w:val="nil"/>
              <w:left w:val="nil"/>
              <w:bottom w:val="nil"/>
              <w:right w:val="nil"/>
            </w:tcBorders>
            <w:shd w:val="clear" w:color="000000" w:fill="FFFFFF"/>
            <w:noWrap/>
          </w:tcPr>
          <w:p w14:paraId="2379D89A"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166</w:t>
            </w:r>
          </w:p>
        </w:tc>
        <w:tc>
          <w:tcPr>
            <w:tcW w:w="693" w:type="dxa"/>
            <w:tcBorders>
              <w:top w:val="nil"/>
              <w:left w:val="nil"/>
              <w:bottom w:val="nil"/>
              <w:right w:val="single" w:sz="8" w:space="0" w:color="auto"/>
            </w:tcBorders>
            <w:shd w:val="clear" w:color="000000" w:fill="FFFFFF"/>
            <w:noWrap/>
          </w:tcPr>
          <w:p w14:paraId="147746C4"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1.77</w:t>
            </w:r>
          </w:p>
        </w:tc>
        <w:tc>
          <w:tcPr>
            <w:tcW w:w="704" w:type="dxa"/>
            <w:gridSpan w:val="2"/>
            <w:tcBorders>
              <w:top w:val="nil"/>
              <w:left w:val="nil"/>
              <w:bottom w:val="nil"/>
              <w:right w:val="nil"/>
            </w:tcBorders>
            <w:shd w:val="clear" w:color="000000" w:fill="FFFFFF"/>
            <w:noWrap/>
          </w:tcPr>
          <w:p w14:paraId="3EE2973C"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1.88</w:t>
            </w:r>
          </w:p>
        </w:tc>
        <w:tc>
          <w:tcPr>
            <w:tcW w:w="766" w:type="dxa"/>
            <w:tcBorders>
              <w:top w:val="nil"/>
              <w:left w:val="nil"/>
              <w:bottom w:val="nil"/>
              <w:right w:val="single" w:sz="8" w:space="0" w:color="auto"/>
            </w:tcBorders>
            <w:shd w:val="clear" w:color="000000" w:fill="FFFFFF"/>
            <w:noWrap/>
          </w:tcPr>
          <w:p w14:paraId="15D09DF5"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6.31</w:t>
            </w:r>
          </w:p>
        </w:tc>
        <w:tc>
          <w:tcPr>
            <w:tcW w:w="693" w:type="dxa"/>
            <w:gridSpan w:val="2"/>
            <w:tcBorders>
              <w:top w:val="nil"/>
              <w:left w:val="nil"/>
              <w:bottom w:val="nil"/>
              <w:right w:val="nil"/>
            </w:tcBorders>
            <w:shd w:val="clear" w:color="000000" w:fill="FFFFFF"/>
            <w:noWrap/>
          </w:tcPr>
          <w:p w14:paraId="7F488C94"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2.08</w:t>
            </w:r>
          </w:p>
        </w:tc>
        <w:tc>
          <w:tcPr>
            <w:tcW w:w="759" w:type="dxa"/>
            <w:tcBorders>
              <w:top w:val="nil"/>
              <w:left w:val="nil"/>
              <w:bottom w:val="nil"/>
              <w:right w:val="single" w:sz="8" w:space="0" w:color="auto"/>
            </w:tcBorders>
            <w:shd w:val="clear" w:color="000000" w:fill="FFFFFF"/>
            <w:noWrap/>
          </w:tcPr>
          <w:p w14:paraId="1D45FC09"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17.67</w:t>
            </w:r>
          </w:p>
        </w:tc>
      </w:tr>
      <w:tr w:rsidR="009B43C9" w:rsidRPr="00B71F92" w14:paraId="2BC1A27F"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301068CD" w14:textId="77777777" w:rsidR="009B43C9" w:rsidRPr="00B71F92" w:rsidRDefault="009B43C9" w:rsidP="008C0804">
            <w:pPr>
              <w:spacing w:after="0" w:line="240" w:lineRule="auto"/>
              <w:rPr>
                <w:rFonts w:eastAsia="Times New Roman"/>
                <w:sz w:val="20"/>
                <w:szCs w:val="20"/>
              </w:rPr>
            </w:pPr>
            <w:r w:rsidRPr="00B71F92">
              <w:rPr>
                <w:sz w:val="20"/>
                <w:szCs w:val="20"/>
              </w:rPr>
              <w:t>Need for more space</w:t>
            </w:r>
          </w:p>
        </w:tc>
        <w:tc>
          <w:tcPr>
            <w:tcW w:w="2700" w:type="dxa"/>
            <w:gridSpan w:val="2"/>
            <w:tcBorders>
              <w:top w:val="nil"/>
              <w:left w:val="nil"/>
              <w:bottom w:val="nil"/>
              <w:right w:val="single" w:sz="8" w:space="0" w:color="auto"/>
            </w:tcBorders>
            <w:shd w:val="clear" w:color="000000" w:fill="FFFFFF"/>
            <w:noWrap/>
            <w:tcMar>
              <w:left w:w="115" w:type="dxa"/>
              <w:right w:w="58" w:type="dxa"/>
            </w:tcMar>
          </w:tcPr>
          <w:p w14:paraId="009151A0" w14:textId="77777777" w:rsidR="009B43C9" w:rsidRPr="00B71F92" w:rsidRDefault="009B43C9" w:rsidP="008C0804">
            <w:pPr>
              <w:tabs>
                <w:tab w:val="decimal" w:pos="346"/>
              </w:tabs>
              <w:spacing w:after="0" w:line="240" w:lineRule="auto"/>
              <w:rPr>
                <w:sz w:val="20"/>
                <w:szCs w:val="20"/>
                <w:highlight w:val="yellow"/>
              </w:rPr>
            </w:pPr>
            <w:r w:rsidRPr="00B71F92">
              <w:rPr>
                <w:sz w:val="20"/>
                <w:szCs w:val="20"/>
              </w:rPr>
              <w:t>Change in income or finances</w:t>
            </w:r>
          </w:p>
        </w:tc>
        <w:tc>
          <w:tcPr>
            <w:tcW w:w="705" w:type="dxa"/>
            <w:tcBorders>
              <w:top w:val="nil"/>
              <w:left w:val="nil"/>
              <w:bottom w:val="nil"/>
              <w:right w:val="nil"/>
            </w:tcBorders>
            <w:shd w:val="clear" w:color="000000" w:fill="FFFFFF"/>
            <w:noWrap/>
          </w:tcPr>
          <w:p w14:paraId="61F50FBC"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128</w:t>
            </w:r>
          </w:p>
        </w:tc>
        <w:tc>
          <w:tcPr>
            <w:tcW w:w="693" w:type="dxa"/>
            <w:tcBorders>
              <w:top w:val="nil"/>
              <w:left w:val="nil"/>
              <w:bottom w:val="nil"/>
              <w:right w:val="single" w:sz="8" w:space="0" w:color="auto"/>
            </w:tcBorders>
            <w:shd w:val="clear" w:color="000000" w:fill="FFFFFF"/>
            <w:noWrap/>
          </w:tcPr>
          <w:p w14:paraId="11698A60"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1.36</w:t>
            </w:r>
          </w:p>
        </w:tc>
        <w:tc>
          <w:tcPr>
            <w:tcW w:w="704" w:type="dxa"/>
            <w:gridSpan w:val="2"/>
            <w:tcBorders>
              <w:top w:val="nil"/>
              <w:left w:val="nil"/>
              <w:bottom w:val="nil"/>
              <w:right w:val="nil"/>
            </w:tcBorders>
            <w:shd w:val="clear" w:color="000000" w:fill="FFFFFF"/>
            <w:noWrap/>
          </w:tcPr>
          <w:p w14:paraId="18EE331C"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1.06</w:t>
            </w:r>
          </w:p>
        </w:tc>
        <w:tc>
          <w:tcPr>
            <w:tcW w:w="766" w:type="dxa"/>
            <w:tcBorders>
              <w:top w:val="nil"/>
              <w:left w:val="nil"/>
              <w:bottom w:val="nil"/>
              <w:right w:val="single" w:sz="8" w:space="0" w:color="auto"/>
            </w:tcBorders>
            <w:shd w:val="clear" w:color="000000" w:fill="FFFFFF"/>
            <w:noWrap/>
          </w:tcPr>
          <w:p w14:paraId="052B6F6D"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21.96</w:t>
            </w:r>
          </w:p>
        </w:tc>
        <w:tc>
          <w:tcPr>
            <w:tcW w:w="693" w:type="dxa"/>
            <w:gridSpan w:val="2"/>
            <w:tcBorders>
              <w:top w:val="nil"/>
              <w:left w:val="nil"/>
              <w:bottom w:val="nil"/>
              <w:right w:val="nil"/>
            </w:tcBorders>
            <w:shd w:val="clear" w:color="000000" w:fill="FFFFFF"/>
            <w:noWrap/>
          </w:tcPr>
          <w:p w14:paraId="6E5E4930"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0.95</w:t>
            </w:r>
          </w:p>
        </w:tc>
        <w:tc>
          <w:tcPr>
            <w:tcW w:w="759" w:type="dxa"/>
            <w:tcBorders>
              <w:top w:val="nil"/>
              <w:left w:val="nil"/>
              <w:bottom w:val="nil"/>
              <w:right w:val="single" w:sz="8" w:space="0" w:color="auto"/>
            </w:tcBorders>
            <w:shd w:val="clear" w:color="000000" w:fill="FFFFFF"/>
            <w:noWrap/>
          </w:tcPr>
          <w:p w14:paraId="322AB72A"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29.96</w:t>
            </w:r>
          </w:p>
        </w:tc>
      </w:tr>
      <w:tr w:rsidR="009B43C9" w:rsidRPr="00B71F92" w14:paraId="7C410F06"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3E83AC9E" w14:textId="77777777" w:rsidR="009B43C9" w:rsidRPr="00B71F92" w:rsidRDefault="009B43C9" w:rsidP="008C0804">
            <w:pPr>
              <w:spacing w:after="0" w:line="240" w:lineRule="auto"/>
              <w:rPr>
                <w:rFonts w:eastAsia="Times New Roman"/>
                <w:sz w:val="20"/>
                <w:szCs w:val="20"/>
              </w:rPr>
            </w:pPr>
            <w:r w:rsidRPr="00B71F92">
              <w:rPr>
                <w:sz w:val="20"/>
                <w:szCs w:val="20"/>
              </w:rPr>
              <w:t>Change in who you live with</w:t>
            </w:r>
          </w:p>
        </w:tc>
        <w:tc>
          <w:tcPr>
            <w:tcW w:w="2700" w:type="dxa"/>
            <w:gridSpan w:val="2"/>
            <w:tcBorders>
              <w:top w:val="nil"/>
              <w:left w:val="nil"/>
              <w:bottom w:val="nil"/>
              <w:right w:val="single" w:sz="8" w:space="0" w:color="000000"/>
            </w:tcBorders>
            <w:shd w:val="clear" w:color="000000" w:fill="FFFFFF"/>
            <w:noWrap/>
            <w:tcMar>
              <w:left w:w="115" w:type="dxa"/>
              <w:right w:w="58" w:type="dxa"/>
            </w:tcMar>
          </w:tcPr>
          <w:p w14:paraId="5C81F201"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Change in income or finances</w:t>
            </w:r>
          </w:p>
        </w:tc>
        <w:tc>
          <w:tcPr>
            <w:tcW w:w="705" w:type="dxa"/>
            <w:tcBorders>
              <w:top w:val="nil"/>
              <w:left w:val="nil"/>
              <w:bottom w:val="nil"/>
              <w:right w:val="nil"/>
            </w:tcBorders>
            <w:shd w:val="clear" w:color="000000" w:fill="FFFFFF"/>
            <w:noWrap/>
          </w:tcPr>
          <w:p w14:paraId="002DEA95"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117</w:t>
            </w:r>
          </w:p>
        </w:tc>
        <w:tc>
          <w:tcPr>
            <w:tcW w:w="693" w:type="dxa"/>
            <w:tcBorders>
              <w:top w:val="nil"/>
              <w:left w:val="nil"/>
              <w:bottom w:val="nil"/>
              <w:right w:val="single" w:sz="8" w:space="0" w:color="auto"/>
            </w:tcBorders>
            <w:shd w:val="clear" w:color="000000" w:fill="FFFFFF"/>
            <w:noWrap/>
          </w:tcPr>
          <w:p w14:paraId="7C8CFDEA"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1.24</w:t>
            </w:r>
          </w:p>
        </w:tc>
        <w:tc>
          <w:tcPr>
            <w:tcW w:w="704" w:type="dxa"/>
            <w:gridSpan w:val="2"/>
            <w:tcBorders>
              <w:top w:val="nil"/>
              <w:left w:val="nil"/>
              <w:bottom w:val="nil"/>
              <w:right w:val="nil"/>
            </w:tcBorders>
            <w:shd w:val="clear" w:color="000000" w:fill="FFFFFF"/>
            <w:noWrap/>
          </w:tcPr>
          <w:p w14:paraId="47F5E528"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1.12</w:t>
            </w:r>
          </w:p>
        </w:tc>
        <w:tc>
          <w:tcPr>
            <w:tcW w:w="766" w:type="dxa"/>
            <w:tcBorders>
              <w:top w:val="nil"/>
              <w:left w:val="nil"/>
              <w:bottom w:val="nil"/>
              <w:right w:val="single" w:sz="8" w:space="0" w:color="auto"/>
            </w:tcBorders>
            <w:shd w:val="clear" w:color="000000" w:fill="FFFFFF"/>
            <w:noWrap/>
          </w:tcPr>
          <w:p w14:paraId="3F650E04"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9.90</w:t>
            </w:r>
          </w:p>
        </w:tc>
        <w:tc>
          <w:tcPr>
            <w:tcW w:w="693" w:type="dxa"/>
            <w:gridSpan w:val="2"/>
            <w:tcBorders>
              <w:top w:val="nil"/>
              <w:left w:val="nil"/>
              <w:bottom w:val="nil"/>
              <w:right w:val="nil"/>
            </w:tcBorders>
            <w:shd w:val="clear" w:color="000000" w:fill="FFFFFF"/>
            <w:noWrap/>
          </w:tcPr>
          <w:p w14:paraId="22D78B2B"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1.17</w:t>
            </w:r>
          </w:p>
        </w:tc>
        <w:tc>
          <w:tcPr>
            <w:tcW w:w="759" w:type="dxa"/>
            <w:tcBorders>
              <w:top w:val="nil"/>
              <w:left w:val="nil"/>
              <w:bottom w:val="nil"/>
              <w:right w:val="single" w:sz="8" w:space="0" w:color="auto"/>
            </w:tcBorders>
            <w:shd w:val="clear" w:color="000000" w:fill="FFFFFF"/>
            <w:noWrap/>
          </w:tcPr>
          <w:p w14:paraId="4202B0AF"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6.16</w:t>
            </w:r>
          </w:p>
        </w:tc>
      </w:tr>
      <w:tr w:rsidR="009B43C9" w:rsidRPr="00B71F92" w14:paraId="44166A0C"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66EA5722" w14:textId="77777777" w:rsidR="009B43C9" w:rsidRPr="00B71F92" w:rsidRDefault="009B43C9" w:rsidP="008C0804">
            <w:pPr>
              <w:spacing w:after="0" w:line="240" w:lineRule="auto"/>
              <w:rPr>
                <w:rFonts w:eastAsia="Times New Roman"/>
                <w:sz w:val="20"/>
                <w:szCs w:val="20"/>
              </w:rPr>
            </w:pPr>
            <w:r w:rsidRPr="00B71F92">
              <w:rPr>
                <w:sz w:val="20"/>
                <w:szCs w:val="20"/>
              </w:rPr>
              <w:t>Need for more space</w:t>
            </w:r>
          </w:p>
        </w:tc>
        <w:tc>
          <w:tcPr>
            <w:tcW w:w="2700" w:type="dxa"/>
            <w:gridSpan w:val="2"/>
            <w:tcBorders>
              <w:top w:val="nil"/>
              <w:left w:val="nil"/>
              <w:bottom w:val="nil"/>
              <w:right w:val="single" w:sz="8" w:space="0" w:color="000000"/>
            </w:tcBorders>
            <w:shd w:val="clear" w:color="000000" w:fill="FFFFFF"/>
            <w:noWrap/>
            <w:tcMar>
              <w:left w:w="115" w:type="dxa"/>
              <w:right w:w="58" w:type="dxa"/>
            </w:tcMar>
          </w:tcPr>
          <w:p w14:paraId="471D9A3A"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Increase in housing costs</w:t>
            </w:r>
          </w:p>
        </w:tc>
        <w:tc>
          <w:tcPr>
            <w:tcW w:w="705" w:type="dxa"/>
            <w:tcBorders>
              <w:top w:val="nil"/>
              <w:left w:val="nil"/>
              <w:bottom w:val="nil"/>
              <w:right w:val="nil"/>
            </w:tcBorders>
            <w:shd w:val="clear" w:color="000000" w:fill="FFFFFF"/>
            <w:noWrap/>
          </w:tcPr>
          <w:p w14:paraId="55B28BF8"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116</w:t>
            </w:r>
          </w:p>
        </w:tc>
        <w:tc>
          <w:tcPr>
            <w:tcW w:w="693" w:type="dxa"/>
            <w:tcBorders>
              <w:top w:val="nil"/>
              <w:left w:val="nil"/>
              <w:bottom w:val="nil"/>
              <w:right w:val="single" w:sz="8" w:space="0" w:color="auto"/>
            </w:tcBorders>
            <w:shd w:val="clear" w:color="000000" w:fill="FFFFFF"/>
            <w:noWrap/>
          </w:tcPr>
          <w:p w14:paraId="3DB08E53"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1.23</w:t>
            </w:r>
          </w:p>
        </w:tc>
        <w:tc>
          <w:tcPr>
            <w:tcW w:w="704" w:type="dxa"/>
            <w:gridSpan w:val="2"/>
            <w:tcBorders>
              <w:top w:val="nil"/>
              <w:left w:val="nil"/>
              <w:bottom w:val="nil"/>
              <w:right w:val="nil"/>
            </w:tcBorders>
            <w:shd w:val="clear" w:color="000000" w:fill="FFFFFF"/>
            <w:noWrap/>
          </w:tcPr>
          <w:p w14:paraId="3950C8D7"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1.22</w:t>
            </w:r>
          </w:p>
        </w:tc>
        <w:tc>
          <w:tcPr>
            <w:tcW w:w="766" w:type="dxa"/>
            <w:tcBorders>
              <w:top w:val="nil"/>
              <w:left w:val="nil"/>
              <w:bottom w:val="nil"/>
              <w:right w:val="single" w:sz="8" w:space="0" w:color="auto"/>
            </w:tcBorders>
            <w:shd w:val="clear" w:color="000000" w:fill="FFFFFF"/>
            <w:noWrap/>
          </w:tcPr>
          <w:p w14:paraId="6B35ACE8"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1.01</w:t>
            </w:r>
          </w:p>
        </w:tc>
        <w:tc>
          <w:tcPr>
            <w:tcW w:w="693" w:type="dxa"/>
            <w:gridSpan w:val="2"/>
            <w:tcBorders>
              <w:top w:val="nil"/>
              <w:left w:val="nil"/>
              <w:bottom w:val="nil"/>
              <w:right w:val="nil"/>
            </w:tcBorders>
            <w:shd w:val="clear" w:color="000000" w:fill="FFFFFF"/>
            <w:noWrap/>
          </w:tcPr>
          <w:p w14:paraId="05372118"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1.23</w:t>
            </w:r>
          </w:p>
        </w:tc>
        <w:tc>
          <w:tcPr>
            <w:tcW w:w="759" w:type="dxa"/>
            <w:tcBorders>
              <w:top w:val="nil"/>
              <w:left w:val="nil"/>
              <w:bottom w:val="nil"/>
              <w:right w:val="single" w:sz="8" w:space="0" w:color="auto"/>
            </w:tcBorders>
            <w:shd w:val="clear" w:color="000000" w:fill="FFFFFF"/>
            <w:noWrap/>
          </w:tcPr>
          <w:p w14:paraId="2EFD3CE8"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0.07</w:t>
            </w:r>
          </w:p>
        </w:tc>
      </w:tr>
      <w:tr w:rsidR="009B43C9" w:rsidRPr="00B71F92" w14:paraId="2918118B"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2AEF1911" w14:textId="77777777" w:rsidR="009B43C9" w:rsidRPr="00B71F92" w:rsidRDefault="009B43C9" w:rsidP="008C0804">
            <w:pPr>
              <w:spacing w:after="0" w:line="240" w:lineRule="auto"/>
              <w:rPr>
                <w:rFonts w:eastAsia="Times New Roman"/>
                <w:sz w:val="20"/>
                <w:szCs w:val="20"/>
              </w:rPr>
            </w:pPr>
            <w:r w:rsidRPr="00B71F92">
              <w:rPr>
                <w:sz w:val="20"/>
                <w:szCs w:val="20"/>
              </w:rPr>
              <w:t>Need for more space</w:t>
            </w:r>
          </w:p>
        </w:tc>
        <w:tc>
          <w:tcPr>
            <w:tcW w:w="2700" w:type="dxa"/>
            <w:gridSpan w:val="2"/>
            <w:tcBorders>
              <w:top w:val="nil"/>
              <w:left w:val="nil"/>
              <w:bottom w:val="nil"/>
              <w:right w:val="single" w:sz="8" w:space="0" w:color="000000"/>
            </w:tcBorders>
            <w:shd w:val="clear" w:color="000000" w:fill="FFFFFF"/>
            <w:noWrap/>
            <w:tcMar>
              <w:left w:w="115" w:type="dxa"/>
              <w:right w:w="58" w:type="dxa"/>
            </w:tcMar>
          </w:tcPr>
          <w:p w14:paraId="31A15853"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 xml:space="preserve">Concerns about safety or crime              </w:t>
            </w:r>
          </w:p>
        </w:tc>
        <w:tc>
          <w:tcPr>
            <w:tcW w:w="705" w:type="dxa"/>
            <w:tcBorders>
              <w:top w:val="nil"/>
              <w:left w:val="nil"/>
              <w:bottom w:val="nil"/>
              <w:right w:val="nil"/>
            </w:tcBorders>
            <w:shd w:val="clear" w:color="000000" w:fill="FFFFFF"/>
            <w:noWrap/>
          </w:tcPr>
          <w:p w14:paraId="15C63601"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115</w:t>
            </w:r>
          </w:p>
        </w:tc>
        <w:tc>
          <w:tcPr>
            <w:tcW w:w="693" w:type="dxa"/>
            <w:tcBorders>
              <w:top w:val="nil"/>
              <w:left w:val="nil"/>
              <w:bottom w:val="nil"/>
              <w:right w:val="single" w:sz="8" w:space="0" w:color="auto"/>
            </w:tcBorders>
            <w:shd w:val="clear" w:color="000000" w:fill="FFFFFF"/>
            <w:noWrap/>
          </w:tcPr>
          <w:p w14:paraId="701293A3"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1.22</w:t>
            </w:r>
          </w:p>
        </w:tc>
        <w:tc>
          <w:tcPr>
            <w:tcW w:w="704" w:type="dxa"/>
            <w:gridSpan w:val="2"/>
            <w:tcBorders>
              <w:top w:val="nil"/>
              <w:left w:val="nil"/>
              <w:bottom w:val="nil"/>
              <w:right w:val="nil"/>
            </w:tcBorders>
            <w:shd w:val="clear" w:color="000000" w:fill="FFFFFF"/>
            <w:noWrap/>
          </w:tcPr>
          <w:p w14:paraId="13B6B4CD"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1.25</w:t>
            </w:r>
          </w:p>
        </w:tc>
        <w:tc>
          <w:tcPr>
            <w:tcW w:w="766" w:type="dxa"/>
            <w:tcBorders>
              <w:top w:val="nil"/>
              <w:left w:val="nil"/>
              <w:bottom w:val="nil"/>
              <w:right w:val="single" w:sz="8" w:space="0" w:color="auto"/>
            </w:tcBorders>
            <w:shd w:val="clear" w:color="000000" w:fill="FFFFFF"/>
            <w:noWrap/>
          </w:tcPr>
          <w:p w14:paraId="6342D531"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2.40</w:t>
            </w:r>
          </w:p>
        </w:tc>
        <w:tc>
          <w:tcPr>
            <w:tcW w:w="693" w:type="dxa"/>
            <w:gridSpan w:val="2"/>
            <w:tcBorders>
              <w:top w:val="nil"/>
              <w:left w:val="nil"/>
              <w:bottom w:val="nil"/>
              <w:right w:val="nil"/>
            </w:tcBorders>
            <w:shd w:val="clear" w:color="000000" w:fill="FFFFFF"/>
            <w:noWrap/>
          </w:tcPr>
          <w:p w14:paraId="15F9A5E6"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0.98</w:t>
            </w:r>
          </w:p>
        </w:tc>
        <w:tc>
          <w:tcPr>
            <w:tcW w:w="759" w:type="dxa"/>
            <w:tcBorders>
              <w:top w:val="nil"/>
              <w:left w:val="nil"/>
              <w:bottom w:val="nil"/>
              <w:right w:val="single" w:sz="8" w:space="0" w:color="auto"/>
            </w:tcBorders>
            <w:shd w:val="clear" w:color="000000" w:fill="FFFFFF"/>
            <w:noWrap/>
          </w:tcPr>
          <w:p w14:paraId="255E2E04"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19.71</w:t>
            </w:r>
          </w:p>
        </w:tc>
      </w:tr>
      <w:tr w:rsidR="009B43C9" w:rsidRPr="00B71F92" w14:paraId="2EFD8255"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1B65BCEB" w14:textId="77777777" w:rsidR="009B43C9" w:rsidRPr="00B71F92" w:rsidRDefault="009B43C9" w:rsidP="008C0804">
            <w:pPr>
              <w:spacing w:after="0" w:line="240" w:lineRule="auto"/>
              <w:rPr>
                <w:rFonts w:eastAsia="Times New Roman"/>
                <w:sz w:val="20"/>
                <w:szCs w:val="20"/>
              </w:rPr>
            </w:pPr>
            <w:r w:rsidRPr="00B71F92">
              <w:rPr>
                <w:sz w:val="20"/>
                <w:szCs w:val="20"/>
              </w:rPr>
              <w:t>Upgrade or buy a home</w:t>
            </w:r>
          </w:p>
        </w:tc>
        <w:tc>
          <w:tcPr>
            <w:tcW w:w="2700" w:type="dxa"/>
            <w:gridSpan w:val="2"/>
            <w:tcBorders>
              <w:top w:val="nil"/>
              <w:left w:val="nil"/>
              <w:bottom w:val="nil"/>
              <w:right w:val="single" w:sz="8" w:space="0" w:color="000000"/>
            </w:tcBorders>
            <w:shd w:val="clear" w:color="000000" w:fill="FFFFFF"/>
            <w:noWrap/>
            <w:tcMar>
              <w:left w:w="115" w:type="dxa"/>
              <w:right w:w="58" w:type="dxa"/>
            </w:tcMar>
          </w:tcPr>
          <w:p w14:paraId="290D386C"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Change in who you live with</w:t>
            </w:r>
          </w:p>
        </w:tc>
        <w:tc>
          <w:tcPr>
            <w:tcW w:w="705" w:type="dxa"/>
            <w:tcBorders>
              <w:top w:val="nil"/>
              <w:left w:val="nil"/>
              <w:bottom w:val="nil"/>
              <w:right w:val="nil"/>
            </w:tcBorders>
            <w:shd w:val="clear" w:color="000000" w:fill="FFFFFF"/>
            <w:noWrap/>
          </w:tcPr>
          <w:p w14:paraId="7B3A51C9"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108</w:t>
            </w:r>
          </w:p>
        </w:tc>
        <w:tc>
          <w:tcPr>
            <w:tcW w:w="693" w:type="dxa"/>
            <w:tcBorders>
              <w:top w:val="nil"/>
              <w:left w:val="nil"/>
              <w:bottom w:val="nil"/>
              <w:right w:val="single" w:sz="8" w:space="0" w:color="auto"/>
            </w:tcBorders>
            <w:shd w:val="clear" w:color="000000" w:fill="FFFFFF"/>
            <w:noWrap/>
          </w:tcPr>
          <w:p w14:paraId="076081F6"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1.15</w:t>
            </w:r>
          </w:p>
        </w:tc>
        <w:tc>
          <w:tcPr>
            <w:tcW w:w="704" w:type="dxa"/>
            <w:gridSpan w:val="2"/>
            <w:tcBorders>
              <w:top w:val="nil"/>
              <w:left w:val="nil"/>
              <w:bottom w:val="nil"/>
              <w:right w:val="nil"/>
            </w:tcBorders>
            <w:shd w:val="clear" w:color="000000" w:fill="FFFFFF"/>
            <w:noWrap/>
          </w:tcPr>
          <w:p w14:paraId="1C666A40"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1.31</w:t>
            </w:r>
          </w:p>
        </w:tc>
        <w:tc>
          <w:tcPr>
            <w:tcW w:w="766" w:type="dxa"/>
            <w:tcBorders>
              <w:top w:val="nil"/>
              <w:left w:val="nil"/>
              <w:bottom w:val="nil"/>
              <w:right w:val="single" w:sz="8" w:space="0" w:color="auto"/>
            </w:tcBorders>
            <w:shd w:val="clear" w:color="000000" w:fill="FFFFFF"/>
            <w:noWrap/>
          </w:tcPr>
          <w:p w14:paraId="2006CF5A"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14.38</w:t>
            </w:r>
          </w:p>
        </w:tc>
        <w:tc>
          <w:tcPr>
            <w:tcW w:w="693" w:type="dxa"/>
            <w:gridSpan w:val="2"/>
            <w:tcBorders>
              <w:top w:val="nil"/>
              <w:left w:val="nil"/>
              <w:bottom w:val="nil"/>
              <w:right w:val="nil"/>
            </w:tcBorders>
            <w:shd w:val="clear" w:color="000000" w:fill="FFFFFF"/>
            <w:noWrap/>
          </w:tcPr>
          <w:p w14:paraId="404D68B7"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1.41</w:t>
            </w:r>
          </w:p>
        </w:tc>
        <w:tc>
          <w:tcPr>
            <w:tcW w:w="759" w:type="dxa"/>
            <w:tcBorders>
              <w:top w:val="nil"/>
              <w:left w:val="nil"/>
              <w:bottom w:val="nil"/>
              <w:right w:val="single" w:sz="8" w:space="0" w:color="auto"/>
            </w:tcBorders>
            <w:shd w:val="clear" w:color="000000" w:fill="FFFFFF"/>
            <w:noWrap/>
          </w:tcPr>
          <w:p w14:paraId="74B71715"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22.70</w:t>
            </w:r>
          </w:p>
        </w:tc>
      </w:tr>
      <w:tr w:rsidR="009B43C9" w:rsidRPr="00B71F92" w14:paraId="07E9DD43"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4E7DBA8A" w14:textId="77777777" w:rsidR="009B43C9" w:rsidRPr="00B71F92" w:rsidRDefault="009B43C9" w:rsidP="008C0804">
            <w:pPr>
              <w:spacing w:after="0" w:line="240" w:lineRule="auto"/>
              <w:rPr>
                <w:rFonts w:eastAsia="Times New Roman"/>
                <w:sz w:val="20"/>
                <w:szCs w:val="20"/>
              </w:rPr>
            </w:pPr>
            <w:r w:rsidRPr="00B71F92">
              <w:rPr>
                <w:sz w:val="20"/>
                <w:szCs w:val="20"/>
              </w:rPr>
              <w:t>Upgrade or buy a home</w:t>
            </w:r>
          </w:p>
        </w:tc>
        <w:tc>
          <w:tcPr>
            <w:tcW w:w="2700" w:type="dxa"/>
            <w:gridSpan w:val="2"/>
            <w:tcBorders>
              <w:top w:val="nil"/>
              <w:left w:val="nil"/>
              <w:bottom w:val="nil"/>
              <w:right w:val="single" w:sz="8" w:space="0" w:color="000000"/>
            </w:tcBorders>
            <w:shd w:val="clear" w:color="000000" w:fill="FFFFFF"/>
            <w:noWrap/>
            <w:tcMar>
              <w:left w:w="115" w:type="dxa"/>
              <w:right w:w="58" w:type="dxa"/>
            </w:tcMar>
          </w:tcPr>
          <w:p w14:paraId="486A1ACC"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 xml:space="preserve">Concerns about safety or crime              </w:t>
            </w:r>
          </w:p>
        </w:tc>
        <w:tc>
          <w:tcPr>
            <w:tcW w:w="705" w:type="dxa"/>
            <w:tcBorders>
              <w:top w:val="nil"/>
              <w:left w:val="nil"/>
              <w:bottom w:val="nil"/>
              <w:right w:val="nil"/>
            </w:tcBorders>
            <w:shd w:val="clear" w:color="000000" w:fill="FFFFFF"/>
            <w:noWrap/>
          </w:tcPr>
          <w:p w14:paraId="2992D5B5"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101</w:t>
            </w:r>
          </w:p>
        </w:tc>
        <w:tc>
          <w:tcPr>
            <w:tcW w:w="693" w:type="dxa"/>
            <w:tcBorders>
              <w:top w:val="nil"/>
              <w:left w:val="nil"/>
              <w:bottom w:val="nil"/>
              <w:right w:val="single" w:sz="8" w:space="0" w:color="auto"/>
            </w:tcBorders>
            <w:shd w:val="clear" w:color="000000" w:fill="FFFFFF"/>
            <w:noWrap/>
          </w:tcPr>
          <w:p w14:paraId="011D532E"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1.07</w:t>
            </w:r>
          </w:p>
        </w:tc>
        <w:tc>
          <w:tcPr>
            <w:tcW w:w="704" w:type="dxa"/>
            <w:gridSpan w:val="2"/>
            <w:tcBorders>
              <w:top w:val="nil"/>
              <w:left w:val="nil"/>
              <w:bottom w:val="nil"/>
              <w:right w:val="nil"/>
            </w:tcBorders>
            <w:shd w:val="clear" w:color="000000" w:fill="FFFFFF"/>
            <w:noWrap/>
          </w:tcPr>
          <w:p w14:paraId="5D0CB7B1"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1.10</w:t>
            </w:r>
          </w:p>
        </w:tc>
        <w:tc>
          <w:tcPr>
            <w:tcW w:w="766" w:type="dxa"/>
            <w:tcBorders>
              <w:top w:val="nil"/>
              <w:left w:val="nil"/>
              <w:bottom w:val="nil"/>
              <w:right w:val="single" w:sz="8" w:space="0" w:color="auto"/>
            </w:tcBorders>
            <w:shd w:val="clear" w:color="000000" w:fill="FFFFFF"/>
            <w:noWrap/>
          </w:tcPr>
          <w:p w14:paraId="4BEFF30B"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2.01</w:t>
            </w:r>
          </w:p>
        </w:tc>
        <w:tc>
          <w:tcPr>
            <w:tcW w:w="693" w:type="dxa"/>
            <w:gridSpan w:val="2"/>
            <w:tcBorders>
              <w:top w:val="nil"/>
              <w:left w:val="nil"/>
              <w:bottom w:val="nil"/>
              <w:right w:val="nil"/>
            </w:tcBorders>
            <w:shd w:val="clear" w:color="000000" w:fill="FFFFFF"/>
            <w:noWrap/>
          </w:tcPr>
          <w:p w14:paraId="4F4BC7F5"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0.96</w:t>
            </w:r>
          </w:p>
        </w:tc>
        <w:tc>
          <w:tcPr>
            <w:tcW w:w="759" w:type="dxa"/>
            <w:tcBorders>
              <w:top w:val="nil"/>
              <w:left w:val="nil"/>
              <w:bottom w:val="nil"/>
              <w:right w:val="single" w:sz="8" w:space="0" w:color="auto"/>
            </w:tcBorders>
            <w:shd w:val="clear" w:color="000000" w:fill="FFFFFF"/>
            <w:noWrap/>
          </w:tcPr>
          <w:p w14:paraId="2942EF7A"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10.28</w:t>
            </w:r>
          </w:p>
        </w:tc>
      </w:tr>
      <w:tr w:rsidR="009B43C9" w:rsidRPr="00B71F92" w14:paraId="4E8A960A"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31DA00D3" w14:textId="77777777" w:rsidR="009B43C9" w:rsidRPr="00B71F92" w:rsidRDefault="009B43C9" w:rsidP="008C0804">
            <w:pPr>
              <w:spacing w:after="0" w:line="240" w:lineRule="auto"/>
              <w:rPr>
                <w:rFonts w:eastAsia="Times New Roman"/>
                <w:sz w:val="20"/>
                <w:szCs w:val="20"/>
              </w:rPr>
            </w:pPr>
            <w:r w:rsidRPr="00B71F92">
              <w:rPr>
                <w:sz w:val="20"/>
                <w:szCs w:val="20"/>
              </w:rPr>
              <w:t>Increase in housing costs</w:t>
            </w:r>
          </w:p>
        </w:tc>
        <w:tc>
          <w:tcPr>
            <w:tcW w:w="2700" w:type="dxa"/>
            <w:gridSpan w:val="2"/>
            <w:tcBorders>
              <w:top w:val="nil"/>
              <w:left w:val="nil"/>
              <w:bottom w:val="nil"/>
              <w:right w:val="single" w:sz="8" w:space="0" w:color="000000"/>
            </w:tcBorders>
            <w:shd w:val="clear" w:color="000000" w:fill="FFFFFF"/>
            <w:noWrap/>
            <w:tcMar>
              <w:left w:w="115" w:type="dxa"/>
              <w:right w:w="58" w:type="dxa"/>
            </w:tcMar>
          </w:tcPr>
          <w:p w14:paraId="135E5BF2"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Friends leaving</w:t>
            </w:r>
          </w:p>
        </w:tc>
        <w:tc>
          <w:tcPr>
            <w:tcW w:w="705" w:type="dxa"/>
            <w:tcBorders>
              <w:top w:val="nil"/>
              <w:left w:val="nil"/>
              <w:bottom w:val="nil"/>
              <w:right w:val="nil"/>
            </w:tcBorders>
            <w:shd w:val="clear" w:color="000000" w:fill="FFFFFF"/>
            <w:noWrap/>
          </w:tcPr>
          <w:p w14:paraId="25FA1CB8"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98</w:t>
            </w:r>
          </w:p>
        </w:tc>
        <w:tc>
          <w:tcPr>
            <w:tcW w:w="693" w:type="dxa"/>
            <w:tcBorders>
              <w:top w:val="nil"/>
              <w:left w:val="nil"/>
              <w:bottom w:val="nil"/>
              <w:right w:val="single" w:sz="8" w:space="0" w:color="auto"/>
            </w:tcBorders>
            <w:shd w:val="clear" w:color="000000" w:fill="FFFFFF"/>
            <w:noWrap/>
          </w:tcPr>
          <w:p w14:paraId="072C9577"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1.04</w:t>
            </w:r>
          </w:p>
        </w:tc>
        <w:tc>
          <w:tcPr>
            <w:tcW w:w="704" w:type="dxa"/>
            <w:gridSpan w:val="2"/>
            <w:tcBorders>
              <w:top w:val="nil"/>
              <w:left w:val="nil"/>
              <w:bottom w:val="nil"/>
              <w:right w:val="nil"/>
            </w:tcBorders>
            <w:shd w:val="clear" w:color="000000" w:fill="FFFFFF"/>
            <w:noWrap/>
          </w:tcPr>
          <w:p w14:paraId="546EA8CE"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0.93</w:t>
            </w:r>
          </w:p>
        </w:tc>
        <w:tc>
          <w:tcPr>
            <w:tcW w:w="766" w:type="dxa"/>
            <w:tcBorders>
              <w:top w:val="nil"/>
              <w:left w:val="nil"/>
              <w:bottom w:val="nil"/>
              <w:right w:val="single" w:sz="8" w:space="0" w:color="auto"/>
            </w:tcBorders>
            <w:shd w:val="clear" w:color="000000" w:fill="FFFFFF"/>
            <w:noWrap/>
          </w:tcPr>
          <w:p w14:paraId="344ED7FB"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10.48</w:t>
            </w:r>
          </w:p>
        </w:tc>
        <w:tc>
          <w:tcPr>
            <w:tcW w:w="693" w:type="dxa"/>
            <w:gridSpan w:val="2"/>
            <w:tcBorders>
              <w:top w:val="nil"/>
              <w:left w:val="nil"/>
              <w:bottom w:val="nil"/>
              <w:right w:val="nil"/>
            </w:tcBorders>
            <w:shd w:val="clear" w:color="000000" w:fill="FFFFFF"/>
            <w:noWrap/>
          </w:tcPr>
          <w:p w14:paraId="4FC0764C"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0.82</w:t>
            </w:r>
          </w:p>
        </w:tc>
        <w:tc>
          <w:tcPr>
            <w:tcW w:w="759" w:type="dxa"/>
            <w:tcBorders>
              <w:top w:val="nil"/>
              <w:left w:val="nil"/>
              <w:bottom w:val="nil"/>
              <w:right w:val="single" w:sz="8" w:space="0" w:color="auto"/>
            </w:tcBorders>
            <w:shd w:val="clear" w:color="000000" w:fill="FFFFFF"/>
            <w:noWrap/>
          </w:tcPr>
          <w:p w14:paraId="258731B4"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21.77</w:t>
            </w:r>
          </w:p>
        </w:tc>
      </w:tr>
      <w:tr w:rsidR="009B43C9" w:rsidRPr="00B71F92" w14:paraId="7BF5F8D3" w14:textId="77777777" w:rsidTr="00AF15D1">
        <w:trPr>
          <w:trHeight w:val="288"/>
          <w:jc w:val="center"/>
        </w:trPr>
        <w:tc>
          <w:tcPr>
            <w:tcW w:w="2600" w:type="dxa"/>
            <w:tcBorders>
              <w:top w:val="nil"/>
              <w:left w:val="single" w:sz="8" w:space="0" w:color="auto"/>
              <w:bottom w:val="nil"/>
              <w:right w:val="nil"/>
            </w:tcBorders>
            <w:shd w:val="clear" w:color="000000" w:fill="FFFFFF"/>
            <w:noWrap/>
            <w:tcMar>
              <w:left w:w="115" w:type="dxa"/>
              <w:right w:w="58" w:type="dxa"/>
            </w:tcMar>
          </w:tcPr>
          <w:p w14:paraId="35AADAB2" w14:textId="77777777" w:rsidR="009B43C9" w:rsidRPr="00B71F92" w:rsidRDefault="009B43C9" w:rsidP="008C0804">
            <w:pPr>
              <w:spacing w:after="0" w:line="240" w:lineRule="auto"/>
              <w:rPr>
                <w:rFonts w:eastAsia="Times New Roman"/>
                <w:sz w:val="20"/>
                <w:szCs w:val="20"/>
              </w:rPr>
            </w:pPr>
            <w:r w:rsidRPr="00B71F92">
              <w:rPr>
                <w:sz w:val="20"/>
                <w:szCs w:val="20"/>
              </w:rPr>
              <w:t>Upgrade or buy a home</w:t>
            </w:r>
          </w:p>
        </w:tc>
        <w:tc>
          <w:tcPr>
            <w:tcW w:w="2700" w:type="dxa"/>
            <w:gridSpan w:val="2"/>
            <w:tcBorders>
              <w:top w:val="nil"/>
              <w:left w:val="nil"/>
              <w:bottom w:val="nil"/>
              <w:right w:val="single" w:sz="8" w:space="0" w:color="000000"/>
            </w:tcBorders>
            <w:shd w:val="clear" w:color="000000" w:fill="FFFFFF"/>
            <w:noWrap/>
            <w:tcMar>
              <w:left w:w="115" w:type="dxa"/>
              <w:right w:w="58" w:type="dxa"/>
            </w:tcMar>
          </w:tcPr>
          <w:p w14:paraId="7694A911" w14:textId="77777777" w:rsidR="009B43C9" w:rsidRPr="00B71F92" w:rsidRDefault="009B43C9" w:rsidP="008C0804">
            <w:pPr>
              <w:tabs>
                <w:tab w:val="decimal" w:pos="346"/>
              </w:tabs>
              <w:spacing w:after="0" w:line="240" w:lineRule="auto"/>
              <w:rPr>
                <w:rFonts w:eastAsia="Times New Roman"/>
                <w:sz w:val="20"/>
                <w:szCs w:val="20"/>
                <w:highlight w:val="yellow"/>
              </w:rPr>
            </w:pPr>
            <w:r w:rsidRPr="00B71F92">
              <w:rPr>
                <w:sz w:val="20"/>
                <w:szCs w:val="20"/>
              </w:rPr>
              <w:t>Increase in housing costs</w:t>
            </w:r>
          </w:p>
        </w:tc>
        <w:tc>
          <w:tcPr>
            <w:tcW w:w="705" w:type="dxa"/>
            <w:tcBorders>
              <w:top w:val="nil"/>
              <w:left w:val="nil"/>
              <w:bottom w:val="nil"/>
              <w:right w:val="nil"/>
            </w:tcBorders>
            <w:shd w:val="clear" w:color="000000" w:fill="FFFFFF"/>
            <w:noWrap/>
          </w:tcPr>
          <w:p w14:paraId="4026D92D" w14:textId="77777777" w:rsidR="009B43C9" w:rsidRPr="00B71F92" w:rsidRDefault="009B43C9" w:rsidP="008C0804">
            <w:pPr>
              <w:tabs>
                <w:tab w:val="decimal" w:pos="346"/>
              </w:tabs>
              <w:spacing w:after="0" w:line="240" w:lineRule="auto"/>
              <w:jc w:val="center"/>
              <w:rPr>
                <w:rFonts w:eastAsia="Times New Roman"/>
                <w:sz w:val="20"/>
                <w:szCs w:val="20"/>
              </w:rPr>
            </w:pPr>
            <w:r w:rsidRPr="00B71F92">
              <w:rPr>
                <w:sz w:val="20"/>
                <w:szCs w:val="20"/>
              </w:rPr>
              <w:t>80</w:t>
            </w:r>
          </w:p>
        </w:tc>
        <w:tc>
          <w:tcPr>
            <w:tcW w:w="693" w:type="dxa"/>
            <w:tcBorders>
              <w:top w:val="nil"/>
              <w:left w:val="nil"/>
              <w:bottom w:val="nil"/>
              <w:right w:val="single" w:sz="8" w:space="0" w:color="auto"/>
            </w:tcBorders>
            <w:shd w:val="clear" w:color="000000" w:fill="FFFFFF"/>
            <w:noWrap/>
          </w:tcPr>
          <w:p w14:paraId="2D6671AF"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0.85</w:t>
            </w:r>
          </w:p>
        </w:tc>
        <w:tc>
          <w:tcPr>
            <w:tcW w:w="704" w:type="dxa"/>
            <w:gridSpan w:val="2"/>
            <w:tcBorders>
              <w:top w:val="nil"/>
              <w:left w:val="nil"/>
              <w:bottom w:val="nil"/>
              <w:right w:val="nil"/>
            </w:tcBorders>
            <w:shd w:val="clear" w:color="000000" w:fill="FFFFFF"/>
            <w:noWrap/>
          </w:tcPr>
          <w:p w14:paraId="4E241459"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0.94</w:t>
            </w:r>
          </w:p>
        </w:tc>
        <w:tc>
          <w:tcPr>
            <w:tcW w:w="766" w:type="dxa"/>
            <w:tcBorders>
              <w:top w:val="nil"/>
              <w:left w:val="nil"/>
              <w:bottom w:val="nil"/>
              <w:right w:val="single" w:sz="8" w:space="0" w:color="auto"/>
            </w:tcBorders>
            <w:shd w:val="clear" w:color="000000" w:fill="FFFFFF"/>
            <w:noWrap/>
          </w:tcPr>
          <w:p w14:paraId="592D8900" w14:textId="77777777" w:rsidR="009B43C9" w:rsidRPr="00B71F92" w:rsidRDefault="009B43C9" w:rsidP="008C0804">
            <w:pPr>
              <w:tabs>
                <w:tab w:val="decimal" w:pos="238"/>
              </w:tabs>
              <w:spacing w:after="0" w:line="240" w:lineRule="auto"/>
              <w:jc w:val="center"/>
              <w:rPr>
                <w:rFonts w:eastAsia="Times New Roman"/>
                <w:sz w:val="20"/>
                <w:szCs w:val="20"/>
              </w:rPr>
            </w:pPr>
            <w:r w:rsidRPr="00B71F92">
              <w:rPr>
                <w:sz w:val="20"/>
                <w:szCs w:val="20"/>
              </w:rPr>
              <w:t>10.14</w:t>
            </w:r>
          </w:p>
        </w:tc>
        <w:tc>
          <w:tcPr>
            <w:tcW w:w="693" w:type="dxa"/>
            <w:gridSpan w:val="2"/>
            <w:tcBorders>
              <w:top w:val="nil"/>
              <w:left w:val="nil"/>
              <w:bottom w:val="nil"/>
              <w:right w:val="nil"/>
            </w:tcBorders>
            <w:shd w:val="clear" w:color="000000" w:fill="FFFFFF"/>
            <w:noWrap/>
          </w:tcPr>
          <w:p w14:paraId="42EDA9B4" w14:textId="77777777" w:rsidR="009B43C9" w:rsidRPr="00B71F92" w:rsidRDefault="009B43C9" w:rsidP="008C0804">
            <w:pPr>
              <w:tabs>
                <w:tab w:val="decimal" w:pos="226"/>
              </w:tabs>
              <w:spacing w:after="0" w:line="240" w:lineRule="auto"/>
              <w:jc w:val="center"/>
              <w:rPr>
                <w:rFonts w:eastAsia="Times New Roman"/>
                <w:sz w:val="20"/>
                <w:szCs w:val="20"/>
              </w:rPr>
            </w:pPr>
            <w:r w:rsidRPr="00B71F92">
              <w:rPr>
                <w:sz w:val="20"/>
                <w:szCs w:val="20"/>
              </w:rPr>
              <w:t>1.03</w:t>
            </w:r>
          </w:p>
        </w:tc>
        <w:tc>
          <w:tcPr>
            <w:tcW w:w="759" w:type="dxa"/>
            <w:tcBorders>
              <w:top w:val="nil"/>
              <w:left w:val="nil"/>
              <w:bottom w:val="nil"/>
              <w:right w:val="single" w:sz="8" w:space="0" w:color="auto"/>
            </w:tcBorders>
            <w:shd w:val="clear" w:color="000000" w:fill="FFFFFF"/>
            <w:noWrap/>
          </w:tcPr>
          <w:p w14:paraId="32943D07" w14:textId="77777777" w:rsidR="009B43C9" w:rsidRPr="00B71F92" w:rsidRDefault="009B43C9" w:rsidP="008C0804">
            <w:pPr>
              <w:tabs>
                <w:tab w:val="decimal" w:pos="195"/>
              </w:tabs>
              <w:spacing w:after="0" w:line="240" w:lineRule="auto"/>
              <w:jc w:val="center"/>
              <w:rPr>
                <w:rFonts w:eastAsia="Times New Roman"/>
                <w:sz w:val="20"/>
                <w:szCs w:val="20"/>
              </w:rPr>
            </w:pPr>
            <w:r w:rsidRPr="00B71F92">
              <w:rPr>
                <w:sz w:val="20"/>
                <w:szCs w:val="20"/>
              </w:rPr>
              <w:t>21.41</w:t>
            </w:r>
          </w:p>
        </w:tc>
      </w:tr>
      <w:tr w:rsidR="009B43C9" w:rsidRPr="00B71F92" w14:paraId="44D07B87" w14:textId="77777777" w:rsidTr="00AF15D1">
        <w:trPr>
          <w:trHeight w:val="288"/>
          <w:jc w:val="center"/>
        </w:trPr>
        <w:tc>
          <w:tcPr>
            <w:tcW w:w="6707"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657BB34" w14:textId="77777777" w:rsidR="009B43C9" w:rsidRPr="00B71F92" w:rsidRDefault="009B43C9" w:rsidP="008C0804">
            <w:pPr>
              <w:spacing w:after="0" w:line="240" w:lineRule="auto"/>
              <w:rPr>
                <w:rFonts w:eastAsia="Times New Roman"/>
                <w:b/>
                <w:bCs/>
                <w:sz w:val="20"/>
                <w:szCs w:val="20"/>
              </w:rPr>
            </w:pPr>
            <w:r w:rsidRPr="00B71F92">
              <w:rPr>
                <w:rFonts w:eastAsia="Times New Roman"/>
                <w:b/>
                <w:bCs/>
                <w:sz w:val="20"/>
                <w:szCs w:val="20"/>
              </w:rPr>
              <w:t>Weighted Average Percent Error (WAPE)</w:t>
            </w:r>
          </w:p>
        </w:tc>
        <w:tc>
          <w:tcPr>
            <w:tcW w:w="147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0EB579CF" w14:textId="77777777" w:rsidR="009B43C9" w:rsidRPr="00B71F92" w:rsidRDefault="009B43C9" w:rsidP="008C0804">
            <w:pPr>
              <w:spacing w:after="0" w:line="240" w:lineRule="auto"/>
              <w:jc w:val="center"/>
              <w:rPr>
                <w:rFonts w:eastAsia="Times New Roman"/>
                <w:b/>
                <w:bCs/>
                <w:sz w:val="20"/>
                <w:szCs w:val="20"/>
              </w:rPr>
            </w:pPr>
            <w:r w:rsidRPr="00B71F92">
              <w:rPr>
                <w:b/>
                <w:bCs/>
                <w:sz w:val="20"/>
                <w:szCs w:val="20"/>
              </w:rPr>
              <w:t>7.19</w:t>
            </w:r>
          </w:p>
        </w:tc>
        <w:tc>
          <w:tcPr>
            <w:tcW w:w="1443"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30EAB5A" w14:textId="77777777" w:rsidR="009B43C9" w:rsidRPr="00B71F92" w:rsidRDefault="009B43C9" w:rsidP="008C0804">
            <w:pPr>
              <w:spacing w:after="0" w:line="240" w:lineRule="auto"/>
              <w:jc w:val="center"/>
              <w:rPr>
                <w:rFonts w:eastAsia="Times New Roman"/>
                <w:b/>
                <w:bCs/>
                <w:sz w:val="20"/>
                <w:szCs w:val="20"/>
              </w:rPr>
            </w:pPr>
            <w:r w:rsidRPr="00B71F92">
              <w:rPr>
                <w:b/>
                <w:bCs/>
                <w:sz w:val="20"/>
                <w:szCs w:val="20"/>
              </w:rPr>
              <w:t>18.36</w:t>
            </w:r>
          </w:p>
        </w:tc>
      </w:tr>
    </w:tbl>
    <w:p w14:paraId="74B3C03A" w14:textId="77777777" w:rsidR="002F5607" w:rsidRDefault="002F5607" w:rsidP="008404B6">
      <w:pPr>
        <w:spacing w:after="0" w:line="240" w:lineRule="auto"/>
        <w:jc w:val="both"/>
        <w:rPr>
          <w:b/>
          <w:bCs/>
        </w:rPr>
      </w:pPr>
    </w:p>
    <w:p w14:paraId="211B4137" w14:textId="1742B202" w:rsidR="008404B6" w:rsidRPr="00B71F92" w:rsidRDefault="008404B6" w:rsidP="008404B6">
      <w:pPr>
        <w:spacing w:after="0" w:line="240" w:lineRule="auto"/>
        <w:jc w:val="both"/>
        <w:rPr>
          <w:b/>
          <w:bCs/>
        </w:rPr>
      </w:pPr>
      <w:r w:rsidRPr="00B71F92">
        <w:rPr>
          <w:b/>
          <w:bCs/>
        </w:rPr>
        <w:t xml:space="preserve">5. </w:t>
      </w:r>
      <w:r w:rsidR="008C7C3F" w:rsidRPr="00B71F92">
        <w:rPr>
          <w:b/>
          <w:bCs/>
        </w:rPr>
        <w:t>EVOLUTION IN</w:t>
      </w:r>
      <w:r w:rsidR="00205856" w:rsidRPr="00B71F92">
        <w:rPr>
          <w:b/>
          <w:bCs/>
        </w:rPr>
        <w:t xml:space="preserve"> RELOCATION MOTIVATIONS OVER TIME</w:t>
      </w:r>
    </w:p>
    <w:p w14:paraId="38027D18" w14:textId="716290FF" w:rsidR="00D75979" w:rsidRPr="00B71F92" w:rsidRDefault="00515BF3" w:rsidP="008404B6">
      <w:pPr>
        <w:spacing w:after="0" w:line="240" w:lineRule="auto"/>
        <w:jc w:val="both"/>
      </w:pPr>
      <w:r w:rsidRPr="00B71F92">
        <w:t xml:space="preserve">The descriptive statistics in Table 1 provide an aggregate sense of the patterns of residential moves and relocation motivations through time. However, </w:t>
      </w:r>
      <w:r w:rsidR="003E15CC" w:rsidRPr="00B71F92">
        <w:t>these aggregate statistics</w:t>
      </w:r>
      <w:r w:rsidRPr="00B71F92">
        <w:t xml:space="preserve"> do not provide the temporal evolution patterns </w:t>
      </w:r>
      <w:r w:rsidR="00F74FFB" w:rsidRPr="00B71F92">
        <w:t xml:space="preserve">by specific population subgroups. </w:t>
      </w:r>
      <w:r w:rsidR="00FB52EB" w:rsidRPr="00B71F92">
        <w:t>T</w:t>
      </w:r>
      <w:r w:rsidR="004D5A23" w:rsidRPr="00B71F92">
        <w:t xml:space="preserve">o </w:t>
      </w:r>
      <w:r w:rsidR="00F74FFB" w:rsidRPr="00B71F92">
        <w:t xml:space="preserve">do so, </w:t>
      </w:r>
      <w:r w:rsidR="00B01879" w:rsidRPr="00B71F92">
        <w:t xml:space="preserve">we </w:t>
      </w:r>
      <w:r w:rsidR="0085518D" w:rsidRPr="00B71F92">
        <w:t>use the average treatment effect (ATE)</w:t>
      </w:r>
      <w:r w:rsidR="00F74FFB" w:rsidRPr="00B71F92">
        <w:t xml:space="preserve"> by</w:t>
      </w:r>
      <w:r w:rsidR="00B446A2" w:rsidRPr="00B71F92">
        <w:t xml:space="preserve"> first set</w:t>
      </w:r>
      <w:r w:rsidR="00F74FFB" w:rsidRPr="00B71F92">
        <w:t>ting</w:t>
      </w:r>
      <w:r w:rsidR="00B446A2" w:rsidRPr="00B71F92">
        <w:t xml:space="preserve"> all individuals in the dataset to </w:t>
      </w:r>
      <w:r w:rsidR="00007816" w:rsidRPr="00B71F92">
        <w:t xml:space="preserve">have a specified value for one exogenous variable and to a </w:t>
      </w:r>
      <w:r w:rsidR="00D450D6" w:rsidRPr="00B71F92">
        <w:t>baseline 2019 state (that is we set the value of</w:t>
      </w:r>
      <w:r w:rsidR="000C1C31" w:rsidRPr="00B71F92">
        <w:t xml:space="preserve"> both the 2021-effect and 2023-effect indicators to zero). </w:t>
      </w:r>
      <w:r w:rsidR="00B30492" w:rsidRPr="00B71F92">
        <w:t xml:space="preserve">Then, we use the estimated coefficients </w:t>
      </w:r>
      <w:r w:rsidR="005B7A0B" w:rsidRPr="00B71F92">
        <w:t xml:space="preserve">to obtain the probability that </w:t>
      </w:r>
      <w:r w:rsidR="004421D3" w:rsidRPr="00B71F92">
        <w:t>each</w:t>
      </w:r>
      <w:r w:rsidR="005B7A0B" w:rsidRPr="00B71F92">
        <w:t xml:space="preserve"> individual would relocate or select each reason for considering relocating</w:t>
      </w:r>
      <w:r w:rsidR="004421D3" w:rsidRPr="00B71F92">
        <w:t xml:space="preserve">. The share of individuals relocating and being motivated by each reason is then simply the average </w:t>
      </w:r>
      <w:r w:rsidR="00FF6284" w:rsidRPr="00B71F92">
        <w:t xml:space="preserve">of these probabilities across all individuals. We then repeat the procedure by setting all individuals to the </w:t>
      </w:r>
      <w:r w:rsidR="00E505C1" w:rsidRPr="00B71F92">
        <w:t xml:space="preserve">2021 state (setting the value of the 2021-effect indicator to one and the 2023-effect indicator to zero). </w:t>
      </w:r>
      <w:r w:rsidR="0051006D" w:rsidRPr="00B71F92">
        <w:t xml:space="preserve">The percent change in these shares </w:t>
      </w:r>
      <w:r w:rsidR="00EC56CD" w:rsidRPr="00B71F92">
        <w:t>between</w:t>
      </w:r>
      <w:r w:rsidR="0051006D" w:rsidRPr="00B71F92">
        <w:t xml:space="preserve"> the 2019 period and 2021 period </w:t>
      </w:r>
      <w:r w:rsidR="00EC56CD" w:rsidRPr="00B71F92">
        <w:t xml:space="preserve">is presented in Table 5 with each row </w:t>
      </w:r>
      <w:r w:rsidR="00032F2D" w:rsidRPr="00B71F92">
        <w:t>corresponding to a single exogenous variable and each column to an outcome (note that the motivating reason for “</w:t>
      </w:r>
      <w:r w:rsidR="002919EC" w:rsidRPr="00B71F92">
        <w:t>b</w:t>
      </w:r>
      <w:r w:rsidR="00032F2D" w:rsidRPr="00B71F92">
        <w:t xml:space="preserve">etter access to amenities” is excluded, as this option was only provided in the 2023 wave). </w:t>
      </w:r>
      <w:r w:rsidR="005C5D42" w:rsidRPr="00B71F92">
        <w:t>For instance, the value of “</w:t>
      </w:r>
      <w:r w:rsidR="004C376E" w:rsidRPr="00B71F92">
        <w:t>0.8</w:t>
      </w:r>
      <w:r w:rsidR="005C5D42" w:rsidRPr="00B71F92">
        <w:t xml:space="preserve">” in the first numeric row and first numeric column of Table 5 indicates </w:t>
      </w:r>
      <w:r w:rsidR="00C63897" w:rsidRPr="00B71F92">
        <w:t xml:space="preserve">that young adult households were </w:t>
      </w:r>
      <w:r w:rsidR="004C376E" w:rsidRPr="00B71F92">
        <w:t>0.8</w:t>
      </w:r>
      <w:r w:rsidR="00C63897" w:rsidRPr="00B71F92">
        <w:t xml:space="preserve">% more likely to relocate </w:t>
      </w:r>
      <w:r w:rsidR="00E94521" w:rsidRPr="00B71F92">
        <w:t>during the 2021-period than during the 2019-period and the value of</w:t>
      </w:r>
      <w:r w:rsidR="00595D7A" w:rsidRPr="00B71F92">
        <w:t xml:space="preserve"> </w:t>
      </w:r>
      <w:r w:rsidR="00E94521" w:rsidRPr="00B71F92">
        <w:t>“</w:t>
      </w:r>
      <w:r w:rsidR="00595D7A">
        <w:t>–</w:t>
      </w:r>
      <w:r w:rsidR="00E94521" w:rsidRPr="00B71F92">
        <w:t>3</w:t>
      </w:r>
      <w:r w:rsidR="004A4D8C" w:rsidRPr="00B71F92">
        <w:t>1.1</w:t>
      </w:r>
      <w:r w:rsidR="00E94521" w:rsidRPr="00B71F92">
        <w:t xml:space="preserve">” in the </w:t>
      </w:r>
      <w:r w:rsidR="00E94521" w:rsidRPr="00B71F92">
        <w:lastRenderedPageBreak/>
        <w:t>following column indicates that young adults were 3</w:t>
      </w:r>
      <w:r w:rsidR="004A4D8C" w:rsidRPr="00B71F92">
        <w:t>1</w:t>
      </w:r>
      <w:r w:rsidR="00E94521" w:rsidRPr="00B71F92">
        <w:t>.</w:t>
      </w:r>
      <w:r w:rsidR="004A4D8C" w:rsidRPr="00B71F92">
        <w:t>1</w:t>
      </w:r>
      <w:r w:rsidR="00E94521" w:rsidRPr="00B71F92">
        <w:t xml:space="preserve">% less likely </w:t>
      </w:r>
      <w:r w:rsidR="00723639" w:rsidRPr="00B71F92">
        <w:t>to consider moving based on an interest in getting better access to work</w:t>
      </w:r>
      <w:r w:rsidR="00900A9A" w:rsidRPr="00B71F92">
        <w:t xml:space="preserve"> during the 2021-period than during the 2019-period. </w:t>
      </w:r>
      <w:r w:rsidR="00885FA3" w:rsidRPr="00B71F92">
        <w:t>Finally, the same procedure is repeated to determine the change in residential mobility and motivations for relocation between the 2021 period and 2023 period, and the results for this second set of ATEs are presented in Table 6.</w:t>
      </w:r>
      <w:r w:rsidR="003D2A8A" w:rsidRPr="00B71F92">
        <w:t xml:space="preserve"> </w:t>
      </w:r>
    </w:p>
    <w:p w14:paraId="53058DE8" w14:textId="6252B758" w:rsidR="00F416B2" w:rsidRPr="00B71F92" w:rsidRDefault="00D75979" w:rsidP="0080367D">
      <w:pPr>
        <w:spacing w:after="0" w:line="240" w:lineRule="auto"/>
        <w:ind w:firstLine="720"/>
        <w:jc w:val="both"/>
      </w:pPr>
      <w:r w:rsidRPr="00B71F92">
        <w:t>In both Tables 5 and 6, we provide the predicted residential move changes by population subgroups in the first column of Tables 5 and 6, followed by the residential relocation motivations in the subsequent columns.</w:t>
      </w:r>
      <w:r w:rsidR="00606067">
        <w:t xml:space="preserve"> </w:t>
      </w:r>
      <w:r w:rsidR="003D2A8A" w:rsidRPr="00B71F92">
        <w:t xml:space="preserve">In the following presentation, we focus on the </w:t>
      </w:r>
      <w:r w:rsidRPr="00B71F92">
        <w:t>latter</w:t>
      </w:r>
      <w:r w:rsidR="00606067">
        <w:t xml:space="preserve"> </w:t>
      </w:r>
      <w:r w:rsidR="003D2A8A" w:rsidRPr="00B71F92">
        <w:t xml:space="preserve">ATEs corresponding to the </w:t>
      </w:r>
      <w:r w:rsidRPr="00B71F92">
        <w:t xml:space="preserve">relocation motivations </w:t>
      </w:r>
      <w:r w:rsidR="003D2A8A" w:rsidRPr="00B71F92">
        <w:t>rather than the ATEs corresponding to actual moves themselves</w:t>
      </w:r>
      <w:r w:rsidRPr="00B71F92">
        <w:t xml:space="preserve"> to project forward into what may be the housing landscape in the future. </w:t>
      </w:r>
    </w:p>
    <w:p w14:paraId="0B011283" w14:textId="77777777" w:rsidR="00F416B2" w:rsidRPr="00B71F92" w:rsidRDefault="00F416B2" w:rsidP="008404B6">
      <w:pPr>
        <w:spacing w:after="0" w:line="240" w:lineRule="auto"/>
        <w:jc w:val="both"/>
        <w:rPr>
          <w:highlight w:val="yellow"/>
        </w:rPr>
      </w:pPr>
    </w:p>
    <w:p w14:paraId="41AA6F64" w14:textId="7E4FA0B7" w:rsidR="008404B6" w:rsidRPr="00B71F92" w:rsidRDefault="00C538D1" w:rsidP="00B33467">
      <w:pPr>
        <w:pStyle w:val="ListParagraph"/>
        <w:numPr>
          <w:ilvl w:val="1"/>
          <w:numId w:val="20"/>
        </w:numPr>
        <w:spacing w:after="0" w:line="240" w:lineRule="auto"/>
        <w:jc w:val="both"/>
        <w:rPr>
          <w:b/>
          <w:bCs/>
        </w:rPr>
      </w:pPr>
      <w:r w:rsidRPr="00B71F92">
        <w:rPr>
          <w:b/>
          <w:bCs/>
        </w:rPr>
        <w:t>Relocation Motivat</w:t>
      </w:r>
      <w:r w:rsidR="00C3689B" w:rsidRPr="00B71F92">
        <w:rPr>
          <w:b/>
          <w:bCs/>
        </w:rPr>
        <w:t>ion Changes</w:t>
      </w:r>
      <w:r w:rsidRPr="00B71F92">
        <w:rPr>
          <w:b/>
          <w:bCs/>
        </w:rPr>
        <w:t xml:space="preserve"> </w:t>
      </w:r>
      <w:r w:rsidR="00C3689B" w:rsidRPr="00B71F92">
        <w:rPr>
          <w:b/>
          <w:bCs/>
        </w:rPr>
        <w:t>Associated with</w:t>
      </w:r>
      <w:r w:rsidRPr="00B71F92">
        <w:rPr>
          <w:b/>
          <w:bCs/>
        </w:rPr>
        <w:t xml:space="preserve"> Proactive Planning Processes</w:t>
      </w:r>
    </w:p>
    <w:p w14:paraId="49E98626" w14:textId="3AB2F6A6" w:rsidR="00BB7E4B" w:rsidRPr="00B71F92" w:rsidRDefault="00F74FFB" w:rsidP="00D75979">
      <w:pPr>
        <w:spacing w:after="0" w:line="240" w:lineRule="auto"/>
        <w:jc w:val="both"/>
        <w:rPr>
          <w:b/>
          <w:bCs/>
        </w:rPr>
      </w:pPr>
      <w:r w:rsidRPr="00B71F92">
        <w:t xml:space="preserve">Table 5 shows </w:t>
      </w:r>
      <w:r w:rsidR="00D75979" w:rsidRPr="00B71F92">
        <w:t>that, relative to the 2019 period, there is a notable reduction in the 2021 period across most population subgroups in the three motivations corresponding to proactive planning processes. This reduction is particularly notable for “better access to work</w:t>
      </w:r>
      <w:r w:rsidR="007D78B4" w:rsidRPr="00B71F92">
        <w:t>,</w:t>
      </w:r>
      <w:r w:rsidR="00D75979" w:rsidRPr="00B71F92">
        <w:t xml:space="preserve">” with the </w:t>
      </w:r>
      <w:r w:rsidR="00606B50" w:rsidRPr="00B71F92">
        <w:t xml:space="preserve">reduced </w:t>
      </w:r>
      <w:r w:rsidR="003D2A8A" w:rsidRPr="00B71F92">
        <w:t xml:space="preserve">share being </w:t>
      </w:r>
      <w:r w:rsidR="00D75979" w:rsidRPr="00B71F92">
        <w:t xml:space="preserve">especially </w:t>
      </w:r>
      <w:r w:rsidR="003D2A8A" w:rsidRPr="00B71F92">
        <w:t xml:space="preserve">higher </w:t>
      </w:r>
      <w:r w:rsidR="00CD5BA8" w:rsidRPr="00B71F92">
        <w:t xml:space="preserve">among </w:t>
      </w:r>
      <w:r w:rsidR="003D2A8A" w:rsidRPr="00B71F92">
        <w:t xml:space="preserve">households with children aged 0-11 years, </w:t>
      </w:r>
      <w:r w:rsidR="007D78B4" w:rsidRPr="00B71F92">
        <w:t>low-income</w:t>
      </w:r>
      <w:r w:rsidR="003D2A8A" w:rsidRPr="00B71F92">
        <w:t xml:space="preserve"> households (less than an annual income of $50,000), Black or other households, and households with one or more graduate degree holders</w:t>
      </w:r>
      <w:r w:rsidR="00CD5BA8" w:rsidRPr="00B71F92">
        <w:t xml:space="preserve">. </w:t>
      </w:r>
      <w:r w:rsidR="00142DC4" w:rsidRPr="00B71F92">
        <w:t xml:space="preserve">The implications of this change in terms of </w:t>
      </w:r>
      <w:r w:rsidR="00BA0D90" w:rsidRPr="00B71F92">
        <w:t xml:space="preserve">urban planning and travel demand modeling are significant, as traditional </w:t>
      </w:r>
      <w:r w:rsidR="001B67AA" w:rsidRPr="00B71F92">
        <w:t xml:space="preserve">approaches to </w:t>
      </w:r>
      <w:r w:rsidR="00D45D0A" w:rsidRPr="00B71F92">
        <w:t>residential location choice</w:t>
      </w:r>
      <w:r w:rsidR="001B67AA" w:rsidRPr="00B71F92">
        <w:t xml:space="preserve"> modeling have focused on commute distance as a </w:t>
      </w:r>
      <w:r w:rsidR="00D45D0A" w:rsidRPr="00B71F92">
        <w:t>primary determinant</w:t>
      </w:r>
      <w:r w:rsidR="00F613E3" w:rsidRPr="00B71F92">
        <w:t xml:space="preserve"> of these decisions</w:t>
      </w:r>
      <w:r w:rsidR="00D45D0A" w:rsidRPr="00B71F92">
        <w:t xml:space="preserve">. </w:t>
      </w:r>
      <w:r w:rsidR="00645CD5" w:rsidRPr="00B71F92">
        <w:t xml:space="preserve">The rapid changes to working conditions during the 2021 period highlight that </w:t>
      </w:r>
      <w:r w:rsidR="00E653A9" w:rsidRPr="00B71F92">
        <w:t xml:space="preserve">housing may no longer be as closely bound to employment accessibility, as the embrace of remote work </w:t>
      </w:r>
      <w:r w:rsidR="00B142FB" w:rsidRPr="00B71F92">
        <w:t xml:space="preserve">removes some spatial constraints on housing choices. </w:t>
      </w:r>
      <w:r w:rsidR="009900A6" w:rsidRPr="00B71F92">
        <w:t xml:space="preserve">Instead, models of residential relocation and residential location choices will need to more carefully consider </w:t>
      </w:r>
      <w:r w:rsidR="00606B50" w:rsidRPr="00B71F92">
        <w:t xml:space="preserve">household composition and race/ethnicity factors, as well as </w:t>
      </w:r>
      <w:r w:rsidR="009900A6" w:rsidRPr="00B71F92">
        <w:t>neighborhood and dwelling unit characteristics</w:t>
      </w:r>
      <w:r w:rsidR="00606B50" w:rsidRPr="00B71F92">
        <w:t>,</w:t>
      </w:r>
      <w:r w:rsidR="009900A6" w:rsidRPr="00B71F92">
        <w:t xml:space="preserve"> that may play a greater role in housing decisions</w:t>
      </w:r>
      <w:r w:rsidR="00B015EF" w:rsidRPr="00B71F92">
        <w:t xml:space="preserve"> </w:t>
      </w:r>
      <w:r w:rsidR="00B015EF" w:rsidRPr="00B71F92">
        <w:fldChar w:fldCharType="begin"/>
      </w:r>
      <w:r w:rsidR="00ED365A">
        <w:instrText xml:space="preserve"> ADDIN ZOTERO_ITEM CSL_CITATION {"citationID":"icfyLqt9","properties":{"formattedCitation":"(Robbennolt et al., 2024b)","plainCitation":"(Robbennolt et al., 2024b)","dontUpdate":true,"noteIndex":0},"citationItems":[{"id":3779,"uris":["http://zotero.org/users/12832277/items/2DZBCAUM"],"itemData":{"id":3779,"type":"article-journal","abstract":"We estimate a joint model of housing choice along several dimensions to account for changing valuations of housing outcomes due to the COVID-19 pandemic. We consider housing outcomes including housing type, tenure type, the presence of a patio or yard, the number of bedrooms, neighborhood population density, median housing cost, accessibility of amenities, school quality, crime rate, and commute distance. Data used for this analysis were collected in October and November of 2021 from 24 metropolitan areas across the United States. A Generalized Heterogeneous Data Model (GHDM) is used to estimate these housing outcomes as a function of exogenous household sociodemographic characteristics and latent lifestyle propensities. The GHDM also captures jointness caused by unobserved factors, allowing for the estimation of accurate causal effects between outcomes. The results reveal that lifestyle preferences have significant impacts on housing outcomes. Specifically, individuals with a preference for teleworking are more likely to reside in single-family homes in highly populated areas, experience longer commute distances, and exhibit a higher sensitivity to the presence of amenities in their neighborhoods. Additionally, the analysis of tradeoffs between housing outcomes reveals the relative valuations of various housing outcomes. An increased commute distance is found to lead to an increase in single-family homes, reductions in density, and an increased crime rate. Choosing an apartment in a high-density neighborhood is found to lead to reductions in school quality and significant increases in crime rates. Implications of the results for land-use planning, travel demand analysis, and equity considerations are identified and discussed.","container-title":"Transportation Research Part A: Policy and Practice","DOI":"10.1016/j.tra.2024.104285","ISSN":"0965-8564","page":"104285","source":"ScienceDirect","title":"Housing Choice in an Evolving Remote Work Landscape","volume":"190","author":[{"family":"Robbennolt","given":"Dale"},{"family":"Haddad","given":"Angela J."},{"family":"Mondal","given":"Aupal"},{"family":"Bhat","given":"Chandra R."}],"issued":{"date-parts":[["2024",12,1]]}}}],"schema":"https://github.com/citation-style-language/schema/raw/master/csl-citation.json"} </w:instrText>
      </w:r>
      <w:r w:rsidR="00B015EF" w:rsidRPr="00B71F92">
        <w:fldChar w:fldCharType="separate"/>
      </w:r>
      <w:r w:rsidR="00B015EF" w:rsidRPr="00B71F92">
        <w:t>(</w:t>
      </w:r>
      <w:r w:rsidR="00B4064F" w:rsidRPr="00B71F92">
        <w:t xml:space="preserve">see </w:t>
      </w:r>
      <w:r w:rsidR="00B015EF" w:rsidRPr="00B71F92">
        <w:t>Robbennolt et al., 2024b)</w:t>
      </w:r>
      <w:r w:rsidR="00B015EF" w:rsidRPr="00B71F92">
        <w:fldChar w:fldCharType="end"/>
      </w:r>
      <w:r w:rsidR="009900A6" w:rsidRPr="00B71F92">
        <w:t xml:space="preserve">. </w:t>
      </w:r>
      <w:r w:rsidR="00B142FB" w:rsidRPr="00B71F92">
        <w:t xml:space="preserve">Although </w:t>
      </w:r>
      <w:r w:rsidR="00B50EE1" w:rsidRPr="00B71F92">
        <w:t xml:space="preserve">there has been some increase in consideration of relocation due to </w:t>
      </w:r>
      <w:r w:rsidR="00106796" w:rsidRPr="00B71F92">
        <w:t>interest in better access to work in the 2023 period</w:t>
      </w:r>
      <w:r w:rsidR="00606B50" w:rsidRPr="00B71F92">
        <w:t xml:space="preserve"> relative to the 2021 period</w:t>
      </w:r>
      <w:r w:rsidR="004C11C0" w:rsidRPr="00B71F92">
        <w:t xml:space="preserve"> (see Table 6)</w:t>
      </w:r>
      <w:r w:rsidR="00106796" w:rsidRPr="00B71F92">
        <w:t xml:space="preserve">, this particular reason for </w:t>
      </w:r>
      <w:r w:rsidR="00606B50" w:rsidRPr="00B71F92">
        <w:t xml:space="preserve">considering </w:t>
      </w:r>
      <w:r w:rsidR="00235B64" w:rsidRPr="00B71F92">
        <w:t>relocation</w:t>
      </w:r>
      <w:r w:rsidR="00106796" w:rsidRPr="00B71F92">
        <w:t xml:space="preserve"> has not rebounded to the 2019 level and </w:t>
      </w:r>
      <w:r w:rsidR="003F5A47" w:rsidRPr="00B71F92">
        <w:t xml:space="preserve">interest in moving to access work locations has </w:t>
      </w:r>
      <w:r w:rsidR="00A43C3B" w:rsidRPr="00B71F92">
        <w:t xml:space="preserve">actually continued to </w:t>
      </w:r>
      <w:r w:rsidR="002727CA" w:rsidRPr="00B71F92">
        <w:t>decrease</w:t>
      </w:r>
      <w:r w:rsidR="00A43C3B" w:rsidRPr="00B71F92">
        <w:t xml:space="preserve"> for some, such as among those with moderately high incomes ($100,000-$199,999).</w:t>
      </w:r>
      <w:r w:rsidR="007D5BB8" w:rsidRPr="00B71F92">
        <w:t xml:space="preserve"> </w:t>
      </w:r>
      <w:r w:rsidR="00247D7F" w:rsidRPr="00B71F92">
        <w:t xml:space="preserve">Further, these changes to housing preferences </w:t>
      </w:r>
      <w:r w:rsidR="0063311F" w:rsidRPr="00B71F92">
        <w:t xml:space="preserve">will have downstream effects on transportation outcomes, leading to changing commute patterns </w:t>
      </w:r>
      <w:r w:rsidR="00F10B84" w:rsidRPr="00B71F92">
        <w:t xml:space="preserve">as some families choose to live farther from their workplaces and commute less frequently. </w:t>
      </w:r>
      <w:r w:rsidR="005419EB" w:rsidRPr="00B71F92">
        <w:t xml:space="preserve">At the same time, if these families choose neighborhoods based more on lifestyle preferences than </w:t>
      </w:r>
      <w:r w:rsidR="005C7AB7" w:rsidRPr="00B71F92">
        <w:t>workplace location, there may be an increase in shorter off-peak trips for non-work purposes.</w:t>
      </w:r>
    </w:p>
    <w:p w14:paraId="7CEBA446" w14:textId="7D52784C" w:rsidR="001046A3" w:rsidRPr="00B71F92" w:rsidRDefault="00E60925" w:rsidP="00B33467">
      <w:pPr>
        <w:spacing w:after="0" w:line="240" w:lineRule="auto"/>
        <w:jc w:val="both"/>
      </w:pPr>
      <w:r w:rsidRPr="00B71F92">
        <w:tab/>
        <w:t xml:space="preserve">Another notable change in terms of these longer-term planning processes </w:t>
      </w:r>
      <w:r w:rsidR="00D513B8" w:rsidRPr="00B71F92">
        <w:t xml:space="preserve">is that </w:t>
      </w:r>
      <w:r w:rsidR="00754811" w:rsidRPr="00B71F92">
        <w:t xml:space="preserve">the </w:t>
      </w:r>
      <w:r w:rsidR="00606B50" w:rsidRPr="00B71F92">
        <w:t>consideration</w:t>
      </w:r>
      <w:r w:rsidR="00754811" w:rsidRPr="00B71F92">
        <w:t xml:space="preserve"> of moves </w:t>
      </w:r>
      <w:r w:rsidR="00606B50" w:rsidRPr="00B71F92">
        <w:t xml:space="preserve">for </w:t>
      </w:r>
      <w:r w:rsidR="00754811" w:rsidRPr="00B71F92">
        <w:t xml:space="preserve">upgrading or buying homes has declined in the 2021 period </w:t>
      </w:r>
      <w:r w:rsidR="004C11C0" w:rsidRPr="00B71F92">
        <w:t xml:space="preserve">relative to the 2019 period across all household lifecycle/composition, employment/education, and race/ethnicity variables, except for households with older adults, extended families, and those with low formal education. This decline has </w:t>
      </w:r>
      <w:r w:rsidR="00754811" w:rsidRPr="00B71F92">
        <w:t xml:space="preserve">not recovered in the 2023 period. </w:t>
      </w:r>
      <w:r w:rsidR="00D34EA6" w:rsidRPr="00B71F92">
        <w:t xml:space="preserve">In fact, among </w:t>
      </w:r>
      <w:r w:rsidR="00F27E8B" w:rsidRPr="00B71F92">
        <w:t>Asian household</w:t>
      </w:r>
      <w:r w:rsidR="00691B9F" w:rsidRPr="00B71F92">
        <w:t>s</w:t>
      </w:r>
      <w:r w:rsidR="00F27E8B" w:rsidRPr="00B71F92">
        <w:t xml:space="preserve"> and </w:t>
      </w:r>
      <w:r w:rsidR="00D34EA6" w:rsidRPr="00B71F92">
        <w:t xml:space="preserve">those with </w:t>
      </w:r>
      <w:r w:rsidR="00A50362" w:rsidRPr="00B71F92">
        <w:t>younger children (aged 0-4), interest in upgrading or buying a home declined further during the 2023 period.</w:t>
      </w:r>
      <w:r w:rsidR="00E776D6" w:rsidRPr="00B71F92">
        <w:t xml:space="preserve"> </w:t>
      </w:r>
      <w:r w:rsidR="001046A3" w:rsidRPr="00B71F92">
        <w:t>This finding suggests a slowdown in upward residential mobility</w:t>
      </w:r>
      <w:r w:rsidR="00E159EB" w:rsidRPr="00B71F92">
        <w:t xml:space="preserve">, </w:t>
      </w:r>
      <w:r w:rsidR="00764ADD" w:rsidRPr="00B71F92">
        <w:t xml:space="preserve">particularly among younger families and those with children. As noted previously, </w:t>
      </w:r>
      <w:r w:rsidR="004C5C4A" w:rsidRPr="00B71F92">
        <w:t xml:space="preserve">Seattle has experienced increasing housing costs over the last several years and has a larger renting population than most large American cities </w:t>
      </w:r>
      <w:r w:rsidR="004C5C4A" w:rsidRPr="00B71F92">
        <w:fldChar w:fldCharType="begin"/>
      </w:r>
      <w:r w:rsidR="00B015EF" w:rsidRPr="00B71F92">
        <w:instrText xml:space="preserve"> ADDIN ZOTERO_ITEM CSL_CITATION {"citationID":"nUYzxsBl","properties":{"formattedCitation":"(Washington Center for Real Estate Research, 2023)","plainCitation":"(Washington Center for Real Estate Research, 2023)","noteIndex":0},"citationItems":[{"id":4691,"uris":["http://zotero.org/users/12832277/items/8CJHAZI5"],"itemData":{"id":4691,"type":"report","event-place":"Seattle, WA","page":"1-30","publisher":"University of Washington","publisher-place":"Seattle, WA","title":"Washington State Housing Market Report","URL":"https://wcrer.be.uw.edu/wp-content/uploads/sites/60/2024/02/Housing-Market-Report-Q4-2023.pdf","author":[{"family":"Washington Center for Real Estate Research","given":""}],"issued":{"date-parts":[["2023"]]}}}],"schema":"https://github.com/citation-style-language/schema/raw/master/csl-citation.json"} </w:instrText>
      </w:r>
      <w:r w:rsidR="004C5C4A" w:rsidRPr="00B71F92">
        <w:fldChar w:fldCharType="separate"/>
      </w:r>
      <w:r w:rsidR="004C5C4A" w:rsidRPr="00B71F92">
        <w:t>(Washington Center for Real Estate Research, 2023)</w:t>
      </w:r>
      <w:r w:rsidR="004C5C4A" w:rsidRPr="00B71F92">
        <w:fldChar w:fldCharType="end"/>
      </w:r>
      <w:r w:rsidR="007C4535" w:rsidRPr="00B71F92">
        <w:t xml:space="preserve">, </w:t>
      </w:r>
      <w:r w:rsidR="00D862C0" w:rsidRPr="00B71F92">
        <w:t xml:space="preserve">constraining many families to the rental market. </w:t>
      </w:r>
      <w:r w:rsidR="00506CFC" w:rsidRPr="00B71F92">
        <w:t>These growing barriers to homeownership</w:t>
      </w:r>
      <w:r w:rsidR="00606B50" w:rsidRPr="00B71F92">
        <w:t xml:space="preserve">, while </w:t>
      </w:r>
      <w:r w:rsidR="00606B50" w:rsidRPr="00B71F92">
        <w:lastRenderedPageBreak/>
        <w:t>potentially beneficial in some ways,</w:t>
      </w:r>
      <w:r w:rsidR="00506CFC" w:rsidRPr="00B71F92">
        <w:t xml:space="preserve"> </w:t>
      </w:r>
      <w:r w:rsidR="00E565D1" w:rsidRPr="00B71F92">
        <w:t xml:space="preserve">can </w:t>
      </w:r>
      <w:r w:rsidR="00606B50" w:rsidRPr="00B71F92">
        <w:t xml:space="preserve">also </w:t>
      </w:r>
      <w:r w:rsidR="00E565D1" w:rsidRPr="00B71F92">
        <w:t xml:space="preserve">limit social mobility. At the same time, as these needs are not met, and particularly in the context of a concurrent reduction in the need to be located near employment, </w:t>
      </w:r>
      <w:r w:rsidR="00547BC2" w:rsidRPr="00B71F92">
        <w:t xml:space="preserve">planners and real-estate developers should consider ways to upgrade </w:t>
      </w:r>
      <w:r w:rsidR="00415DD8" w:rsidRPr="00B71F92">
        <w:t xml:space="preserve">existing housing stock </w:t>
      </w:r>
      <w:r w:rsidR="00235B64" w:rsidRPr="00B71F92">
        <w:t xml:space="preserve">without displacing existing residents. </w:t>
      </w:r>
      <w:r w:rsidR="00606B50" w:rsidRPr="00B71F92">
        <w:t>Y</w:t>
      </w:r>
      <w:r w:rsidR="00235B64" w:rsidRPr="00B71F92">
        <w:t>ounger families, in particular, may be interested in housing improvements and neighborhood revitalization projects in the</w:t>
      </w:r>
      <w:r w:rsidR="008808E7" w:rsidRPr="00B71F92">
        <w:t>ir</w:t>
      </w:r>
      <w:r w:rsidR="00235B64" w:rsidRPr="00B71F92">
        <w:t xml:space="preserve"> current homes and communities if they do not see relocation as a viable option for housing improvements. </w:t>
      </w:r>
    </w:p>
    <w:p w14:paraId="37B022E6" w14:textId="406AC58B" w:rsidR="00B33467" w:rsidRPr="00B71F92" w:rsidRDefault="003930CF" w:rsidP="00B33467">
      <w:pPr>
        <w:spacing w:after="0" w:line="240" w:lineRule="auto"/>
        <w:jc w:val="both"/>
      </w:pPr>
      <w:r w:rsidRPr="00B71F92">
        <w:t xml:space="preserve"> </w:t>
      </w:r>
    </w:p>
    <w:p w14:paraId="089E36BB" w14:textId="3042A989" w:rsidR="00E776D6" w:rsidRPr="00B71F92" w:rsidRDefault="009153EE" w:rsidP="00E776D6">
      <w:pPr>
        <w:spacing w:after="0" w:line="240" w:lineRule="auto"/>
        <w:jc w:val="both"/>
        <w:rPr>
          <w:b/>
          <w:bCs/>
        </w:rPr>
      </w:pPr>
      <w:r w:rsidRPr="00B71F92">
        <w:rPr>
          <w:b/>
          <w:bCs/>
        </w:rPr>
        <w:t>5.2 Relocation Motivat</w:t>
      </w:r>
      <w:r w:rsidR="00C3689B" w:rsidRPr="00B71F92">
        <w:rPr>
          <w:b/>
          <w:bCs/>
        </w:rPr>
        <w:t xml:space="preserve">ion Changes Associated with </w:t>
      </w:r>
      <w:r w:rsidR="00AF4AD0" w:rsidRPr="00B71F92">
        <w:rPr>
          <w:b/>
          <w:bCs/>
        </w:rPr>
        <w:t xml:space="preserve">Disconnects Between Preferences and </w:t>
      </w:r>
      <w:r w:rsidR="00BA4EA1" w:rsidRPr="00B71F92">
        <w:rPr>
          <w:b/>
          <w:bCs/>
        </w:rPr>
        <w:t>Housing</w:t>
      </w:r>
    </w:p>
    <w:p w14:paraId="0FBFC49D" w14:textId="13BC48CC" w:rsidR="00FE6A3B" w:rsidRPr="00B71F92" w:rsidRDefault="001E79CD" w:rsidP="001766B6">
      <w:pPr>
        <w:spacing w:after="0" w:line="240" w:lineRule="auto"/>
        <w:jc w:val="both"/>
      </w:pPr>
      <w:r w:rsidRPr="00B71F92">
        <w:t>The growing desire for space at home</w:t>
      </w:r>
      <w:r w:rsidR="003D0B87" w:rsidRPr="00B71F92">
        <w:t xml:space="preserve"> during the 2021 </w:t>
      </w:r>
      <w:r w:rsidR="00F6233F" w:rsidRPr="00B71F92">
        <w:t>period,</w:t>
      </w:r>
      <w:r w:rsidRPr="00B71F92">
        <w:t xml:space="preserve"> </w:t>
      </w:r>
      <w:r w:rsidR="00AF4AD0" w:rsidRPr="00B71F92">
        <w:t>relative to the 2019 period</w:t>
      </w:r>
      <w:r w:rsidR="00F6233F" w:rsidRPr="00B71F92">
        <w:t>,</w:t>
      </w:r>
      <w:r w:rsidR="00AF4AD0" w:rsidRPr="00B71F92">
        <w:t xml:space="preserve"> </w:t>
      </w:r>
      <w:r w:rsidR="00176F8F" w:rsidRPr="00B71F92">
        <w:t xml:space="preserve">across all population subgroups </w:t>
      </w:r>
      <w:r w:rsidRPr="00B71F92">
        <w:t xml:space="preserve">represents a similar reaction to stay-at-home orders during the COVID-19 pandemic and the growth of remote work discussed in the previous section. </w:t>
      </w:r>
      <w:r w:rsidR="007330F0" w:rsidRPr="00B71F92">
        <w:t xml:space="preserve">The growth of virtual activities that may be undertaken at home means that attributes such as physical space in the dwelling unit may be playing a larger role in relocation decisions than </w:t>
      </w:r>
      <w:r w:rsidR="00F943A0" w:rsidRPr="00B71F92">
        <w:t xml:space="preserve">traditional location-related factors </w:t>
      </w:r>
      <w:r w:rsidR="00AF4AD0" w:rsidRPr="00B71F92">
        <w:t>such as</w:t>
      </w:r>
      <w:r w:rsidR="00F943A0" w:rsidRPr="00B71F92">
        <w:t xml:space="preserve"> commute distance. Although this shift to relocation</w:t>
      </w:r>
      <w:r w:rsidR="00AF4AD0" w:rsidRPr="00B71F92">
        <w:t xml:space="preserve"> considerations</w:t>
      </w:r>
      <w:r w:rsidR="00F943A0" w:rsidRPr="00B71F92">
        <w:t xml:space="preserve"> driven by desire for more space at home </w:t>
      </w:r>
      <w:r w:rsidR="00CF724C" w:rsidRPr="00B71F92">
        <w:t>reversed somewhat in the 2023 period</w:t>
      </w:r>
      <w:r w:rsidR="00AF4AD0" w:rsidRPr="00B71F92">
        <w:t xml:space="preserve"> </w:t>
      </w:r>
      <w:r w:rsidR="00176F8F" w:rsidRPr="00B71F92">
        <w:t xml:space="preserve">relative to the 2021 period for all subgroups except extended families </w:t>
      </w:r>
      <w:r w:rsidR="00AF4AD0" w:rsidRPr="00B71F92">
        <w:t>(see Table 6)</w:t>
      </w:r>
      <w:r w:rsidR="00CF724C" w:rsidRPr="00B71F92">
        <w:t xml:space="preserve">, it again did not revert fully to the baseline levels in the 2019 period, suggesting that these changing motivations may </w:t>
      </w:r>
      <w:r w:rsidR="00BF1608" w:rsidRPr="00B71F92">
        <w:t>be here to stay.</w:t>
      </w:r>
      <w:r w:rsidR="00AF4AD0" w:rsidRPr="00B71F92">
        <w:t xml:space="preserve"> Such </w:t>
      </w:r>
      <w:r w:rsidR="00E264C3" w:rsidRPr="00B71F92">
        <w:t>chang</w:t>
      </w:r>
      <w:r w:rsidR="00AF4AD0" w:rsidRPr="00B71F92">
        <w:t xml:space="preserve">ing motivations </w:t>
      </w:r>
      <w:r w:rsidR="00E264C3" w:rsidRPr="00B71F92">
        <w:t>have profound implications for real estate markets, as properties with dedicated workspace, outdoor access, and flexible layouts</w:t>
      </w:r>
      <w:r w:rsidR="004214D3" w:rsidRPr="00B71F92">
        <w:t xml:space="preserve"> may continue to grow in popularity, even for those who still desire physical accessibility and urban living</w:t>
      </w:r>
      <w:r w:rsidR="002E1CC7">
        <w:t xml:space="preserve"> </w:t>
      </w:r>
      <w:r w:rsidR="00ED365A">
        <w:fldChar w:fldCharType="begin"/>
      </w:r>
      <w:r w:rsidR="00ED365A">
        <w:instrText xml:space="preserve"> ADDIN ZOTERO_ITEM CSL_CITATION {"citationID":"RNehEy30","properties":{"formattedCitation":"(Wang et al., 2024)","plainCitation":"(Wang et al., 2024)","noteIndex":0},"citationItems":[{"id":2128,"uris":["http://zotero.org/users/12832277/items/5FBJIDWV"],"itemData":{"id":2128,"type":"article-journal","abstract":"The COVID-19 pandemic has prompted homeworking to become a ‘new normal’. Consequently, the effects of various homeworking-related housing attributes on housing prices may be changed. However, few studies have explicitly examined if and how the practice of homeworking changes the associations between these particular housing attributes and housing prices. In light of this, based on a database of 2-year property transaction records in Guangzhou, China, this study develops several multilevel hedonic price models and multilevel difference-in-differences (DID) hedonic price models to delve into the COVID-19-induced variations in such housing attributes-housing prices associations. Our findings are as follows. (1) The practice of homeworking seems not to have fundamentally changed the effects of homeworking-related housing attributes on housing prices (suggested by the unchanged coefficient directions between pre- and post-COVID models); (2) Significant differences do exist in magnitudes of the effects of homeworking-related housing attributes on housing prices between pre- and post-COVID periods; (3) Those attributes (associated with homeworking space, convenient commute between workplace and home, and necessary needs of daily shopping and services) that facilitate homeworking tend to have higher price premiums and/or lower price discounts. This study provides novel evidence on hedonic price effects of homeworking in housing markets and their variations from pre-COVID to Post-COVID periods, which enriches the recently heated debates on property market responses to COVID-19.","container-title":"Journal of Housing and the Built Environment","DOI":"10.1007/s10901-023-10102-5","ISSN":"1573-7772","language":"en","source":"Springer Link","title":"Hedonic Price Effects of Homeworking Under the COVID-19: Evidence from Housing Markets in Guangzhou, China","URL":"https://doi.org/10.1007/s10901-023-10102-5","author":[{"family":"Wang","given":"Bo"},{"family":"Feng","given":"Xin"},{"family":"Loo","given":"Becky P. Y."},{"family":"Xue","given":"Desheng"},{"family":"Liu","given":"Jixiang"},{"family":"Tong","given":"Siyao"}],"accessed":{"date-parts":[["2024",1,24]]},"issued":{"date-parts":[["2024",1,9]]}}}],"schema":"https://github.com/citation-style-language/schema/raw/master/csl-citation.json"} </w:instrText>
      </w:r>
      <w:r w:rsidR="00ED365A">
        <w:fldChar w:fldCharType="separate"/>
      </w:r>
      <w:r w:rsidR="00ED365A" w:rsidRPr="00ED365A">
        <w:t>(</w:t>
      </w:r>
      <w:r w:rsidR="00ED365A">
        <w:t xml:space="preserve">see also, </w:t>
      </w:r>
      <w:r w:rsidR="00ED365A" w:rsidRPr="00ED365A">
        <w:t>Wang et al., 202</w:t>
      </w:r>
      <w:r w:rsidR="001F31AF">
        <w:t>5</w:t>
      </w:r>
      <w:r w:rsidR="00ED365A" w:rsidRPr="00ED365A">
        <w:t>)</w:t>
      </w:r>
      <w:r w:rsidR="00ED365A">
        <w:fldChar w:fldCharType="end"/>
      </w:r>
      <w:r w:rsidR="004214D3" w:rsidRPr="00B71F92">
        <w:t xml:space="preserve">. Also </w:t>
      </w:r>
      <w:r w:rsidR="00644B32" w:rsidRPr="00B71F92">
        <w:t xml:space="preserve">not surprisingly, this trend was stronger for older adults, with </w:t>
      </w:r>
      <w:r w:rsidR="00FE6A3B" w:rsidRPr="00B71F92">
        <w:t>households</w:t>
      </w:r>
      <w:r w:rsidR="00644B32" w:rsidRPr="00B71F92">
        <w:t xml:space="preserve"> comprised of adults</w:t>
      </w:r>
      <w:r w:rsidR="0031647D" w:rsidRPr="00B71F92">
        <w:t xml:space="preserve"> aged</w:t>
      </w:r>
      <w:r w:rsidR="00644B32" w:rsidRPr="00B71F92">
        <w:t xml:space="preserve"> 65 years old </w:t>
      </w:r>
      <w:r w:rsidR="0031647D" w:rsidRPr="00B71F92">
        <w:t>or</w:t>
      </w:r>
      <w:r w:rsidR="00644B32" w:rsidRPr="00B71F92">
        <w:t xml:space="preserve"> older </w:t>
      </w:r>
      <w:r w:rsidR="00F95FDB" w:rsidRPr="00B71F92">
        <w:t>being 1</w:t>
      </w:r>
      <w:r w:rsidR="00F11A66" w:rsidRPr="00B71F92">
        <w:t>33</w:t>
      </w:r>
      <w:r w:rsidR="00F95FDB" w:rsidRPr="00B71F92">
        <w:t>.</w:t>
      </w:r>
      <w:r w:rsidR="00F11A66" w:rsidRPr="00B71F92">
        <w:t>0</w:t>
      </w:r>
      <w:r w:rsidR="00F95FDB" w:rsidRPr="00B71F92">
        <w:t>% more likely to consider relocating due to a desire for more space in the 2021 period compared with the 2019 period</w:t>
      </w:r>
      <w:r w:rsidR="00AF4AD0" w:rsidRPr="00B71F92">
        <w:t xml:space="preserve"> (see Table 5)</w:t>
      </w:r>
      <w:r w:rsidR="00F95FDB" w:rsidRPr="00B71F92">
        <w:t>. And, in the reverse direction, these older adult households were 1</w:t>
      </w:r>
      <w:r w:rsidR="00F11A66" w:rsidRPr="00B71F92">
        <w:t>87</w:t>
      </w:r>
      <w:r w:rsidR="00AF4AD0" w:rsidRPr="00B71F92">
        <w:t>.9</w:t>
      </w:r>
      <w:r w:rsidR="00F95FDB" w:rsidRPr="00B71F92">
        <w:t xml:space="preserve">% more likely to move </w:t>
      </w:r>
      <w:r w:rsidR="003C7914" w:rsidRPr="00B71F92">
        <w:t>due to a desire for less space in their home in the 2023 period compared with the 2021 period</w:t>
      </w:r>
      <w:r w:rsidR="00AF4AD0" w:rsidRPr="00B71F92">
        <w:t xml:space="preserve"> (see Table 6)</w:t>
      </w:r>
      <w:r w:rsidR="003C7914" w:rsidRPr="00B71F92">
        <w:t xml:space="preserve">. </w:t>
      </w:r>
      <w:r w:rsidR="00471968" w:rsidRPr="00B71F92">
        <w:t>The initial preference for space highlights that older adults were more susceptible to being confined at home for longer periods during the pandemic</w:t>
      </w:r>
      <w:r w:rsidR="00820A3B" w:rsidRPr="00B71F92">
        <w:t>, leading to a</w:t>
      </w:r>
      <w:r w:rsidR="00EE1678" w:rsidRPr="00B71F92">
        <w:t xml:space="preserve"> heightened preference for space and support for home-based activities during the pandemic. But, the reversal of these trends highlights that this may have occurred more as a temporary response to </w:t>
      </w:r>
      <w:r w:rsidR="00820A3B" w:rsidRPr="00B71F92">
        <w:t xml:space="preserve">pandemic </w:t>
      </w:r>
      <w:r w:rsidR="00EE1678" w:rsidRPr="00B71F92">
        <w:t xml:space="preserve">conditions </w:t>
      </w:r>
      <w:r w:rsidR="00820A3B" w:rsidRPr="00B71F92">
        <w:t xml:space="preserve">rather </w:t>
      </w:r>
      <w:r w:rsidR="00EE1678" w:rsidRPr="00B71F92">
        <w:t>than a longer-term change, as the heightened propensity to move to homes with less space in the 2023 period</w:t>
      </w:r>
      <w:r w:rsidR="0066063E" w:rsidRPr="00B71F92">
        <w:t xml:space="preserve">, suggests that these individuals may have eventually </w:t>
      </w:r>
      <w:r w:rsidR="00FA4129" w:rsidRPr="00B71F92">
        <w:t xml:space="preserve">followed through on long-term plans to move after the effects of the pandemic subsided. </w:t>
      </w:r>
      <w:r w:rsidR="002B3A32" w:rsidRPr="00B71F92">
        <w:t>Th</w:t>
      </w:r>
      <w:r w:rsidR="001766B6" w:rsidRPr="00B71F92">
        <w:t xml:space="preserve">ese findings also highlight how these individuals </w:t>
      </w:r>
      <w:r w:rsidR="00FE6A3B" w:rsidRPr="00B71F92">
        <w:t xml:space="preserve">navigate the housing market to adapt their own longer-term plans based on </w:t>
      </w:r>
      <w:r w:rsidR="001766B6" w:rsidRPr="00B71F92">
        <w:t xml:space="preserve">evolving </w:t>
      </w:r>
      <w:r w:rsidR="002B3A32" w:rsidRPr="00B71F92">
        <w:t xml:space="preserve">external conditions </w:t>
      </w:r>
      <w:r w:rsidR="00FE6A3B" w:rsidRPr="00B71F92">
        <w:t>and their own changing needs</w:t>
      </w:r>
      <w:r w:rsidR="00820A3B" w:rsidRPr="00B71F92">
        <w:t>, another affirmation of structuration theory at play</w:t>
      </w:r>
      <w:r w:rsidR="00FE6A3B" w:rsidRPr="00B71F92">
        <w:t xml:space="preserve">. </w:t>
      </w:r>
    </w:p>
    <w:p w14:paraId="2DAA554B" w14:textId="5C032212" w:rsidR="005D5781" w:rsidRPr="00B71F92" w:rsidRDefault="001766B6" w:rsidP="000D14A3">
      <w:pPr>
        <w:spacing w:after="0" w:line="240" w:lineRule="auto"/>
        <w:jc w:val="both"/>
      </w:pPr>
      <w:r w:rsidRPr="00B71F92">
        <w:t xml:space="preserve"> </w:t>
      </w:r>
      <w:r w:rsidR="000419C9" w:rsidRPr="00B71F92">
        <w:tab/>
      </w:r>
      <w:r w:rsidR="009E1D01" w:rsidRPr="00B71F92">
        <w:t xml:space="preserve">Relocations made in response to safety concerns have </w:t>
      </w:r>
      <w:r w:rsidR="00507E87" w:rsidRPr="00B71F92">
        <w:t>varied significantly across demographic groups and over time</w:t>
      </w:r>
      <w:r w:rsidR="00EB7AC6" w:rsidRPr="00B71F92">
        <w:t>,</w:t>
      </w:r>
      <w:r w:rsidR="00507E87" w:rsidRPr="00B71F92">
        <w:t xml:space="preserve"> </w:t>
      </w:r>
      <w:r w:rsidR="00E164D3" w:rsidRPr="00B71F92">
        <w:t xml:space="preserve">generally </w:t>
      </w:r>
      <w:r w:rsidR="00507E87" w:rsidRPr="00B71F92">
        <w:t xml:space="preserve">increasing in the 2021 period compared with the 2019 period before declining in the 2023 period. </w:t>
      </w:r>
      <w:r w:rsidR="00D240B6" w:rsidRPr="00B71F92">
        <w:t xml:space="preserve">Notably, the increase in safety-related </w:t>
      </w:r>
      <w:r w:rsidR="00763B30" w:rsidRPr="00B71F92">
        <w:t xml:space="preserve">concerns was much stronger for Black families during the 2021 period, </w:t>
      </w:r>
      <w:r w:rsidR="008A0229" w:rsidRPr="00B71F92">
        <w:t>a 14</w:t>
      </w:r>
      <w:r w:rsidR="00621EC2" w:rsidRPr="00B71F92">
        <w:t>9</w:t>
      </w:r>
      <w:r w:rsidR="008A0229" w:rsidRPr="00B71F92">
        <w:t>.3% increase from the 2019 period</w:t>
      </w:r>
      <w:r w:rsidR="00CD1313" w:rsidRPr="00B71F92">
        <w:t xml:space="preserve">, and </w:t>
      </w:r>
      <w:r w:rsidR="00D65FFD" w:rsidRPr="00B71F92">
        <w:t>has</w:t>
      </w:r>
      <w:r w:rsidR="008E0E88" w:rsidRPr="00B71F92">
        <w:t xml:space="preserve"> </w:t>
      </w:r>
      <w:r w:rsidR="00CD1313" w:rsidRPr="00B71F92">
        <w:t>not subsided nearly to the same extent during the 2023 period</w:t>
      </w:r>
      <w:r w:rsidR="008A0229" w:rsidRPr="00B71F92">
        <w:t>.</w:t>
      </w:r>
      <w:r w:rsidR="00992ABC" w:rsidRPr="00B71F92">
        <w:t xml:space="preserve"> </w:t>
      </w:r>
      <w:r w:rsidR="00000261" w:rsidRPr="00B71F92">
        <w:t xml:space="preserve">The implications of </w:t>
      </w:r>
      <w:r w:rsidR="00736A81" w:rsidRPr="00B71F92">
        <w:t>relocation</w:t>
      </w:r>
      <w:r w:rsidR="00820A3B" w:rsidRPr="00B71F92">
        <w:t xml:space="preserve"> considerations</w:t>
      </w:r>
      <w:r w:rsidR="00000261" w:rsidRPr="00B71F92">
        <w:t xml:space="preserve"> related to safety concerns are significant, as they can weaken social networks and community cohesion </w:t>
      </w:r>
      <w:r w:rsidR="00BE2E6B" w:rsidRPr="00B71F92">
        <w:t>and lead</w:t>
      </w:r>
      <w:r w:rsidR="00B4200D" w:rsidRPr="00B71F92">
        <w:t xml:space="preserve"> to disinvestment in </w:t>
      </w:r>
      <w:r w:rsidR="002D2379" w:rsidRPr="00B71F92">
        <w:t>neighborhoods</w:t>
      </w:r>
      <w:r w:rsidR="00B4200D" w:rsidRPr="00B71F92">
        <w:t xml:space="preserve"> that are considered more dangerous, </w:t>
      </w:r>
      <w:r w:rsidR="00BE2E6B" w:rsidRPr="00B71F92">
        <w:t>contributing</w:t>
      </w:r>
      <w:r w:rsidR="00B4200D" w:rsidRPr="00B71F92">
        <w:t xml:space="preserve"> to further declines in public services and </w:t>
      </w:r>
      <w:r w:rsidR="002D2379" w:rsidRPr="00B71F92">
        <w:t xml:space="preserve">additional reductions in safety, structurally impacting these neighborhoods in a cyclical </w:t>
      </w:r>
      <w:r w:rsidR="007806FC" w:rsidRPr="00B71F92">
        <w:t>fashion</w:t>
      </w:r>
      <w:r w:rsidR="002D2379" w:rsidRPr="00B71F92">
        <w:t>.</w:t>
      </w:r>
      <w:r w:rsidR="007806FC" w:rsidRPr="00B71F92">
        <w:t xml:space="preserve"> </w:t>
      </w:r>
      <w:r w:rsidR="00774A8B" w:rsidRPr="00B71F92">
        <w:t>This finding highlight</w:t>
      </w:r>
      <w:r w:rsidR="0027403E" w:rsidRPr="00B71F92">
        <w:t>s</w:t>
      </w:r>
      <w:r w:rsidR="00774A8B" w:rsidRPr="00B71F92">
        <w:t xml:space="preserve"> important ongoing concerns for </w:t>
      </w:r>
      <w:r w:rsidR="007806FC" w:rsidRPr="00B71F92">
        <w:t>minority</w:t>
      </w:r>
      <w:r w:rsidR="00774A8B" w:rsidRPr="00B71F92">
        <w:t xml:space="preserve"> families and suggests that </w:t>
      </w:r>
      <w:r w:rsidR="00820A3B" w:rsidRPr="00B71F92">
        <w:t>directed</w:t>
      </w:r>
      <w:r w:rsidR="00774A8B" w:rsidRPr="00B71F92">
        <w:t xml:space="preserve"> interventions</w:t>
      </w:r>
      <w:r w:rsidR="00820A3B" w:rsidRPr="00B71F92">
        <w:t xml:space="preserve">, such as enhanced policing accountability, community violence prevention, and investment in public </w:t>
      </w:r>
      <w:r w:rsidR="00820A3B" w:rsidRPr="00B71F92">
        <w:lastRenderedPageBreak/>
        <w:t xml:space="preserve">infrastructure in historically marginalized neighborhoods </w:t>
      </w:r>
      <w:r w:rsidR="00820A3B" w:rsidRPr="00B71F92">
        <w:fldChar w:fldCharType="begin"/>
      </w:r>
      <w:r w:rsidR="00820A3B" w:rsidRPr="00B71F92">
        <w:instrText xml:space="preserve"> ADDIN ZOTERO_ITEM CSL_CITATION {"citationID":"NjNXzwWJ","properties":{"unsorted":true,"formattedCitation":"(Velasquez et al., 2022; Roberts, 2024)","plainCitation":"(Velasquez et al., 2022; Roberts, 2024)","noteIndex":0},"citationItems":[{"id":4846,"uris":["http://zotero.org/users/12832277/items/JCNE54Y6"],"itemData":{"id":4846,"type":"article-journal","abstract":"Racial and ethnic health disparities are fundamentally connected to neighborhood quality. For example, as a result of historical systemic inequities, racial and ethnic minorities are more likely to live in neighborhoods with signs of physical disorder (e.g., graffiti, vandalism), and physically disordered environments have been noted to associate with increased risk for chronic illness. Varying degrees of exposure to neighborhood disorder may differ through which people perceive their neighborhoods, however, with those most exposed (e.g., historically marginalized racial/ethnic groups) perhaps perceiving less threat from signs of neighborhood disorder. The purpose of the present study was to examine the complex interrelationships between people and place by investigating whether exposure to neighborhood physical disorder relates to residents’ (1) perceptions of neighborhood safety and (2) perceptions of their health, and (3) examining whether these links vary by race/ethnicity. Using 2016-2018 Health and Retirement Study (HRS) data, a representative sample of US adults aged 51 years and older (n= 9,080, mean age 68 years), we conducted a series of weighted linear regressions to examine the role of neighborhood disorder in relation to both perceived neighborhood safety and self-rated health. Results indicated that greater neighborhood physical disorder was statistically significantly related to feeling less safe among all racial/ethnic groups except non-Hispanic Blacks. Regarding self-rated health, neighborhood physical disorder was statistically significantly related to poorer health among all racial/ethnic groups. These findings suggest that, despite differential interpretation of neighborhood disorder as a threat to safety, this modifiable aspect of peoples’ environment is related to poor health regardless of one’s race/ethnicity.","container-title":"Frontiers in Public Health","DOI":"10.3389/fpubh.2022.920637","ISSN":"2296-2565","language":"English","note":"publisher: Frontiers","source":"Frontiers","title":"In the Eyes of the Beholder: Race, Place and Health","URL":"https://www.frontiersin.org/journals/public-health/articles/10.3389/fpubh.2022.920637/full","volume":"10","author":[{"family":"Velasquez","given":"Alfredo J."},{"family":"Douglas","given":"Jason A."},{"family":"Guo","given":"Fangqi"},{"family":"Robinette","given":"Jennifer W."}],"accessed":{"date-parts":[["2025",7,14]]},"issued":{"date-parts":[["2022",8,12]]}}},{"id":4844,"uris":["http://zotero.org/users/12832277/items/P8FDVUGY"],"itemData":{"id":4844,"type":"article-journal","container-title":"Pepperdine Dispute Resolution Law Journal","issue":"1","language":"eng","page":"461-478","source":"HeinOnline","title":"Rebuilding Trust in a Divided Community: An Integrated Approach The Tactics of Resolution: Exploring International Innovation in Law Enforcement and Conflict Resolution","volume":"24","author":[{"family":"Roberts","given":"Shaphan"}],"issued":{"date-parts":[["2024"]]}}}],"schema":"https://github.com/citation-style-language/schema/raw/master/csl-citation.json"} </w:instrText>
      </w:r>
      <w:r w:rsidR="00820A3B" w:rsidRPr="00B71F92">
        <w:fldChar w:fldCharType="separate"/>
      </w:r>
      <w:r w:rsidR="00820A3B" w:rsidRPr="00B71F92">
        <w:t>(Velasquez et al., 2022; Roberts, 2024)</w:t>
      </w:r>
      <w:r w:rsidR="00820A3B" w:rsidRPr="00B71F92">
        <w:fldChar w:fldCharType="end"/>
      </w:r>
      <w:r w:rsidR="00820A3B" w:rsidRPr="00B71F92">
        <w:t xml:space="preserve">, </w:t>
      </w:r>
      <w:r w:rsidR="00774A8B" w:rsidRPr="00B71F92">
        <w:t xml:space="preserve">are needed to </w:t>
      </w:r>
      <w:r w:rsidR="0027403E" w:rsidRPr="00B71F92">
        <w:t xml:space="preserve">address ongoing safety concerns. </w:t>
      </w:r>
      <w:r w:rsidR="004C291D" w:rsidRPr="00B71F92">
        <w:t xml:space="preserve">Additionally, given the </w:t>
      </w:r>
      <w:r w:rsidR="002738B5" w:rsidRPr="00B71F92">
        <w:t>cyclic</w:t>
      </w:r>
      <w:r w:rsidR="00820A3B" w:rsidRPr="00B71F92">
        <w:t>al</w:t>
      </w:r>
      <w:r w:rsidR="002738B5" w:rsidRPr="00B71F92">
        <w:t xml:space="preserve"> nature of these safety concerns, as they are re</w:t>
      </w:r>
      <w:r w:rsidR="00820A3B" w:rsidRPr="00B71F92">
        <w:t>inforced</w:t>
      </w:r>
      <w:r w:rsidR="002738B5" w:rsidRPr="00B71F92">
        <w:t xml:space="preserve"> by </w:t>
      </w:r>
      <w:r w:rsidR="00F66D4B" w:rsidRPr="00B71F92">
        <w:t xml:space="preserve">individual relocation decisions and perceptions, community-led initiatives to reduce displacement </w:t>
      </w:r>
      <w:r w:rsidR="000D14A3" w:rsidRPr="00B71F92">
        <w:t xml:space="preserve">and fair housing enforcement programs may </w:t>
      </w:r>
      <w:r w:rsidR="00820A3B" w:rsidRPr="00B71F92">
        <w:t xml:space="preserve">also </w:t>
      </w:r>
      <w:r w:rsidR="000D14A3" w:rsidRPr="00B71F92">
        <w:t xml:space="preserve">help </w:t>
      </w:r>
      <w:r w:rsidR="00432F5F" w:rsidRPr="00B71F92">
        <w:fldChar w:fldCharType="begin"/>
      </w:r>
      <w:r w:rsidR="00432F5F" w:rsidRPr="00B71F92">
        <w:instrText xml:space="preserve"> ADDIN ZOTERO_ITEM CSL_CITATION {"citationID":"Iof25Jbi","properties":{"formattedCitation":"(Saleheen and Barela, 2025)","plainCitation":"(Saleheen and Barela, 2025)","noteIndex":0},"citationItems":[{"id":4842,"uris":["http://zotero.org/users/12832277/items/CGRU2C4C"],"itemData":{"id":4842,"type":"article-journal","abstract":"The Community Power Model is grounded in critical theory and social justice frameworks, challenging traditional approaches that often treat the symptoms of inequity without addressing the underlying structural causes. Rooted in empowerment theory, which emphasizes the central role of marginalized communities in decision-making processes, the model directly confronts existing power imbalances. Unlike conventional top-down policy approaches that perpetuate inequities by failing to account for local contexts, it advocates for a redistribution of power, enabling marginalized groups—particularly people of color—to shape their own social, economic, and political futures. The model critiques traditional approaches by highlighting the systemic and historical forces, such as colonialism, racism, and classism, that continue to structure inequity across health care, education, and employment. It challenges existing paradigms by not only focusing on targeted interventions but also advocating for systemic change through multi-sector collaboration among the public, private, and nonprofit sectors. The Community Power Model rejects one-size-fits-all solutions in favor of holistic, community-led strategies that integrate local knowledge and prioritize participatory democracy. By empowering neighborhoods to engage in decision-making, it fosters inclusive governance and aims to dismantle the hierarchical structures that have historically silenced marginalized communities. Additionally, it emphasizes evidence-based program enhancements tailored to specific community needs, ensuring that interventions are adaptive, sustainable, and responsive. In sum, the Community Power Model offers a transformative alternative to traditional equity-focused policies, centering marginalized communities, redistributing power, and driving systemic change through collaborative, community-driven efforts.","container-title":"Journal of the National Hispanic Medical Association","issue":"1","language":"en","note":"publisher: National Hispanic Medical Association","page":"83-104","source":"jnhma.scholasticahq.com","title":"Community Power Model: Pathway to Equity","volume":"3","author":[{"family":"Saleheen","given":"Hassan N."},{"family":"Barela","given":"Kenneth A."}],"issued":{"date-parts":[["2025",6,3]]}}}],"schema":"https://github.com/citation-style-language/schema/raw/master/csl-citation.json"} </w:instrText>
      </w:r>
      <w:r w:rsidR="00432F5F" w:rsidRPr="00B71F92">
        <w:fldChar w:fldCharType="separate"/>
      </w:r>
      <w:r w:rsidR="00432F5F" w:rsidRPr="00B71F92">
        <w:t>(Saleheen and Barela, 2025)</w:t>
      </w:r>
      <w:r w:rsidR="00432F5F" w:rsidRPr="00B71F92">
        <w:fldChar w:fldCharType="end"/>
      </w:r>
      <w:r w:rsidR="000D14A3" w:rsidRPr="00B71F92">
        <w:t>.</w:t>
      </w:r>
    </w:p>
    <w:p w14:paraId="6E53605C" w14:textId="77777777" w:rsidR="000D14A3" w:rsidRPr="00B71F92" w:rsidRDefault="000D14A3" w:rsidP="000D14A3">
      <w:pPr>
        <w:spacing w:after="0" w:line="240" w:lineRule="auto"/>
        <w:jc w:val="both"/>
      </w:pPr>
    </w:p>
    <w:p w14:paraId="20B0F269" w14:textId="5EC7A83D" w:rsidR="005D5781" w:rsidRPr="00B71F92" w:rsidRDefault="00820A3B" w:rsidP="005D5781">
      <w:pPr>
        <w:pStyle w:val="ListParagraph"/>
        <w:numPr>
          <w:ilvl w:val="1"/>
          <w:numId w:val="22"/>
        </w:numPr>
        <w:spacing w:after="0" w:line="240" w:lineRule="auto"/>
        <w:jc w:val="both"/>
        <w:rPr>
          <w:b/>
          <w:bCs/>
        </w:rPr>
      </w:pPr>
      <w:r w:rsidRPr="00B71F92">
        <w:rPr>
          <w:b/>
          <w:bCs/>
        </w:rPr>
        <w:t xml:space="preserve">Relocation </w:t>
      </w:r>
      <w:r w:rsidR="00C3689B" w:rsidRPr="00B71F92">
        <w:rPr>
          <w:b/>
          <w:bCs/>
        </w:rPr>
        <w:t xml:space="preserve">Motivation Changes Associated with </w:t>
      </w:r>
      <w:r w:rsidR="005D5781" w:rsidRPr="00B71F92">
        <w:rPr>
          <w:b/>
          <w:bCs/>
        </w:rPr>
        <w:t>Triggered Re</w:t>
      </w:r>
      <w:r w:rsidRPr="00B71F92">
        <w:rPr>
          <w:b/>
          <w:bCs/>
        </w:rPr>
        <w:t>evaluations</w:t>
      </w:r>
    </w:p>
    <w:p w14:paraId="2C105C2C" w14:textId="700E11EC" w:rsidR="005D5781" w:rsidRPr="00B71F92" w:rsidRDefault="00E164D3" w:rsidP="005D5781">
      <w:pPr>
        <w:spacing w:after="0" w:line="240" w:lineRule="auto"/>
        <w:jc w:val="both"/>
      </w:pPr>
      <w:r w:rsidRPr="00B71F92">
        <w:t>R</w:t>
      </w:r>
      <w:r w:rsidR="000D0B9E" w:rsidRPr="00B71F92">
        <w:t>elocation</w:t>
      </w:r>
      <w:r w:rsidR="00192464" w:rsidRPr="00B71F92">
        <w:t xml:space="preserve"> motivations</w:t>
      </w:r>
      <w:r w:rsidR="000D0B9E" w:rsidRPr="00B71F92">
        <w:t xml:space="preserve"> triggered by changes in income or finances and friends and family leaving the area</w:t>
      </w:r>
      <w:r w:rsidRPr="00B71F92">
        <w:t>, with some exceptions, increased</w:t>
      </w:r>
      <w:r w:rsidR="000D0B9E" w:rsidRPr="00B71F92">
        <w:t xml:space="preserve"> during the 2021 period</w:t>
      </w:r>
      <w:r w:rsidRPr="00B71F92">
        <w:t xml:space="preserve"> relative to the 2019 period</w:t>
      </w:r>
      <w:r w:rsidR="00B079D4" w:rsidRPr="00B71F92">
        <w:t xml:space="preserve">, </w:t>
      </w:r>
      <w:r w:rsidR="000D0B9E" w:rsidRPr="00B71F92">
        <w:t>reveal</w:t>
      </w:r>
      <w:r w:rsidR="007F4F31" w:rsidRPr="00B71F92">
        <w:t>ing</w:t>
      </w:r>
      <w:r w:rsidR="000D0B9E" w:rsidRPr="00B71F92">
        <w:t xml:space="preserve"> the effects of economic disruption on residential stability. </w:t>
      </w:r>
      <w:r w:rsidR="000A205E" w:rsidRPr="00B71F92">
        <w:t xml:space="preserve">As mentioned previously, these types of moves are less voluntary and more rapidly undertaken </w:t>
      </w:r>
      <w:r w:rsidR="0093044D" w:rsidRPr="00B71F92">
        <w:t>than</w:t>
      </w:r>
      <w:r w:rsidR="000A205E" w:rsidRPr="00B71F92">
        <w:t xml:space="preserve"> proactively planned </w:t>
      </w:r>
      <w:r w:rsidR="0093044D" w:rsidRPr="00B71F92">
        <w:t xml:space="preserve">relocations, possibly leading to greater misalignment between housing preferences and housing outcomes, including in terms of location preferences. In contrast, </w:t>
      </w:r>
      <w:r w:rsidR="009332C3" w:rsidRPr="00B71F92">
        <w:t>a decline in move</w:t>
      </w:r>
      <w:r w:rsidR="00192464" w:rsidRPr="00B71F92">
        <w:t xml:space="preserve"> consideration</w:t>
      </w:r>
      <w:r w:rsidR="009332C3" w:rsidRPr="00B71F92">
        <w:t xml:space="preserve"> due to increasing housing costs </w:t>
      </w:r>
      <w:r w:rsidR="007F4F31" w:rsidRPr="00B71F92">
        <w:t xml:space="preserve">across almost all population subgroups </w:t>
      </w:r>
      <w:r w:rsidR="009332C3" w:rsidRPr="00B71F92">
        <w:t>during the same period suggests that rent stabilization measures implemented during the pandemic were effective in providing short-term relief</w:t>
      </w:r>
      <w:r w:rsidR="00A419AB" w:rsidRPr="00B71F92">
        <w:t xml:space="preserve">, particularly among families with children </w:t>
      </w:r>
      <w:r w:rsidR="001478F4" w:rsidRPr="00B71F92">
        <w:t>(families with children aged 5-17 were 37.4% less likely to consider moving due to an increase in housing costs in the 2021 period compared with the 2019 period</w:t>
      </w:r>
      <w:r w:rsidR="00192464" w:rsidRPr="00B71F92">
        <w:t>,</w:t>
      </w:r>
      <w:r w:rsidR="001478F4" w:rsidRPr="00B71F92">
        <w:t xml:space="preserve"> while those with younger children aged 0-4 were 6</w:t>
      </w:r>
      <w:r w:rsidR="000D19AF" w:rsidRPr="00B71F92">
        <w:t>0</w:t>
      </w:r>
      <w:r w:rsidR="001478F4" w:rsidRPr="00B71F92">
        <w:t>.</w:t>
      </w:r>
      <w:r w:rsidR="000D19AF" w:rsidRPr="00B71F92">
        <w:t>3</w:t>
      </w:r>
      <w:r w:rsidR="001478F4" w:rsidRPr="00B71F92">
        <w:t xml:space="preserve">% less likely to </w:t>
      </w:r>
      <w:r w:rsidR="00192464" w:rsidRPr="00B71F92">
        <w:t xml:space="preserve">consider </w:t>
      </w:r>
      <w:r w:rsidR="001478F4" w:rsidRPr="00B71F92">
        <w:t>mov</w:t>
      </w:r>
      <w:r w:rsidR="00192464" w:rsidRPr="00B71F92">
        <w:t>ing</w:t>
      </w:r>
      <w:r w:rsidR="001478F4" w:rsidRPr="00B71F92">
        <w:t xml:space="preserve"> </w:t>
      </w:r>
      <w:r w:rsidR="00081872" w:rsidRPr="00B71F92">
        <w:t>due to an increase in housing costs over the same period</w:t>
      </w:r>
      <w:r w:rsidR="001478F4" w:rsidRPr="00B71F92">
        <w:t xml:space="preserve">). </w:t>
      </w:r>
      <w:r w:rsidR="00915676" w:rsidRPr="00B71F92">
        <w:t xml:space="preserve">However, a reversal of this trend in the 2023 period </w:t>
      </w:r>
      <w:r w:rsidR="007F4F31" w:rsidRPr="00B71F92">
        <w:t xml:space="preserve">in general </w:t>
      </w:r>
      <w:r w:rsidR="00915676" w:rsidRPr="00B71F92">
        <w:t>(</w:t>
      </w:r>
      <w:r w:rsidR="007F4F31" w:rsidRPr="00B71F92">
        <w:t>see Table 6</w:t>
      </w:r>
      <w:r w:rsidR="00915676" w:rsidRPr="00B71F92">
        <w:t xml:space="preserve">) suggests that </w:t>
      </w:r>
      <w:r w:rsidR="007D178E" w:rsidRPr="00B71F92">
        <w:t>these targeted, short-term, measures put in place during the pandemic only provided temporary relief, leading to a surge in move</w:t>
      </w:r>
      <w:r w:rsidR="00192464" w:rsidRPr="00B71F92">
        <w:t xml:space="preserve"> consideration</w:t>
      </w:r>
      <w:r w:rsidR="007D178E" w:rsidRPr="00B71F92">
        <w:t xml:space="preserve"> due to affordability pressures as rent protections subsided. </w:t>
      </w:r>
      <w:r w:rsidR="00094810" w:rsidRPr="00B71F92">
        <w:t>This finding suggests an ongoing need to consider alternative measures to combat housing affordability</w:t>
      </w:r>
      <w:r w:rsidR="00012F50" w:rsidRPr="00B71F92">
        <w:t xml:space="preserve">, as these measures adopted during the pandemic do not appear to have contributed to significant long-term reductions in housing affordability concerns, even if they did provide valuable relief to many families in the short term. </w:t>
      </w:r>
    </w:p>
    <w:p w14:paraId="5572A4F7" w14:textId="29FF6A9F" w:rsidR="005423A6" w:rsidRPr="00B71F92" w:rsidRDefault="005423A6" w:rsidP="005D5781">
      <w:pPr>
        <w:spacing w:after="0" w:line="240" w:lineRule="auto"/>
        <w:jc w:val="both"/>
      </w:pPr>
      <w:r w:rsidRPr="00B71F92">
        <w:tab/>
        <w:t>One notable exception to triggered relocation</w:t>
      </w:r>
      <w:r w:rsidR="00AC2AA5" w:rsidRPr="00B71F92">
        <w:t xml:space="preserve"> motivations</w:t>
      </w:r>
      <w:r w:rsidRPr="00B71F92">
        <w:t xml:space="preserve"> during </w:t>
      </w:r>
      <w:r w:rsidR="005A4221" w:rsidRPr="00B71F92">
        <w:t>the 2023 period</w:t>
      </w:r>
      <w:r w:rsidRPr="00B71F92">
        <w:t xml:space="preserve"> occurred for Asian families. </w:t>
      </w:r>
      <w:r w:rsidR="00C57ACD" w:rsidRPr="00B71F92">
        <w:t xml:space="preserve">These families began to consider triggered relocations much more often during the 2023 period than they had previously, an increase of more than 100% compared to the 2021 period in all three categories of triggered </w:t>
      </w:r>
      <w:r w:rsidR="00AC2AA5" w:rsidRPr="00B71F92">
        <w:t xml:space="preserve">reevaluation </w:t>
      </w:r>
      <w:r w:rsidR="00C57ACD" w:rsidRPr="00B71F92">
        <w:t xml:space="preserve">motivations. </w:t>
      </w:r>
      <w:r w:rsidR="00EC662B" w:rsidRPr="00B71F92">
        <w:t xml:space="preserve">As mentioned previously, these results may be due in part to </w:t>
      </w:r>
      <w:r w:rsidR="00E1485A" w:rsidRPr="00B71F92">
        <w:t>the large growth of the Asian population in the Seattle region during this time period</w:t>
      </w:r>
      <w:r w:rsidR="00B46C69" w:rsidRPr="00B71F92">
        <w:t xml:space="preserve">, emphasizing the impacts of </w:t>
      </w:r>
      <w:r w:rsidR="00580C12" w:rsidRPr="00B71F92">
        <w:t>rapid neighborhood transformation that has occurred due to th</w:t>
      </w:r>
      <w:r w:rsidR="00AC2AA5" w:rsidRPr="00B71F92">
        <w:t>e</w:t>
      </w:r>
      <w:r w:rsidR="00580C12" w:rsidRPr="00B71F92">
        <w:t xml:space="preserve"> growth of the Asian population</w:t>
      </w:r>
      <w:r w:rsidR="00E1485A" w:rsidRPr="00B71F92">
        <w:t>.</w:t>
      </w:r>
      <w:r w:rsidR="00580C12" w:rsidRPr="00B71F92">
        <w:t xml:space="preserve"> </w:t>
      </w:r>
      <w:r w:rsidR="00FE23F9" w:rsidRPr="00B71F92">
        <w:t xml:space="preserve">This rapid growth may have </w:t>
      </w:r>
      <w:r w:rsidR="00744AFD" w:rsidRPr="00B71F92">
        <w:t>led</w:t>
      </w:r>
      <w:r w:rsidR="00FE23F9" w:rsidRPr="00B71F92">
        <w:t xml:space="preserve"> to increased risk of displacement in many </w:t>
      </w:r>
      <w:r w:rsidR="009C2FFA" w:rsidRPr="00B71F92">
        <w:t xml:space="preserve">neighborhoods as increasing demand caused increases in housing prices. </w:t>
      </w:r>
      <w:r w:rsidR="00744AFD" w:rsidRPr="00B71F92">
        <w:t>The particular</w:t>
      </w:r>
      <w:r w:rsidR="00194B4F" w:rsidRPr="00B71F92">
        <w:t>ly</w:t>
      </w:r>
      <w:r w:rsidR="00744AFD" w:rsidRPr="00B71F92">
        <w:t xml:space="preserve"> increasing interest in relocation due to the moves of friends and family may also point to the need for more robust social and community organizations </w:t>
      </w:r>
      <w:r w:rsidR="00AC2AA5" w:rsidRPr="00B71F92">
        <w:t>directed</w:t>
      </w:r>
      <w:r w:rsidR="00744AFD" w:rsidRPr="00B71F92">
        <w:t xml:space="preserve"> toward Asian communities</w:t>
      </w:r>
      <w:r w:rsidR="00454D3C" w:rsidRPr="00B71F92">
        <w:t xml:space="preserve"> to strengthen local social networks, provide social support and economic opportunities, and reduce this type of housing instability. </w:t>
      </w:r>
    </w:p>
    <w:p w14:paraId="753F373F" w14:textId="77777777" w:rsidR="00AE6558" w:rsidRPr="00B71F92" w:rsidRDefault="00AE6558" w:rsidP="00AE6558">
      <w:pPr>
        <w:spacing w:after="0" w:line="240" w:lineRule="auto"/>
        <w:jc w:val="both"/>
      </w:pPr>
    </w:p>
    <w:p w14:paraId="10D5F68D" w14:textId="4CB4CD9D" w:rsidR="008404B6" w:rsidRPr="00B71F92" w:rsidRDefault="008404B6" w:rsidP="008404B6">
      <w:pPr>
        <w:spacing w:after="0" w:line="240" w:lineRule="auto"/>
        <w:jc w:val="both"/>
        <w:rPr>
          <w:b/>
          <w:bCs/>
        </w:rPr>
      </w:pPr>
      <w:r w:rsidRPr="00B71F92">
        <w:rPr>
          <w:b/>
          <w:bCs/>
        </w:rPr>
        <w:t>5.</w:t>
      </w:r>
      <w:r w:rsidR="005D5781" w:rsidRPr="00B71F92">
        <w:rPr>
          <w:b/>
          <w:bCs/>
        </w:rPr>
        <w:t>4</w:t>
      </w:r>
      <w:r w:rsidRPr="00B71F92">
        <w:rPr>
          <w:b/>
          <w:bCs/>
        </w:rPr>
        <w:t xml:space="preserve"> </w:t>
      </w:r>
      <w:r w:rsidR="00C3689B" w:rsidRPr="00B71F92">
        <w:rPr>
          <w:b/>
          <w:bCs/>
        </w:rPr>
        <w:t xml:space="preserve">Relocation Motivation </w:t>
      </w:r>
      <w:r w:rsidR="005D5781" w:rsidRPr="00B71F92">
        <w:rPr>
          <w:b/>
          <w:bCs/>
        </w:rPr>
        <w:t xml:space="preserve">Changes </w:t>
      </w:r>
      <w:r w:rsidR="00C3689B" w:rsidRPr="00B71F92">
        <w:rPr>
          <w:b/>
          <w:bCs/>
        </w:rPr>
        <w:t xml:space="preserve">Associated with Threat of </w:t>
      </w:r>
      <w:r w:rsidR="005D5781" w:rsidRPr="00B71F92">
        <w:rPr>
          <w:b/>
          <w:bCs/>
        </w:rPr>
        <w:t xml:space="preserve">Forced Relocations </w:t>
      </w:r>
    </w:p>
    <w:p w14:paraId="6EF659C8" w14:textId="724DAB23" w:rsidR="008404B6" w:rsidRPr="00B71F92" w:rsidRDefault="002731B6" w:rsidP="008404B6">
      <w:pPr>
        <w:spacing w:after="0" w:line="240" w:lineRule="auto"/>
        <w:jc w:val="both"/>
      </w:pPr>
      <w:r w:rsidRPr="00B71F92">
        <w:t xml:space="preserve">The decline </w:t>
      </w:r>
      <w:r w:rsidR="007F4F31" w:rsidRPr="00B71F92">
        <w:t xml:space="preserve">across all population subgroups and across both periods </w:t>
      </w:r>
      <w:r w:rsidR="00BD0132" w:rsidRPr="00B71F92">
        <w:t xml:space="preserve">(the 2021 period relative to the 2019 period as well as the 2023 period relative to the 2021 period) </w:t>
      </w:r>
      <w:r w:rsidRPr="00B71F92">
        <w:t xml:space="preserve">in </w:t>
      </w:r>
      <w:r w:rsidR="00C3689B" w:rsidRPr="00B71F92">
        <w:t xml:space="preserve">the threat of </w:t>
      </w:r>
      <w:r w:rsidRPr="00B71F92">
        <w:t xml:space="preserve">forced relocations is a </w:t>
      </w:r>
      <w:r w:rsidR="00CD4114" w:rsidRPr="00B71F92">
        <w:t>positive result, suggesting</w:t>
      </w:r>
      <w:r w:rsidR="00367A9F" w:rsidRPr="00B71F92">
        <w:t xml:space="preserve"> that</w:t>
      </w:r>
      <w:r w:rsidR="00CD4114" w:rsidRPr="00B71F92">
        <w:t xml:space="preserve"> eviction moratoriums and other pandemic-era housing protections were successful in reducing the most severe forms of involuntary displacement. </w:t>
      </w:r>
      <w:r w:rsidR="001A5BE1" w:rsidRPr="00B71F92">
        <w:t xml:space="preserve">This finding has important implications given the broad impacts of </w:t>
      </w:r>
      <w:r w:rsidR="00C3689B" w:rsidRPr="00B71F92">
        <w:t xml:space="preserve">the threat of </w:t>
      </w:r>
      <w:r w:rsidR="001A5BE1" w:rsidRPr="00B71F92">
        <w:t xml:space="preserve">forced relocations on socioeconomic and health outcomes </w:t>
      </w:r>
      <w:r w:rsidR="00F775BC" w:rsidRPr="00B71F92">
        <w:fldChar w:fldCharType="begin"/>
      </w:r>
      <w:r w:rsidR="00ED365A">
        <w:instrText xml:space="preserve"> ADDIN ZOTERO_ITEM CSL_CITATION {"citationID":"LA5VefKA","properties":{"unsorted":true,"formattedCitation":"(Desmond et al., 2015; Bhat et al., 2022; Ali and Wehby, 2022; Bhat et al., 2025)","plainCitation":"(Desmond et al., 2015; Bhat et al., 2022; Ali and Wehby, 2022; Bhat et al., 2025)","dontUpdate":true,"noteIndex":0},"citationItems":[{"id":4238,"uris":["http://zotero.org/users/12832277/items/5IHCZ7SH"],"itemData":{"id":4238,"type":"article-journal","abstract":"Residential instability often brings about other forms of instability in families, schools, and communities that compromise the life chances of adults and children. Social scientists have found that low-income families move frequently without fully understanding why. Drawing on novel data of more than 1,000 Milwaukee renters, this article explores the relationship between forced relocation and residential instability. It finds that low incomes are associated with higher rates of mobility due to poorer renters’ greater exposure to forced displacement. Not only do higher rates of formal and informal eviction, landlord foreclosure, and building condemnation directly increase the mobility of poorer renters, but forced displacement also increases subsequent unforced mobility. A forced move often compels renters to accept substandard housing, which drives them to soon move again. This article reveals mechanisms of residential mobility among low-income renters, identifies previously undocumented consequences of forced displacement, and develops a more comprehensive model of residential instability and urban inequality.","container-title":"Social Service Review","DOI":"10.1086/681091","ISSN":"0037-7961","issue":"2","note":"publisher: The University of Chicago Press","page":"227-262","source":"journals.uchicago.edu (Atypon)","title":"Forced Relocation and Residential Instability among Urban Renters","volume":"89","author":[{"family":"Desmond","given":"Matthew"},{"family":"Gershenson","given":"Carl"},{"family":"Kiviat","given":"Barbara"}],"issued":{"date-parts":[["2015",6]]}}},{"id":1232,"uris":["http://zotero.org/users/12832277/items/N7K6NXBL"],"itemData":{"id":1232,"type":"article-journal","abstract":"Rationale\nA large body of work demonstrates the impact of housing instability on health by exploring the effects of evictions and homelessness on psychological wellbeing of young adults and children. However, limited research leverages national longitudinal data to examine whether and how experiences of a range of housing insecurity events, rather than just eviction or homelessness, affect physical health among midlife and older adults.\nObjective\nThe current study examines (1) prevalence of housing insecurity among midlife and older adults by age and race, (2) linkages between housing insecurity experiences and facets of physical health, and (3) age and race moderations on these effects.\nMethod\nThis study employs regression models to examine whether experiences of housing insecurity affect self-rated physical health and chronic physical conditions among midlife and older adults (N = 2598) leveraging two waves of the National Study of Midlife in the United States (MIDUS).\nResults\nModels revealed that housing insecurity experiences predicted poorer self-rated physical health and additional chronic conditions, even when controlling for previous physical health. Moderation analyses indicated that housing insecurity has a stronger relationship with chronic conditions among midlife adults as compared to older adults, and among Black adults as compared to white adults. These results suggest that experiences of housing insecurity leave adults vulnerable to compromised physical health, and that housing insecurity experiences may be particularly detrimental to the health of midlife Black adults.\nConclusions\nThis research adds to the extant literature by introducing a comprehensive measure of housing insecurity experiences, and contributes to a life course perspective regarding how housing insecurity can affect physical health. This research has implications for policy that addresses housing insecurity as a public health concern, especially in the aftermath of the 2008 recession and the economic and housing crisis caused by the COVID-19 pandemic.","container-title":"SSM - Population Health","DOI":"10.1016/j.ssmph.2022.101128","ISSN":"2352-8273","source":"ScienceDirect","title":"A Longitudinal Analysis of the Relationship Between Housing Insecurity and Physical Health Among Midlife and Aging Adults in the United States","URL":"https://www.sciencedirect.com/science/article/pii/S2352827322001070","volume":"18","author":[{"family":"Bhat","given":"Aarti C."},{"family":"Almeida","given":"David M."},{"family":"Fenelon","given":"Andrew"},{"family":"Santos-Lozada","given":"Alexis R."}],"accessed":{"date-parts":[["2023",11,25]]},"issued":{"date-parts":[["2022",6,1]]}}},{"id":4840,"uris":["http://zotero.org/users/12832277/items/3Q36WLNY"],"itemData":{"id":4840,"type":"article-journal","abstract":"In response to the COVID-19 pandemic, many US states implemented eviction moratoriums in 2020. Evidence from eviction filings from that year shows short-term declines in eviction filings. This study examined the short-term effects of these state eviction moratoriums in 2020 on the mental health status of renters. It employed nationally representative data from the Behavioral Risk Factor Surveillance System and a triple-difference design that compared renters with homeowners while leveraging state differences in moratoriums over time. During 2020 forty-three states and Washington, D.C., implemented eviction moratoriums of varying scope and enforcement. Some moratoriums targeted the whole eviction process, including early stages, whereas others focused on the later stages of eviction. We found that state moratoriums were associated with an improvement in mental health, including fewer days not in good mental health in the past thirty days and a lower likelihood of frequent mental distress (fourteen or more days not in good mental health in the past thirty days). Overall, there is some evidence from this study pointing to potential short-term benefits from state eviction moratoriums in 2020 to the mental health and well-being of renters, which would be important to consider when formulating policies that affect residential stability.","container-title":"Health Affairs","DOI":"10.1377/hlthaff.2022.00750","ISSN":"0278-2715","issue":"11","note":"publisher: Health Affairs","page":"1583-1589","source":"healthaffairs.org (Atypon)","title":"State Eviction Moratoriums During The COVID-19 Pandemic Were Associated With Improved Mental Health Among People Who Rent","volume":"41","author":[{"family":"Ali","given":"Abdinasir K."},{"family":"Wehby","given":"George L."}],"issued":{"date-parts":[["2022",11]]}}},{"id":4930,"uris":["http://zotero.org/users/12832277/items/XYWWF6L5"],"itemData":{"id":4930,"type":"article-journal","abstract":"IntroductionHousing insecurity is a social determinant of health, as evidenced by its associations with mental, physical, and biological outcomes. The scientific understanding of the mechanisms by which housing insecurity is associated with health is still limited. This review adapts existing stress process models to propose a conceptual model illustrating potential pathways linking the specific stressor of housing insecurity to physiological and epigenetic manifestations of stress among aging adults.MethodsThis narrative review examines literature across multiple fields, including public health, psychology, and sociology. The literature selected for this review was identified through scientific databases including Web of Science, PubMed, JSTOR, and Google Scholar; primarily peer-reviewed empirical studies, literature reviews, and research reports published in English between 1981 and 2024; and principally based in the United States context. A synthesis of this literature is presented in a proposed conceptual model.ResultsThe literature supports the existence of two main predictors of housing insecurity: sociodemographic characteristics and the historical/current context. The main mediating pathways between housing insecurity and manifestations of stress include health behaviors, psychosocial resources, and structural resources. Moderating factors affecting the associations between housing insecurity and manifestations of stress include government assistance, chronic discrimination/unfair treatment, and individual differences. These interdependent mediating and moderating mechanisms affect stressor reactivity, a proximal manifestation of stress, which contributes to the physiological and epigenetic distal manifestations of stress in aging adults.Discussion and implicationsThe prevalence of housing insecurity among aging adults is growing in the United States, with significant implications for public health and health disparities, given the growing percentage of aging adults in the population. Further empirical testing of the mediating and moderating mechanisms proposed in the conceptual model will elucidate how housing insecurity is connected to health and provide insight into preventive strategies to ameliorate the adverse effects of housing insecurity on biological health among aging adults.","container-title":"Frontiers in Public Health","DOI":"10.3389/fpubh.2025.1485371","ISSN":"2296-2565","language":"English","note":"publisher: Frontiers","source":"Frontiers","title":"Housing Insecurity Pathways to Physiological and Epigenetic Manifestations of Health Among Aging Adults: A Conceptual Model","URL":"https://www.frontiersin.org/journals/public-health/articles/10.3389/fpubh.2025.1485371/full","volume":"13","author":[{"family":"Bhat","given":"Aarti C."},{"family":"Fenelon","given":"Andrew"},{"family":"Almeida","given":"David M."}],"accessed":{"date-parts":[["2025",7,18]]},"issued":{"date-parts":[["2025",1,23]]}}}],"schema":"https://github.com/citation-style-language/schema/raw/master/csl-citation.json"} </w:instrText>
      </w:r>
      <w:r w:rsidR="00F775BC" w:rsidRPr="00B71F92">
        <w:fldChar w:fldCharType="separate"/>
      </w:r>
      <w:r w:rsidR="00A604D3" w:rsidRPr="00B71F92">
        <w:t xml:space="preserve">(see also, Desmond et al., 2015; Bhat et </w:t>
      </w:r>
      <w:r w:rsidR="00A604D3" w:rsidRPr="00B71F92">
        <w:lastRenderedPageBreak/>
        <w:t>al., 2022; Ali and Wehby, 2022; Bhat et al., 2025)</w:t>
      </w:r>
      <w:r w:rsidR="00F775BC" w:rsidRPr="00B71F92">
        <w:fldChar w:fldCharType="end"/>
      </w:r>
      <w:r w:rsidR="00F775BC" w:rsidRPr="00B71F92">
        <w:t xml:space="preserve">. </w:t>
      </w:r>
      <w:r w:rsidR="005C5B5E" w:rsidRPr="00B71F92">
        <w:t>For instance, the increased housing stability provided by th</w:t>
      </w:r>
      <w:r w:rsidR="00C3689B" w:rsidRPr="00B71F92">
        <w:t xml:space="preserve">e </w:t>
      </w:r>
      <w:r w:rsidR="005C5B5E" w:rsidRPr="00B71F92">
        <w:t xml:space="preserve">reduction in evictions </w:t>
      </w:r>
      <w:r w:rsidR="00CC39E7" w:rsidRPr="00B71F92">
        <w:t>may allow households to stay in communities where they have strong social connections and access to employment, as well as allowing them time to proactively plan future relocations</w:t>
      </w:r>
      <w:r w:rsidR="00532657" w:rsidRPr="00B71F92">
        <w:t xml:space="preserve"> </w:t>
      </w:r>
      <w:r w:rsidR="006066A8" w:rsidRPr="00B71F92">
        <w:fldChar w:fldCharType="begin"/>
      </w:r>
      <w:r w:rsidR="006066A8" w:rsidRPr="00B71F92">
        <w:instrText xml:space="preserve"> ADDIN ZOTERO_ITEM CSL_CITATION {"citationID":"mHP5w6Lm","properties":{"formattedCitation":"(Evans, 2020)","plainCitation":"(Evans, 2020)","noteIndex":0},"citationItems":[{"id":4240,"uris":["http://zotero.org/users/12832277/items/EEJ2PTPS"],"itemData":{"id":4240,"type":"article-journal","abstract":"Involuntary housing displacement is a stress-inducing life event that can cause and exacerbate both psychological and material hardship. Forced moves may invoke a disattainment process, whereby displaced movers move into lower quality housing and neighborhoods, placing them in a precarious housing position. Employing propensity score analyses, this study uses data from the recent mover module of the American Housing Survey to match recent movers whose moves were voluntary to recent movers whose moves were forced. Results show that moves caused by displacement compared to voluntary moves generally lead to worse housing and neighborhood outcomes. However, these results are dependent on the type of displacement experienced. Movers forced to leave their homes due to eviction move into worse housing and neighborhoods while forced moves caused by private action and foreclosure do not. Meanwhile, forced moves caused by natural hazards or government action result in worse housing, but not neighborhoods.","container-title":"Journal of urban affairs","DOI":"10.1080/07352166.2020.1730697","ISSN":"0735-2166","issue":"2","note":"PMID: 34916734\nPMCID: PMC8673713","page":"1214-1234","source":"PubMed Central","title":"The Unequal Housing and Neighborhood Outcomes of Displaced Movers","volume":"43","author":[{"family":"Evans","given":"Megan"}],"issued":{"date-parts":[["2020"]]}}}],"schema":"https://github.com/citation-style-language/schema/raw/master/csl-citation.json"} </w:instrText>
      </w:r>
      <w:r w:rsidR="006066A8" w:rsidRPr="00B71F92">
        <w:fldChar w:fldCharType="separate"/>
      </w:r>
      <w:r w:rsidR="006066A8" w:rsidRPr="00B71F92">
        <w:t>(Evans, 2020)</w:t>
      </w:r>
      <w:r w:rsidR="006066A8" w:rsidRPr="00B71F92">
        <w:fldChar w:fldCharType="end"/>
      </w:r>
      <w:r w:rsidR="00CC39E7" w:rsidRPr="00B71F92">
        <w:t xml:space="preserve">. </w:t>
      </w:r>
      <w:r w:rsidR="00ED1689" w:rsidRPr="00B71F92">
        <w:t xml:space="preserve">At the same time, </w:t>
      </w:r>
      <w:r w:rsidR="00C04F56" w:rsidRPr="00B71F92">
        <w:t xml:space="preserve">while this change has occurred </w:t>
      </w:r>
      <w:r w:rsidR="00FB0B5B" w:rsidRPr="00B71F92">
        <w:t>relatively</w:t>
      </w:r>
      <w:r w:rsidR="00C04F56" w:rsidRPr="00B71F92">
        <w:t xml:space="preserve"> uniformly across demographic groups, significant </w:t>
      </w:r>
      <w:r w:rsidR="00877FF4" w:rsidRPr="00B71F92">
        <w:t xml:space="preserve">disparities remain in terms of which families are more likely to </w:t>
      </w:r>
      <w:r w:rsidR="00C3689B" w:rsidRPr="00B71F92">
        <w:t>perceive a threat of</w:t>
      </w:r>
      <w:r w:rsidR="00877FF4" w:rsidRPr="00B71F92">
        <w:t xml:space="preserve"> forced relocations. For instance</w:t>
      </w:r>
      <w:r w:rsidR="00EC6186" w:rsidRPr="00B71F92">
        <w:t>, during the 2019 period,</w:t>
      </w:r>
      <w:r w:rsidR="00877FF4" w:rsidRPr="00B71F92">
        <w:t xml:space="preserve"> Black families </w:t>
      </w:r>
      <w:r w:rsidR="00EC6186" w:rsidRPr="00B71F92">
        <w:t>were</w:t>
      </w:r>
      <w:r w:rsidR="00877FF4" w:rsidRPr="00B71F92">
        <w:t xml:space="preserve"> 25.6% more likely to </w:t>
      </w:r>
      <w:r w:rsidR="00C3689B" w:rsidRPr="00B71F92">
        <w:t xml:space="preserve">perceive the threat of </w:t>
      </w:r>
      <w:r w:rsidR="00877FF4" w:rsidRPr="00B71F92">
        <w:t xml:space="preserve">forced </w:t>
      </w:r>
      <w:r w:rsidR="009D3D8A" w:rsidRPr="00B71F92">
        <w:t>relocation</w:t>
      </w:r>
      <w:r w:rsidR="00877FF4" w:rsidRPr="00B71F92">
        <w:t xml:space="preserve"> </w:t>
      </w:r>
      <w:r w:rsidR="009D3D8A" w:rsidRPr="00B71F92">
        <w:t>than white families</w:t>
      </w:r>
      <w:r w:rsidR="00C3689B" w:rsidRPr="00B71F92">
        <w:t>,</w:t>
      </w:r>
      <w:r w:rsidR="009D3D8A" w:rsidRPr="00B71F92">
        <w:t xml:space="preserve"> while families with incomes under $</w:t>
      </w:r>
      <w:r w:rsidR="00EC6186" w:rsidRPr="00B71F92">
        <w:t>50</w:t>
      </w:r>
      <w:r w:rsidR="009D3D8A" w:rsidRPr="00B71F92">
        <w:t>,000</w:t>
      </w:r>
      <w:r w:rsidR="00EC6186" w:rsidRPr="00B71F92">
        <w:t xml:space="preserve"> were 24.4% more likely to </w:t>
      </w:r>
      <w:r w:rsidR="00023CFB" w:rsidRPr="00B71F92">
        <w:t xml:space="preserve">perceive such threats relative to </w:t>
      </w:r>
      <w:r w:rsidR="00EC6186" w:rsidRPr="00B71F92">
        <w:t>families with incomes of $200,000 or more</w:t>
      </w:r>
      <w:r w:rsidR="00B20677" w:rsidRPr="00B71F92">
        <w:t xml:space="preserve"> (these treatment effects showing the difference between demographic groups in 2019 are not shown in Table 5 or Table 6, but may be calculated similarly).</w:t>
      </w:r>
      <w:r w:rsidR="00F65677" w:rsidRPr="00B71F92">
        <w:t xml:space="preserve"> </w:t>
      </w:r>
      <w:r w:rsidR="00023CFB" w:rsidRPr="00B71F92">
        <w:t>Importantly, t</w:t>
      </w:r>
      <w:r w:rsidR="00E568CC" w:rsidRPr="00B71F92">
        <w:t xml:space="preserve">hese </w:t>
      </w:r>
      <w:r w:rsidR="00023CFB" w:rsidRPr="00B71F92">
        <w:t xml:space="preserve">differences in threat perceptions </w:t>
      </w:r>
      <w:r w:rsidR="0026256F" w:rsidRPr="00B71F92">
        <w:t>among</w:t>
      </w:r>
      <w:r w:rsidR="00023CFB" w:rsidRPr="00B71F92">
        <w:t xml:space="preserve"> racial and income groups </w:t>
      </w:r>
      <w:r w:rsidR="00E568CC" w:rsidRPr="00B71F92">
        <w:t xml:space="preserve">have not </w:t>
      </w:r>
      <w:r w:rsidR="00B20677" w:rsidRPr="00B71F92">
        <w:t>abated in any</w:t>
      </w:r>
      <w:r w:rsidR="00E568CC" w:rsidRPr="00B71F92">
        <w:t xml:space="preserve"> significant</w:t>
      </w:r>
      <w:r w:rsidR="00B20677" w:rsidRPr="00B71F92">
        <w:t xml:space="preserve"> manner </w:t>
      </w:r>
      <w:r w:rsidR="00E568CC" w:rsidRPr="00B71F92">
        <w:t>over time</w:t>
      </w:r>
      <w:r w:rsidR="00B20677" w:rsidRPr="00B71F92">
        <w:t>, as may be observed by the inter-period ATEs in Tables 5 and 6</w:t>
      </w:r>
      <w:r w:rsidR="00023CFB" w:rsidRPr="00B71F92">
        <w:t>.</w:t>
      </w:r>
      <w:r w:rsidR="00EC6186" w:rsidRPr="00B71F92">
        <w:t xml:space="preserve"> </w:t>
      </w:r>
      <w:r w:rsidR="008C6C58" w:rsidRPr="00B71F92">
        <w:t xml:space="preserve">These findings suggest that even as the </w:t>
      </w:r>
      <w:r w:rsidR="00023CFB" w:rsidRPr="00B71F92">
        <w:t xml:space="preserve">overall threat </w:t>
      </w:r>
      <w:r w:rsidR="008C6C58" w:rsidRPr="00B71F92">
        <w:t>of forced relocations fall</w:t>
      </w:r>
      <w:r w:rsidR="00C025F6" w:rsidRPr="00B71F92">
        <w:t>s</w:t>
      </w:r>
      <w:r w:rsidR="008C6C58" w:rsidRPr="00B71F92">
        <w:t xml:space="preserve">, structural barriers remain </w:t>
      </w:r>
      <w:r w:rsidR="00DB4AFB" w:rsidRPr="00B71F92">
        <w:t xml:space="preserve">that limit the upward mobility of Black and low-income families. </w:t>
      </w:r>
      <w:r w:rsidR="001E34C5" w:rsidRPr="00B71F92">
        <w:t xml:space="preserve">Thus, </w:t>
      </w:r>
      <w:r w:rsidR="007C32AE" w:rsidRPr="00B71F92">
        <w:t xml:space="preserve">strategies such as </w:t>
      </w:r>
      <w:r w:rsidR="00023CFB" w:rsidRPr="00B71F92">
        <w:t xml:space="preserve">an </w:t>
      </w:r>
      <w:r w:rsidR="001E34C5" w:rsidRPr="00B71F92">
        <w:t xml:space="preserve">increasing focus on </w:t>
      </w:r>
      <w:r w:rsidR="00F15589" w:rsidRPr="00B71F92">
        <w:t>robust</w:t>
      </w:r>
      <w:r w:rsidR="001E34C5" w:rsidRPr="00B71F92">
        <w:t xml:space="preserve"> </w:t>
      </w:r>
      <w:r w:rsidR="00F15589" w:rsidRPr="00B71F92">
        <w:t xml:space="preserve">eviction </w:t>
      </w:r>
      <w:r w:rsidR="001E34C5" w:rsidRPr="00B71F92">
        <w:t xml:space="preserve">protection measures, particularly for underreported informal evictions, </w:t>
      </w:r>
      <w:r w:rsidR="001F282A" w:rsidRPr="00B71F92">
        <w:t>anti-displacement strategies</w:t>
      </w:r>
      <w:r w:rsidR="007C32AE" w:rsidRPr="00B71F92">
        <w:t xml:space="preserve">, and engagement between social services and impacted communities are needed to help reduce disparities and </w:t>
      </w:r>
      <w:r w:rsidR="00F15589" w:rsidRPr="00B71F92">
        <w:t xml:space="preserve">structural barriers in the housing market. </w:t>
      </w:r>
    </w:p>
    <w:p w14:paraId="3704778B" w14:textId="77777777" w:rsidR="00715F5C" w:rsidRPr="00B71F92" w:rsidRDefault="00715F5C" w:rsidP="008404B6">
      <w:pPr>
        <w:spacing w:after="0" w:line="240" w:lineRule="auto"/>
        <w:jc w:val="both"/>
        <w:rPr>
          <w:b/>
          <w:bCs/>
        </w:rPr>
      </w:pPr>
    </w:p>
    <w:p w14:paraId="3E64F9FA" w14:textId="77777777" w:rsidR="009B43C9" w:rsidRDefault="009B43C9" w:rsidP="008404B6">
      <w:pPr>
        <w:spacing w:after="0" w:line="240" w:lineRule="auto"/>
        <w:jc w:val="both"/>
        <w:rPr>
          <w:b/>
          <w:bCs/>
        </w:rPr>
        <w:sectPr w:rsidR="009B43C9" w:rsidSect="00965206">
          <w:pgSz w:w="12240" w:h="15840"/>
          <w:pgMar w:top="1440" w:right="1440" w:bottom="1440" w:left="1440" w:header="720" w:footer="720" w:gutter="0"/>
          <w:cols w:space="720"/>
          <w:docGrid w:linePitch="360"/>
        </w:sectPr>
      </w:pPr>
    </w:p>
    <w:p w14:paraId="1D157434" w14:textId="1C9903DE" w:rsidR="00394E20" w:rsidRPr="00B71F92" w:rsidRDefault="00394E20" w:rsidP="00AF15D1">
      <w:pPr>
        <w:spacing w:after="120" w:line="240" w:lineRule="auto"/>
        <w:jc w:val="both"/>
        <w:rPr>
          <w:b/>
          <w:bCs/>
        </w:rPr>
      </w:pPr>
      <w:r w:rsidRPr="00B71F92">
        <w:rPr>
          <w:b/>
          <w:bCs/>
        </w:rPr>
        <w:lastRenderedPageBreak/>
        <w:t>Table 5: Percent Change in Moving Motivations Between the 2019-Period and the 2021-Period</w:t>
      </w:r>
    </w:p>
    <w:tbl>
      <w:tblPr>
        <w:tblW w:w="14030" w:type="dxa"/>
        <w:jc w:val="center"/>
        <w:tblLayout w:type="fixed"/>
        <w:tblCellMar>
          <w:left w:w="58" w:type="dxa"/>
          <w:right w:w="29" w:type="dxa"/>
        </w:tblCellMar>
        <w:tblLook w:val="04A0" w:firstRow="1" w:lastRow="0" w:firstColumn="1" w:lastColumn="0" w:noHBand="0" w:noVBand="1"/>
      </w:tblPr>
      <w:tblGrid>
        <w:gridCol w:w="1244"/>
        <w:gridCol w:w="2698"/>
        <w:gridCol w:w="809"/>
        <w:gridCol w:w="894"/>
        <w:gridCol w:w="810"/>
        <w:gridCol w:w="905"/>
        <w:gridCol w:w="905"/>
        <w:gridCol w:w="850"/>
        <w:gridCol w:w="1085"/>
        <w:gridCol w:w="990"/>
        <w:gridCol w:w="992"/>
        <w:gridCol w:w="722"/>
        <w:gridCol w:w="1126"/>
      </w:tblGrid>
      <w:tr w:rsidR="00394E20" w:rsidRPr="00B71F92" w14:paraId="36C6B12B" w14:textId="77777777" w:rsidTr="00AF15D1">
        <w:trPr>
          <w:trHeight w:val="216"/>
          <w:jc w:val="center"/>
        </w:trPr>
        <w:tc>
          <w:tcPr>
            <w:tcW w:w="1244" w:type="dxa"/>
            <w:vMerge w:val="restart"/>
            <w:tcBorders>
              <w:top w:val="single" w:sz="12" w:space="0" w:color="auto"/>
              <w:left w:val="single" w:sz="12" w:space="0" w:color="auto"/>
              <w:right w:val="nil"/>
            </w:tcBorders>
            <w:noWrap/>
            <w:vAlign w:val="center"/>
            <w:hideMark/>
          </w:tcPr>
          <w:p w14:paraId="5B17C369" w14:textId="77777777" w:rsidR="00394E20" w:rsidRPr="00B71F92" w:rsidRDefault="00394E20" w:rsidP="008C0804">
            <w:pPr>
              <w:spacing w:after="0" w:line="240" w:lineRule="auto"/>
              <w:jc w:val="center"/>
              <w:rPr>
                <w:rFonts w:eastAsia="Times New Roman"/>
                <w:color w:val="000000"/>
                <w:sz w:val="18"/>
                <w:szCs w:val="18"/>
              </w:rPr>
            </w:pPr>
            <w:r w:rsidRPr="00B71F92">
              <w:rPr>
                <w:rFonts w:eastAsia="Times New Roman"/>
                <w:color w:val="000000"/>
                <w:sz w:val="18"/>
                <w:szCs w:val="18"/>
              </w:rPr>
              <w:t>Variable</w:t>
            </w:r>
          </w:p>
        </w:tc>
        <w:tc>
          <w:tcPr>
            <w:tcW w:w="2698" w:type="dxa"/>
            <w:vMerge w:val="restart"/>
            <w:tcBorders>
              <w:top w:val="single" w:sz="12" w:space="0" w:color="auto"/>
              <w:left w:val="nil"/>
              <w:right w:val="single" w:sz="12" w:space="0" w:color="auto"/>
            </w:tcBorders>
            <w:noWrap/>
            <w:vAlign w:val="center"/>
            <w:hideMark/>
          </w:tcPr>
          <w:p w14:paraId="39B068CA" w14:textId="77777777" w:rsidR="00394E20" w:rsidRPr="00B71F92" w:rsidRDefault="00394E20" w:rsidP="008C0804">
            <w:pPr>
              <w:spacing w:after="0" w:line="240" w:lineRule="auto"/>
              <w:jc w:val="center"/>
              <w:rPr>
                <w:rFonts w:eastAsia="Times New Roman"/>
                <w:color w:val="000000"/>
                <w:sz w:val="18"/>
                <w:szCs w:val="18"/>
              </w:rPr>
            </w:pPr>
            <w:r w:rsidRPr="00B71F92">
              <w:rPr>
                <w:rFonts w:eastAsia="Times New Roman"/>
                <w:color w:val="000000"/>
                <w:sz w:val="18"/>
                <w:szCs w:val="18"/>
              </w:rPr>
              <w:t>Levels</w:t>
            </w:r>
          </w:p>
        </w:tc>
        <w:tc>
          <w:tcPr>
            <w:tcW w:w="809" w:type="dxa"/>
            <w:vMerge w:val="restart"/>
            <w:tcBorders>
              <w:top w:val="single" w:sz="12" w:space="0" w:color="auto"/>
              <w:left w:val="single" w:sz="12" w:space="0" w:color="auto"/>
              <w:bottom w:val="single" w:sz="12" w:space="0" w:color="auto"/>
              <w:right w:val="single" w:sz="12" w:space="0" w:color="auto"/>
            </w:tcBorders>
            <w:noWrap/>
            <w:vAlign w:val="center"/>
            <w:hideMark/>
          </w:tcPr>
          <w:p w14:paraId="3FB0D876"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Move Within Two Years</w:t>
            </w:r>
          </w:p>
        </w:tc>
        <w:tc>
          <w:tcPr>
            <w:tcW w:w="9275" w:type="dxa"/>
            <w:gridSpan w:val="10"/>
            <w:tcBorders>
              <w:top w:val="single" w:sz="12" w:space="0" w:color="auto"/>
              <w:left w:val="single" w:sz="12" w:space="0" w:color="auto"/>
              <w:bottom w:val="single" w:sz="12" w:space="0" w:color="auto"/>
              <w:right w:val="single" w:sz="12" w:space="0" w:color="auto"/>
            </w:tcBorders>
            <w:noWrap/>
            <w:vAlign w:val="center"/>
            <w:hideMark/>
          </w:tcPr>
          <w:p w14:paraId="7E6D00DA"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Reason for Considering a Move</w:t>
            </w:r>
          </w:p>
        </w:tc>
      </w:tr>
      <w:tr w:rsidR="00394E20" w:rsidRPr="00B71F92" w14:paraId="4514C4B6" w14:textId="77777777" w:rsidTr="00AF15D1">
        <w:trPr>
          <w:trHeight w:val="216"/>
          <w:jc w:val="center"/>
        </w:trPr>
        <w:tc>
          <w:tcPr>
            <w:tcW w:w="1244" w:type="dxa"/>
            <w:vMerge/>
            <w:tcBorders>
              <w:left w:val="single" w:sz="12" w:space="0" w:color="auto"/>
              <w:right w:val="nil"/>
            </w:tcBorders>
            <w:vAlign w:val="center"/>
            <w:hideMark/>
          </w:tcPr>
          <w:p w14:paraId="7F878FC4" w14:textId="77777777" w:rsidR="00394E20" w:rsidRPr="00B71F92" w:rsidRDefault="00394E20" w:rsidP="008C0804">
            <w:pPr>
              <w:spacing w:after="0" w:line="240" w:lineRule="auto"/>
              <w:rPr>
                <w:rFonts w:eastAsia="Times New Roman"/>
                <w:color w:val="000000"/>
                <w:sz w:val="18"/>
                <w:szCs w:val="18"/>
              </w:rPr>
            </w:pPr>
          </w:p>
        </w:tc>
        <w:tc>
          <w:tcPr>
            <w:tcW w:w="2698" w:type="dxa"/>
            <w:vMerge/>
            <w:tcBorders>
              <w:left w:val="nil"/>
              <w:right w:val="single" w:sz="12" w:space="0" w:color="auto"/>
            </w:tcBorders>
            <w:vAlign w:val="center"/>
            <w:hideMark/>
          </w:tcPr>
          <w:p w14:paraId="0EA3478B" w14:textId="77777777" w:rsidR="00394E20" w:rsidRPr="00B71F92" w:rsidRDefault="00394E20" w:rsidP="008C0804">
            <w:pPr>
              <w:spacing w:after="0" w:line="240" w:lineRule="auto"/>
              <w:rPr>
                <w:rFonts w:eastAsia="Times New Roman"/>
                <w:color w:val="000000"/>
                <w:sz w:val="18"/>
                <w:szCs w:val="18"/>
              </w:rPr>
            </w:pPr>
          </w:p>
        </w:tc>
        <w:tc>
          <w:tcPr>
            <w:tcW w:w="809" w:type="dxa"/>
            <w:vMerge/>
            <w:tcBorders>
              <w:left w:val="single" w:sz="12" w:space="0" w:color="auto"/>
              <w:bottom w:val="single" w:sz="12" w:space="0" w:color="auto"/>
              <w:right w:val="single" w:sz="12" w:space="0" w:color="auto"/>
            </w:tcBorders>
            <w:vAlign w:val="center"/>
            <w:hideMark/>
          </w:tcPr>
          <w:p w14:paraId="28FC645B" w14:textId="77777777" w:rsidR="00394E20" w:rsidRPr="00B71F92" w:rsidRDefault="00394E20" w:rsidP="008C0804">
            <w:pPr>
              <w:spacing w:after="0" w:line="240" w:lineRule="auto"/>
              <w:jc w:val="center"/>
              <w:rPr>
                <w:rFonts w:eastAsia="Times New Roman"/>
                <w:color w:val="000000"/>
                <w:sz w:val="18"/>
                <w:szCs w:val="18"/>
              </w:rPr>
            </w:pPr>
          </w:p>
        </w:tc>
        <w:tc>
          <w:tcPr>
            <w:tcW w:w="2609" w:type="dxa"/>
            <w:gridSpan w:val="3"/>
            <w:tcBorders>
              <w:top w:val="single" w:sz="12" w:space="0" w:color="auto"/>
              <w:left w:val="single" w:sz="12" w:space="0" w:color="auto"/>
              <w:bottom w:val="single" w:sz="12" w:space="0" w:color="auto"/>
              <w:right w:val="single" w:sz="12" w:space="0" w:color="auto"/>
            </w:tcBorders>
            <w:noWrap/>
            <w:vAlign w:val="center"/>
          </w:tcPr>
          <w:p w14:paraId="75A2CE1F" w14:textId="77777777" w:rsidR="00394E20" w:rsidRPr="00B71F92" w:rsidRDefault="00394E20" w:rsidP="008C0804">
            <w:pPr>
              <w:spacing w:after="0" w:line="240" w:lineRule="auto"/>
              <w:jc w:val="center"/>
              <w:rPr>
                <w:rFonts w:eastAsia="Times New Roman"/>
                <w:color w:val="000000"/>
                <w:sz w:val="18"/>
                <w:szCs w:val="18"/>
              </w:rPr>
            </w:pPr>
            <w:r w:rsidRPr="00B71F92">
              <w:rPr>
                <w:b/>
                <w:bCs/>
                <w:sz w:val="18"/>
                <w:szCs w:val="18"/>
              </w:rPr>
              <w:t>Proactive Planning</w:t>
            </w:r>
          </w:p>
        </w:tc>
        <w:tc>
          <w:tcPr>
            <w:tcW w:w="2836" w:type="dxa"/>
            <w:gridSpan w:val="3"/>
            <w:tcBorders>
              <w:top w:val="single" w:sz="12" w:space="0" w:color="auto"/>
              <w:left w:val="single" w:sz="12" w:space="0" w:color="auto"/>
              <w:bottom w:val="single" w:sz="12" w:space="0" w:color="auto"/>
              <w:right w:val="single" w:sz="12" w:space="0" w:color="auto"/>
            </w:tcBorders>
            <w:noWrap/>
            <w:vAlign w:val="center"/>
          </w:tcPr>
          <w:p w14:paraId="01CA7E04" w14:textId="77777777" w:rsidR="00394E20" w:rsidRPr="00B71F92" w:rsidRDefault="00394E20" w:rsidP="008C0804">
            <w:pPr>
              <w:spacing w:after="0" w:line="240" w:lineRule="auto"/>
              <w:jc w:val="center"/>
              <w:rPr>
                <w:rFonts w:eastAsia="Times New Roman"/>
                <w:color w:val="000000"/>
                <w:sz w:val="18"/>
                <w:szCs w:val="18"/>
              </w:rPr>
            </w:pPr>
            <w:r w:rsidRPr="00B71F92">
              <w:rPr>
                <w:b/>
                <w:bCs/>
                <w:sz w:val="18"/>
                <w:szCs w:val="18"/>
              </w:rPr>
              <w:t>Disconnects Between Preferences and Housing</w:t>
            </w:r>
          </w:p>
        </w:tc>
        <w:tc>
          <w:tcPr>
            <w:tcW w:w="2704" w:type="dxa"/>
            <w:gridSpan w:val="3"/>
            <w:tcBorders>
              <w:top w:val="single" w:sz="12" w:space="0" w:color="auto"/>
              <w:left w:val="single" w:sz="12" w:space="0" w:color="auto"/>
              <w:bottom w:val="single" w:sz="12" w:space="0" w:color="auto"/>
              <w:right w:val="single" w:sz="12" w:space="0" w:color="auto"/>
            </w:tcBorders>
            <w:noWrap/>
            <w:vAlign w:val="center"/>
          </w:tcPr>
          <w:p w14:paraId="50511194" w14:textId="77777777" w:rsidR="00394E20" w:rsidRPr="00B71F92" w:rsidRDefault="00394E20" w:rsidP="008C0804">
            <w:pPr>
              <w:spacing w:after="0" w:line="240" w:lineRule="auto"/>
              <w:jc w:val="center"/>
              <w:rPr>
                <w:rFonts w:eastAsia="Times New Roman"/>
                <w:color w:val="000000"/>
                <w:sz w:val="18"/>
                <w:szCs w:val="18"/>
              </w:rPr>
            </w:pPr>
            <w:r w:rsidRPr="00B71F92">
              <w:rPr>
                <w:b/>
                <w:bCs/>
                <w:sz w:val="18"/>
                <w:szCs w:val="18"/>
              </w:rPr>
              <w:t>Triggered Reevaluations</w:t>
            </w:r>
          </w:p>
        </w:tc>
        <w:tc>
          <w:tcPr>
            <w:tcW w:w="1126" w:type="dxa"/>
            <w:tcBorders>
              <w:top w:val="single" w:sz="12" w:space="0" w:color="auto"/>
              <w:left w:val="single" w:sz="12" w:space="0" w:color="auto"/>
              <w:bottom w:val="single" w:sz="12" w:space="0" w:color="auto"/>
              <w:right w:val="single" w:sz="12" w:space="0" w:color="auto"/>
            </w:tcBorders>
            <w:noWrap/>
            <w:vAlign w:val="center"/>
          </w:tcPr>
          <w:p w14:paraId="511C4876" w14:textId="77777777" w:rsidR="00394E20" w:rsidRPr="00B71F92" w:rsidRDefault="00394E20" w:rsidP="008C0804">
            <w:pPr>
              <w:spacing w:after="0" w:line="240" w:lineRule="auto"/>
              <w:jc w:val="center"/>
              <w:rPr>
                <w:rFonts w:eastAsia="Times New Roman"/>
                <w:color w:val="000000"/>
                <w:sz w:val="18"/>
                <w:szCs w:val="18"/>
              </w:rPr>
            </w:pPr>
            <w:r w:rsidRPr="00B71F92">
              <w:rPr>
                <w:b/>
                <w:bCs/>
                <w:sz w:val="18"/>
                <w:szCs w:val="18"/>
              </w:rPr>
              <w:t>Forced Relocations</w:t>
            </w:r>
          </w:p>
        </w:tc>
      </w:tr>
      <w:tr w:rsidR="00394E20" w:rsidRPr="00B71F92" w14:paraId="5CB9668C" w14:textId="77777777" w:rsidTr="00AF15D1">
        <w:trPr>
          <w:trHeight w:val="216"/>
          <w:jc w:val="center"/>
        </w:trPr>
        <w:tc>
          <w:tcPr>
            <w:tcW w:w="1244" w:type="dxa"/>
            <w:vMerge/>
            <w:tcBorders>
              <w:left w:val="single" w:sz="12" w:space="0" w:color="auto"/>
              <w:bottom w:val="single" w:sz="12" w:space="0" w:color="auto"/>
              <w:right w:val="nil"/>
            </w:tcBorders>
            <w:vAlign w:val="center"/>
          </w:tcPr>
          <w:p w14:paraId="48CB5EE5" w14:textId="77777777" w:rsidR="00394E20" w:rsidRPr="00B71F92" w:rsidRDefault="00394E20" w:rsidP="008C0804">
            <w:pPr>
              <w:spacing w:after="0" w:line="240" w:lineRule="auto"/>
              <w:rPr>
                <w:rFonts w:eastAsia="Times New Roman"/>
                <w:color w:val="000000"/>
                <w:sz w:val="18"/>
                <w:szCs w:val="18"/>
              </w:rPr>
            </w:pPr>
          </w:p>
        </w:tc>
        <w:tc>
          <w:tcPr>
            <w:tcW w:w="2698" w:type="dxa"/>
            <w:vMerge/>
            <w:tcBorders>
              <w:left w:val="nil"/>
              <w:bottom w:val="single" w:sz="12" w:space="0" w:color="auto"/>
              <w:right w:val="single" w:sz="12" w:space="0" w:color="auto"/>
            </w:tcBorders>
            <w:vAlign w:val="center"/>
          </w:tcPr>
          <w:p w14:paraId="3D045CCB" w14:textId="77777777" w:rsidR="00394E20" w:rsidRPr="00B71F92" w:rsidRDefault="00394E20" w:rsidP="008C0804">
            <w:pPr>
              <w:spacing w:after="0" w:line="240" w:lineRule="auto"/>
              <w:rPr>
                <w:rFonts w:eastAsia="Times New Roman"/>
                <w:color w:val="000000"/>
                <w:sz w:val="18"/>
                <w:szCs w:val="18"/>
              </w:rPr>
            </w:pPr>
          </w:p>
        </w:tc>
        <w:tc>
          <w:tcPr>
            <w:tcW w:w="809" w:type="dxa"/>
            <w:vMerge/>
            <w:tcBorders>
              <w:left w:val="single" w:sz="12" w:space="0" w:color="auto"/>
              <w:bottom w:val="single" w:sz="12" w:space="0" w:color="auto"/>
              <w:right w:val="single" w:sz="12" w:space="0" w:color="auto"/>
            </w:tcBorders>
            <w:vAlign w:val="center"/>
          </w:tcPr>
          <w:p w14:paraId="6B68BD46" w14:textId="77777777" w:rsidR="00394E20" w:rsidRPr="00B71F92" w:rsidRDefault="00394E20" w:rsidP="008C0804">
            <w:pPr>
              <w:spacing w:after="0" w:line="240" w:lineRule="auto"/>
              <w:jc w:val="center"/>
              <w:rPr>
                <w:rFonts w:eastAsia="Times New Roman"/>
                <w:color w:val="000000"/>
                <w:sz w:val="18"/>
                <w:szCs w:val="18"/>
              </w:rPr>
            </w:pPr>
          </w:p>
        </w:tc>
        <w:tc>
          <w:tcPr>
            <w:tcW w:w="894" w:type="dxa"/>
            <w:tcBorders>
              <w:top w:val="single" w:sz="12" w:space="0" w:color="auto"/>
              <w:left w:val="single" w:sz="12" w:space="0" w:color="auto"/>
              <w:bottom w:val="single" w:sz="12" w:space="0" w:color="auto"/>
              <w:right w:val="nil"/>
            </w:tcBorders>
            <w:noWrap/>
          </w:tcPr>
          <w:p w14:paraId="2C3204FE" w14:textId="77777777" w:rsidR="00394E20" w:rsidRPr="00B71F92" w:rsidRDefault="00394E20" w:rsidP="008C0804">
            <w:pPr>
              <w:spacing w:after="0" w:line="240" w:lineRule="auto"/>
              <w:jc w:val="center"/>
              <w:rPr>
                <w:sz w:val="18"/>
                <w:szCs w:val="18"/>
              </w:rPr>
            </w:pPr>
            <w:r w:rsidRPr="00B71F92">
              <w:rPr>
                <w:sz w:val="18"/>
                <w:szCs w:val="18"/>
              </w:rPr>
              <w:t>Better access to work</w:t>
            </w:r>
          </w:p>
        </w:tc>
        <w:tc>
          <w:tcPr>
            <w:tcW w:w="810" w:type="dxa"/>
            <w:tcBorders>
              <w:top w:val="single" w:sz="12" w:space="0" w:color="auto"/>
              <w:left w:val="nil"/>
              <w:bottom w:val="single" w:sz="12" w:space="0" w:color="auto"/>
              <w:right w:val="nil"/>
            </w:tcBorders>
            <w:noWrap/>
          </w:tcPr>
          <w:p w14:paraId="15F640BE" w14:textId="77777777" w:rsidR="00394E20" w:rsidRPr="00B71F92" w:rsidRDefault="00394E20" w:rsidP="008C0804">
            <w:pPr>
              <w:spacing w:after="0" w:line="240" w:lineRule="auto"/>
              <w:jc w:val="center"/>
              <w:rPr>
                <w:sz w:val="18"/>
                <w:szCs w:val="18"/>
              </w:rPr>
            </w:pPr>
            <w:r w:rsidRPr="00B71F92">
              <w:rPr>
                <w:sz w:val="18"/>
                <w:szCs w:val="18"/>
              </w:rPr>
              <w:t>Upgrade or buy a home</w:t>
            </w:r>
          </w:p>
        </w:tc>
        <w:tc>
          <w:tcPr>
            <w:tcW w:w="905" w:type="dxa"/>
            <w:tcBorders>
              <w:top w:val="single" w:sz="12" w:space="0" w:color="auto"/>
              <w:left w:val="nil"/>
              <w:bottom w:val="single" w:sz="12" w:space="0" w:color="auto"/>
              <w:right w:val="single" w:sz="12" w:space="0" w:color="auto"/>
            </w:tcBorders>
            <w:noWrap/>
          </w:tcPr>
          <w:p w14:paraId="231E82E8" w14:textId="77777777" w:rsidR="00394E20" w:rsidRPr="00B71F92" w:rsidRDefault="00394E20" w:rsidP="008C0804">
            <w:pPr>
              <w:spacing w:after="0" w:line="240" w:lineRule="auto"/>
              <w:jc w:val="center"/>
              <w:rPr>
                <w:sz w:val="18"/>
                <w:szCs w:val="18"/>
              </w:rPr>
            </w:pPr>
            <w:r w:rsidRPr="00B71F92">
              <w:rPr>
                <w:sz w:val="18"/>
                <w:szCs w:val="18"/>
              </w:rPr>
              <w:t>Change in who you live with</w:t>
            </w:r>
          </w:p>
        </w:tc>
        <w:tc>
          <w:tcPr>
            <w:tcW w:w="905" w:type="dxa"/>
            <w:tcBorders>
              <w:top w:val="single" w:sz="12" w:space="0" w:color="auto"/>
              <w:left w:val="single" w:sz="12" w:space="0" w:color="auto"/>
              <w:bottom w:val="single" w:sz="12" w:space="0" w:color="auto"/>
              <w:right w:val="nil"/>
            </w:tcBorders>
            <w:noWrap/>
          </w:tcPr>
          <w:p w14:paraId="6490B580" w14:textId="77777777" w:rsidR="00394E20" w:rsidRPr="00B71F92" w:rsidRDefault="00394E20" w:rsidP="008C0804">
            <w:pPr>
              <w:spacing w:after="0" w:line="240" w:lineRule="auto"/>
              <w:jc w:val="center"/>
              <w:rPr>
                <w:sz w:val="18"/>
                <w:szCs w:val="18"/>
              </w:rPr>
            </w:pPr>
            <w:r w:rsidRPr="00B71F92">
              <w:rPr>
                <w:sz w:val="18"/>
                <w:szCs w:val="18"/>
              </w:rPr>
              <w:t>Need for more space</w:t>
            </w:r>
          </w:p>
        </w:tc>
        <w:tc>
          <w:tcPr>
            <w:tcW w:w="850" w:type="dxa"/>
            <w:tcBorders>
              <w:top w:val="single" w:sz="12" w:space="0" w:color="auto"/>
              <w:left w:val="nil"/>
              <w:bottom w:val="single" w:sz="12" w:space="0" w:color="auto"/>
              <w:right w:val="nil"/>
            </w:tcBorders>
            <w:noWrap/>
          </w:tcPr>
          <w:p w14:paraId="1E8FEAAF" w14:textId="77777777" w:rsidR="00394E20" w:rsidRPr="00B71F92" w:rsidRDefault="00394E20" w:rsidP="008C0804">
            <w:pPr>
              <w:spacing w:after="0" w:line="240" w:lineRule="auto"/>
              <w:jc w:val="center"/>
              <w:rPr>
                <w:sz w:val="18"/>
                <w:szCs w:val="18"/>
              </w:rPr>
            </w:pPr>
            <w:r w:rsidRPr="00B71F92">
              <w:rPr>
                <w:sz w:val="18"/>
                <w:szCs w:val="18"/>
              </w:rPr>
              <w:t>Need for less space</w:t>
            </w:r>
          </w:p>
        </w:tc>
        <w:tc>
          <w:tcPr>
            <w:tcW w:w="1085" w:type="dxa"/>
            <w:tcBorders>
              <w:top w:val="single" w:sz="12" w:space="0" w:color="auto"/>
              <w:left w:val="nil"/>
              <w:bottom w:val="single" w:sz="12" w:space="0" w:color="auto"/>
              <w:right w:val="single" w:sz="12" w:space="0" w:color="auto"/>
            </w:tcBorders>
            <w:noWrap/>
          </w:tcPr>
          <w:p w14:paraId="122B06BB" w14:textId="77777777" w:rsidR="00394E20" w:rsidRPr="00B71F92" w:rsidRDefault="00394E20" w:rsidP="008C0804">
            <w:pPr>
              <w:spacing w:after="0" w:line="240" w:lineRule="auto"/>
              <w:jc w:val="center"/>
              <w:rPr>
                <w:sz w:val="18"/>
                <w:szCs w:val="18"/>
              </w:rPr>
            </w:pPr>
            <w:r w:rsidRPr="00B71F92">
              <w:rPr>
                <w:sz w:val="18"/>
                <w:szCs w:val="18"/>
              </w:rPr>
              <w:t>Concerns about safety or crime</w:t>
            </w:r>
          </w:p>
        </w:tc>
        <w:tc>
          <w:tcPr>
            <w:tcW w:w="990" w:type="dxa"/>
            <w:tcBorders>
              <w:top w:val="single" w:sz="12" w:space="0" w:color="auto"/>
              <w:left w:val="single" w:sz="12" w:space="0" w:color="auto"/>
              <w:bottom w:val="single" w:sz="12" w:space="0" w:color="auto"/>
              <w:right w:val="nil"/>
            </w:tcBorders>
            <w:noWrap/>
          </w:tcPr>
          <w:p w14:paraId="17ADEE88" w14:textId="77777777" w:rsidR="00394E20" w:rsidRPr="00B71F92" w:rsidRDefault="00394E20" w:rsidP="008C0804">
            <w:pPr>
              <w:spacing w:after="0" w:line="240" w:lineRule="auto"/>
              <w:jc w:val="center"/>
              <w:rPr>
                <w:sz w:val="18"/>
                <w:szCs w:val="18"/>
              </w:rPr>
            </w:pPr>
            <w:r w:rsidRPr="00B71F92">
              <w:rPr>
                <w:sz w:val="18"/>
                <w:szCs w:val="18"/>
              </w:rPr>
              <w:t>Increase in housing costs</w:t>
            </w:r>
          </w:p>
        </w:tc>
        <w:tc>
          <w:tcPr>
            <w:tcW w:w="992" w:type="dxa"/>
            <w:tcBorders>
              <w:top w:val="single" w:sz="12" w:space="0" w:color="auto"/>
              <w:left w:val="nil"/>
              <w:bottom w:val="single" w:sz="12" w:space="0" w:color="auto"/>
              <w:right w:val="nil"/>
            </w:tcBorders>
            <w:noWrap/>
          </w:tcPr>
          <w:p w14:paraId="06A48C89" w14:textId="77777777" w:rsidR="00394E20" w:rsidRPr="00B71F92" w:rsidRDefault="00394E20" w:rsidP="008C0804">
            <w:pPr>
              <w:spacing w:after="0" w:line="240" w:lineRule="auto"/>
              <w:jc w:val="center"/>
              <w:rPr>
                <w:sz w:val="18"/>
                <w:szCs w:val="18"/>
              </w:rPr>
            </w:pPr>
            <w:r w:rsidRPr="00B71F92">
              <w:rPr>
                <w:sz w:val="18"/>
                <w:szCs w:val="18"/>
              </w:rPr>
              <w:t>Change in income or finances</w:t>
            </w:r>
          </w:p>
        </w:tc>
        <w:tc>
          <w:tcPr>
            <w:tcW w:w="722" w:type="dxa"/>
            <w:tcBorders>
              <w:top w:val="single" w:sz="12" w:space="0" w:color="auto"/>
              <w:left w:val="nil"/>
              <w:bottom w:val="single" w:sz="12" w:space="0" w:color="auto"/>
              <w:right w:val="single" w:sz="12" w:space="0" w:color="auto"/>
            </w:tcBorders>
            <w:noWrap/>
          </w:tcPr>
          <w:p w14:paraId="71B00EED" w14:textId="77777777" w:rsidR="00394E20" w:rsidRPr="00B71F92" w:rsidRDefault="00394E20" w:rsidP="008C0804">
            <w:pPr>
              <w:spacing w:after="0" w:line="240" w:lineRule="auto"/>
              <w:jc w:val="center"/>
              <w:rPr>
                <w:sz w:val="18"/>
                <w:szCs w:val="18"/>
              </w:rPr>
            </w:pPr>
            <w:r w:rsidRPr="00B71F92">
              <w:rPr>
                <w:sz w:val="18"/>
                <w:szCs w:val="18"/>
              </w:rPr>
              <w:t>Friends leaving</w:t>
            </w:r>
          </w:p>
        </w:tc>
        <w:tc>
          <w:tcPr>
            <w:tcW w:w="1126" w:type="dxa"/>
            <w:tcBorders>
              <w:top w:val="single" w:sz="12" w:space="0" w:color="auto"/>
              <w:left w:val="single" w:sz="12" w:space="0" w:color="auto"/>
              <w:bottom w:val="single" w:sz="12" w:space="0" w:color="auto"/>
              <w:right w:val="single" w:sz="12" w:space="0" w:color="auto"/>
            </w:tcBorders>
            <w:noWrap/>
          </w:tcPr>
          <w:p w14:paraId="0A398BEB" w14:textId="77777777" w:rsidR="00394E20" w:rsidRPr="00B71F92" w:rsidRDefault="00394E20" w:rsidP="008C0804">
            <w:pPr>
              <w:spacing w:after="0" w:line="240" w:lineRule="auto"/>
              <w:jc w:val="center"/>
              <w:rPr>
                <w:sz w:val="18"/>
                <w:szCs w:val="18"/>
              </w:rPr>
            </w:pPr>
            <w:r w:rsidRPr="00B71F92">
              <w:rPr>
                <w:sz w:val="18"/>
                <w:szCs w:val="18"/>
              </w:rPr>
              <w:t>Threat of being forced to move out</w:t>
            </w:r>
          </w:p>
        </w:tc>
      </w:tr>
      <w:tr w:rsidR="00394E20" w:rsidRPr="00B71F92" w14:paraId="485AAA10" w14:textId="77777777" w:rsidTr="00AF15D1">
        <w:trPr>
          <w:trHeight w:val="216"/>
          <w:jc w:val="center"/>
        </w:trPr>
        <w:tc>
          <w:tcPr>
            <w:tcW w:w="14026" w:type="dxa"/>
            <w:gridSpan w:val="13"/>
            <w:tcBorders>
              <w:top w:val="single" w:sz="12" w:space="0" w:color="auto"/>
              <w:left w:val="single" w:sz="12" w:space="0" w:color="auto"/>
              <w:bottom w:val="single" w:sz="4" w:space="0" w:color="auto"/>
              <w:right w:val="single" w:sz="12" w:space="0" w:color="auto"/>
            </w:tcBorders>
            <w:noWrap/>
            <w:vAlign w:val="center"/>
          </w:tcPr>
          <w:p w14:paraId="4FA00132" w14:textId="77777777" w:rsidR="00394E20" w:rsidRPr="00B71F92" w:rsidRDefault="00394E20" w:rsidP="008C0804">
            <w:pPr>
              <w:tabs>
                <w:tab w:val="decimal" w:pos="270"/>
              </w:tabs>
              <w:spacing w:after="0" w:line="240" w:lineRule="auto"/>
              <w:rPr>
                <w:sz w:val="18"/>
                <w:szCs w:val="18"/>
              </w:rPr>
            </w:pPr>
            <w:r w:rsidRPr="00B71F92">
              <w:rPr>
                <w:b/>
                <w:bCs/>
                <w:i/>
                <w:iCs/>
                <w:sz w:val="18"/>
                <w:szCs w:val="18"/>
              </w:rPr>
              <w:t>Lifecycle and Household Composition Variables</w:t>
            </w:r>
          </w:p>
        </w:tc>
      </w:tr>
      <w:tr w:rsidR="00394E20" w:rsidRPr="00B71F92" w14:paraId="646ABF2F"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593B0BEA"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Lifecycle</w:t>
            </w:r>
          </w:p>
        </w:tc>
        <w:tc>
          <w:tcPr>
            <w:tcW w:w="2698" w:type="dxa"/>
            <w:tcBorders>
              <w:top w:val="single" w:sz="4" w:space="0" w:color="auto"/>
              <w:left w:val="nil"/>
              <w:bottom w:val="nil"/>
              <w:right w:val="single" w:sz="12" w:space="0" w:color="auto"/>
            </w:tcBorders>
            <w:noWrap/>
            <w:vAlign w:val="center"/>
            <w:hideMark/>
          </w:tcPr>
          <w:p w14:paraId="4945039F"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Young (adults 18-44)</w:t>
            </w:r>
          </w:p>
        </w:tc>
        <w:tc>
          <w:tcPr>
            <w:tcW w:w="809" w:type="dxa"/>
            <w:tcBorders>
              <w:top w:val="single" w:sz="4" w:space="0" w:color="auto"/>
              <w:left w:val="single" w:sz="12" w:space="0" w:color="auto"/>
              <w:bottom w:val="nil"/>
              <w:right w:val="single" w:sz="12" w:space="0" w:color="auto"/>
            </w:tcBorders>
            <w:noWrap/>
            <w:hideMark/>
          </w:tcPr>
          <w:p w14:paraId="77A8CF0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0.8</w:t>
            </w:r>
          </w:p>
        </w:tc>
        <w:tc>
          <w:tcPr>
            <w:tcW w:w="894" w:type="dxa"/>
            <w:tcBorders>
              <w:top w:val="single" w:sz="4" w:space="0" w:color="auto"/>
              <w:left w:val="single" w:sz="12" w:space="0" w:color="auto"/>
              <w:bottom w:val="nil"/>
              <w:right w:val="nil"/>
            </w:tcBorders>
            <w:noWrap/>
            <w:hideMark/>
          </w:tcPr>
          <w:p w14:paraId="221AA7A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single" w:sz="4" w:space="0" w:color="auto"/>
              <w:left w:val="nil"/>
              <w:bottom w:val="nil"/>
              <w:right w:val="nil"/>
            </w:tcBorders>
            <w:noWrap/>
            <w:hideMark/>
          </w:tcPr>
          <w:p w14:paraId="739E1AA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-24.4</w:t>
            </w:r>
          </w:p>
        </w:tc>
        <w:tc>
          <w:tcPr>
            <w:tcW w:w="905" w:type="dxa"/>
            <w:tcBorders>
              <w:top w:val="single" w:sz="4" w:space="0" w:color="auto"/>
              <w:left w:val="nil"/>
              <w:bottom w:val="nil"/>
              <w:right w:val="single" w:sz="12" w:space="0" w:color="auto"/>
            </w:tcBorders>
            <w:noWrap/>
            <w:hideMark/>
          </w:tcPr>
          <w:p w14:paraId="1371CEA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-19.5</w:t>
            </w:r>
          </w:p>
        </w:tc>
        <w:tc>
          <w:tcPr>
            <w:tcW w:w="905" w:type="dxa"/>
            <w:tcBorders>
              <w:top w:val="single" w:sz="4" w:space="0" w:color="auto"/>
              <w:left w:val="single" w:sz="12" w:space="0" w:color="auto"/>
              <w:bottom w:val="nil"/>
              <w:right w:val="nil"/>
            </w:tcBorders>
            <w:noWrap/>
            <w:hideMark/>
          </w:tcPr>
          <w:p w14:paraId="1012209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26.5</w:t>
            </w:r>
          </w:p>
        </w:tc>
        <w:tc>
          <w:tcPr>
            <w:tcW w:w="850" w:type="dxa"/>
            <w:tcBorders>
              <w:top w:val="single" w:sz="4" w:space="0" w:color="auto"/>
              <w:left w:val="nil"/>
              <w:bottom w:val="nil"/>
              <w:right w:val="nil"/>
            </w:tcBorders>
            <w:noWrap/>
            <w:hideMark/>
          </w:tcPr>
          <w:p w14:paraId="2279B3C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-14.4</w:t>
            </w:r>
          </w:p>
        </w:tc>
        <w:tc>
          <w:tcPr>
            <w:tcW w:w="1085" w:type="dxa"/>
            <w:tcBorders>
              <w:top w:val="single" w:sz="4" w:space="0" w:color="auto"/>
              <w:left w:val="nil"/>
              <w:bottom w:val="nil"/>
              <w:right w:val="single" w:sz="12" w:space="0" w:color="auto"/>
            </w:tcBorders>
            <w:noWrap/>
            <w:hideMark/>
          </w:tcPr>
          <w:p w14:paraId="31F2882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single" w:sz="4" w:space="0" w:color="auto"/>
              <w:left w:val="single" w:sz="12" w:space="0" w:color="auto"/>
              <w:bottom w:val="nil"/>
              <w:right w:val="nil"/>
            </w:tcBorders>
            <w:noWrap/>
            <w:hideMark/>
          </w:tcPr>
          <w:p w14:paraId="405CFB4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-10.8</w:t>
            </w:r>
          </w:p>
        </w:tc>
        <w:tc>
          <w:tcPr>
            <w:tcW w:w="992" w:type="dxa"/>
            <w:tcBorders>
              <w:top w:val="single" w:sz="4" w:space="0" w:color="auto"/>
              <w:left w:val="nil"/>
              <w:bottom w:val="nil"/>
              <w:right w:val="nil"/>
            </w:tcBorders>
            <w:noWrap/>
            <w:hideMark/>
          </w:tcPr>
          <w:p w14:paraId="4A1FDF5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162.4</w:t>
            </w:r>
          </w:p>
        </w:tc>
        <w:tc>
          <w:tcPr>
            <w:tcW w:w="722" w:type="dxa"/>
            <w:tcBorders>
              <w:top w:val="single" w:sz="4" w:space="0" w:color="auto"/>
              <w:left w:val="nil"/>
              <w:bottom w:val="nil"/>
              <w:right w:val="single" w:sz="12" w:space="0" w:color="auto"/>
            </w:tcBorders>
            <w:noWrap/>
            <w:hideMark/>
          </w:tcPr>
          <w:p w14:paraId="43C776E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153.0</w:t>
            </w:r>
          </w:p>
        </w:tc>
        <w:tc>
          <w:tcPr>
            <w:tcW w:w="1126" w:type="dxa"/>
            <w:tcBorders>
              <w:top w:val="single" w:sz="4" w:space="0" w:color="auto"/>
              <w:left w:val="single" w:sz="12" w:space="0" w:color="auto"/>
              <w:bottom w:val="nil"/>
              <w:right w:val="single" w:sz="12" w:space="0" w:color="auto"/>
            </w:tcBorders>
            <w:noWrap/>
            <w:hideMark/>
          </w:tcPr>
          <w:p w14:paraId="562855A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-0.6</w:t>
            </w:r>
          </w:p>
        </w:tc>
      </w:tr>
      <w:tr w:rsidR="00394E20" w:rsidRPr="00B71F92" w14:paraId="3B4E43D2"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6E354DE8"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0DFAA356"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Middle-aged (adults 45-64)</w:t>
            </w:r>
          </w:p>
        </w:tc>
        <w:tc>
          <w:tcPr>
            <w:tcW w:w="809" w:type="dxa"/>
            <w:tcBorders>
              <w:top w:val="nil"/>
              <w:left w:val="single" w:sz="12" w:space="0" w:color="auto"/>
              <w:bottom w:val="nil"/>
              <w:right w:val="single" w:sz="12" w:space="0" w:color="auto"/>
            </w:tcBorders>
            <w:noWrap/>
            <w:hideMark/>
          </w:tcPr>
          <w:p w14:paraId="6358DD0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-7.8</w:t>
            </w:r>
          </w:p>
        </w:tc>
        <w:tc>
          <w:tcPr>
            <w:tcW w:w="894" w:type="dxa"/>
            <w:tcBorders>
              <w:top w:val="nil"/>
              <w:left w:val="single" w:sz="12" w:space="0" w:color="auto"/>
              <w:bottom w:val="nil"/>
              <w:right w:val="nil"/>
            </w:tcBorders>
            <w:noWrap/>
            <w:hideMark/>
          </w:tcPr>
          <w:p w14:paraId="6323432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nil"/>
              <w:left w:val="nil"/>
              <w:bottom w:val="nil"/>
              <w:right w:val="nil"/>
            </w:tcBorders>
            <w:noWrap/>
            <w:hideMark/>
          </w:tcPr>
          <w:p w14:paraId="5AD34C0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-31.2</w:t>
            </w:r>
          </w:p>
        </w:tc>
        <w:tc>
          <w:tcPr>
            <w:tcW w:w="905" w:type="dxa"/>
            <w:tcBorders>
              <w:top w:val="nil"/>
              <w:left w:val="nil"/>
              <w:bottom w:val="nil"/>
              <w:right w:val="single" w:sz="12" w:space="0" w:color="auto"/>
            </w:tcBorders>
            <w:noWrap/>
            <w:hideMark/>
          </w:tcPr>
          <w:p w14:paraId="7718E98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-19.4</w:t>
            </w:r>
          </w:p>
        </w:tc>
        <w:tc>
          <w:tcPr>
            <w:tcW w:w="905" w:type="dxa"/>
            <w:tcBorders>
              <w:top w:val="nil"/>
              <w:left w:val="single" w:sz="12" w:space="0" w:color="auto"/>
              <w:bottom w:val="nil"/>
              <w:right w:val="nil"/>
            </w:tcBorders>
            <w:noWrap/>
            <w:hideMark/>
          </w:tcPr>
          <w:p w14:paraId="11C4E93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27.5</w:t>
            </w:r>
          </w:p>
        </w:tc>
        <w:tc>
          <w:tcPr>
            <w:tcW w:w="850" w:type="dxa"/>
            <w:tcBorders>
              <w:top w:val="nil"/>
              <w:left w:val="nil"/>
              <w:bottom w:val="nil"/>
              <w:right w:val="nil"/>
            </w:tcBorders>
            <w:noWrap/>
            <w:hideMark/>
          </w:tcPr>
          <w:p w14:paraId="4A32D95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-14.4</w:t>
            </w:r>
          </w:p>
        </w:tc>
        <w:tc>
          <w:tcPr>
            <w:tcW w:w="1085" w:type="dxa"/>
            <w:tcBorders>
              <w:top w:val="nil"/>
              <w:left w:val="nil"/>
              <w:bottom w:val="nil"/>
              <w:right w:val="single" w:sz="12" w:space="0" w:color="auto"/>
            </w:tcBorders>
            <w:noWrap/>
            <w:hideMark/>
          </w:tcPr>
          <w:p w14:paraId="1BC89E9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bottom w:val="nil"/>
              <w:right w:val="nil"/>
            </w:tcBorders>
            <w:noWrap/>
            <w:hideMark/>
          </w:tcPr>
          <w:p w14:paraId="7A790BB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-10.8</w:t>
            </w:r>
          </w:p>
        </w:tc>
        <w:tc>
          <w:tcPr>
            <w:tcW w:w="992" w:type="dxa"/>
            <w:tcBorders>
              <w:top w:val="nil"/>
              <w:left w:val="nil"/>
              <w:bottom w:val="nil"/>
              <w:right w:val="nil"/>
            </w:tcBorders>
            <w:noWrap/>
            <w:hideMark/>
          </w:tcPr>
          <w:p w14:paraId="10C2D41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162.4</w:t>
            </w:r>
          </w:p>
        </w:tc>
        <w:tc>
          <w:tcPr>
            <w:tcW w:w="722" w:type="dxa"/>
            <w:tcBorders>
              <w:top w:val="nil"/>
              <w:left w:val="nil"/>
              <w:bottom w:val="nil"/>
              <w:right w:val="single" w:sz="12" w:space="0" w:color="auto"/>
            </w:tcBorders>
            <w:noWrap/>
            <w:hideMark/>
          </w:tcPr>
          <w:p w14:paraId="1D4FCFE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153.0</w:t>
            </w:r>
          </w:p>
        </w:tc>
        <w:tc>
          <w:tcPr>
            <w:tcW w:w="1126" w:type="dxa"/>
            <w:tcBorders>
              <w:top w:val="nil"/>
              <w:left w:val="single" w:sz="12" w:space="0" w:color="auto"/>
              <w:bottom w:val="nil"/>
              <w:right w:val="single" w:sz="12" w:space="0" w:color="auto"/>
            </w:tcBorders>
            <w:noWrap/>
            <w:hideMark/>
          </w:tcPr>
          <w:p w14:paraId="19E6837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-0.6</w:t>
            </w:r>
          </w:p>
        </w:tc>
      </w:tr>
      <w:tr w:rsidR="00394E20" w:rsidRPr="00B71F92" w14:paraId="4250036D"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448CB617"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right w:val="single" w:sz="12" w:space="0" w:color="auto"/>
            </w:tcBorders>
            <w:noWrap/>
            <w:vAlign w:val="center"/>
            <w:hideMark/>
          </w:tcPr>
          <w:p w14:paraId="65327249"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Older (adults 65+)</w:t>
            </w:r>
          </w:p>
        </w:tc>
        <w:tc>
          <w:tcPr>
            <w:tcW w:w="809" w:type="dxa"/>
            <w:tcBorders>
              <w:top w:val="nil"/>
              <w:left w:val="single" w:sz="12" w:space="0" w:color="auto"/>
              <w:right w:val="single" w:sz="12" w:space="0" w:color="auto"/>
            </w:tcBorders>
            <w:noWrap/>
            <w:hideMark/>
          </w:tcPr>
          <w:p w14:paraId="5B5743D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-49.3</w:t>
            </w:r>
          </w:p>
        </w:tc>
        <w:tc>
          <w:tcPr>
            <w:tcW w:w="894" w:type="dxa"/>
            <w:tcBorders>
              <w:top w:val="nil"/>
              <w:left w:val="single" w:sz="12" w:space="0" w:color="auto"/>
              <w:right w:val="nil"/>
            </w:tcBorders>
            <w:noWrap/>
            <w:hideMark/>
          </w:tcPr>
          <w:p w14:paraId="3DD3845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nil"/>
              <w:left w:val="nil"/>
              <w:right w:val="nil"/>
            </w:tcBorders>
            <w:noWrap/>
            <w:hideMark/>
          </w:tcPr>
          <w:p w14:paraId="7688347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38.2</w:t>
            </w:r>
          </w:p>
        </w:tc>
        <w:tc>
          <w:tcPr>
            <w:tcW w:w="905" w:type="dxa"/>
            <w:tcBorders>
              <w:top w:val="nil"/>
              <w:left w:val="nil"/>
              <w:right w:val="single" w:sz="12" w:space="0" w:color="auto"/>
            </w:tcBorders>
            <w:noWrap/>
            <w:hideMark/>
          </w:tcPr>
          <w:p w14:paraId="6251FB5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-18.7</w:t>
            </w:r>
          </w:p>
        </w:tc>
        <w:tc>
          <w:tcPr>
            <w:tcW w:w="905" w:type="dxa"/>
            <w:tcBorders>
              <w:top w:val="nil"/>
              <w:left w:val="single" w:sz="12" w:space="0" w:color="auto"/>
              <w:right w:val="nil"/>
            </w:tcBorders>
            <w:noWrap/>
            <w:hideMark/>
          </w:tcPr>
          <w:p w14:paraId="7E25374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133.0</w:t>
            </w:r>
          </w:p>
        </w:tc>
        <w:tc>
          <w:tcPr>
            <w:tcW w:w="850" w:type="dxa"/>
            <w:tcBorders>
              <w:top w:val="nil"/>
              <w:left w:val="nil"/>
              <w:right w:val="nil"/>
            </w:tcBorders>
            <w:noWrap/>
            <w:hideMark/>
          </w:tcPr>
          <w:p w14:paraId="74C5F7A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-49.8</w:t>
            </w:r>
          </w:p>
        </w:tc>
        <w:tc>
          <w:tcPr>
            <w:tcW w:w="1085" w:type="dxa"/>
            <w:tcBorders>
              <w:top w:val="nil"/>
              <w:left w:val="nil"/>
              <w:right w:val="single" w:sz="12" w:space="0" w:color="auto"/>
            </w:tcBorders>
            <w:noWrap/>
            <w:hideMark/>
          </w:tcPr>
          <w:p w14:paraId="69BBAF3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right w:val="nil"/>
            </w:tcBorders>
            <w:noWrap/>
            <w:hideMark/>
          </w:tcPr>
          <w:p w14:paraId="603EC00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-13.8</w:t>
            </w:r>
          </w:p>
        </w:tc>
        <w:tc>
          <w:tcPr>
            <w:tcW w:w="992" w:type="dxa"/>
            <w:tcBorders>
              <w:top w:val="nil"/>
              <w:left w:val="nil"/>
              <w:right w:val="nil"/>
            </w:tcBorders>
            <w:noWrap/>
            <w:hideMark/>
          </w:tcPr>
          <w:p w14:paraId="625AAD7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-40.8</w:t>
            </w:r>
          </w:p>
        </w:tc>
        <w:tc>
          <w:tcPr>
            <w:tcW w:w="722" w:type="dxa"/>
            <w:tcBorders>
              <w:top w:val="nil"/>
              <w:left w:val="nil"/>
              <w:right w:val="single" w:sz="12" w:space="0" w:color="auto"/>
            </w:tcBorders>
            <w:noWrap/>
            <w:hideMark/>
          </w:tcPr>
          <w:p w14:paraId="4BBD293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49.7</w:t>
            </w:r>
          </w:p>
        </w:tc>
        <w:tc>
          <w:tcPr>
            <w:tcW w:w="1126" w:type="dxa"/>
            <w:tcBorders>
              <w:top w:val="nil"/>
              <w:left w:val="single" w:sz="12" w:space="0" w:color="auto"/>
              <w:right w:val="single" w:sz="12" w:space="0" w:color="auto"/>
            </w:tcBorders>
            <w:noWrap/>
            <w:hideMark/>
          </w:tcPr>
          <w:p w14:paraId="32E2CFF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-3.6</w:t>
            </w:r>
          </w:p>
        </w:tc>
      </w:tr>
      <w:tr w:rsidR="00394E20" w:rsidRPr="00B71F92" w14:paraId="46318A02"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12A05341"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4" w:space="0" w:color="auto"/>
              <w:right w:val="single" w:sz="12" w:space="0" w:color="auto"/>
            </w:tcBorders>
            <w:noWrap/>
            <w:vAlign w:val="center"/>
            <w:hideMark/>
          </w:tcPr>
          <w:p w14:paraId="2BA6923F"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Extended/multigenerational</w:t>
            </w:r>
          </w:p>
        </w:tc>
        <w:tc>
          <w:tcPr>
            <w:tcW w:w="809" w:type="dxa"/>
            <w:tcBorders>
              <w:top w:val="nil"/>
              <w:left w:val="single" w:sz="12" w:space="0" w:color="auto"/>
              <w:bottom w:val="single" w:sz="4" w:space="0" w:color="auto"/>
              <w:right w:val="single" w:sz="12" w:space="0" w:color="auto"/>
            </w:tcBorders>
            <w:noWrap/>
            <w:hideMark/>
          </w:tcPr>
          <w:p w14:paraId="3045461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-3.2</w:t>
            </w:r>
          </w:p>
        </w:tc>
        <w:tc>
          <w:tcPr>
            <w:tcW w:w="894" w:type="dxa"/>
            <w:tcBorders>
              <w:top w:val="nil"/>
              <w:left w:val="single" w:sz="12" w:space="0" w:color="auto"/>
              <w:bottom w:val="single" w:sz="4" w:space="0" w:color="auto"/>
              <w:right w:val="nil"/>
            </w:tcBorders>
            <w:noWrap/>
            <w:hideMark/>
          </w:tcPr>
          <w:p w14:paraId="6C9FAE7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nil"/>
              <w:left w:val="nil"/>
              <w:bottom w:val="single" w:sz="4" w:space="0" w:color="auto"/>
              <w:right w:val="nil"/>
            </w:tcBorders>
            <w:noWrap/>
            <w:hideMark/>
          </w:tcPr>
          <w:p w14:paraId="44F4BC3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13.1</w:t>
            </w:r>
          </w:p>
        </w:tc>
        <w:tc>
          <w:tcPr>
            <w:tcW w:w="905" w:type="dxa"/>
            <w:tcBorders>
              <w:top w:val="nil"/>
              <w:left w:val="nil"/>
              <w:bottom w:val="single" w:sz="4" w:space="0" w:color="auto"/>
              <w:right w:val="single" w:sz="12" w:space="0" w:color="auto"/>
            </w:tcBorders>
            <w:noWrap/>
            <w:hideMark/>
          </w:tcPr>
          <w:p w14:paraId="7BE61BD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05" w:type="dxa"/>
            <w:tcBorders>
              <w:top w:val="nil"/>
              <w:left w:val="single" w:sz="12" w:space="0" w:color="auto"/>
              <w:bottom w:val="single" w:sz="4" w:space="0" w:color="auto"/>
              <w:right w:val="nil"/>
            </w:tcBorders>
            <w:noWrap/>
            <w:hideMark/>
          </w:tcPr>
          <w:p w14:paraId="45C7035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27.6</w:t>
            </w:r>
          </w:p>
        </w:tc>
        <w:tc>
          <w:tcPr>
            <w:tcW w:w="850" w:type="dxa"/>
            <w:tcBorders>
              <w:top w:val="nil"/>
              <w:left w:val="nil"/>
              <w:bottom w:val="single" w:sz="4" w:space="0" w:color="auto"/>
              <w:right w:val="nil"/>
            </w:tcBorders>
            <w:noWrap/>
            <w:hideMark/>
          </w:tcPr>
          <w:p w14:paraId="7ED7DA5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-14.4</w:t>
            </w:r>
          </w:p>
        </w:tc>
        <w:tc>
          <w:tcPr>
            <w:tcW w:w="1085" w:type="dxa"/>
            <w:tcBorders>
              <w:top w:val="nil"/>
              <w:left w:val="nil"/>
              <w:bottom w:val="single" w:sz="4" w:space="0" w:color="auto"/>
              <w:right w:val="single" w:sz="12" w:space="0" w:color="auto"/>
            </w:tcBorders>
            <w:noWrap/>
            <w:hideMark/>
          </w:tcPr>
          <w:p w14:paraId="39E1707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bottom w:val="single" w:sz="4" w:space="0" w:color="auto"/>
              <w:right w:val="nil"/>
            </w:tcBorders>
            <w:noWrap/>
            <w:hideMark/>
          </w:tcPr>
          <w:p w14:paraId="18A3515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-10.8</w:t>
            </w:r>
          </w:p>
        </w:tc>
        <w:tc>
          <w:tcPr>
            <w:tcW w:w="992" w:type="dxa"/>
            <w:tcBorders>
              <w:top w:val="nil"/>
              <w:left w:val="nil"/>
              <w:bottom w:val="single" w:sz="4" w:space="0" w:color="auto"/>
              <w:right w:val="nil"/>
            </w:tcBorders>
            <w:noWrap/>
            <w:hideMark/>
          </w:tcPr>
          <w:p w14:paraId="4C73D8C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-49.3</w:t>
            </w:r>
          </w:p>
        </w:tc>
        <w:tc>
          <w:tcPr>
            <w:tcW w:w="722" w:type="dxa"/>
            <w:tcBorders>
              <w:top w:val="nil"/>
              <w:left w:val="nil"/>
              <w:bottom w:val="single" w:sz="4" w:space="0" w:color="auto"/>
              <w:right w:val="single" w:sz="12" w:space="0" w:color="auto"/>
            </w:tcBorders>
            <w:noWrap/>
            <w:hideMark/>
          </w:tcPr>
          <w:p w14:paraId="1350659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-68.7</w:t>
            </w:r>
          </w:p>
        </w:tc>
        <w:tc>
          <w:tcPr>
            <w:tcW w:w="1126" w:type="dxa"/>
            <w:tcBorders>
              <w:top w:val="nil"/>
              <w:left w:val="single" w:sz="12" w:space="0" w:color="auto"/>
              <w:bottom w:val="single" w:sz="4" w:space="0" w:color="auto"/>
              <w:right w:val="single" w:sz="12" w:space="0" w:color="auto"/>
            </w:tcBorders>
            <w:noWrap/>
            <w:hideMark/>
          </w:tcPr>
          <w:p w14:paraId="0E574CF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-0.6</w:t>
            </w:r>
          </w:p>
        </w:tc>
      </w:tr>
      <w:tr w:rsidR="00394E20" w:rsidRPr="00B71F92" w14:paraId="1F4C5A59"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7588517B"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Household Composition</w:t>
            </w:r>
          </w:p>
        </w:tc>
        <w:tc>
          <w:tcPr>
            <w:tcW w:w="2698" w:type="dxa"/>
            <w:tcBorders>
              <w:top w:val="single" w:sz="4" w:space="0" w:color="auto"/>
              <w:left w:val="nil"/>
              <w:bottom w:val="nil"/>
              <w:right w:val="single" w:sz="12" w:space="0" w:color="auto"/>
            </w:tcBorders>
            <w:noWrap/>
            <w:vAlign w:val="center"/>
            <w:hideMark/>
          </w:tcPr>
          <w:p w14:paraId="09AAC4F6"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2+ adults</w:t>
            </w:r>
          </w:p>
        </w:tc>
        <w:tc>
          <w:tcPr>
            <w:tcW w:w="809" w:type="dxa"/>
            <w:tcBorders>
              <w:top w:val="single" w:sz="4" w:space="0" w:color="auto"/>
              <w:left w:val="single" w:sz="12" w:space="0" w:color="auto"/>
              <w:bottom w:val="nil"/>
              <w:right w:val="single" w:sz="12" w:space="0" w:color="auto"/>
            </w:tcBorders>
            <w:noWrap/>
            <w:hideMark/>
          </w:tcPr>
          <w:p w14:paraId="7752CCC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-10.8</w:t>
            </w:r>
          </w:p>
        </w:tc>
        <w:tc>
          <w:tcPr>
            <w:tcW w:w="894" w:type="dxa"/>
            <w:tcBorders>
              <w:top w:val="single" w:sz="4" w:space="0" w:color="auto"/>
              <w:left w:val="single" w:sz="12" w:space="0" w:color="auto"/>
              <w:bottom w:val="nil"/>
              <w:right w:val="nil"/>
            </w:tcBorders>
            <w:noWrap/>
            <w:hideMark/>
          </w:tcPr>
          <w:p w14:paraId="3E87166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single" w:sz="4" w:space="0" w:color="auto"/>
              <w:left w:val="nil"/>
              <w:bottom w:val="nil"/>
              <w:right w:val="nil"/>
            </w:tcBorders>
            <w:noWrap/>
            <w:hideMark/>
          </w:tcPr>
          <w:p w14:paraId="5F746AE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-14.4</w:t>
            </w:r>
          </w:p>
        </w:tc>
        <w:tc>
          <w:tcPr>
            <w:tcW w:w="905" w:type="dxa"/>
            <w:tcBorders>
              <w:top w:val="single" w:sz="4" w:space="0" w:color="auto"/>
              <w:left w:val="nil"/>
              <w:bottom w:val="nil"/>
              <w:right w:val="single" w:sz="12" w:space="0" w:color="auto"/>
            </w:tcBorders>
            <w:noWrap/>
            <w:hideMark/>
          </w:tcPr>
          <w:p w14:paraId="1035095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-18.6</w:t>
            </w:r>
          </w:p>
        </w:tc>
        <w:tc>
          <w:tcPr>
            <w:tcW w:w="905" w:type="dxa"/>
            <w:tcBorders>
              <w:top w:val="single" w:sz="4" w:space="0" w:color="auto"/>
              <w:left w:val="single" w:sz="12" w:space="0" w:color="auto"/>
              <w:bottom w:val="nil"/>
              <w:right w:val="nil"/>
            </w:tcBorders>
            <w:noWrap/>
            <w:hideMark/>
          </w:tcPr>
          <w:p w14:paraId="5DB3182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36.7</w:t>
            </w:r>
          </w:p>
        </w:tc>
        <w:tc>
          <w:tcPr>
            <w:tcW w:w="850" w:type="dxa"/>
            <w:tcBorders>
              <w:top w:val="single" w:sz="4" w:space="0" w:color="auto"/>
              <w:left w:val="nil"/>
              <w:bottom w:val="nil"/>
              <w:right w:val="nil"/>
            </w:tcBorders>
            <w:noWrap/>
            <w:hideMark/>
          </w:tcPr>
          <w:p w14:paraId="3AB2850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-14.7</w:t>
            </w:r>
          </w:p>
        </w:tc>
        <w:tc>
          <w:tcPr>
            <w:tcW w:w="1085" w:type="dxa"/>
            <w:tcBorders>
              <w:top w:val="single" w:sz="4" w:space="0" w:color="auto"/>
              <w:left w:val="nil"/>
              <w:bottom w:val="nil"/>
              <w:right w:val="single" w:sz="12" w:space="0" w:color="auto"/>
            </w:tcBorders>
            <w:noWrap/>
            <w:hideMark/>
          </w:tcPr>
          <w:p w14:paraId="6DA751B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4.8</w:t>
            </w:r>
          </w:p>
        </w:tc>
        <w:tc>
          <w:tcPr>
            <w:tcW w:w="990" w:type="dxa"/>
            <w:tcBorders>
              <w:top w:val="single" w:sz="4" w:space="0" w:color="auto"/>
              <w:left w:val="single" w:sz="12" w:space="0" w:color="auto"/>
              <w:bottom w:val="nil"/>
              <w:right w:val="nil"/>
            </w:tcBorders>
            <w:noWrap/>
            <w:hideMark/>
          </w:tcPr>
          <w:p w14:paraId="46F694F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single" w:sz="4" w:space="0" w:color="auto"/>
              <w:left w:val="nil"/>
              <w:bottom w:val="nil"/>
              <w:right w:val="nil"/>
            </w:tcBorders>
            <w:noWrap/>
            <w:hideMark/>
          </w:tcPr>
          <w:p w14:paraId="7CBDF6F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18.1</w:t>
            </w:r>
          </w:p>
        </w:tc>
        <w:tc>
          <w:tcPr>
            <w:tcW w:w="722" w:type="dxa"/>
            <w:tcBorders>
              <w:top w:val="single" w:sz="4" w:space="0" w:color="auto"/>
              <w:left w:val="nil"/>
              <w:bottom w:val="nil"/>
              <w:right w:val="single" w:sz="12" w:space="0" w:color="auto"/>
            </w:tcBorders>
            <w:noWrap/>
            <w:hideMark/>
          </w:tcPr>
          <w:p w14:paraId="1EB91C4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1126" w:type="dxa"/>
            <w:tcBorders>
              <w:top w:val="single" w:sz="4" w:space="0" w:color="auto"/>
              <w:left w:val="single" w:sz="12" w:space="0" w:color="auto"/>
              <w:bottom w:val="nil"/>
              <w:right w:val="single" w:sz="12" w:space="0" w:color="auto"/>
            </w:tcBorders>
            <w:noWrap/>
            <w:hideMark/>
          </w:tcPr>
          <w:p w14:paraId="3E7EBE0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3A7516DF" w14:textId="77777777" w:rsidTr="00AF15D1">
        <w:trPr>
          <w:trHeight w:val="216"/>
          <w:jc w:val="center"/>
        </w:trPr>
        <w:tc>
          <w:tcPr>
            <w:tcW w:w="1244" w:type="dxa"/>
            <w:vMerge/>
            <w:tcBorders>
              <w:top w:val="single" w:sz="4" w:space="0" w:color="auto"/>
              <w:left w:val="single" w:sz="12" w:space="0" w:color="auto"/>
              <w:bottom w:val="single" w:sz="4" w:space="0" w:color="auto"/>
              <w:right w:val="nil"/>
            </w:tcBorders>
            <w:vAlign w:val="center"/>
            <w:hideMark/>
          </w:tcPr>
          <w:p w14:paraId="4F32D954"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6CC852EA"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Single male adult</w:t>
            </w:r>
          </w:p>
        </w:tc>
        <w:tc>
          <w:tcPr>
            <w:tcW w:w="809" w:type="dxa"/>
            <w:tcBorders>
              <w:top w:val="nil"/>
              <w:left w:val="single" w:sz="12" w:space="0" w:color="auto"/>
              <w:bottom w:val="nil"/>
              <w:right w:val="single" w:sz="12" w:space="0" w:color="auto"/>
            </w:tcBorders>
            <w:noWrap/>
            <w:hideMark/>
          </w:tcPr>
          <w:p w14:paraId="5C21CE5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21.6</w:t>
            </w:r>
          </w:p>
        </w:tc>
        <w:tc>
          <w:tcPr>
            <w:tcW w:w="894" w:type="dxa"/>
            <w:tcBorders>
              <w:top w:val="nil"/>
              <w:left w:val="single" w:sz="12" w:space="0" w:color="auto"/>
              <w:bottom w:val="nil"/>
              <w:right w:val="nil"/>
            </w:tcBorders>
            <w:noWrap/>
            <w:hideMark/>
          </w:tcPr>
          <w:p w14:paraId="17F50E9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nil"/>
              <w:left w:val="nil"/>
              <w:bottom w:val="nil"/>
              <w:right w:val="nil"/>
            </w:tcBorders>
            <w:noWrap/>
            <w:hideMark/>
          </w:tcPr>
          <w:p w14:paraId="2F3E42F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-17.4</w:t>
            </w:r>
          </w:p>
        </w:tc>
        <w:tc>
          <w:tcPr>
            <w:tcW w:w="905" w:type="dxa"/>
            <w:tcBorders>
              <w:top w:val="nil"/>
              <w:left w:val="nil"/>
              <w:bottom w:val="nil"/>
              <w:right w:val="single" w:sz="12" w:space="0" w:color="auto"/>
            </w:tcBorders>
            <w:noWrap/>
            <w:hideMark/>
          </w:tcPr>
          <w:p w14:paraId="029B3AA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-18.6</w:t>
            </w:r>
          </w:p>
        </w:tc>
        <w:tc>
          <w:tcPr>
            <w:tcW w:w="905" w:type="dxa"/>
            <w:tcBorders>
              <w:top w:val="nil"/>
              <w:left w:val="single" w:sz="12" w:space="0" w:color="auto"/>
              <w:bottom w:val="nil"/>
              <w:right w:val="nil"/>
            </w:tcBorders>
            <w:noWrap/>
            <w:hideMark/>
          </w:tcPr>
          <w:p w14:paraId="18269C8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32.6</w:t>
            </w:r>
          </w:p>
        </w:tc>
        <w:tc>
          <w:tcPr>
            <w:tcW w:w="850" w:type="dxa"/>
            <w:tcBorders>
              <w:top w:val="nil"/>
              <w:left w:val="nil"/>
              <w:bottom w:val="nil"/>
              <w:right w:val="nil"/>
            </w:tcBorders>
            <w:noWrap/>
            <w:hideMark/>
          </w:tcPr>
          <w:p w14:paraId="1C4F717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-55.5</w:t>
            </w:r>
          </w:p>
        </w:tc>
        <w:tc>
          <w:tcPr>
            <w:tcW w:w="1085" w:type="dxa"/>
            <w:tcBorders>
              <w:top w:val="nil"/>
              <w:left w:val="nil"/>
              <w:bottom w:val="nil"/>
              <w:right w:val="single" w:sz="12" w:space="0" w:color="auto"/>
            </w:tcBorders>
            <w:noWrap/>
            <w:hideMark/>
          </w:tcPr>
          <w:p w14:paraId="2EC08FD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78.7</w:t>
            </w:r>
          </w:p>
        </w:tc>
        <w:tc>
          <w:tcPr>
            <w:tcW w:w="990" w:type="dxa"/>
            <w:tcBorders>
              <w:top w:val="nil"/>
              <w:left w:val="single" w:sz="12" w:space="0" w:color="auto"/>
              <w:bottom w:val="nil"/>
              <w:right w:val="nil"/>
            </w:tcBorders>
            <w:noWrap/>
            <w:hideMark/>
          </w:tcPr>
          <w:p w14:paraId="2C5BDC8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nil"/>
              <w:right w:val="nil"/>
            </w:tcBorders>
            <w:noWrap/>
            <w:hideMark/>
          </w:tcPr>
          <w:p w14:paraId="5B27758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5.4</w:t>
            </w:r>
          </w:p>
        </w:tc>
        <w:tc>
          <w:tcPr>
            <w:tcW w:w="722" w:type="dxa"/>
            <w:tcBorders>
              <w:top w:val="nil"/>
              <w:left w:val="nil"/>
              <w:bottom w:val="nil"/>
              <w:right w:val="single" w:sz="12" w:space="0" w:color="auto"/>
            </w:tcBorders>
            <w:noWrap/>
            <w:hideMark/>
          </w:tcPr>
          <w:p w14:paraId="13D4205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23.5</w:t>
            </w:r>
          </w:p>
        </w:tc>
        <w:tc>
          <w:tcPr>
            <w:tcW w:w="1126" w:type="dxa"/>
            <w:tcBorders>
              <w:top w:val="nil"/>
              <w:left w:val="single" w:sz="12" w:space="0" w:color="auto"/>
              <w:bottom w:val="nil"/>
              <w:right w:val="single" w:sz="12" w:space="0" w:color="auto"/>
            </w:tcBorders>
            <w:noWrap/>
            <w:hideMark/>
          </w:tcPr>
          <w:p w14:paraId="4BE8BBA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3671D8C4" w14:textId="77777777" w:rsidTr="00AF15D1">
        <w:trPr>
          <w:trHeight w:val="216"/>
          <w:jc w:val="center"/>
        </w:trPr>
        <w:tc>
          <w:tcPr>
            <w:tcW w:w="1244" w:type="dxa"/>
            <w:vMerge/>
            <w:tcBorders>
              <w:top w:val="single" w:sz="4" w:space="0" w:color="auto"/>
              <w:left w:val="single" w:sz="12" w:space="0" w:color="auto"/>
              <w:bottom w:val="single" w:sz="4" w:space="0" w:color="auto"/>
              <w:right w:val="nil"/>
            </w:tcBorders>
            <w:vAlign w:val="center"/>
            <w:hideMark/>
          </w:tcPr>
          <w:p w14:paraId="38FB2AE0"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4" w:space="0" w:color="auto"/>
              <w:right w:val="single" w:sz="12" w:space="0" w:color="auto"/>
            </w:tcBorders>
            <w:noWrap/>
            <w:vAlign w:val="center"/>
            <w:hideMark/>
          </w:tcPr>
          <w:p w14:paraId="16A8A041"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Single female adult</w:t>
            </w:r>
          </w:p>
        </w:tc>
        <w:tc>
          <w:tcPr>
            <w:tcW w:w="809" w:type="dxa"/>
            <w:tcBorders>
              <w:top w:val="nil"/>
              <w:left w:val="single" w:sz="12" w:space="0" w:color="auto"/>
              <w:bottom w:val="single" w:sz="4" w:space="0" w:color="auto"/>
              <w:right w:val="single" w:sz="12" w:space="0" w:color="auto"/>
            </w:tcBorders>
            <w:noWrap/>
            <w:hideMark/>
          </w:tcPr>
          <w:p w14:paraId="5E189F0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-9.7</w:t>
            </w:r>
          </w:p>
        </w:tc>
        <w:tc>
          <w:tcPr>
            <w:tcW w:w="894" w:type="dxa"/>
            <w:tcBorders>
              <w:top w:val="nil"/>
              <w:left w:val="single" w:sz="12" w:space="0" w:color="auto"/>
              <w:bottom w:val="single" w:sz="4" w:space="0" w:color="auto"/>
              <w:right w:val="nil"/>
            </w:tcBorders>
            <w:noWrap/>
            <w:hideMark/>
          </w:tcPr>
          <w:p w14:paraId="719998F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nil"/>
              <w:left w:val="nil"/>
              <w:bottom w:val="single" w:sz="4" w:space="0" w:color="auto"/>
              <w:right w:val="nil"/>
            </w:tcBorders>
            <w:noWrap/>
            <w:hideMark/>
          </w:tcPr>
          <w:p w14:paraId="2C8E629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-19.0</w:t>
            </w:r>
          </w:p>
        </w:tc>
        <w:tc>
          <w:tcPr>
            <w:tcW w:w="905" w:type="dxa"/>
            <w:tcBorders>
              <w:top w:val="nil"/>
              <w:left w:val="nil"/>
              <w:bottom w:val="single" w:sz="4" w:space="0" w:color="auto"/>
              <w:right w:val="single" w:sz="12" w:space="0" w:color="auto"/>
            </w:tcBorders>
            <w:noWrap/>
            <w:hideMark/>
          </w:tcPr>
          <w:p w14:paraId="6D694ED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-18.6</w:t>
            </w:r>
          </w:p>
        </w:tc>
        <w:tc>
          <w:tcPr>
            <w:tcW w:w="905" w:type="dxa"/>
            <w:tcBorders>
              <w:top w:val="nil"/>
              <w:left w:val="single" w:sz="12" w:space="0" w:color="auto"/>
              <w:bottom w:val="single" w:sz="4" w:space="0" w:color="auto"/>
              <w:right w:val="nil"/>
            </w:tcBorders>
            <w:noWrap/>
            <w:hideMark/>
          </w:tcPr>
          <w:p w14:paraId="7C025DF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35.1</w:t>
            </w:r>
          </w:p>
        </w:tc>
        <w:tc>
          <w:tcPr>
            <w:tcW w:w="850" w:type="dxa"/>
            <w:tcBorders>
              <w:top w:val="nil"/>
              <w:left w:val="nil"/>
              <w:bottom w:val="single" w:sz="4" w:space="0" w:color="auto"/>
              <w:right w:val="nil"/>
            </w:tcBorders>
            <w:noWrap/>
            <w:hideMark/>
          </w:tcPr>
          <w:p w14:paraId="01DC31F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-14.7</w:t>
            </w:r>
          </w:p>
        </w:tc>
        <w:tc>
          <w:tcPr>
            <w:tcW w:w="1085" w:type="dxa"/>
            <w:tcBorders>
              <w:top w:val="nil"/>
              <w:left w:val="nil"/>
              <w:bottom w:val="single" w:sz="4" w:space="0" w:color="auto"/>
              <w:right w:val="single" w:sz="12" w:space="0" w:color="auto"/>
            </w:tcBorders>
            <w:noWrap/>
            <w:hideMark/>
          </w:tcPr>
          <w:p w14:paraId="7774903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43.3</w:t>
            </w:r>
          </w:p>
        </w:tc>
        <w:tc>
          <w:tcPr>
            <w:tcW w:w="990" w:type="dxa"/>
            <w:tcBorders>
              <w:top w:val="nil"/>
              <w:left w:val="single" w:sz="12" w:space="0" w:color="auto"/>
              <w:bottom w:val="single" w:sz="4" w:space="0" w:color="auto"/>
              <w:right w:val="nil"/>
            </w:tcBorders>
            <w:noWrap/>
            <w:hideMark/>
          </w:tcPr>
          <w:p w14:paraId="4DCE5C0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single" w:sz="4" w:space="0" w:color="auto"/>
              <w:right w:val="nil"/>
            </w:tcBorders>
            <w:noWrap/>
            <w:hideMark/>
          </w:tcPr>
          <w:p w14:paraId="00ACC69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6.6</w:t>
            </w:r>
          </w:p>
        </w:tc>
        <w:tc>
          <w:tcPr>
            <w:tcW w:w="722" w:type="dxa"/>
            <w:tcBorders>
              <w:top w:val="nil"/>
              <w:left w:val="nil"/>
              <w:bottom w:val="single" w:sz="4" w:space="0" w:color="auto"/>
              <w:right w:val="single" w:sz="12" w:space="0" w:color="auto"/>
            </w:tcBorders>
            <w:noWrap/>
            <w:hideMark/>
          </w:tcPr>
          <w:p w14:paraId="7F4A7C9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1126" w:type="dxa"/>
            <w:tcBorders>
              <w:top w:val="nil"/>
              <w:left w:val="single" w:sz="12" w:space="0" w:color="auto"/>
              <w:bottom w:val="single" w:sz="4" w:space="0" w:color="auto"/>
              <w:right w:val="single" w:sz="12" w:space="0" w:color="auto"/>
            </w:tcBorders>
            <w:noWrap/>
            <w:hideMark/>
          </w:tcPr>
          <w:p w14:paraId="679ABDD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00A1A037"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4895B41D"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Presence of Children</w:t>
            </w:r>
          </w:p>
        </w:tc>
        <w:tc>
          <w:tcPr>
            <w:tcW w:w="2698" w:type="dxa"/>
            <w:tcBorders>
              <w:top w:val="single" w:sz="4" w:space="0" w:color="auto"/>
              <w:left w:val="nil"/>
              <w:bottom w:val="nil"/>
              <w:right w:val="single" w:sz="12" w:space="0" w:color="auto"/>
            </w:tcBorders>
            <w:noWrap/>
            <w:vAlign w:val="center"/>
            <w:hideMark/>
          </w:tcPr>
          <w:p w14:paraId="322B9F5E"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No Children</w:t>
            </w:r>
          </w:p>
        </w:tc>
        <w:tc>
          <w:tcPr>
            <w:tcW w:w="809" w:type="dxa"/>
            <w:tcBorders>
              <w:top w:val="single" w:sz="4" w:space="0" w:color="auto"/>
              <w:left w:val="single" w:sz="12" w:space="0" w:color="auto"/>
              <w:bottom w:val="nil"/>
              <w:right w:val="single" w:sz="12" w:space="0" w:color="auto"/>
            </w:tcBorders>
            <w:noWrap/>
            <w:hideMark/>
          </w:tcPr>
          <w:p w14:paraId="4E8DA30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w:t>
            </w:r>
          </w:p>
        </w:tc>
        <w:tc>
          <w:tcPr>
            <w:tcW w:w="894" w:type="dxa"/>
            <w:tcBorders>
              <w:top w:val="single" w:sz="4" w:space="0" w:color="auto"/>
              <w:left w:val="single" w:sz="12" w:space="0" w:color="auto"/>
              <w:bottom w:val="nil"/>
              <w:right w:val="nil"/>
            </w:tcBorders>
            <w:noWrap/>
            <w:hideMark/>
          </w:tcPr>
          <w:p w14:paraId="2AB4212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810" w:type="dxa"/>
            <w:tcBorders>
              <w:top w:val="single" w:sz="4" w:space="0" w:color="auto"/>
              <w:left w:val="nil"/>
              <w:bottom w:val="nil"/>
              <w:right w:val="nil"/>
            </w:tcBorders>
            <w:noWrap/>
            <w:hideMark/>
          </w:tcPr>
          <w:p w14:paraId="5B67C3C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-16.1</w:t>
            </w:r>
          </w:p>
        </w:tc>
        <w:tc>
          <w:tcPr>
            <w:tcW w:w="905" w:type="dxa"/>
            <w:tcBorders>
              <w:top w:val="single" w:sz="4" w:space="0" w:color="auto"/>
              <w:left w:val="nil"/>
              <w:bottom w:val="nil"/>
              <w:right w:val="single" w:sz="12" w:space="0" w:color="auto"/>
            </w:tcBorders>
            <w:noWrap/>
            <w:hideMark/>
          </w:tcPr>
          <w:p w14:paraId="36CFA75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-16.4</w:t>
            </w:r>
          </w:p>
        </w:tc>
        <w:tc>
          <w:tcPr>
            <w:tcW w:w="905" w:type="dxa"/>
            <w:tcBorders>
              <w:top w:val="single" w:sz="4" w:space="0" w:color="auto"/>
              <w:left w:val="single" w:sz="12" w:space="0" w:color="auto"/>
              <w:bottom w:val="nil"/>
              <w:right w:val="nil"/>
            </w:tcBorders>
            <w:noWrap/>
            <w:hideMark/>
          </w:tcPr>
          <w:p w14:paraId="575408A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42.3</w:t>
            </w:r>
          </w:p>
        </w:tc>
        <w:tc>
          <w:tcPr>
            <w:tcW w:w="850" w:type="dxa"/>
            <w:tcBorders>
              <w:top w:val="single" w:sz="4" w:space="0" w:color="auto"/>
              <w:left w:val="nil"/>
              <w:bottom w:val="nil"/>
              <w:right w:val="nil"/>
            </w:tcBorders>
            <w:noWrap/>
            <w:hideMark/>
          </w:tcPr>
          <w:p w14:paraId="4DDCCA2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-18.8</w:t>
            </w:r>
          </w:p>
        </w:tc>
        <w:tc>
          <w:tcPr>
            <w:tcW w:w="1085" w:type="dxa"/>
            <w:tcBorders>
              <w:top w:val="single" w:sz="4" w:space="0" w:color="auto"/>
              <w:left w:val="nil"/>
              <w:bottom w:val="nil"/>
              <w:right w:val="single" w:sz="12" w:space="0" w:color="auto"/>
            </w:tcBorders>
            <w:noWrap/>
            <w:hideMark/>
          </w:tcPr>
          <w:p w14:paraId="2A44320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22.4</w:t>
            </w:r>
          </w:p>
        </w:tc>
        <w:tc>
          <w:tcPr>
            <w:tcW w:w="990" w:type="dxa"/>
            <w:tcBorders>
              <w:top w:val="single" w:sz="4" w:space="0" w:color="auto"/>
              <w:left w:val="single" w:sz="12" w:space="0" w:color="auto"/>
              <w:bottom w:val="nil"/>
              <w:right w:val="nil"/>
            </w:tcBorders>
            <w:noWrap/>
            <w:hideMark/>
          </w:tcPr>
          <w:p w14:paraId="15410E8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4.0</w:t>
            </w:r>
          </w:p>
        </w:tc>
        <w:tc>
          <w:tcPr>
            <w:tcW w:w="992" w:type="dxa"/>
            <w:tcBorders>
              <w:top w:val="single" w:sz="4" w:space="0" w:color="auto"/>
              <w:left w:val="nil"/>
              <w:bottom w:val="nil"/>
              <w:right w:val="nil"/>
            </w:tcBorders>
            <w:noWrap/>
            <w:hideMark/>
          </w:tcPr>
          <w:p w14:paraId="7BD79A9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722" w:type="dxa"/>
            <w:tcBorders>
              <w:top w:val="single" w:sz="4" w:space="0" w:color="auto"/>
              <w:left w:val="nil"/>
              <w:bottom w:val="nil"/>
              <w:right w:val="single" w:sz="12" w:space="0" w:color="auto"/>
            </w:tcBorders>
            <w:noWrap/>
            <w:hideMark/>
          </w:tcPr>
          <w:p w14:paraId="1952D0F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single" w:sz="4" w:space="0" w:color="auto"/>
              <w:left w:val="single" w:sz="12" w:space="0" w:color="auto"/>
              <w:bottom w:val="nil"/>
              <w:right w:val="single" w:sz="12" w:space="0" w:color="auto"/>
            </w:tcBorders>
            <w:noWrap/>
            <w:hideMark/>
          </w:tcPr>
          <w:p w14:paraId="1926CD6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-4.6</w:t>
            </w:r>
          </w:p>
        </w:tc>
      </w:tr>
      <w:tr w:rsidR="00394E20" w:rsidRPr="00B71F92" w14:paraId="15599D93"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538C0445"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3D8C9DF0"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Children aged 0-4</w:t>
            </w:r>
          </w:p>
        </w:tc>
        <w:tc>
          <w:tcPr>
            <w:tcW w:w="809" w:type="dxa"/>
            <w:tcBorders>
              <w:top w:val="nil"/>
              <w:left w:val="single" w:sz="12" w:space="0" w:color="auto"/>
              <w:bottom w:val="nil"/>
              <w:right w:val="single" w:sz="12" w:space="0" w:color="auto"/>
            </w:tcBorders>
            <w:noWrap/>
            <w:hideMark/>
          </w:tcPr>
          <w:p w14:paraId="5693E17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-1.1</w:t>
            </w:r>
          </w:p>
        </w:tc>
        <w:tc>
          <w:tcPr>
            <w:tcW w:w="894" w:type="dxa"/>
            <w:tcBorders>
              <w:top w:val="nil"/>
              <w:left w:val="single" w:sz="12" w:space="0" w:color="auto"/>
              <w:bottom w:val="nil"/>
              <w:right w:val="nil"/>
            </w:tcBorders>
            <w:noWrap/>
            <w:hideMark/>
          </w:tcPr>
          <w:p w14:paraId="023CA36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-43.1</w:t>
            </w:r>
          </w:p>
        </w:tc>
        <w:tc>
          <w:tcPr>
            <w:tcW w:w="810" w:type="dxa"/>
            <w:tcBorders>
              <w:top w:val="nil"/>
              <w:left w:val="nil"/>
              <w:bottom w:val="nil"/>
              <w:right w:val="nil"/>
            </w:tcBorders>
            <w:noWrap/>
            <w:hideMark/>
          </w:tcPr>
          <w:p w14:paraId="6B55DA8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-9.9</w:t>
            </w:r>
          </w:p>
        </w:tc>
        <w:tc>
          <w:tcPr>
            <w:tcW w:w="905" w:type="dxa"/>
            <w:tcBorders>
              <w:top w:val="nil"/>
              <w:left w:val="nil"/>
              <w:bottom w:val="nil"/>
              <w:right w:val="single" w:sz="12" w:space="0" w:color="auto"/>
            </w:tcBorders>
            <w:noWrap/>
            <w:hideMark/>
          </w:tcPr>
          <w:p w14:paraId="57ADF9D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-28.4</w:t>
            </w:r>
          </w:p>
        </w:tc>
        <w:tc>
          <w:tcPr>
            <w:tcW w:w="905" w:type="dxa"/>
            <w:tcBorders>
              <w:top w:val="nil"/>
              <w:left w:val="single" w:sz="12" w:space="0" w:color="auto"/>
              <w:bottom w:val="nil"/>
              <w:right w:val="nil"/>
            </w:tcBorders>
            <w:noWrap/>
            <w:hideMark/>
          </w:tcPr>
          <w:p w14:paraId="48557FF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39.5</w:t>
            </w:r>
          </w:p>
        </w:tc>
        <w:tc>
          <w:tcPr>
            <w:tcW w:w="850" w:type="dxa"/>
            <w:tcBorders>
              <w:top w:val="nil"/>
              <w:left w:val="nil"/>
              <w:bottom w:val="nil"/>
              <w:right w:val="nil"/>
            </w:tcBorders>
            <w:noWrap/>
            <w:hideMark/>
          </w:tcPr>
          <w:p w14:paraId="131A498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-16.2</w:t>
            </w:r>
          </w:p>
        </w:tc>
        <w:tc>
          <w:tcPr>
            <w:tcW w:w="1085" w:type="dxa"/>
            <w:tcBorders>
              <w:top w:val="nil"/>
              <w:left w:val="nil"/>
              <w:bottom w:val="nil"/>
              <w:right w:val="single" w:sz="12" w:space="0" w:color="auto"/>
            </w:tcBorders>
            <w:noWrap/>
            <w:hideMark/>
          </w:tcPr>
          <w:p w14:paraId="72834EA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990" w:type="dxa"/>
            <w:tcBorders>
              <w:top w:val="nil"/>
              <w:left w:val="single" w:sz="12" w:space="0" w:color="auto"/>
              <w:bottom w:val="nil"/>
              <w:right w:val="nil"/>
            </w:tcBorders>
            <w:noWrap/>
            <w:hideMark/>
          </w:tcPr>
          <w:p w14:paraId="326D469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-60.3</w:t>
            </w:r>
          </w:p>
        </w:tc>
        <w:tc>
          <w:tcPr>
            <w:tcW w:w="992" w:type="dxa"/>
            <w:tcBorders>
              <w:top w:val="nil"/>
              <w:left w:val="nil"/>
              <w:bottom w:val="nil"/>
              <w:right w:val="nil"/>
            </w:tcBorders>
            <w:noWrap/>
            <w:hideMark/>
          </w:tcPr>
          <w:p w14:paraId="253AEF3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722" w:type="dxa"/>
            <w:tcBorders>
              <w:top w:val="nil"/>
              <w:left w:val="nil"/>
              <w:bottom w:val="nil"/>
              <w:right w:val="single" w:sz="12" w:space="0" w:color="auto"/>
            </w:tcBorders>
            <w:noWrap/>
            <w:hideMark/>
          </w:tcPr>
          <w:p w14:paraId="60F9012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nil"/>
              <w:right w:val="single" w:sz="12" w:space="0" w:color="auto"/>
            </w:tcBorders>
            <w:noWrap/>
            <w:hideMark/>
          </w:tcPr>
          <w:p w14:paraId="4BAF0B8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w:t>
            </w:r>
          </w:p>
        </w:tc>
      </w:tr>
      <w:tr w:rsidR="00394E20" w:rsidRPr="00B71F92" w14:paraId="1A0F4413"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29FEC2FB"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2D8AE1F7"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Children aged 5-11</w:t>
            </w:r>
          </w:p>
        </w:tc>
        <w:tc>
          <w:tcPr>
            <w:tcW w:w="809" w:type="dxa"/>
            <w:tcBorders>
              <w:top w:val="nil"/>
              <w:left w:val="single" w:sz="12" w:space="0" w:color="auto"/>
              <w:bottom w:val="nil"/>
              <w:right w:val="single" w:sz="12" w:space="0" w:color="auto"/>
            </w:tcBorders>
            <w:noWrap/>
            <w:hideMark/>
          </w:tcPr>
          <w:p w14:paraId="440B7ED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-4.0</w:t>
            </w:r>
          </w:p>
        </w:tc>
        <w:tc>
          <w:tcPr>
            <w:tcW w:w="894" w:type="dxa"/>
            <w:tcBorders>
              <w:top w:val="nil"/>
              <w:left w:val="single" w:sz="12" w:space="0" w:color="auto"/>
              <w:bottom w:val="nil"/>
              <w:right w:val="nil"/>
            </w:tcBorders>
            <w:noWrap/>
            <w:hideMark/>
          </w:tcPr>
          <w:p w14:paraId="080E149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-46.3</w:t>
            </w:r>
          </w:p>
        </w:tc>
        <w:tc>
          <w:tcPr>
            <w:tcW w:w="810" w:type="dxa"/>
            <w:tcBorders>
              <w:top w:val="nil"/>
              <w:left w:val="nil"/>
              <w:bottom w:val="nil"/>
              <w:right w:val="nil"/>
            </w:tcBorders>
            <w:noWrap/>
            <w:hideMark/>
          </w:tcPr>
          <w:p w14:paraId="1F37A7F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-16.1</w:t>
            </w:r>
          </w:p>
        </w:tc>
        <w:tc>
          <w:tcPr>
            <w:tcW w:w="905" w:type="dxa"/>
            <w:tcBorders>
              <w:top w:val="nil"/>
              <w:left w:val="nil"/>
              <w:bottom w:val="nil"/>
              <w:right w:val="single" w:sz="12" w:space="0" w:color="auto"/>
            </w:tcBorders>
            <w:noWrap/>
            <w:hideMark/>
          </w:tcPr>
          <w:p w14:paraId="3533656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-25.1</w:t>
            </w:r>
          </w:p>
        </w:tc>
        <w:tc>
          <w:tcPr>
            <w:tcW w:w="905" w:type="dxa"/>
            <w:tcBorders>
              <w:top w:val="nil"/>
              <w:left w:val="single" w:sz="12" w:space="0" w:color="auto"/>
              <w:bottom w:val="nil"/>
              <w:right w:val="nil"/>
            </w:tcBorders>
            <w:noWrap/>
            <w:hideMark/>
          </w:tcPr>
          <w:p w14:paraId="0FC6F75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w:t>
            </w:r>
          </w:p>
        </w:tc>
        <w:tc>
          <w:tcPr>
            <w:tcW w:w="850" w:type="dxa"/>
            <w:tcBorders>
              <w:top w:val="nil"/>
              <w:left w:val="nil"/>
              <w:bottom w:val="nil"/>
              <w:right w:val="nil"/>
            </w:tcBorders>
            <w:noWrap/>
            <w:hideMark/>
          </w:tcPr>
          <w:p w14:paraId="5F0C92C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-16.2</w:t>
            </w:r>
          </w:p>
        </w:tc>
        <w:tc>
          <w:tcPr>
            <w:tcW w:w="1085" w:type="dxa"/>
            <w:tcBorders>
              <w:top w:val="nil"/>
              <w:left w:val="nil"/>
              <w:bottom w:val="nil"/>
              <w:right w:val="single" w:sz="12" w:space="0" w:color="auto"/>
            </w:tcBorders>
            <w:noWrap/>
            <w:hideMark/>
          </w:tcPr>
          <w:p w14:paraId="0068075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22.4</w:t>
            </w:r>
          </w:p>
        </w:tc>
        <w:tc>
          <w:tcPr>
            <w:tcW w:w="990" w:type="dxa"/>
            <w:tcBorders>
              <w:top w:val="nil"/>
              <w:left w:val="single" w:sz="12" w:space="0" w:color="auto"/>
              <w:bottom w:val="nil"/>
              <w:right w:val="nil"/>
            </w:tcBorders>
            <w:noWrap/>
            <w:hideMark/>
          </w:tcPr>
          <w:p w14:paraId="31EEFBD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-37.4</w:t>
            </w:r>
          </w:p>
        </w:tc>
        <w:tc>
          <w:tcPr>
            <w:tcW w:w="992" w:type="dxa"/>
            <w:tcBorders>
              <w:top w:val="nil"/>
              <w:left w:val="nil"/>
              <w:bottom w:val="nil"/>
              <w:right w:val="nil"/>
            </w:tcBorders>
            <w:noWrap/>
            <w:hideMark/>
          </w:tcPr>
          <w:p w14:paraId="3840090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722" w:type="dxa"/>
            <w:tcBorders>
              <w:top w:val="nil"/>
              <w:left w:val="nil"/>
              <w:bottom w:val="nil"/>
              <w:right w:val="single" w:sz="12" w:space="0" w:color="auto"/>
            </w:tcBorders>
            <w:noWrap/>
            <w:hideMark/>
          </w:tcPr>
          <w:p w14:paraId="0BA8047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nil"/>
              <w:right w:val="single" w:sz="12" w:space="0" w:color="auto"/>
            </w:tcBorders>
            <w:noWrap/>
            <w:hideMark/>
          </w:tcPr>
          <w:p w14:paraId="47BF899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w:t>
            </w:r>
          </w:p>
        </w:tc>
      </w:tr>
      <w:tr w:rsidR="00394E20" w:rsidRPr="00B71F92" w14:paraId="6F75B59E"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56B33FED"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4" w:space="0" w:color="auto"/>
              <w:right w:val="single" w:sz="12" w:space="0" w:color="auto"/>
            </w:tcBorders>
            <w:noWrap/>
            <w:vAlign w:val="center"/>
            <w:hideMark/>
          </w:tcPr>
          <w:p w14:paraId="35A85BB0"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Children aged 12-17</w:t>
            </w:r>
          </w:p>
        </w:tc>
        <w:tc>
          <w:tcPr>
            <w:tcW w:w="809" w:type="dxa"/>
            <w:tcBorders>
              <w:top w:val="nil"/>
              <w:left w:val="single" w:sz="12" w:space="0" w:color="auto"/>
              <w:bottom w:val="single" w:sz="4" w:space="0" w:color="auto"/>
              <w:right w:val="single" w:sz="12" w:space="0" w:color="auto"/>
            </w:tcBorders>
            <w:noWrap/>
            <w:hideMark/>
          </w:tcPr>
          <w:p w14:paraId="16D23AB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-4.0</w:t>
            </w:r>
          </w:p>
        </w:tc>
        <w:tc>
          <w:tcPr>
            <w:tcW w:w="894" w:type="dxa"/>
            <w:tcBorders>
              <w:top w:val="nil"/>
              <w:left w:val="single" w:sz="12" w:space="0" w:color="auto"/>
              <w:bottom w:val="single" w:sz="4" w:space="0" w:color="auto"/>
              <w:right w:val="nil"/>
            </w:tcBorders>
            <w:noWrap/>
            <w:hideMark/>
          </w:tcPr>
          <w:p w14:paraId="1A22644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810" w:type="dxa"/>
            <w:tcBorders>
              <w:top w:val="nil"/>
              <w:left w:val="nil"/>
              <w:bottom w:val="single" w:sz="4" w:space="0" w:color="auto"/>
              <w:right w:val="nil"/>
            </w:tcBorders>
            <w:noWrap/>
            <w:hideMark/>
          </w:tcPr>
          <w:p w14:paraId="346DD8A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-16.1</w:t>
            </w:r>
          </w:p>
        </w:tc>
        <w:tc>
          <w:tcPr>
            <w:tcW w:w="905" w:type="dxa"/>
            <w:tcBorders>
              <w:top w:val="nil"/>
              <w:left w:val="nil"/>
              <w:bottom w:val="single" w:sz="4" w:space="0" w:color="auto"/>
              <w:right w:val="single" w:sz="12" w:space="0" w:color="auto"/>
            </w:tcBorders>
            <w:noWrap/>
            <w:hideMark/>
          </w:tcPr>
          <w:p w14:paraId="751E395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-19.7</w:t>
            </w:r>
          </w:p>
        </w:tc>
        <w:tc>
          <w:tcPr>
            <w:tcW w:w="905" w:type="dxa"/>
            <w:tcBorders>
              <w:top w:val="nil"/>
              <w:left w:val="single" w:sz="12" w:space="0" w:color="auto"/>
              <w:bottom w:val="single" w:sz="4" w:space="0" w:color="auto"/>
              <w:right w:val="nil"/>
            </w:tcBorders>
            <w:noWrap/>
            <w:hideMark/>
          </w:tcPr>
          <w:p w14:paraId="238BA0C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42.3</w:t>
            </w:r>
          </w:p>
        </w:tc>
        <w:tc>
          <w:tcPr>
            <w:tcW w:w="850" w:type="dxa"/>
            <w:tcBorders>
              <w:top w:val="nil"/>
              <w:left w:val="nil"/>
              <w:bottom w:val="single" w:sz="4" w:space="0" w:color="auto"/>
              <w:right w:val="nil"/>
            </w:tcBorders>
            <w:noWrap/>
            <w:hideMark/>
          </w:tcPr>
          <w:p w14:paraId="3EA456E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-16.2</w:t>
            </w:r>
          </w:p>
        </w:tc>
        <w:tc>
          <w:tcPr>
            <w:tcW w:w="1085" w:type="dxa"/>
            <w:tcBorders>
              <w:top w:val="nil"/>
              <w:left w:val="nil"/>
              <w:bottom w:val="single" w:sz="4" w:space="0" w:color="auto"/>
              <w:right w:val="single" w:sz="12" w:space="0" w:color="auto"/>
            </w:tcBorders>
            <w:noWrap/>
            <w:hideMark/>
          </w:tcPr>
          <w:p w14:paraId="41A6968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22.4</w:t>
            </w:r>
          </w:p>
        </w:tc>
        <w:tc>
          <w:tcPr>
            <w:tcW w:w="990" w:type="dxa"/>
            <w:tcBorders>
              <w:top w:val="nil"/>
              <w:left w:val="single" w:sz="12" w:space="0" w:color="auto"/>
              <w:bottom w:val="single" w:sz="4" w:space="0" w:color="auto"/>
              <w:right w:val="nil"/>
            </w:tcBorders>
            <w:noWrap/>
            <w:hideMark/>
          </w:tcPr>
          <w:p w14:paraId="2EE8FB1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-37.4</w:t>
            </w:r>
          </w:p>
        </w:tc>
        <w:tc>
          <w:tcPr>
            <w:tcW w:w="992" w:type="dxa"/>
            <w:tcBorders>
              <w:top w:val="nil"/>
              <w:left w:val="nil"/>
              <w:bottom w:val="single" w:sz="4" w:space="0" w:color="auto"/>
              <w:right w:val="nil"/>
            </w:tcBorders>
            <w:noWrap/>
            <w:hideMark/>
          </w:tcPr>
          <w:p w14:paraId="3AF4FFC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722" w:type="dxa"/>
            <w:tcBorders>
              <w:top w:val="nil"/>
              <w:left w:val="nil"/>
              <w:bottom w:val="single" w:sz="4" w:space="0" w:color="auto"/>
              <w:right w:val="single" w:sz="12" w:space="0" w:color="auto"/>
            </w:tcBorders>
            <w:noWrap/>
            <w:hideMark/>
          </w:tcPr>
          <w:p w14:paraId="6405B3D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single" w:sz="4" w:space="0" w:color="auto"/>
              <w:right w:val="single" w:sz="12" w:space="0" w:color="auto"/>
            </w:tcBorders>
            <w:noWrap/>
            <w:hideMark/>
          </w:tcPr>
          <w:p w14:paraId="49D0EF3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w:t>
            </w:r>
          </w:p>
        </w:tc>
      </w:tr>
      <w:tr w:rsidR="00394E20" w:rsidRPr="00B71F92" w14:paraId="5D2B4762" w14:textId="77777777" w:rsidTr="00AF15D1">
        <w:trPr>
          <w:trHeight w:val="216"/>
          <w:jc w:val="center"/>
        </w:trPr>
        <w:tc>
          <w:tcPr>
            <w:tcW w:w="14026" w:type="dxa"/>
            <w:gridSpan w:val="13"/>
            <w:tcBorders>
              <w:top w:val="single" w:sz="4" w:space="0" w:color="auto"/>
              <w:left w:val="single" w:sz="12" w:space="0" w:color="auto"/>
              <w:bottom w:val="single" w:sz="4" w:space="0" w:color="auto"/>
              <w:right w:val="single" w:sz="12" w:space="0" w:color="auto"/>
            </w:tcBorders>
            <w:noWrap/>
            <w:vAlign w:val="center"/>
          </w:tcPr>
          <w:p w14:paraId="11C567C9" w14:textId="77777777" w:rsidR="00394E20" w:rsidRPr="00B71F92" w:rsidRDefault="00394E20" w:rsidP="008C0804">
            <w:pPr>
              <w:tabs>
                <w:tab w:val="decimal" w:pos="270"/>
              </w:tabs>
              <w:spacing w:after="0" w:line="240" w:lineRule="auto"/>
              <w:rPr>
                <w:sz w:val="18"/>
                <w:szCs w:val="18"/>
              </w:rPr>
            </w:pPr>
            <w:r w:rsidRPr="00B71F92">
              <w:rPr>
                <w:b/>
                <w:bCs/>
                <w:i/>
                <w:iCs/>
                <w:sz w:val="18"/>
                <w:szCs w:val="18"/>
              </w:rPr>
              <w:t>Employment-Related and Education Variables</w:t>
            </w:r>
          </w:p>
        </w:tc>
      </w:tr>
      <w:tr w:rsidR="00394E20" w:rsidRPr="00B71F92" w14:paraId="00D44EDD"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605E71BC"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Employment</w:t>
            </w:r>
          </w:p>
        </w:tc>
        <w:tc>
          <w:tcPr>
            <w:tcW w:w="2698" w:type="dxa"/>
            <w:tcBorders>
              <w:top w:val="single" w:sz="4" w:space="0" w:color="auto"/>
              <w:left w:val="nil"/>
              <w:bottom w:val="nil"/>
              <w:right w:val="single" w:sz="12" w:space="0" w:color="auto"/>
            </w:tcBorders>
            <w:noWrap/>
            <w:vAlign w:val="center"/>
            <w:hideMark/>
          </w:tcPr>
          <w:p w14:paraId="223E3229"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No Employed Adults</w:t>
            </w:r>
          </w:p>
        </w:tc>
        <w:tc>
          <w:tcPr>
            <w:tcW w:w="809" w:type="dxa"/>
            <w:tcBorders>
              <w:top w:val="single" w:sz="4" w:space="0" w:color="auto"/>
              <w:left w:val="single" w:sz="12" w:space="0" w:color="auto"/>
              <w:bottom w:val="nil"/>
              <w:right w:val="single" w:sz="12" w:space="0" w:color="auto"/>
            </w:tcBorders>
            <w:noWrap/>
            <w:hideMark/>
          </w:tcPr>
          <w:p w14:paraId="471701D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-3.8</w:t>
            </w:r>
          </w:p>
        </w:tc>
        <w:tc>
          <w:tcPr>
            <w:tcW w:w="894" w:type="dxa"/>
            <w:tcBorders>
              <w:top w:val="single" w:sz="4" w:space="0" w:color="auto"/>
              <w:left w:val="single" w:sz="12" w:space="0" w:color="auto"/>
              <w:bottom w:val="nil"/>
              <w:right w:val="nil"/>
            </w:tcBorders>
            <w:noWrap/>
            <w:hideMark/>
          </w:tcPr>
          <w:p w14:paraId="58AEA91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70.0</w:t>
            </w:r>
          </w:p>
        </w:tc>
        <w:tc>
          <w:tcPr>
            <w:tcW w:w="810" w:type="dxa"/>
            <w:tcBorders>
              <w:top w:val="single" w:sz="4" w:space="0" w:color="auto"/>
              <w:left w:val="nil"/>
              <w:bottom w:val="nil"/>
              <w:right w:val="nil"/>
            </w:tcBorders>
            <w:noWrap/>
            <w:hideMark/>
          </w:tcPr>
          <w:p w14:paraId="3F99A73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single" w:sz="4" w:space="0" w:color="auto"/>
              <w:left w:val="nil"/>
              <w:bottom w:val="nil"/>
              <w:right w:val="single" w:sz="12" w:space="0" w:color="auto"/>
            </w:tcBorders>
            <w:noWrap/>
            <w:hideMark/>
          </w:tcPr>
          <w:p w14:paraId="04B14E0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-18.6</w:t>
            </w:r>
          </w:p>
        </w:tc>
        <w:tc>
          <w:tcPr>
            <w:tcW w:w="905" w:type="dxa"/>
            <w:tcBorders>
              <w:top w:val="single" w:sz="4" w:space="0" w:color="auto"/>
              <w:left w:val="single" w:sz="12" w:space="0" w:color="auto"/>
              <w:bottom w:val="nil"/>
              <w:right w:val="nil"/>
            </w:tcBorders>
            <w:noWrap/>
            <w:hideMark/>
          </w:tcPr>
          <w:p w14:paraId="210B93A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38.1</w:t>
            </w:r>
          </w:p>
        </w:tc>
        <w:tc>
          <w:tcPr>
            <w:tcW w:w="850" w:type="dxa"/>
            <w:tcBorders>
              <w:top w:val="single" w:sz="4" w:space="0" w:color="auto"/>
              <w:left w:val="nil"/>
              <w:bottom w:val="nil"/>
              <w:right w:val="nil"/>
            </w:tcBorders>
            <w:noWrap/>
            <w:hideMark/>
          </w:tcPr>
          <w:p w14:paraId="542D169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-52.5</w:t>
            </w:r>
          </w:p>
        </w:tc>
        <w:tc>
          <w:tcPr>
            <w:tcW w:w="1085" w:type="dxa"/>
            <w:tcBorders>
              <w:top w:val="single" w:sz="4" w:space="0" w:color="auto"/>
              <w:left w:val="nil"/>
              <w:bottom w:val="nil"/>
              <w:right w:val="single" w:sz="12" w:space="0" w:color="auto"/>
            </w:tcBorders>
            <w:noWrap/>
            <w:hideMark/>
          </w:tcPr>
          <w:p w14:paraId="60C9327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20.0</w:t>
            </w:r>
          </w:p>
        </w:tc>
        <w:tc>
          <w:tcPr>
            <w:tcW w:w="990" w:type="dxa"/>
            <w:tcBorders>
              <w:top w:val="single" w:sz="4" w:space="0" w:color="auto"/>
              <w:left w:val="single" w:sz="12" w:space="0" w:color="auto"/>
              <w:bottom w:val="nil"/>
              <w:right w:val="nil"/>
            </w:tcBorders>
            <w:noWrap/>
            <w:hideMark/>
          </w:tcPr>
          <w:p w14:paraId="21A0F5B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single" w:sz="4" w:space="0" w:color="auto"/>
              <w:left w:val="nil"/>
              <w:bottom w:val="nil"/>
              <w:right w:val="nil"/>
            </w:tcBorders>
            <w:noWrap/>
            <w:hideMark/>
          </w:tcPr>
          <w:p w14:paraId="3700219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78.8</w:t>
            </w:r>
          </w:p>
        </w:tc>
        <w:tc>
          <w:tcPr>
            <w:tcW w:w="722" w:type="dxa"/>
            <w:tcBorders>
              <w:top w:val="single" w:sz="4" w:space="0" w:color="auto"/>
              <w:left w:val="nil"/>
              <w:bottom w:val="nil"/>
              <w:right w:val="single" w:sz="12" w:space="0" w:color="auto"/>
            </w:tcBorders>
            <w:noWrap/>
            <w:hideMark/>
          </w:tcPr>
          <w:p w14:paraId="1B154DB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-39.8</w:t>
            </w:r>
          </w:p>
        </w:tc>
        <w:tc>
          <w:tcPr>
            <w:tcW w:w="1126" w:type="dxa"/>
            <w:tcBorders>
              <w:top w:val="single" w:sz="4" w:space="0" w:color="auto"/>
              <w:left w:val="single" w:sz="12" w:space="0" w:color="auto"/>
              <w:bottom w:val="nil"/>
              <w:right w:val="single" w:sz="12" w:space="0" w:color="auto"/>
            </w:tcBorders>
            <w:noWrap/>
            <w:hideMark/>
          </w:tcPr>
          <w:p w14:paraId="1B5401C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-5.3</w:t>
            </w:r>
          </w:p>
        </w:tc>
      </w:tr>
      <w:tr w:rsidR="00394E20" w:rsidRPr="00B71F92" w14:paraId="63882EA7"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6BE23086"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5F6C8661"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Presence of employed adult</w:t>
            </w:r>
          </w:p>
        </w:tc>
        <w:tc>
          <w:tcPr>
            <w:tcW w:w="809" w:type="dxa"/>
            <w:tcBorders>
              <w:top w:val="nil"/>
              <w:left w:val="single" w:sz="12" w:space="0" w:color="auto"/>
              <w:bottom w:val="nil"/>
              <w:right w:val="single" w:sz="12" w:space="0" w:color="auto"/>
            </w:tcBorders>
            <w:noWrap/>
            <w:hideMark/>
          </w:tcPr>
          <w:p w14:paraId="616C2CC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-5.7</w:t>
            </w:r>
          </w:p>
        </w:tc>
        <w:tc>
          <w:tcPr>
            <w:tcW w:w="894" w:type="dxa"/>
            <w:tcBorders>
              <w:top w:val="nil"/>
              <w:left w:val="single" w:sz="12" w:space="0" w:color="auto"/>
              <w:bottom w:val="nil"/>
              <w:right w:val="nil"/>
            </w:tcBorders>
            <w:noWrap/>
            <w:hideMark/>
          </w:tcPr>
          <w:p w14:paraId="0DFF8E1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-44.8</w:t>
            </w:r>
          </w:p>
        </w:tc>
        <w:tc>
          <w:tcPr>
            <w:tcW w:w="810" w:type="dxa"/>
            <w:tcBorders>
              <w:top w:val="nil"/>
              <w:left w:val="nil"/>
              <w:bottom w:val="nil"/>
              <w:right w:val="nil"/>
            </w:tcBorders>
            <w:noWrap/>
            <w:hideMark/>
          </w:tcPr>
          <w:p w14:paraId="1FFAC52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nil"/>
              <w:left w:val="nil"/>
              <w:bottom w:val="nil"/>
              <w:right w:val="single" w:sz="12" w:space="0" w:color="auto"/>
            </w:tcBorders>
            <w:noWrap/>
            <w:hideMark/>
          </w:tcPr>
          <w:p w14:paraId="72691C0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-18.5</w:t>
            </w:r>
          </w:p>
        </w:tc>
        <w:tc>
          <w:tcPr>
            <w:tcW w:w="905" w:type="dxa"/>
            <w:tcBorders>
              <w:top w:val="nil"/>
              <w:left w:val="single" w:sz="12" w:space="0" w:color="auto"/>
              <w:bottom w:val="nil"/>
              <w:right w:val="nil"/>
            </w:tcBorders>
            <w:noWrap/>
            <w:hideMark/>
          </w:tcPr>
          <w:p w14:paraId="4564928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34.8</w:t>
            </w:r>
          </w:p>
        </w:tc>
        <w:tc>
          <w:tcPr>
            <w:tcW w:w="850" w:type="dxa"/>
            <w:tcBorders>
              <w:top w:val="nil"/>
              <w:left w:val="nil"/>
              <w:bottom w:val="nil"/>
              <w:right w:val="nil"/>
            </w:tcBorders>
            <w:noWrap/>
            <w:hideMark/>
          </w:tcPr>
          <w:p w14:paraId="3E5727F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29.4</w:t>
            </w:r>
          </w:p>
        </w:tc>
        <w:tc>
          <w:tcPr>
            <w:tcW w:w="1085" w:type="dxa"/>
            <w:tcBorders>
              <w:top w:val="nil"/>
              <w:left w:val="nil"/>
              <w:bottom w:val="nil"/>
              <w:right w:val="single" w:sz="12" w:space="0" w:color="auto"/>
            </w:tcBorders>
            <w:noWrap/>
            <w:hideMark/>
          </w:tcPr>
          <w:p w14:paraId="30A58C3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25.4</w:t>
            </w:r>
          </w:p>
        </w:tc>
        <w:tc>
          <w:tcPr>
            <w:tcW w:w="990" w:type="dxa"/>
            <w:tcBorders>
              <w:top w:val="nil"/>
              <w:left w:val="single" w:sz="12" w:space="0" w:color="auto"/>
              <w:bottom w:val="nil"/>
              <w:right w:val="nil"/>
            </w:tcBorders>
            <w:noWrap/>
            <w:hideMark/>
          </w:tcPr>
          <w:p w14:paraId="5A01177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nil"/>
              <w:right w:val="nil"/>
            </w:tcBorders>
            <w:noWrap/>
            <w:hideMark/>
          </w:tcPr>
          <w:p w14:paraId="76EED36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-3.7</w:t>
            </w:r>
          </w:p>
        </w:tc>
        <w:tc>
          <w:tcPr>
            <w:tcW w:w="722" w:type="dxa"/>
            <w:tcBorders>
              <w:top w:val="nil"/>
              <w:left w:val="nil"/>
              <w:bottom w:val="nil"/>
              <w:right w:val="single" w:sz="12" w:space="0" w:color="auto"/>
            </w:tcBorders>
            <w:noWrap/>
            <w:hideMark/>
          </w:tcPr>
          <w:p w14:paraId="4330EAB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70.2</w:t>
            </w:r>
          </w:p>
        </w:tc>
        <w:tc>
          <w:tcPr>
            <w:tcW w:w="1126" w:type="dxa"/>
            <w:tcBorders>
              <w:top w:val="nil"/>
              <w:left w:val="single" w:sz="12" w:space="0" w:color="auto"/>
              <w:bottom w:val="nil"/>
              <w:right w:val="single" w:sz="12" w:space="0" w:color="auto"/>
            </w:tcBorders>
            <w:noWrap/>
            <w:hideMark/>
          </w:tcPr>
          <w:p w14:paraId="46A92F4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-0.4</w:t>
            </w:r>
          </w:p>
        </w:tc>
      </w:tr>
      <w:tr w:rsidR="00394E20" w:rsidRPr="00B71F92" w14:paraId="2FAC0781"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7A72B7C6"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1E01117B"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Adult with more than one job</w:t>
            </w:r>
          </w:p>
        </w:tc>
        <w:tc>
          <w:tcPr>
            <w:tcW w:w="809" w:type="dxa"/>
            <w:tcBorders>
              <w:top w:val="nil"/>
              <w:left w:val="single" w:sz="12" w:space="0" w:color="auto"/>
              <w:bottom w:val="nil"/>
              <w:right w:val="single" w:sz="12" w:space="0" w:color="auto"/>
            </w:tcBorders>
            <w:noWrap/>
            <w:hideMark/>
          </w:tcPr>
          <w:p w14:paraId="2A085A8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-20.1</w:t>
            </w:r>
          </w:p>
        </w:tc>
        <w:tc>
          <w:tcPr>
            <w:tcW w:w="894" w:type="dxa"/>
            <w:tcBorders>
              <w:top w:val="nil"/>
              <w:left w:val="single" w:sz="12" w:space="0" w:color="auto"/>
              <w:bottom w:val="nil"/>
              <w:right w:val="nil"/>
            </w:tcBorders>
            <w:noWrap/>
            <w:hideMark/>
          </w:tcPr>
          <w:p w14:paraId="1D8695E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-38.7</w:t>
            </w:r>
          </w:p>
        </w:tc>
        <w:tc>
          <w:tcPr>
            <w:tcW w:w="810" w:type="dxa"/>
            <w:tcBorders>
              <w:top w:val="nil"/>
              <w:left w:val="nil"/>
              <w:bottom w:val="nil"/>
              <w:right w:val="nil"/>
            </w:tcBorders>
            <w:noWrap/>
            <w:hideMark/>
          </w:tcPr>
          <w:p w14:paraId="4F31D87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nil"/>
              <w:left w:val="nil"/>
              <w:bottom w:val="nil"/>
              <w:right w:val="single" w:sz="12" w:space="0" w:color="auto"/>
            </w:tcBorders>
            <w:noWrap/>
            <w:hideMark/>
          </w:tcPr>
          <w:p w14:paraId="46496E3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-18.5</w:t>
            </w:r>
          </w:p>
        </w:tc>
        <w:tc>
          <w:tcPr>
            <w:tcW w:w="905" w:type="dxa"/>
            <w:tcBorders>
              <w:top w:val="nil"/>
              <w:left w:val="single" w:sz="12" w:space="0" w:color="auto"/>
              <w:bottom w:val="nil"/>
              <w:right w:val="nil"/>
            </w:tcBorders>
            <w:noWrap/>
            <w:hideMark/>
          </w:tcPr>
          <w:p w14:paraId="0A164E4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13.0</w:t>
            </w:r>
          </w:p>
        </w:tc>
        <w:tc>
          <w:tcPr>
            <w:tcW w:w="850" w:type="dxa"/>
            <w:tcBorders>
              <w:top w:val="nil"/>
              <w:left w:val="nil"/>
              <w:bottom w:val="nil"/>
              <w:right w:val="nil"/>
            </w:tcBorders>
            <w:noWrap/>
            <w:hideMark/>
          </w:tcPr>
          <w:p w14:paraId="14C513B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29.4</w:t>
            </w:r>
          </w:p>
        </w:tc>
        <w:tc>
          <w:tcPr>
            <w:tcW w:w="1085" w:type="dxa"/>
            <w:tcBorders>
              <w:top w:val="nil"/>
              <w:left w:val="nil"/>
              <w:bottom w:val="nil"/>
              <w:right w:val="single" w:sz="12" w:space="0" w:color="auto"/>
            </w:tcBorders>
            <w:noWrap/>
            <w:hideMark/>
          </w:tcPr>
          <w:p w14:paraId="67932AB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25.4</w:t>
            </w:r>
          </w:p>
        </w:tc>
        <w:tc>
          <w:tcPr>
            <w:tcW w:w="990" w:type="dxa"/>
            <w:tcBorders>
              <w:top w:val="nil"/>
              <w:left w:val="single" w:sz="12" w:space="0" w:color="auto"/>
              <w:bottom w:val="nil"/>
              <w:right w:val="nil"/>
            </w:tcBorders>
            <w:noWrap/>
            <w:hideMark/>
          </w:tcPr>
          <w:p w14:paraId="13DAFF1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nil"/>
              <w:right w:val="nil"/>
            </w:tcBorders>
            <w:noWrap/>
            <w:hideMark/>
          </w:tcPr>
          <w:p w14:paraId="5378967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-8.4</w:t>
            </w:r>
          </w:p>
        </w:tc>
        <w:tc>
          <w:tcPr>
            <w:tcW w:w="722" w:type="dxa"/>
            <w:tcBorders>
              <w:top w:val="nil"/>
              <w:left w:val="nil"/>
              <w:bottom w:val="nil"/>
              <w:right w:val="single" w:sz="12" w:space="0" w:color="auto"/>
            </w:tcBorders>
            <w:noWrap/>
            <w:hideMark/>
          </w:tcPr>
          <w:p w14:paraId="5431BBF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70.2</w:t>
            </w:r>
          </w:p>
        </w:tc>
        <w:tc>
          <w:tcPr>
            <w:tcW w:w="1126" w:type="dxa"/>
            <w:tcBorders>
              <w:top w:val="nil"/>
              <w:left w:val="single" w:sz="12" w:space="0" w:color="auto"/>
              <w:bottom w:val="nil"/>
              <w:right w:val="single" w:sz="12" w:space="0" w:color="auto"/>
            </w:tcBorders>
            <w:noWrap/>
            <w:hideMark/>
          </w:tcPr>
          <w:p w14:paraId="1304869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-0.4</w:t>
            </w:r>
          </w:p>
        </w:tc>
      </w:tr>
      <w:tr w:rsidR="00394E20" w:rsidRPr="00B71F92" w14:paraId="5CB67697"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75A89FA0"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6100AD11"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 xml:space="preserve">Job </w:t>
            </w:r>
            <w:proofErr w:type="gramStart"/>
            <w:r w:rsidRPr="00B71F92">
              <w:rPr>
                <w:rFonts w:eastAsia="Times New Roman"/>
                <w:color w:val="000000"/>
                <w:sz w:val="18"/>
                <w:szCs w:val="18"/>
              </w:rPr>
              <w:t>change</w:t>
            </w:r>
            <w:proofErr w:type="gramEnd"/>
            <w:r w:rsidRPr="00B71F92">
              <w:rPr>
                <w:rFonts w:eastAsia="Times New Roman"/>
                <w:color w:val="000000"/>
                <w:sz w:val="18"/>
                <w:szCs w:val="18"/>
              </w:rPr>
              <w:t xml:space="preserve"> in past five years</w:t>
            </w:r>
          </w:p>
        </w:tc>
        <w:tc>
          <w:tcPr>
            <w:tcW w:w="809" w:type="dxa"/>
            <w:tcBorders>
              <w:top w:val="nil"/>
              <w:left w:val="single" w:sz="12" w:space="0" w:color="auto"/>
              <w:bottom w:val="nil"/>
              <w:right w:val="single" w:sz="12" w:space="0" w:color="auto"/>
            </w:tcBorders>
            <w:noWrap/>
            <w:hideMark/>
          </w:tcPr>
          <w:p w14:paraId="71FC4D6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-5.3</w:t>
            </w:r>
          </w:p>
        </w:tc>
        <w:tc>
          <w:tcPr>
            <w:tcW w:w="894" w:type="dxa"/>
            <w:tcBorders>
              <w:top w:val="nil"/>
              <w:left w:val="single" w:sz="12" w:space="0" w:color="auto"/>
              <w:bottom w:val="nil"/>
              <w:right w:val="nil"/>
            </w:tcBorders>
            <w:noWrap/>
            <w:hideMark/>
          </w:tcPr>
          <w:p w14:paraId="7732354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-27.0</w:t>
            </w:r>
          </w:p>
        </w:tc>
        <w:tc>
          <w:tcPr>
            <w:tcW w:w="810" w:type="dxa"/>
            <w:tcBorders>
              <w:top w:val="nil"/>
              <w:left w:val="nil"/>
              <w:bottom w:val="nil"/>
              <w:right w:val="nil"/>
            </w:tcBorders>
            <w:noWrap/>
            <w:hideMark/>
          </w:tcPr>
          <w:p w14:paraId="5C33662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nil"/>
              <w:left w:val="nil"/>
              <w:bottom w:val="nil"/>
              <w:right w:val="single" w:sz="12" w:space="0" w:color="auto"/>
            </w:tcBorders>
            <w:noWrap/>
            <w:hideMark/>
          </w:tcPr>
          <w:p w14:paraId="3AE37D6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-19.6</w:t>
            </w:r>
          </w:p>
        </w:tc>
        <w:tc>
          <w:tcPr>
            <w:tcW w:w="905" w:type="dxa"/>
            <w:tcBorders>
              <w:top w:val="nil"/>
              <w:left w:val="single" w:sz="12" w:space="0" w:color="auto"/>
              <w:bottom w:val="nil"/>
              <w:right w:val="nil"/>
            </w:tcBorders>
            <w:noWrap/>
            <w:hideMark/>
          </w:tcPr>
          <w:p w14:paraId="444F977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34.8</w:t>
            </w:r>
          </w:p>
        </w:tc>
        <w:tc>
          <w:tcPr>
            <w:tcW w:w="850" w:type="dxa"/>
            <w:tcBorders>
              <w:top w:val="nil"/>
              <w:left w:val="nil"/>
              <w:bottom w:val="nil"/>
              <w:right w:val="nil"/>
            </w:tcBorders>
            <w:noWrap/>
            <w:hideMark/>
          </w:tcPr>
          <w:p w14:paraId="3C72740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nil"/>
              <w:left w:val="nil"/>
              <w:bottom w:val="nil"/>
              <w:right w:val="single" w:sz="12" w:space="0" w:color="auto"/>
            </w:tcBorders>
            <w:noWrap/>
            <w:hideMark/>
          </w:tcPr>
          <w:p w14:paraId="0DDA8C3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bottom w:val="nil"/>
              <w:right w:val="nil"/>
            </w:tcBorders>
            <w:noWrap/>
            <w:hideMark/>
          </w:tcPr>
          <w:p w14:paraId="1442A32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nil"/>
              <w:right w:val="nil"/>
            </w:tcBorders>
            <w:noWrap/>
            <w:hideMark/>
          </w:tcPr>
          <w:p w14:paraId="5B79E25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722" w:type="dxa"/>
            <w:tcBorders>
              <w:top w:val="nil"/>
              <w:left w:val="nil"/>
              <w:bottom w:val="nil"/>
              <w:right w:val="single" w:sz="12" w:space="0" w:color="auto"/>
            </w:tcBorders>
            <w:noWrap/>
            <w:hideMark/>
          </w:tcPr>
          <w:p w14:paraId="6DECEEE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nil"/>
              <w:right w:val="single" w:sz="12" w:space="0" w:color="auto"/>
            </w:tcBorders>
            <w:noWrap/>
            <w:hideMark/>
          </w:tcPr>
          <w:p w14:paraId="3596292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65DD2B0A"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5EF0777D"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4" w:space="0" w:color="auto"/>
              <w:right w:val="single" w:sz="12" w:space="0" w:color="auto"/>
            </w:tcBorders>
            <w:noWrap/>
            <w:vAlign w:val="bottom"/>
            <w:hideMark/>
          </w:tcPr>
          <w:p w14:paraId="4A24E12F"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No Job change in past five years</w:t>
            </w:r>
          </w:p>
        </w:tc>
        <w:tc>
          <w:tcPr>
            <w:tcW w:w="809" w:type="dxa"/>
            <w:tcBorders>
              <w:top w:val="nil"/>
              <w:left w:val="single" w:sz="12" w:space="0" w:color="auto"/>
              <w:bottom w:val="single" w:sz="4" w:space="0" w:color="auto"/>
              <w:right w:val="single" w:sz="12" w:space="0" w:color="auto"/>
            </w:tcBorders>
            <w:noWrap/>
            <w:hideMark/>
          </w:tcPr>
          <w:p w14:paraId="03DF9BB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-6.1</w:t>
            </w:r>
          </w:p>
        </w:tc>
        <w:tc>
          <w:tcPr>
            <w:tcW w:w="894" w:type="dxa"/>
            <w:tcBorders>
              <w:top w:val="nil"/>
              <w:left w:val="single" w:sz="12" w:space="0" w:color="auto"/>
              <w:bottom w:val="single" w:sz="4" w:space="0" w:color="auto"/>
              <w:right w:val="nil"/>
            </w:tcBorders>
            <w:noWrap/>
            <w:hideMark/>
          </w:tcPr>
          <w:p w14:paraId="3464CA6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-33.2</w:t>
            </w:r>
          </w:p>
        </w:tc>
        <w:tc>
          <w:tcPr>
            <w:tcW w:w="810" w:type="dxa"/>
            <w:tcBorders>
              <w:top w:val="nil"/>
              <w:left w:val="nil"/>
              <w:bottom w:val="single" w:sz="4" w:space="0" w:color="auto"/>
              <w:right w:val="nil"/>
            </w:tcBorders>
            <w:noWrap/>
            <w:hideMark/>
          </w:tcPr>
          <w:p w14:paraId="19B61AA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nil"/>
              <w:left w:val="nil"/>
              <w:bottom w:val="single" w:sz="4" w:space="0" w:color="auto"/>
              <w:right w:val="single" w:sz="12" w:space="0" w:color="auto"/>
            </w:tcBorders>
            <w:noWrap/>
            <w:hideMark/>
          </w:tcPr>
          <w:p w14:paraId="7A2A345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-17.9</w:t>
            </w:r>
          </w:p>
        </w:tc>
        <w:tc>
          <w:tcPr>
            <w:tcW w:w="905" w:type="dxa"/>
            <w:tcBorders>
              <w:top w:val="nil"/>
              <w:left w:val="single" w:sz="12" w:space="0" w:color="auto"/>
              <w:bottom w:val="single" w:sz="4" w:space="0" w:color="auto"/>
              <w:right w:val="nil"/>
            </w:tcBorders>
            <w:noWrap/>
            <w:hideMark/>
          </w:tcPr>
          <w:p w14:paraId="4026D11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34.8</w:t>
            </w:r>
          </w:p>
        </w:tc>
        <w:tc>
          <w:tcPr>
            <w:tcW w:w="850" w:type="dxa"/>
            <w:tcBorders>
              <w:top w:val="nil"/>
              <w:left w:val="nil"/>
              <w:bottom w:val="single" w:sz="4" w:space="0" w:color="auto"/>
              <w:right w:val="nil"/>
            </w:tcBorders>
            <w:noWrap/>
            <w:hideMark/>
          </w:tcPr>
          <w:p w14:paraId="2C31016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nil"/>
              <w:left w:val="nil"/>
              <w:bottom w:val="single" w:sz="4" w:space="0" w:color="auto"/>
              <w:right w:val="single" w:sz="12" w:space="0" w:color="auto"/>
            </w:tcBorders>
            <w:noWrap/>
            <w:hideMark/>
          </w:tcPr>
          <w:p w14:paraId="6F0FAB4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bottom w:val="single" w:sz="4" w:space="0" w:color="auto"/>
              <w:right w:val="nil"/>
            </w:tcBorders>
            <w:noWrap/>
            <w:hideMark/>
          </w:tcPr>
          <w:p w14:paraId="472A9AF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single" w:sz="4" w:space="0" w:color="auto"/>
              <w:right w:val="nil"/>
            </w:tcBorders>
            <w:noWrap/>
            <w:hideMark/>
          </w:tcPr>
          <w:p w14:paraId="4888877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21.4</w:t>
            </w:r>
          </w:p>
        </w:tc>
        <w:tc>
          <w:tcPr>
            <w:tcW w:w="722" w:type="dxa"/>
            <w:tcBorders>
              <w:top w:val="nil"/>
              <w:left w:val="nil"/>
              <w:bottom w:val="single" w:sz="4" w:space="0" w:color="auto"/>
              <w:right w:val="single" w:sz="12" w:space="0" w:color="auto"/>
            </w:tcBorders>
            <w:noWrap/>
            <w:hideMark/>
          </w:tcPr>
          <w:p w14:paraId="38C0E85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single" w:sz="4" w:space="0" w:color="auto"/>
              <w:right w:val="single" w:sz="12" w:space="0" w:color="auto"/>
            </w:tcBorders>
            <w:noWrap/>
            <w:hideMark/>
          </w:tcPr>
          <w:p w14:paraId="5B9E603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7642B89A"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70C90668"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Household Income</w:t>
            </w:r>
          </w:p>
        </w:tc>
        <w:tc>
          <w:tcPr>
            <w:tcW w:w="2698" w:type="dxa"/>
            <w:tcBorders>
              <w:top w:val="single" w:sz="4" w:space="0" w:color="auto"/>
              <w:left w:val="nil"/>
              <w:bottom w:val="nil"/>
              <w:right w:val="single" w:sz="12" w:space="0" w:color="auto"/>
            </w:tcBorders>
            <w:noWrap/>
            <w:vAlign w:val="center"/>
            <w:hideMark/>
          </w:tcPr>
          <w:p w14:paraId="6B07B392"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Less than $50,000</w:t>
            </w:r>
          </w:p>
        </w:tc>
        <w:tc>
          <w:tcPr>
            <w:tcW w:w="809" w:type="dxa"/>
            <w:tcBorders>
              <w:top w:val="single" w:sz="4" w:space="0" w:color="auto"/>
              <w:left w:val="single" w:sz="12" w:space="0" w:color="auto"/>
              <w:bottom w:val="nil"/>
              <w:right w:val="single" w:sz="12" w:space="0" w:color="auto"/>
            </w:tcBorders>
            <w:noWrap/>
            <w:hideMark/>
          </w:tcPr>
          <w:p w14:paraId="2180E88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-5.2</w:t>
            </w:r>
          </w:p>
        </w:tc>
        <w:tc>
          <w:tcPr>
            <w:tcW w:w="894" w:type="dxa"/>
            <w:tcBorders>
              <w:top w:val="single" w:sz="4" w:space="0" w:color="auto"/>
              <w:left w:val="single" w:sz="12" w:space="0" w:color="auto"/>
              <w:bottom w:val="nil"/>
              <w:right w:val="nil"/>
            </w:tcBorders>
            <w:noWrap/>
            <w:hideMark/>
          </w:tcPr>
          <w:p w14:paraId="6965E3C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-69.9</w:t>
            </w:r>
          </w:p>
        </w:tc>
        <w:tc>
          <w:tcPr>
            <w:tcW w:w="810" w:type="dxa"/>
            <w:tcBorders>
              <w:top w:val="single" w:sz="4" w:space="0" w:color="auto"/>
              <w:left w:val="nil"/>
              <w:bottom w:val="nil"/>
              <w:right w:val="nil"/>
            </w:tcBorders>
            <w:noWrap/>
            <w:hideMark/>
          </w:tcPr>
          <w:p w14:paraId="04DF32F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-24.3</w:t>
            </w:r>
          </w:p>
        </w:tc>
        <w:tc>
          <w:tcPr>
            <w:tcW w:w="905" w:type="dxa"/>
            <w:tcBorders>
              <w:top w:val="single" w:sz="4" w:space="0" w:color="auto"/>
              <w:left w:val="nil"/>
              <w:bottom w:val="nil"/>
              <w:right w:val="single" w:sz="12" w:space="0" w:color="auto"/>
            </w:tcBorders>
            <w:noWrap/>
            <w:hideMark/>
          </w:tcPr>
          <w:p w14:paraId="01B3DF8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-17.0</w:t>
            </w:r>
          </w:p>
        </w:tc>
        <w:tc>
          <w:tcPr>
            <w:tcW w:w="905" w:type="dxa"/>
            <w:tcBorders>
              <w:top w:val="single" w:sz="4" w:space="0" w:color="auto"/>
              <w:left w:val="single" w:sz="12" w:space="0" w:color="auto"/>
              <w:bottom w:val="nil"/>
              <w:right w:val="nil"/>
            </w:tcBorders>
            <w:noWrap/>
            <w:hideMark/>
          </w:tcPr>
          <w:p w14:paraId="6C9288F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34.9</w:t>
            </w:r>
          </w:p>
        </w:tc>
        <w:tc>
          <w:tcPr>
            <w:tcW w:w="850" w:type="dxa"/>
            <w:tcBorders>
              <w:top w:val="single" w:sz="4" w:space="0" w:color="auto"/>
              <w:left w:val="nil"/>
              <w:bottom w:val="nil"/>
              <w:right w:val="nil"/>
            </w:tcBorders>
            <w:noWrap/>
            <w:hideMark/>
          </w:tcPr>
          <w:p w14:paraId="4C9E616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-37.3</w:t>
            </w:r>
          </w:p>
        </w:tc>
        <w:tc>
          <w:tcPr>
            <w:tcW w:w="1085" w:type="dxa"/>
            <w:tcBorders>
              <w:top w:val="single" w:sz="4" w:space="0" w:color="auto"/>
              <w:left w:val="nil"/>
              <w:bottom w:val="nil"/>
              <w:right w:val="single" w:sz="12" w:space="0" w:color="auto"/>
            </w:tcBorders>
            <w:noWrap/>
            <w:hideMark/>
          </w:tcPr>
          <w:p w14:paraId="730B70D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single" w:sz="4" w:space="0" w:color="auto"/>
              <w:left w:val="single" w:sz="12" w:space="0" w:color="auto"/>
              <w:bottom w:val="nil"/>
              <w:right w:val="nil"/>
            </w:tcBorders>
            <w:noWrap/>
            <w:hideMark/>
          </w:tcPr>
          <w:p w14:paraId="18F448A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-0.9</w:t>
            </w:r>
          </w:p>
        </w:tc>
        <w:tc>
          <w:tcPr>
            <w:tcW w:w="992" w:type="dxa"/>
            <w:tcBorders>
              <w:top w:val="single" w:sz="4" w:space="0" w:color="auto"/>
              <w:left w:val="nil"/>
              <w:bottom w:val="nil"/>
              <w:right w:val="nil"/>
            </w:tcBorders>
            <w:noWrap/>
            <w:hideMark/>
          </w:tcPr>
          <w:p w14:paraId="6E9363F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8.6</w:t>
            </w:r>
          </w:p>
        </w:tc>
        <w:tc>
          <w:tcPr>
            <w:tcW w:w="722" w:type="dxa"/>
            <w:tcBorders>
              <w:top w:val="single" w:sz="4" w:space="0" w:color="auto"/>
              <w:left w:val="nil"/>
              <w:bottom w:val="nil"/>
              <w:right w:val="single" w:sz="12" w:space="0" w:color="auto"/>
            </w:tcBorders>
            <w:noWrap/>
            <w:hideMark/>
          </w:tcPr>
          <w:p w14:paraId="276ED0E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single" w:sz="4" w:space="0" w:color="auto"/>
              <w:left w:val="single" w:sz="12" w:space="0" w:color="auto"/>
              <w:bottom w:val="nil"/>
              <w:right w:val="single" w:sz="12" w:space="0" w:color="auto"/>
            </w:tcBorders>
            <w:noWrap/>
            <w:hideMark/>
          </w:tcPr>
          <w:p w14:paraId="6150DD3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-0.3</w:t>
            </w:r>
          </w:p>
        </w:tc>
      </w:tr>
      <w:tr w:rsidR="00394E20" w:rsidRPr="00B71F92" w14:paraId="7ACA36B3"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78B0EC4B"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3665FF4B"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$50,000-$99,999</w:t>
            </w:r>
          </w:p>
        </w:tc>
        <w:tc>
          <w:tcPr>
            <w:tcW w:w="809" w:type="dxa"/>
            <w:tcBorders>
              <w:top w:val="nil"/>
              <w:left w:val="single" w:sz="12" w:space="0" w:color="auto"/>
              <w:bottom w:val="nil"/>
              <w:right w:val="single" w:sz="12" w:space="0" w:color="auto"/>
            </w:tcBorders>
            <w:noWrap/>
            <w:hideMark/>
          </w:tcPr>
          <w:p w14:paraId="01FFB87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-5.2</w:t>
            </w:r>
          </w:p>
        </w:tc>
        <w:tc>
          <w:tcPr>
            <w:tcW w:w="894" w:type="dxa"/>
            <w:tcBorders>
              <w:top w:val="nil"/>
              <w:left w:val="single" w:sz="12" w:space="0" w:color="auto"/>
              <w:bottom w:val="nil"/>
              <w:right w:val="nil"/>
            </w:tcBorders>
            <w:noWrap/>
            <w:hideMark/>
          </w:tcPr>
          <w:p w14:paraId="4A53728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-14.2</w:t>
            </w:r>
          </w:p>
        </w:tc>
        <w:tc>
          <w:tcPr>
            <w:tcW w:w="810" w:type="dxa"/>
            <w:tcBorders>
              <w:top w:val="nil"/>
              <w:left w:val="nil"/>
              <w:bottom w:val="nil"/>
              <w:right w:val="nil"/>
            </w:tcBorders>
            <w:noWrap/>
            <w:hideMark/>
          </w:tcPr>
          <w:p w14:paraId="7E5CCC8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-17.3</w:t>
            </w:r>
          </w:p>
        </w:tc>
        <w:tc>
          <w:tcPr>
            <w:tcW w:w="905" w:type="dxa"/>
            <w:tcBorders>
              <w:top w:val="nil"/>
              <w:left w:val="nil"/>
              <w:bottom w:val="nil"/>
              <w:right w:val="single" w:sz="12" w:space="0" w:color="auto"/>
            </w:tcBorders>
            <w:noWrap/>
            <w:hideMark/>
          </w:tcPr>
          <w:p w14:paraId="4920409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-21.6</w:t>
            </w:r>
          </w:p>
        </w:tc>
        <w:tc>
          <w:tcPr>
            <w:tcW w:w="905" w:type="dxa"/>
            <w:tcBorders>
              <w:top w:val="nil"/>
              <w:left w:val="single" w:sz="12" w:space="0" w:color="auto"/>
              <w:bottom w:val="nil"/>
              <w:right w:val="nil"/>
            </w:tcBorders>
            <w:noWrap/>
            <w:hideMark/>
          </w:tcPr>
          <w:p w14:paraId="755A0AE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35.9</w:t>
            </w:r>
          </w:p>
        </w:tc>
        <w:tc>
          <w:tcPr>
            <w:tcW w:w="850" w:type="dxa"/>
            <w:tcBorders>
              <w:top w:val="nil"/>
              <w:left w:val="nil"/>
              <w:bottom w:val="nil"/>
              <w:right w:val="nil"/>
            </w:tcBorders>
            <w:noWrap/>
            <w:hideMark/>
          </w:tcPr>
          <w:p w14:paraId="1A617FB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-28.8</w:t>
            </w:r>
          </w:p>
        </w:tc>
        <w:tc>
          <w:tcPr>
            <w:tcW w:w="1085" w:type="dxa"/>
            <w:tcBorders>
              <w:top w:val="nil"/>
              <w:left w:val="nil"/>
              <w:bottom w:val="nil"/>
              <w:right w:val="single" w:sz="12" w:space="0" w:color="auto"/>
            </w:tcBorders>
            <w:noWrap/>
            <w:hideMark/>
          </w:tcPr>
          <w:p w14:paraId="296E292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bottom w:val="nil"/>
              <w:right w:val="nil"/>
            </w:tcBorders>
            <w:noWrap/>
            <w:hideMark/>
          </w:tcPr>
          <w:p w14:paraId="022CF56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-36.2</w:t>
            </w:r>
          </w:p>
        </w:tc>
        <w:tc>
          <w:tcPr>
            <w:tcW w:w="992" w:type="dxa"/>
            <w:tcBorders>
              <w:top w:val="nil"/>
              <w:left w:val="nil"/>
              <w:bottom w:val="nil"/>
              <w:right w:val="nil"/>
            </w:tcBorders>
            <w:noWrap/>
            <w:hideMark/>
          </w:tcPr>
          <w:p w14:paraId="11CEB05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19.8</w:t>
            </w:r>
          </w:p>
        </w:tc>
        <w:tc>
          <w:tcPr>
            <w:tcW w:w="722" w:type="dxa"/>
            <w:tcBorders>
              <w:top w:val="nil"/>
              <w:left w:val="nil"/>
              <w:bottom w:val="nil"/>
              <w:right w:val="single" w:sz="12" w:space="0" w:color="auto"/>
            </w:tcBorders>
            <w:noWrap/>
            <w:hideMark/>
          </w:tcPr>
          <w:p w14:paraId="4150614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nil"/>
              <w:right w:val="single" w:sz="12" w:space="0" w:color="auto"/>
            </w:tcBorders>
            <w:noWrap/>
            <w:hideMark/>
          </w:tcPr>
          <w:p w14:paraId="43B1104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-13.3</w:t>
            </w:r>
          </w:p>
        </w:tc>
      </w:tr>
      <w:tr w:rsidR="00394E20" w:rsidRPr="00B71F92" w14:paraId="5716BE4B"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3AA17919"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5FAF8886"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$100,000-$199,999</w:t>
            </w:r>
          </w:p>
        </w:tc>
        <w:tc>
          <w:tcPr>
            <w:tcW w:w="809" w:type="dxa"/>
            <w:tcBorders>
              <w:top w:val="nil"/>
              <w:left w:val="single" w:sz="12" w:space="0" w:color="auto"/>
              <w:bottom w:val="nil"/>
              <w:right w:val="single" w:sz="12" w:space="0" w:color="auto"/>
            </w:tcBorders>
            <w:noWrap/>
            <w:hideMark/>
          </w:tcPr>
          <w:p w14:paraId="6C1571B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-6.5</w:t>
            </w:r>
          </w:p>
        </w:tc>
        <w:tc>
          <w:tcPr>
            <w:tcW w:w="894" w:type="dxa"/>
            <w:tcBorders>
              <w:top w:val="nil"/>
              <w:left w:val="single" w:sz="12" w:space="0" w:color="auto"/>
              <w:bottom w:val="nil"/>
              <w:right w:val="nil"/>
            </w:tcBorders>
            <w:noWrap/>
            <w:hideMark/>
          </w:tcPr>
          <w:p w14:paraId="0DB86F0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-5.2</w:t>
            </w:r>
          </w:p>
        </w:tc>
        <w:tc>
          <w:tcPr>
            <w:tcW w:w="810" w:type="dxa"/>
            <w:tcBorders>
              <w:top w:val="nil"/>
              <w:left w:val="nil"/>
              <w:bottom w:val="nil"/>
              <w:right w:val="nil"/>
            </w:tcBorders>
            <w:noWrap/>
            <w:hideMark/>
          </w:tcPr>
          <w:p w14:paraId="7788D2A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-11.0</w:t>
            </w:r>
          </w:p>
        </w:tc>
        <w:tc>
          <w:tcPr>
            <w:tcW w:w="905" w:type="dxa"/>
            <w:tcBorders>
              <w:top w:val="nil"/>
              <w:left w:val="nil"/>
              <w:bottom w:val="nil"/>
              <w:right w:val="single" w:sz="12" w:space="0" w:color="auto"/>
            </w:tcBorders>
            <w:noWrap/>
            <w:hideMark/>
          </w:tcPr>
          <w:p w14:paraId="57076DA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905" w:type="dxa"/>
            <w:tcBorders>
              <w:top w:val="nil"/>
              <w:left w:val="single" w:sz="12" w:space="0" w:color="auto"/>
              <w:bottom w:val="nil"/>
              <w:right w:val="nil"/>
            </w:tcBorders>
            <w:noWrap/>
            <w:hideMark/>
          </w:tcPr>
          <w:p w14:paraId="5307411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36.0</w:t>
            </w:r>
          </w:p>
        </w:tc>
        <w:tc>
          <w:tcPr>
            <w:tcW w:w="850" w:type="dxa"/>
            <w:tcBorders>
              <w:top w:val="nil"/>
              <w:left w:val="nil"/>
              <w:bottom w:val="nil"/>
              <w:right w:val="nil"/>
            </w:tcBorders>
            <w:noWrap/>
            <w:hideMark/>
          </w:tcPr>
          <w:p w14:paraId="5859E96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-28.8</w:t>
            </w:r>
          </w:p>
        </w:tc>
        <w:tc>
          <w:tcPr>
            <w:tcW w:w="1085" w:type="dxa"/>
            <w:tcBorders>
              <w:top w:val="nil"/>
              <w:left w:val="nil"/>
              <w:bottom w:val="nil"/>
              <w:right w:val="single" w:sz="12" w:space="0" w:color="auto"/>
            </w:tcBorders>
            <w:noWrap/>
            <w:hideMark/>
          </w:tcPr>
          <w:p w14:paraId="0C5ADAA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bottom w:val="nil"/>
              <w:right w:val="nil"/>
            </w:tcBorders>
            <w:noWrap/>
            <w:hideMark/>
          </w:tcPr>
          <w:p w14:paraId="1483C75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w:t>
            </w:r>
          </w:p>
        </w:tc>
        <w:tc>
          <w:tcPr>
            <w:tcW w:w="992" w:type="dxa"/>
            <w:tcBorders>
              <w:top w:val="nil"/>
              <w:left w:val="nil"/>
              <w:bottom w:val="nil"/>
              <w:right w:val="nil"/>
            </w:tcBorders>
            <w:noWrap/>
            <w:hideMark/>
          </w:tcPr>
          <w:p w14:paraId="1E81FED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37.8</w:t>
            </w:r>
          </w:p>
        </w:tc>
        <w:tc>
          <w:tcPr>
            <w:tcW w:w="722" w:type="dxa"/>
            <w:tcBorders>
              <w:top w:val="nil"/>
              <w:left w:val="nil"/>
              <w:bottom w:val="nil"/>
              <w:right w:val="single" w:sz="12" w:space="0" w:color="auto"/>
            </w:tcBorders>
            <w:noWrap/>
            <w:hideMark/>
          </w:tcPr>
          <w:p w14:paraId="7C1A291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nil"/>
              <w:right w:val="single" w:sz="12" w:space="0" w:color="auto"/>
            </w:tcBorders>
            <w:noWrap/>
            <w:hideMark/>
          </w:tcPr>
          <w:p w14:paraId="12A8216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-0.2</w:t>
            </w:r>
          </w:p>
        </w:tc>
      </w:tr>
      <w:tr w:rsidR="00394E20" w:rsidRPr="00B71F92" w14:paraId="58C07D82"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1E8F1479"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4" w:space="0" w:color="auto"/>
              <w:right w:val="single" w:sz="12" w:space="0" w:color="auto"/>
            </w:tcBorders>
            <w:noWrap/>
            <w:vAlign w:val="center"/>
            <w:hideMark/>
          </w:tcPr>
          <w:p w14:paraId="72111589"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$200 or more</w:t>
            </w:r>
          </w:p>
        </w:tc>
        <w:tc>
          <w:tcPr>
            <w:tcW w:w="809" w:type="dxa"/>
            <w:tcBorders>
              <w:top w:val="nil"/>
              <w:left w:val="single" w:sz="12" w:space="0" w:color="auto"/>
              <w:bottom w:val="single" w:sz="4" w:space="0" w:color="auto"/>
              <w:right w:val="single" w:sz="12" w:space="0" w:color="auto"/>
            </w:tcBorders>
            <w:noWrap/>
            <w:hideMark/>
          </w:tcPr>
          <w:p w14:paraId="14740FB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-6.9</w:t>
            </w:r>
          </w:p>
        </w:tc>
        <w:tc>
          <w:tcPr>
            <w:tcW w:w="894" w:type="dxa"/>
            <w:tcBorders>
              <w:top w:val="nil"/>
              <w:left w:val="single" w:sz="12" w:space="0" w:color="auto"/>
              <w:bottom w:val="single" w:sz="4" w:space="0" w:color="auto"/>
              <w:right w:val="nil"/>
            </w:tcBorders>
            <w:noWrap/>
            <w:hideMark/>
          </w:tcPr>
          <w:p w14:paraId="438BF5D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-21.8</w:t>
            </w:r>
          </w:p>
        </w:tc>
        <w:tc>
          <w:tcPr>
            <w:tcW w:w="810" w:type="dxa"/>
            <w:tcBorders>
              <w:top w:val="nil"/>
              <w:left w:val="nil"/>
              <w:bottom w:val="single" w:sz="4" w:space="0" w:color="auto"/>
              <w:right w:val="nil"/>
            </w:tcBorders>
            <w:noWrap/>
            <w:hideMark/>
          </w:tcPr>
          <w:p w14:paraId="6B63E7F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-6.6</w:t>
            </w:r>
          </w:p>
        </w:tc>
        <w:tc>
          <w:tcPr>
            <w:tcW w:w="905" w:type="dxa"/>
            <w:tcBorders>
              <w:top w:val="nil"/>
              <w:left w:val="nil"/>
              <w:bottom w:val="single" w:sz="4" w:space="0" w:color="auto"/>
              <w:right w:val="single" w:sz="12" w:space="0" w:color="auto"/>
            </w:tcBorders>
            <w:noWrap/>
            <w:hideMark/>
          </w:tcPr>
          <w:p w14:paraId="72C6CFE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905" w:type="dxa"/>
            <w:tcBorders>
              <w:top w:val="nil"/>
              <w:left w:val="single" w:sz="12" w:space="0" w:color="auto"/>
              <w:bottom w:val="single" w:sz="4" w:space="0" w:color="auto"/>
              <w:right w:val="nil"/>
            </w:tcBorders>
            <w:noWrap/>
            <w:hideMark/>
          </w:tcPr>
          <w:p w14:paraId="50230E1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35.8</w:t>
            </w:r>
          </w:p>
        </w:tc>
        <w:tc>
          <w:tcPr>
            <w:tcW w:w="850" w:type="dxa"/>
            <w:tcBorders>
              <w:top w:val="nil"/>
              <w:left w:val="nil"/>
              <w:bottom w:val="single" w:sz="4" w:space="0" w:color="auto"/>
              <w:right w:val="nil"/>
            </w:tcBorders>
            <w:noWrap/>
            <w:hideMark/>
          </w:tcPr>
          <w:p w14:paraId="6BE13AB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-19.9</w:t>
            </w:r>
          </w:p>
        </w:tc>
        <w:tc>
          <w:tcPr>
            <w:tcW w:w="1085" w:type="dxa"/>
            <w:tcBorders>
              <w:top w:val="nil"/>
              <w:left w:val="nil"/>
              <w:bottom w:val="single" w:sz="4" w:space="0" w:color="auto"/>
              <w:right w:val="single" w:sz="12" w:space="0" w:color="auto"/>
            </w:tcBorders>
            <w:noWrap/>
            <w:hideMark/>
          </w:tcPr>
          <w:p w14:paraId="3A97341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22.3</w:t>
            </w:r>
          </w:p>
        </w:tc>
        <w:tc>
          <w:tcPr>
            <w:tcW w:w="990" w:type="dxa"/>
            <w:tcBorders>
              <w:top w:val="nil"/>
              <w:left w:val="single" w:sz="12" w:space="0" w:color="auto"/>
              <w:bottom w:val="single" w:sz="4" w:space="0" w:color="auto"/>
              <w:right w:val="nil"/>
            </w:tcBorders>
            <w:noWrap/>
            <w:hideMark/>
          </w:tcPr>
          <w:p w14:paraId="55B5F82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w:t>
            </w:r>
          </w:p>
        </w:tc>
        <w:tc>
          <w:tcPr>
            <w:tcW w:w="992" w:type="dxa"/>
            <w:tcBorders>
              <w:top w:val="nil"/>
              <w:left w:val="nil"/>
              <w:bottom w:val="single" w:sz="4" w:space="0" w:color="auto"/>
              <w:right w:val="nil"/>
            </w:tcBorders>
            <w:noWrap/>
            <w:hideMark/>
          </w:tcPr>
          <w:p w14:paraId="40FDA09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86.2</w:t>
            </w:r>
          </w:p>
        </w:tc>
        <w:tc>
          <w:tcPr>
            <w:tcW w:w="722" w:type="dxa"/>
            <w:tcBorders>
              <w:top w:val="nil"/>
              <w:left w:val="nil"/>
              <w:bottom w:val="single" w:sz="4" w:space="0" w:color="auto"/>
              <w:right w:val="single" w:sz="12" w:space="0" w:color="auto"/>
            </w:tcBorders>
            <w:noWrap/>
            <w:hideMark/>
          </w:tcPr>
          <w:p w14:paraId="5D05E7E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single" w:sz="4" w:space="0" w:color="auto"/>
              <w:right w:val="single" w:sz="12" w:space="0" w:color="auto"/>
            </w:tcBorders>
            <w:noWrap/>
            <w:hideMark/>
          </w:tcPr>
          <w:p w14:paraId="469EE4E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-0.2</w:t>
            </w:r>
          </w:p>
        </w:tc>
      </w:tr>
      <w:tr w:rsidR="00394E20" w:rsidRPr="00B71F92" w14:paraId="0D4386A4"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6B9BCD46"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Educational Attainment</w:t>
            </w:r>
          </w:p>
        </w:tc>
        <w:tc>
          <w:tcPr>
            <w:tcW w:w="2698" w:type="dxa"/>
            <w:tcBorders>
              <w:top w:val="single" w:sz="4" w:space="0" w:color="auto"/>
              <w:left w:val="nil"/>
              <w:bottom w:val="nil"/>
              <w:right w:val="single" w:sz="12" w:space="0" w:color="auto"/>
            </w:tcBorders>
            <w:noWrap/>
            <w:vAlign w:val="center"/>
            <w:hideMark/>
          </w:tcPr>
          <w:p w14:paraId="531EE998"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Less than bachelor's degree</w:t>
            </w:r>
          </w:p>
        </w:tc>
        <w:tc>
          <w:tcPr>
            <w:tcW w:w="809" w:type="dxa"/>
            <w:tcBorders>
              <w:top w:val="single" w:sz="4" w:space="0" w:color="auto"/>
              <w:left w:val="single" w:sz="12" w:space="0" w:color="auto"/>
              <w:bottom w:val="nil"/>
              <w:right w:val="single" w:sz="12" w:space="0" w:color="auto"/>
            </w:tcBorders>
            <w:noWrap/>
            <w:hideMark/>
          </w:tcPr>
          <w:p w14:paraId="63F44D1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-5.0</w:t>
            </w:r>
          </w:p>
        </w:tc>
        <w:tc>
          <w:tcPr>
            <w:tcW w:w="894" w:type="dxa"/>
            <w:tcBorders>
              <w:top w:val="single" w:sz="4" w:space="0" w:color="auto"/>
              <w:left w:val="single" w:sz="12" w:space="0" w:color="auto"/>
              <w:bottom w:val="nil"/>
              <w:right w:val="nil"/>
            </w:tcBorders>
            <w:noWrap/>
            <w:hideMark/>
          </w:tcPr>
          <w:p w14:paraId="2E3EB2F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810" w:type="dxa"/>
            <w:tcBorders>
              <w:top w:val="single" w:sz="4" w:space="0" w:color="auto"/>
              <w:left w:val="nil"/>
              <w:bottom w:val="nil"/>
              <w:right w:val="nil"/>
            </w:tcBorders>
            <w:noWrap/>
            <w:hideMark/>
          </w:tcPr>
          <w:p w14:paraId="3664836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2.7</w:t>
            </w:r>
          </w:p>
        </w:tc>
        <w:tc>
          <w:tcPr>
            <w:tcW w:w="905" w:type="dxa"/>
            <w:tcBorders>
              <w:top w:val="single" w:sz="4" w:space="0" w:color="auto"/>
              <w:left w:val="nil"/>
              <w:bottom w:val="nil"/>
              <w:right w:val="single" w:sz="12" w:space="0" w:color="auto"/>
            </w:tcBorders>
            <w:noWrap/>
            <w:hideMark/>
          </w:tcPr>
          <w:p w14:paraId="4910C4F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-20.4</w:t>
            </w:r>
          </w:p>
        </w:tc>
        <w:tc>
          <w:tcPr>
            <w:tcW w:w="905" w:type="dxa"/>
            <w:tcBorders>
              <w:top w:val="single" w:sz="4" w:space="0" w:color="auto"/>
              <w:left w:val="single" w:sz="12" w:space="0" w:color="auto"/>
              <w:bottom w:val="nil"/>
              <w:right w:val="nil"/>
            </w:tcBorders>
            <w:noWrap/>
            <w:hideMark/>
          </w:tcPr>
          <w:p w14:paraId="23609EA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19.4</w:t>
            </w:r>
          </w:p>
        </w:tc>
        <w:tc>
          <w:tcPr>
            <w:tcW w:w="850" w:type="dxa"/>
            <w:tcBorders>
              <w:top w:val="single" w:sz="4" w:space="0" w:color="auto"/>
              <w:left w:val="nil"/>
              <w:bottom w:val="nil"/>
              <w:right w:val="nil"/>
            </w:tcBorders>
            <w:noWrap/>
            <w:hideMark/>
          </w:tcPr>
          <w:p w14:paraId="4CB2661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single" w:sz="4" w:space="0" w:color="auto"/>
              <w:left w:val="nil"/>
              <w:bottom w:val="nil"/>
              <w:right w:val="single" w:sz="12" w:space="0" w:color="auto"/>
            </w:tcBorders>
            <w:noWrap/>
            <w:hideMark/>
          </w:tcPr>
          <w:p w14:paraId="73039E3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-28.4</w:t>
            </w:r>
          </w:p>
        </w:tc>
        <w:tc>
          <w:tcPr>
            <w:tcW w:w="990" w:type="dxa"/>
            <w:tcBorders>
              <w:top w:val="single" w:sz="4" w:space="0" w:color="auto"/>
              <w:left w:val="single" w:sz="12" w:space="0" w:color="auto"/>
              <w:bottom w:val="nil"/>
              <w:right w:val="nil"/>
            </w:tcBorders>
            <w:noWrap/>
            <w:hideMark/>
          </w:tcPr>
          <w:p w14:paraId="6CDA0C6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single" w:sz="4" w:space="0" w:color="auto"/>
              <w:left w:val="nil"/>
              <w:bottom w:val="nil"/>
              <w:right w:val="nil"/>
            </w:tcBorders>
            <w:noWrap/>
            <w:hideMark/>
          </w:tcPr>
          <w:p w14:paraId="041ADD0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14.3</w:t>
            </w:r>
          </w:p>
        </w:tc>
        <w:tc>
          <w:tcPr>
            <w:tcW w:w="722" w:type="dxa"/>
            <w:tcBorders>
              <w:top w:val="single" w:sz="4" w:space="0" w:color="auto"/>
              <w:left w:val="nil"/>
              <w:bottom w:val="nil"/>
              <w:right w:val="single" w:sz="12" w:space="0" w:color="auto"/>
            </w:tcBorders>
            <w:noWrap/>
            <w:hideMark/>
          </w:tcPr>
          <w:p w14:paraId="159D468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single" w:sz="4" w:space="0" w:color="auto"/>
              <w:left w:val="single" w:sz="12" w:space="0" w:color="auto"/>
              <w:bottom w:val="nil"/>
              <w:right w:val="single" w:sz="12" w:space="0" w:color="auto"/>
            </w:tcBorders>
            <w:noWrap/>
            <w:hideMark/>
          </w:tcPr>
          <w:p w14:paraId="4DA6A63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12E77741"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72910250"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4012B4DE"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Bachelor's degree</w:t>
            </w:r>
          </w:p>
        </w:tc>
        <w:tc>
          <w:tcPr>
            <w:tcW w:w="809" w:type="dxa"/>
            <w:tcBorders>
              <w:top w:val="nil"/>
              <w:left w:val="single" w:sz="12" w:space="0" w:color="auto"/>
              <w:bottom w:val="nil"/>
              <w:right w:val="single" w:sz="12" w:space="0" w:color="auto"/>
            </w:tcBorders>
            <w:noWrap/>
            <w:hideMark/>
          </w:tcPr>
          <w:p w14:paraId="28B1819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-5.8</w:t>
            </w:r>
          </w:p>
        </w:tc>
        <w:tc>
          <w:tcPr>
            <w:tcW w:w="894" w:type="dxa"/>
            <w:tcBorders>
              <w:top w:val="nil"/>
              <w:left w:val="single" w:sz="12" w:space="0" w:color="auto"/>
              <w:bottom w:val="nil"/>
              <w:right w:val="nil"/>
            </w:tcBorders>
            <w:noWrap/>
            <w:hideMark/>
          </w:tcPr>
          <w:p w14:paraId="3CC548A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810" w:type="dxa"/>
            <w:tcBorders>
              <w:top w:val="nil"/>
              <w:left w:val="nil"/>
              <w:bottom w:val="nil"/>
              <w:right w:val="nil"/>
            </w:tcBorders>
            <w:noWrap/>
            <w:hideMark/>
          </w:tcPr>
          <w:p w14:paraId="7780535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-19.5</w:t>
            </w:r>
          </w:p>
        </w:tc>
        <w:tc>
          <w:tcPr>
            <w:tcW w:w="905" w:type="dxa"/>
            <w:tcBorders>
              <w:top w:val="nil"/>
              <w:left w:val="nil"/>
              <w:bottom w:val="nil"/>
              <w:right w:val="single" w:sz="12" w:space="0" w:color="auto"/>
            </w:tcBorders>
            <w:noWrap/>
            <w:hideMark/>
          </w:tcPr>
          <w:p w14:paraId="1109AD9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-17.8</w:t>
            </w:r>
          </w:p>
        </w:tc>
        <w:tc>
          <w:tcPr>
            <w:tcW w:w="905" w:type="dxa"/>
            <w:tcBorders>
              <w:top w:val="nil"/>
              <w:left w:val="single" w:sz="12" w:space="0" w:color="auto"/>
              <w:bottom w:val="nil"/>
              <w:right w:val="nil"/>
            </w:tcBorders>
            <w:noWrap/>
            <w:hideMark/>
          </w:tcPr>
          <w:p w14:paraId="3B56095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20.8</w:t>
            </w:r>
          </w:p>
        </w:tc>
        <w:tc>
          <w:tcPr>
            <w:tcW w:w="850" w:type="dxa"/>
            <w:tcBorders>
              <w:top w:val="nil"/>
              <w:left w:val="nil"/>
              <w:bottom w:val="nil"/>
              <w:right w:val="nil"/>
            </w:tcBorders>
            <w:noWrap/>
            <w:hideMark/>
          </w:tcPr>
          <w:p w14:paraId="6EB06BD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nil"/>
              <w:left w:val="nil"/>
              <w:bottom w:val="nil"/>
              <w:right w:val="single" w:sz="12" w:space="0" w:color="auto"/>
            </w:tcBorders>
            <w:noWrap/>
            <w:hideMark/>
          </w:tcPr>
          <w:p w14:paraId="0126549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46.4</w:t>
            </w:r>
          </w:p>
        </w:tc>
        <w:tc>
          <w:tcPr>
            <w:tcW w:w="990" w:type="dxa"/>
            <w:tcBorders>
              <w:top w:val="nil"/>
              <w:left w:val="single" w:sz="12" w:space="0" w:color="auto"/>
              <w:bottom w:val="nil"/>
              <w:right w:val="nil"/>
            </w:tcBorders>
            <w:noWrap/>
            <w:hideMark/>
          </w:tcPr>
          <w:p w14:paraId="368859A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nil"/>
              <w:right w:val="nil"/>
            </w:tcBorders>
            <w:noWrap/>
            <w:hideMark/>
          </w:tcPr>
          <w:p w14:paraId="27E4675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14.3</w:t>
            </w:r>
          </w:p>
        </w:tc>
        <w:tc>
          <w:tcPr>
            <w:tcW w:w="722" w:type="dxa"/>
            <w:tcBorders>
              <w:top w:val="nil"/>
              <w:left w:val="nil"/>
              <w:bottom w:val="nil"/>
              <w:right w:val="single" w:sz="12" w:space="0" w:color="auto"/>
            </w:tcBorders>
            <w:noWrap/>
            <w:hideMark/>
          </w:tcPr>
          <w:p w14:paraId="005D235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nil"/>
              <w:right w:val="single" w:sz="12" w:space="0" w:color="auto"/>
            </w:tcBorders>
            <w:noWrap/>
            <w:hideMark/>
          </w:tcPr>
          <w:p w14:paraId="1022677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1E17B5F5"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54D6BD9A"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4" w:space="0" w:color="auto"/>
              <w:right w:val="single" w:sz="12" w:space="0" w:color="auto"/>
            </w:tcBorders>
            <w:noWrap/>
            <w:vAlign w:val="center"/>
            <w:hideMark/>
          </w:tcPr>
          <w:p w14:paraId="4D34A9CC"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Graduate degree</w:t>
            </w:r>
          </w:p>
        </w:tc>
        <w:tc>
          <w:tcPr>
            <w:tcW w:w="809" w:type="dxa"/>
            <w:tcBorders>
              <w:top w:val="nil"/>
              <w:left w:val="single" w:sz="12" w:space="0" w:color="auto"/>
              <w:bottom w:val="single" w:sz="4" w:space="0" w:color="auto"/>
              <w:right w:val="single" w:sz="12" w:space="0" w:color="auto"/>
            </w:tcBorders>
            <w:noWrap/>
            <w:hideMark/>
          </w:tcPr>
          <w:p w14:paraId="7862D5E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-6.2</w:t>
            </w:r>
          </w:p>
        </w:tc>
        <w:tc>
          <w:tcPr>
            <w:tcW w:w="894" w:type="dxa"/>
            <w:tcBorders>
              <w:top w:val="nil"/>
              <w:left w:val="single" w:sz="12" w:space="0" w:color="auto"/>
              <w:bottom w:val="single" w:sz="4" w:space="0" w:color="auto"/>
              <w:right w:val="nil"/>
            </w:tcBorders>
            <w:noWrap/>
            <w:hideMark/>
          </w:tcPr>
          <w:p w14:paraId="02B4836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-46.8</w:t>
            </w:r>
          </w:p>
        </w:tc>
        <w:tc>
          <w:tcPr>
            <w:tcW w:w="810" w:type="dxa"/>
            <w:tcBorders>
              <w:top w:val="nil"/>
              <w:left w:val="nil"/>
              <w:bottom w:val="single" w:sz="4" w:space="0" w:color="auto"/>
              <w:right w:val="nil"/>
            </w:tcBorders>
            <w:noWrap/>
            <w:hideMark/>
          </w:tcPr>
          <w:p w14:paraId="62224F7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-18.2</w:t>
            </w:r>
          </w:p>
        </w:tc>
        <w:tc>
          <w:tcPr>
            <w:tcW w:w="905" w:type="dxa"/>
            <w:tcBorders>
              <w:top w:val="nil"/>
              <w:left w:val="nil"/>
              <w:bottom w:val="single" w:sz="4" w:space="0" w:color="auto"/>
              <w:right w:val="single" w:sz="12" w:space="0" w:color="auto"/>
            </w:tcBorders>
            <w:noWrap/>
            <w:hideMark/>
          </w:tcPr>
          <w:p w14:paraId="594ED5B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-17.8</w:t>
            </w:r>
          </w:p>
        </w:tc>
        <w:tc>
          <w:tcPr>
            <w:tcW w:w="905" w:type="dxa"/>
            <w:tcBorders>
              <w:top w:val="nil"/>
              <w:left w:val="single" w:sz="12" w:space="0" w:color="auto"/>
              <w:bottom w:val="single" w:sz="4" w:space="0" w:color="auto"/>
              <w:right w:val="nil"/>
            </w:tcBorders>
            <w:noWrap/>
            <w:hideMark/>
          </w:tcPr>
          <w:p w14:paraId="406A477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20.8</w:t>
            </w:r>
          </w:p>
        </w:tc>
        <w:tc>
          <w:tcPr>
            <w:tcW w:w="850" w:type="dxa"/>
            <w:tcBorders>
              <w:top w:val="nil"/>
              <w:left w:val="nil"/>
              <w:bottom w:val="single" w:sz="4" w:space="0" w:color="auto"/>
              <w:right w:val="nil"/>
            </w:tcBorders>
            <w:noWrap/>
            <w:hideMark/>
          </w:tcPr>
          <w:p w14:paraId="4843921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nil"/>
              <w:left w:val="nil"/>
              <w:bottom w:val="single" w:sz="4" w:space="0" w:color="auto"/>
              <w:right w:val="single" w:sz="12" w:space="0" w:color="auto"/>
            </w:tcBorders>
            <w:noWrap/>
            <w:hideMark/>
          </w:tcPr>
          <w:p w14:paraId="6348669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72.6</w:t>
            </w:r>
          </w:p>
        </w:tc>
        <w:tc>
          <w:tcPr>
            <w:tcW w:w="990" w:type="dxa"/>
            <w:tcBorders>
              <w:top w:val="nil"/>
              <w:left w:val="single" w:sz="12" w:space="0" w:color="auto"/>
              <w:bottom w:val="single" w:sz="4" w:space="0" w:color="auto"/>
              <w:right w:val="nil"/>
            </w:tcBorders>
            <w:noWrap/>
            <w:hideMark/>
          </w:tcPr>
          <w:p w14:paraId="6B95118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-12.3</w:t>
            </w:r>
          </w:p>
        </w:tc>
        <w:tc>
          <w:tcPr>
            <w:tcW w:w="992" w:type="dxa"/>
            <w:tcBorders>
              <w:top w:val="nil"/>
              <w:left w:val="nil"/>
              <w:bottom w:val="single" w:sz="4" w:space="0" w:color="auto"/>
              <w:right w:val="nil"/>
            </w:tcBorders>
            <w:noWrap/>
            <w:hideMark/>
          </w:tcPr>
          <w:p w14:paraId="50CDBA3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28.7</w:t>
            </w:r>
          </w:p>
        </w:tc>
        <w:tc>
          <w:tcPr>
            <w:tcW w:w="722" w:type="dxa"/>
            <w:tcBorders>
              <w:top w:val="nil"/>
              <w:left w:val="nil"/>
              <w:bottom w:val="single" w:sz="4" w:space="0" w:color="auto"/>
              <w:right w:val="single" w:sz="12" w:space="0" w:color="auto"/>
            </w:tcBorders>
            <w:noWrap/>
            <w:hideMark/>
          </w:tcPr>
          <w:p w14:paraId="7F6C96F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single" w:sz="4" w:space="0" w:color="auto"/>
              <w:right w:val="single" w:sz="12" w:space="0" w:color="auto"/>
            </w:tcBorders>
            <w:noWrap/>
            <w:hideMark/>
          </w:tcPr>
          <w:p w14:paraId="03E9095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-1.2</w:t>
            </w:r>
          </w:p>
        </w:tc>
      </w:tr>
      <w:tr w:rsidR="00394E20" w:rsidRPr="00B71F92" w14:paraId="7F6E6F72" w14:textId="77777777" w:rsidTr="00AF15D1">
        <w:trPr>
          <w:trHeight w:val="216"/>
          <w:jc w:val="center"/>
        </w:trPr>
        <w:tc>
          <w:tcPr>
            <w:tcW w:w="14026" w:type="dxa"/>
            <w:gridSpan w:val="13"/>
            <w:tcBorders>
              <w:top w:val="single" w:sz="4" w:space="0" w:color="auto"/>
              <w:left w:val="single" w:sz="12" w:space="0" w:color="auto"/>
              <w:bottom w:val="single" w:sz="4" w:space="0" w:color="auto"/>
              <w:right w:val="single" w:sz="12" w:space="0" w:color="auto"/>
            </w:tcBorders>
            <w:noWrap/>
            <w:vAlign w:val="center"/>
          </w:tcPr>
          <w:p w14:paraId="0EAC34B3" w14:textId="77777777" w:rsidR="00394E20" w:rsidRPr="00B71F92" w:rsidRDefault="00394E20" w:rsidP="008C0804">
            <w:pPr>
              <w:tabs>
                <w:tab w:val="decimal" w:pos="270"/>
              </w:tabs>
              <w:spacing w:after="0" w:line="240" w:lineRule="auto"/>
              <w:rPr>
                <w:sz w:val="18"/>
                <w:szCs w:val="18"/>
              </w:rPr>
            </w:pPr>
            <w:r w:rsidRPr="00B71F92">
              <w:rPr>
                <w:b/>
                <w:bCs/>
                <w:i/>
                <w:iCs/>
                <w:sz w:val="18"/>
                <w:szCs w:val="18"/>
              </w:rPr>
              <w:t>Race and Ethnicity Variables</w:t>
            </w:r>
          </w:p>
        </w:tc>
      </w:tr>
      <w:tr w:rsidR="00394E20" w:rsidRPr="00B71F92" w14:paraId="6A16D01B"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4AB66000"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Race</w:t>
            </w:r>
          </w:p>
        </w:tc>
        <w:tc>
          <w:tcPr>
            <w:tcW w:w="2698" w:type="dxa"/>
            <w:tcBorders>
              <w:top w:val="single" w:sz="4" w:space="0" w:color="auto"/>
              <w:left w:val="nil"/>
              <w:bottom w:val="nil"/>
              <w:right w:val="single" w:sz="12" w:space="0" w:color="auto"/>
            </w:tcBorders>
            <w:noWrap/>
            <w:vAlign w:val="center"/>
            <w:hideMark/>
          </w:tcPr>
          <w:p w14:paraId="518DB5F1"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White</w:t>
            </w:r>
          </w:p>
        </w:tc>
        <w:tc>
          <w:tcPr>
            <w:tcW w:w="809" w:type="dxa"/>
            <w:tcBorders>
              <w:top w:val="single" w:sz="4" w:space="0" w:color="auto"/>
              <w:left w:val="single" w:sz="12" w:space="0" w:color="auto"/>
              <w:bottom w:val="nil"/>
              <w:right w:val="single" w:sz="12" w:space="0" w:color="auto"/>
            </w:tcBorders>
            <w:noWrap/>
            <w:hideMark/>
          </w:tcPr>
          <w:p w14:paraId="4489C58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-5.8</w:t>
            </w:r>
          </w:p>
        </w:tc>
        <w:tc>
          <w:tcPr>
            <w:tcW w:w="894" w:type="dxa"/>
            <w:tcBorders>
              <w:top w:val="single" w:sz="4" w:space="0" w:color="auto"/>
              <w:left w:val="single" w:sz="12" w:space="0" w:color="auto"/>
              <w:bottom w:val="nil"/>
              <w:right w:val="nil"/>
            </w:tcBorders>
            <w:noWrap/>
            <w:hideMark/>
          </w:tcPr>
          <w:p w14:paraId="746AAF5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-30.4</w:t>
            </w:r>
          </w:p>
        </w:tc>
        <w:tc>
          <w:tcPr>
            <w:tcW w:w="810" w:type="dxa"/>
            <w:tcBorders>
              <w:top w:val="single" w:sz="4" w:space="0" w:color="auto"/>
              <w:left w:val="nil"/>
              <w:bottom w:val="nil"/>
              <w:right w:val="nil"/>
            </w:tcBorders>
            <w:noWrap/>
            <w:hideMark/>
          </w:tcPr>
          <w:p w14:paraId="3BD68A4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single" w:sz="4" w:space="0" w:color="auto"/>
              <w:left w:val="nil"/>
              <w:bottom w:val="nil"/>
              <w:right w:val="single" w:sz="12" w:space="0" w:color="auto"/>
            </w:tcBorders>
            <w:noWrap/>
            <w:hideMark/>
          </w:tcPr>
          <w:p w14:paraId="3082C90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-17.7</w:t>
            </w:r>
          </w:p>
        </w:tc>
        <w:tc>
          <w:tcPr>
            <w:tcW w:w="905" w:type="dxa"/>
            <w:tcBorders>
              <w:top w:val="single" w:sz="4" w:space="0" w:color="auto"/>
              <w:left w:val="single" w:sz="12" w:space="0" w:color="auto"/>
              <w:bottom w:val="nil"/>
              <w:right w:val="nil"/>
            </w:tcBorders>
            <w:noWrap/>
            <w:hideMark/>
          </w:tcPr>
          <w:p w14:paraId="24674DE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34.9</w:t>
            </w:r>
          </w:p>
        </w:tc>
        <w:tc>
          <w:tcPr>
            <w:tcW w:w="850" w:type="dxa"/>
            <w:tcBorders>
              <w:top w:val="single" w:sz="4" w:space="0" w:color="auto"/>
              <w:left w:val="nil"/>
              <w:bottom w:val="nil"/>
              <w:right w:val="nil"/>
            </w:tcBorders>
            <w:noWrap/>
            <w:hideMark/>
          </w:tcPr>
          <w:p w14:paraId="2A24D63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single" w:sz="4" w:space="0" w:color="auto"/>
              <w:left w:val="nil"/>
              <w:bottom w:val="nil"/>
              <w:right w:val="single" w:sz="12" w:space="0" w:color="auto"/>
            </w:tcBorders>
            <w:noWrap/>
            <w:hideMark/>
          </w:tcPr>
          <w:p w14:paraId="623AA50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-0.5</w:t>
            </w:r>
          </w:p>
        </w:tc>
        <w:tc>
          <w:tcPr>
            <w:tcW w:w="990" w:type="dxa"/>
            <w:tcBorders>
              <w:top w:val="single" w:sz="4" w:space="0" w:color="auto"/>
              <w:left w:val="single" w:sz="12" w:space="0" w:color="auto"/>
              <w:bottom w:val="nil"/>
              <w:right w:val="nil"/>
            </w:tcBorders>
            <w:noWrap/>
            <w:hideMark/>
          </w:tcPr>
          <w:p w14:paraId="7EDA5F2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-3.8</w:t>
            </w:r>
          </w:p>
        </w:tc>
        <w:tc>
          <w:tcPr>
            <w:tcW w:w="992" w:type="dxa"/>
            <w:tcBorders>
              <w:top w:val="single" w:sz="4" w:space="0" w:color="auto"/>
              <w:left w:val="nil"/>
              <w:bottom w:val="nil"/>
              <w:right w:val="nil"/>
            </w:tcBorders>
            <w:noWrap/>
            <w:hideMark/>
          </w:tcPr>
          <w:p w14:paraId="1A8131F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722" w:type="dxa"/>
            <w:tcBorders>
              <w:top w:val="single" w:sz="4" w:space="0" w:color="auto"/>
              <w:left w:val="nil"/>
              <w:bottom w:val="nil"/>
              <w:right w:val="single" w:sz="12" w:space="0" w:color="auto"/>
            </w:tcBorders>
            <w:noWrap/>
            <w:hideMark/>
          </w:tcPr>
          <w:p w14:paraId="696584D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29.5</w:t>
            </w:r>
          </w:p>
        </w:tc>
        <w:tc>
          <w:tcPr>
            <w:tcW w:w="1126" w:type="dxa"/>
            <w:tcBorders>
              <w:top w:val="single" w:sz="4" w:space="0" w:color="auto"/>
              <w:left w:val="single" w:sz="12" w:space="0" w:color="auto"/>
              <w:bottom w:val="nil"/>
              <w:right w:val="single" w:sz="12" w:space="0" w:color="auto"/>
            </w:tcBorders>
            <w:noWrap/>
            <w:hideMark/>
          </w:tcPr>
          <w:p w14:paraId="76A66FA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w:t>
            </w:r>
          </w:p>
        </w:tc>
      </w:tr>
      <w:tr w:rsidR="00394E20" w:rsidRPr="00B71F92" w14:paraId="4638177D"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083A85B0"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nil"/>
              <w:right w:val="single" w:sz="12" w:space="0" w:color="auto"/>
            </w:tcBorders>
            <w:noWrap/>
            <w:vAlign w:val="center"/>
            <w:hideMark/>
          </w:tcPr>
          <w:p w14:paraId="4827574D"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Asian</w:t>
            </w:r>
          </w:p>
        </w:tc>
        <w:tc>
          <w:tcPr>
            <w:tcW w:w="809" w:type="dxa"/>
            <w:tcBorders>
              <w:top w:val="nil"/>
              <w:left w:val="single" w:sz="12" w:space="0" w:color="auto"/>
              <w:bottom w:val="nil"/>
              <w:right w:val="single" w:sz="12" w:space="0" w:color="auto"/>
            </w:tcBorders>
            <w:noWrap/>
            <w:hideMark/>
          </w:tcPr>
          <w:p w14:paraId="284CFED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-5.1</w:t>
            </w:r>
          </w:p>
        </w:tc>
        <w:tc>
          <w:tcPr>
            <w:tcW w:w="894" w:type="dxa"/>
            <w:tcBorders>
              <w:top w:val="nil"/>
              <w:left w:val="single" w:sz="12" w:space="0" w:color="auto"/>
              <w:bottom w:val="nil"/>
              <w:right w:val="nil"/>
            </w:tcBorders>
            <w:noWrap/>
            <w:hideMark/>
          </w:tcPr>
          <w:p w14:paraId="2CD8433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-24.5</w:t>
            </w:r>
          </w:p>
        </w:tc>
        <w:tc>
          <w:tcPr>
            <w:tcW w:w="810" w:type="dxa"/>
            <w:tcBorders>
              <w:top w:val="nil"/>
              <w:left w:val="nil"/>
              <w:bottom w:val="nil"/>
              <w:right w:val="nil"/>
            </w:tcBorders>
            <w:noWrap/>
            <w:hideMark/>
          </w:tcPr>
          <w:p w14:paraId="7F982E2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nil"/>
              <w:left w:val="nil"/>
              <w:bottom w:val="nil"/>
              <w:right w:val="single" w:sz="12" w:space="0" w:color="auto"/>
            </w:tcBorders>
            <w:noWrap/>
            <w:hideMark/>
          </w:tcPr>
          <w:p w14:paraId="0C30B5A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-23.9</w:t>
            </w:r>
          </w:p>
        </w:tc>
        <w:tc>
          <w:tcPr>
            <w:tcW w:w="905" w:type="dxa"/>
            <w:tcBorders>
              <w:top w:val="nil"/>
              <w:left w:val="single" w:sz="12" w:space="0" w:color="auto"/>
              <w:bottom w:val="nil"/>
              <w:right w:val="nil"/>
            </w:tcBorders>
            <w:noWrap/>
            <w:hideMark/>
          </w:tcPr>
          <w:p w14:paraId="43B6068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34.7</w:t>
            </w:r>
          </w:p>
        </w:tc>
        <w:tc>
          <w:tcPr>
            <w:tcW w:w="850" w:type="dxa"/>
            <w:tcBorders>
              <w:top w:val="nil"/>
              <w:left w:val="nil"/>
              <w:bottom w:val="nil"/>
              <w:right w:val="nil"/>
            </w:tcBorders>
            <w:noWrap/>
            <w:hideMark/>
          </w:tcPr>
          <w:p w14:paraId="39249B9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nil"/>
              <w:left w:val="nil"/>
              <w:bottom w:val="nil"/>
              <w:right w:val="single" w:sz="12" w:space="0" w:color="auto"/>
            </w:tcBorders>
            <w:noWrap/>
            <w:hideMark/>
          </w:tcPr>
          <w:p w14:paraId="4C70EA8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-0.5</w:t>
            </w:r>
          </w:p>
        </w:tc>
        <w:tc>
          <w:tcPr>
            <w:tcW w:w="990" w:type="dxa"/>
            <w:tcBorders>
              <w:top w:val="nil"/>
              <w:left w:val="single" w:sz="12" w:space="0" w:color="auto"/>
              <w:bottom w:val="nil"/>
              <w:right w:val="nil"/>
            </w:tcBorders>
            <w:noWrap/>
            <w:hideMark/>
          </w:tcPr>
          <w:p w14:paraId="22E3447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-56.7</w:t>
            </w:r>
          </w:p>
        </w:tc>
        <w:tc>
          <w:tcPr>
            <w:tcW w:w="992" w:type="dxa"/>
            <w:tcBorders>
              <w:top w:val="nil"/>
              <w:left w:val="nil"/>
              <w:bottom w:val="nil"/>
              <w:right w:val="nil"/>
            </w:tcBorders>
            <w:noWrap/>
            <w:hideMark/>
          </w:tcPr>
          <w:p w14:paraId="03C6853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722" w:type="dxa"/>
            <w:tcBorders>
              <w:top w:val="nil"/>
              <w:left w:val="nil"/>
              <w:bottom w:val="nil"/>
              <w:right w:val="single" w:sz="12" w:space="0" w:color="auto"/>
            </w:tcBorders>
            <w:noWrap/>
            <w:hideMark/>
          </w:tcPr>
          <w:p w14:paraId="71F2403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58.5</w:t>
            </w:r>
          </w:p>
        </w:tc>
        <w:tc>
          <w:tcPr>
            <w:tcW w:w="1126" w:type="dxa"/>
            <w:tcBorders>
              <w:top w:val="nil"/>
              <w:left w:val="single" w:sz="12" w:space="0" w:color="auto"/>
              <w:bottom w:val="nil"/>
              <w:right w:val="single" w:sz="12" w:space="0" w:color="auto"/>
            </w:tcBorders>
            <w:noWrap/>
            <w:hideMark/>
          </w:tcPr>
          <w:p w14:paraId="75973E2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-0.6</w:t>
            </w:r>
          </w:p>
        </w:tc>
      </w:tr>
      <w:tr w:rsidR="00394E20" w:rsidRPr="00B71F92" w14:paraId="12A2877C" w14:textId="77777777" w:rsidTr="00AF15D1">
        <w:trPr>
          <w:trHeight w:val="216"/>
          <w:jc w:val="center"/>
        </w:trPr>
        <w:tc>
          <w:tcPr>
            <w:tcW w:w="1244" w:type="dxa"/>
            <w:vMerge/>
            <w:tcBorders>
              <w:top w:val="nil"/>
              <w:left w:val="single" w:sz="12" w:space="0" w:color="auto"/>
              <w:bottom w:val="single" w:sz="4" w:space="0" w:color="auto"/>
              <w:right w:val="nil"/>
            </w:tcBorders>
            <w:vAlign w:val="center"/>
            <w:hideMark/>
          </w:tcPr>
          <w:p w14:paraId="70E9EE99"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4" w:space="0" w:color="auto"/>
              <w:right w:val="single" w:sz="12" w:space="0" w:color="auto"/>
            </w:tcBorders>
            <w:noWrap/>
            <w:vAlign w:val="center"/>
            <w:hideMark/>
          </w:tcPr>
          <w:p w14:paraId="59735BC4"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Black or Other</w:t>
            </w:r>
          </w:p>
        </w:tc>
        <w:tc>
          <w:tcPr>
            <w:tcW w:w="809" w:type="dxa"/>
            <w:tcBorders>
              <w:top w:val="nil"/>
              <w:left w:val="single" w:sz="12" w:space="0" w:color="auto"/>
              <w:bottom w:val="single" w:sz="4" w:space="0" w:color="auto"/>
              <w:right w:val="single" w:sz="12" w:space="0" w:color="auto"/>
            </w:tcBorders>
            <w:noWrap/>
            <w:hideMark/>
          </w:tcPr>
          <w:p w14:paraId="3994558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-5.8</w:t>
            </w:r>
          </w:p>
        </w:tc>
        <w:tc>
          <w:tcPr>
            <w:tcW w:w="894" w:type="dxa"/>
            <w:tcBorders>
              <w:top w:val="nil"/>
              <w:left w:val="single" w:sz="12" w:space="0" w:color="auto"/>
              <w:bottom w:val="single" w:sz="4" w:space="0" w:color="auto"/>
              <w:right w:val="nil"/>
            </w:tcBorders>
            <w:noWrap/>
            <w:hideMark/>
          </w:tcPr>
          <w:p w14:paraId="0AA2086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-56.2</w:t>
            </w:r>
          </w:p>
        </w:tc>
        <w:tc>
          <w:tcPr>
            <w:tcW w:w="810" w:type="dxa"/>
            <w:tcBorders>
              <w:top w:val="nil"/>
              <w:left w:val="nil"/>
              <w:bottom w:val="single" w:sz="4" w:space="0" w:color="auto"/>
              <w:right w:val="nil"/>
            </w:tcBorders>
            <w:noWrap/>
            <w:hideMark/>
          </w:tcPr>
          <w:p w14:paraId="0528B0D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-15.4</w:t>
            </w:r>
          </w:p>
        </w:tc>
        <w:tc>
          <w:tcPr>
            <w:tcW w:w="905" w:type="dxa"/>
            <w:tcBorders>
              <w:top w:val="nil"/>
              <w:left w:val="nil"/>
              <w:bottom w:val="single" w:sz="4" w:space="0" w:color="auto"/>
              <w:right w:val="single" w:sz="12" w:space="0" w:color="auto"/>
            </w:tcBorders>
            <w:noWrap/>
            <w:hideMark/>
          </w:tcPr>
          <w:p w14:paraId="0514A05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905" w:type="dxa"/>
            <w:tcBorders>
              <w:top w:val="nil"/>
              <w:left w:val="single" w:sz="12" w:space="0" w:color="auto"/>
              <w:bottom w:val="single" w:sz="4" w:space="0" w:color="auto"/>
              <w:right w:val="nil"/>
            </w:tcBorders>
            <w:noWrap/>
            <w:hideMark/>
          </w:tcPr>
          <w:p w14:paraId="0356FB1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34.9</w:t>
            </w:r>
          </w:p>
        </w:tc>
        <w:tc>
          <w:tcPr>
            <w:tcW w:w="850" w:type="dxa"/>
            <w:tcBorders>
              <w:top w:val="nil"/>
              <w:left w:val="nil"/>
              <w:bottom w:val="single" w:sz="4" w:space="0" w:color="auto"/>
              <w:right w:val="nil"/>
            </w:tcBorders>
            <w:noWrap/>
            <w:hideMark/>
          </w:tcPr>
          <w:p w14:paraId="3AEBC65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nil"/>
              <w:left w:val="nil"/>
              <w:bottom w:val="single" w:sz="4" w:space="0" w:color="auto"/>
              <w:right w:val="single" w:sz="12" w:space="0" w:color="auto"/>
            </w:tcBorders>
            <w:noWrap/>
            <w:hideMark/>
          </w:tcPr>
          <w:p w14:paraId="02251D2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149.3</w:t>
            </w:r>
          </w:p>
        </w:tc>
        <w:tc>
          <w:tcPr>
            <w:tcW w:w="990" w:type="dxa"/>
            <w:tcBorders>
              <w:top w:val="nil"/>
              <w:left w:val="single" w:sz="12" w:space="0" w:color="auto"/>
              <w:bottom w:val="single" w:sz="4" w:space="0" w:color="auto"/>
              <w:right w:val="nil"/>
            </w:tcBorders>
            <w:noWrap/>
            <w:hideMark/>
          </w:tcPr>
          <w:p w14:paraId="64DB117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-3.8</w:t>
            </w:r>
          </w:p>
        </w:tc>
        <w:tc>
          <w:tcPr>
            <w:tcW w:w="992" w:type="dxa"/>
            <w:tcBorders>
              <w:top w:val="nil"/>
              <w:left w:val="nil"/>
              <w:bottom w:val="single" w:sz="4" w:space="0" w:color="auto"/>
              <w:right w:val="nil"/>
            </w:tcBorders>
            <w:noWrap/>
            <w:hideMark/>
          </w:tcPr>
          <w:p w14:paraId="4339EEF4"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18.0</w:t>
            </w:r>
          </w:p>
        </w:tc>
        <w:tc>
          <w:tcPr>
            <w:tcW w:w="722" w:type="dxa"/>
            <w:tcBorders>
              <w:top w:val="nil"/>
              <w:left w:val="nil"/>
              <w:bottom w:val="single" w:sz="4" w:space="0" w:color="auto"/>
              <w:right w:val="single" w:sz="12" w:space="0" w:color="auto"/>
            </w:tcBorders>
            <w:noWrap/>
            <w:hideMark/>
          </w:tcPr>
          <w:p w14:paraId="2090E6A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29.5</w:t>
            </w:r>
          </w:p>
        </w:tc>
        <w:tc>
          <w:tcPr>
            <w:tcW w:w="1126" w:type="dxa"/>
            <w:tcBorders>
              <w:top w:val="nil"/>
              <w:left w:val="single" w:sz="12" w:space="0" w:color="auto"/>
              <w:bottom w:val="single" w:sz="4" w:space="0" w:color="auto"/>
              <w:right w:val="single" w:sz="12" w:space="0" w:color="auto"/>
            </w:tcBorders>
            <w:noWrap/>
            <w:hideMark/>
          </w:tcPr>
          <w:p w14:paraId="71EC55B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-5.3</w:t>
            </w:r>
          </w:p>
        </w:tc>
      </w:tr>
      <w:tr w:rsidR="00394E20" w:rsidRPr="00B71F92" w14:paraId="69159E33" w14:textId="77777777" w:rsidTr="00AF15D1">
        <w:trPr>
          <w:trHeight w:val="216"/>
          <w:jc w:val="center"/>
        </w:trPr>
        <w:tc>
          <w:tcPr>
            <w:tcW w:w="1244" w:type="dxa"/>
            <w:vMerge w:val="restart"/>
            <w:tcBorders>
              <w:top w:val="single" w:sz="4" w:space="0" w:color="auto"/>
              <w:left w:val="single" w:sz="12" w:space="0" w:color="auto"/>
              <w:bottom w:val="single" w:sz="4" w:space="0" w:color="auto"/>
              <w:right w:val="nil"/>
            </w:tcBorders>
            <w:noWrap/>
            <w:vAlign w:val="center"/>
            <w:hideMark/>
          </w:tcPr>
          <w:p w14:paraId="003466B5" w14:textId="77777777" w:rsidR="00394E20" w:rsidRPr="00B71F92" w:rsidRDefault="00394E20" w:rsidP="008C0804">
            <w:pPr>
              <w:spacing w:after="0" w:line="240" w:lineRule="auto"/>
              <w:jc w:val="center"/>
              <w:rPr>
                <w:rFonts w:eastAsia="Times New Roman"/>
                <w:b/>
                <w:bCs/>
                <w:color w:val="000000"/>
                <w:sz w:val="18"/>
                <w:szCs w:val="18"/>
              </w:rPr>
            </w:pPr>
            <w:r w:rsidRPr="00B71F92">
              <w:rPr>
                <w:rFonts w:eastAsia="Times New Roman"/>
                <w:b/>
                <w:bCs/>
                <w:color w:val="000000"/>
                <w:sz w:val="18"/>
                <w:szCs w:val="18"/>
              </w:rPr>
              <w:t>Ethnicity</w:t>
            </w:r>
          </w:p>
        </w:tc>
        <w:tc>
          <w:tcPr>
            <w:tcW w:w="2698" w:type="dxa"/>
            <w:tcBorders>
              <w:top w:val="single" w:sz="4" w:space="0" w:color="auto"/>
              <w:left w:val="nil"/>
              <w:bottom w:val="nil"/>
              <w:right w:val="single" w:sz="12" w:space="0" w:color="auto"/>
            </w:tcBorders>
            <w:noWrap/>
            <w:vAlign w:val="center"/>
            <w:hideMark/>
          </w:tcPr>
          <w:p w14:paraId="7554EC3E"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Not Hispanic</w:t>
            </w:r>
          </w:p>
        </w:tc>
        <w:tc>
          <w:tcPr>
            <w:tcW w:w="809" w:type="dxa"/>
            <w:tcBorders>
              <w:top w:val="single" w:sz="4" w:space="0" w:color="auto"/>
              <w:left w:val="single" w:sz="12" w:space="0" w:color="auto"/>
              <w:bottom w:val="nil"/>
              <w:right w:val="single" w:sz="12" w:space="0" w:color="auto"/>
            </w:tcBorders>
            <w:noWrap/>
            <w:hideMark/>
          </w:tcPr>
          <w:p w14:paraId="55F7F31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-2.3</w:t>
            </w:r>
          </w:p>
        </w:tc>
        <w:tc>
          <w:tcPr>
            <w:tcW w:w="894" w:type="dxa"/>
            <w:tcBorders>
              <w:top w:val="single" w:sz="4" w:space="0" w:color="auto"/>
              <w:left w:val="single" w:sz="12" w:space="0" w:color="auto"/>
              <w:bottom w:val="nil"/>
              <w:right w:val="nil"/>
            </w:tcBorders>
            <w:noWrap/>
            <w:hideMark/>
          </w:tcPr>
          <w:p w14:paraId="2435CF97"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single" w:sz="4" w:space="0" w:color="auto"/>
              <w:left w:val="nil"/>
              <w:bottom w:val="nil"/>
              <w:right w:val="nil"/>
            </w:tcBorders>
            <w:noWrap/>
            <w:hideMark/>
          </w:tcPr>
          <w:p w14:paraId="3F698E9A"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-13.3</w:t>
            </w:r>
          </w:p>
        </w:tc>
        <w:tc>
          <w:tcPr>
            <w:tcW w:w="905" w:type="dxa"/>
            <w:tcBorders>
              <w:top w:val="single" w:sz="4" w:space="0" w:color="auto"/>
              <w:left w:val="nil"/>
              <w:bottom w:val="nil"/>
              <w:right w:val="single" w:sz="12" w:space="0" w:color="auto"/>
            </w:tcBorders>
            <w:noWrap/>
            <w:hideMark/>
          </w:tcPr>
          <w:p w14:paraId="4F906D0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-18.6</w:t>
            </w:r>
          </w:p>
        </w:tc>
        <w:tc>
          <w:tcPr>
            <w:tcW w:w="905" w:type="dxa"/>
            <w:tcBorders>
              <w:top w:val="single" w:sz="4" w:space="0" w:color="auto"/>
              <w:left w:val="single" w:sz="12" w:space="0" w:color="auto"/>
              <w:bottom w:val="nil"/>
              <w:right w:val="nil"/>
            </w:tcBorders>
            <w:noWrap/>
            <w:hideMark/>
          </w:tcPr>
          <w:p w14:paraId="72B2AF01"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35.0</w:t>
            </w:r>
          </w:p>
        </w:tc>
        <w:tc>
          <w:tcPr>
            <w:tcW w:w="850" w:type="dxa"/>
            <w:tcBorders>
              <w:top w:val="single" w:sz="4" w:space="0" w:color="auto"/>
              <w:left w:val="nil"/>
              <w:bottom w:val="nil"/>
              <w:right w:val="nil"/>
            </w:tcBorders>
            <w:noWrap/>
            <w:hideMark/>
          </w:tcPr>
          <w:p w14:paraId="4BF0ABEE"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single" w:sz="4" w:space="0" w:color="auto"/>
              <w:left w:val="nil"/>
              <w:bottom w:val="nil"/>
              <w:right w:val="single" w:sz="12" w:space="0" w:color="auto"/>
            </w:tcBorders>
            <w:noWrap/>
            <w:hideMark/>
          </w:tcPr>
          <w:p w14:paraId="6B0098F5"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23.0</w:t>
            </w:r>
          </w:p>
        </w:tc>
        <w:tc>
          <w:tcPr>
            <w:tcW w:w="990" w:type="dxa"/>
            <w:tcBorders>
              <w:top w:val="single" w:sz="4" w:space="0" w:color="auto"/>
              <w:left w:val="single" w:sz="12" w:space="0" w:color="auto"/>
              <w:bottom w:val="nil"/>
              <w:right w:val="nil"/>
            </w:tcBorders>
            <w:noWrap/>
            <w:hideMark/>
          </w:tcPr>
          <w:p w14:paraId="10F8E47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-18.2</w:t>
            </w:r>
          </w:p>
        </w:tc>
        <w:tc>
          <w:tcPr>
            <w:tcW w:w="992" w:type="dxa"/>
            <w:tcBorders>
              <w:top w:val="single" w:sz="4" w:space="0" w:color="auto"/>
              <w:left w:val="nil"/>
              <w:bottom w:val="nil"/>
              <w:right w:val="nil"/>
            </w:tcBorders>
            <w:noWrap/>
            <w:hideMark/>
          </w:tcPr>
          <w:p w14:paraId="3762886C"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19.5</w:t>
            </w:r>
          </w:p>
        </w:tc>
        <w:tc>
          <w:tcPr>
            <w:tcW w:w="722" w:type="dxa"/>
            <w:tcBorders>
              <w:top w:val="single" w:sz="4" w:space="0" w:color="auto"/>
              <w:left w:val="nil"/>
              <w:bottom w:val="nil"/>
              <w:right w:val="single" w:sz="12" w:space="0" w:color="auto"/>
            </w:tcBorders>
            <w:noWrap/>
            <w:hideMark/>
          </w:tcPr>
          <w:p w14:paraId="5A18581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single" w:sz="4" w:space="0" w:color="auto"/>
              <w:left w:val="single" w:sz="12" w:space="0" w:color="auto"/>
              <w:bottom w:val="nil"/>
              <w:right w:val="single" w:sz="12" w:space="0" w:color="auto"/>
            </w:tcBorders>
            <w:noWrap/>
            <w:hideMark/>
          </w:tcPr>
          <w:p w14:paraId="72F982A3"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-2.7</w:t>
            </w:r>
          </w:p>
        </w:tc>
      </w:tr>
      <w:tr w:rsidR="00394E20" w:rsidRPr="00B71F92" w14:paraId="1747D8FB" w14:textId="77777777" w:rsidTr="00AF15D1">
        <w:trPr>
          <w:trHeight w:val="216"/>
          <w:jc w:val="center"/>
        </w:trPr>
        <w:tc>
          <w:tcPr>
            <w:tcW w:w="1244" w:type="dxa"/>
            <w:vMerge/>
            <w:tcBorders>
              <w:top w:val="nil"/>
              <w:left w:val="single" w:sz="12" w:space="0" w:color="auto"/>
              <w:bottom w:val="single" w:sz="12" w:space="0" w:color="auto"/>
              <w:right w:val="nil"/>
            </w:tcBorders>
            <w:vAlign w:val="center"/>
            <w:hideMark/>
          </w:tcPr>
          <w:p w14:paraId="7D62F572" w14:textId="77777777" w:rsidR="00394E20" w:rsidRPr="00B71F92" w:rsidRDefault="00394E20" w:rsidP="008C0804">
            <w:pPr>
              <w:spacing w:after="0" w:line="240" w:lineRule="auto"/>
              <w:rPr>
                <w:rFonts w:eastAsia="Times New Roman"/>
                <w:b/>
                <w:bCs/>
                <w:color w:val="000000"/>
                <w:sz w:val="18"/>
                <w:szCs w:val="18"/>
              </w:rPr>
            </w:pPr>
          </w:p>
        </w:tc>
        <w:tc>
          <w:tcPr>
            <w:tcW w:w="2698" w:type="dxa"/>
            <w:tcBorders>
              <w:top w:val="nil"/>
              <w:left w:val="nil"/>
              <w:bottom w:val="single" w:sz="12" w:space="0" w:color="auto"/>
              <w:right w:val="single" w:sz="12" w:space="0" w:color="auto"/>
            </w:tcBorders>
            <w:noWrap/>
            <w:vAlign w:val="center"/>
            <w:hideMark/>
          </w:tcPr>
          <w:p w14:paraId="586F1E55" w14:textId="77777777" w:rsidR="00394E20" w:rsidRPr="00B71F92" w:rsidRDefault="00394E20" w:rsidP="008C0804">
            <w:pPr>
              <w:spacing w:after="0" w:line="240" w:lineRule="auto"/>
              <w:rPr>
                <w:rFonts w:eastAsia="Times New Roman"/>
                <w:color w:val="000000"/>
                <w:sz w:val="18"/>
                <w:szCs w:val="18"/>
              </w:rPr>
            </w:pPr>
            <w:r w:rsidRPr="00B71F92">
              <w:rPr>
                <w:rFonts w:eastAsia="Times New Roman"/>
                <w:color w:val="000000"/>
                <w:sz w:val="18"/>
                <w:szCs w:val="18"/>
              </w:rPr>
              <w:t>Hispanic</w:t>
            </w:r>
          </w:p>
        </w:tc>
        <w:tc>
          <w:tcPr>
            <w:tcW w:w="809" w:type="dxa"/>
            <w:tcBorders>
              <w:top w:val="nil"/>
              <w:left w:val="single" w:sz="12" w:space="0" w:color="auto"/>
              <w:bottom w:val="single" w:sz="12" w:space="0" w:color="auto"/>
              <w:right w:val="single" w:sz="12" w:space="0" w:color="auto"/>
            </w:tcBorders>
            <w:noWrap/>
            <w:hideMark/>
          </w:tcPr>
          <w:p w14:paraId="39EB8FE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-24.6</w:t>
            </w:r>
          </w:p>
        </w:tc>
        <w:tc>
          <w:tcPr>
            <w:tcW w:w="894" w:type="dxa"/>
            <w:tcBorders>
              <w:top w:val="nil"/>
              <w:left w:val="single" w:sz="12" w:space="0" w:color="auto"/>
              <w:bottom w:val="single" w:sz="12" w:space="0" w:color="auto"/>
              <w:right w:val="nil"/>
            </w:tcBorders>
            <w:noWrap/>
            <w:hideMark/>
          </w:tcPr>
          <w:p w14:paraId="1CFC4F69"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-31.1</w:t>
            </w:r>
          </w:p>
        </w:tc>
        <w:tc>
          <w:tcPr>
            <w:tcW w:w="810" w:type="dxa"/>
            <w:tcBorders>
              <w:top w:val="nil"/>
              <w:left w:val="nil"/>
              <w:bottom w:val="single" w:sz="12" w:space="0" w:color="auto"/>
              <w:right w:val="nil"/>
            </w:tcBorders>
            <w:noWrap/>
            <w:hideMark/>
          </w:tcPr>
          <w:p w14:paraId="167F355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-30.1</w:t>
            </w:r>
          </w:p>
        </w:tc>
        <w:tc>
          <w:tcPr>
            <w:tcW w:w="905" w:type="dxa"/>
            <w:tcBorders>
              <w:top w:val="nil"/>
              <w:left w:val="nil"/>
              <w:bottom w:val="single" w:sz="12" w:space="0" w:color="auto"/>
              <w:right w:val="single" w:sz="12" w:space="0" w:color="auto"/>
            </w:tcBorders>
            <w:noWrap/>
            <w:hideMark/>
          </w:tcPr>
          <w:p w14:paraId="292E9F1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-18.6</w:t>
            </w:r>
          </w:p>
        </w:tc>
        <w:tc>
          <w:tcPr>
            <w:tcW w:w="905" w:type="dxa"/>
            <w:tcBorders>
              <w:top w:val="nil"/>
              <w:left w:val="single" w:sz="12" w:space="0" w:color="auto"/>
              <w:bottom w:val="single" w:sz="12" w:space="0" w:color="auto"/>
              <w:right w:val="nil"/>
            </w:tcBorders>
            <w:noWrap/>
            <w:hideMark/>
          </w:tcPr>
          <w:p w14:paraId="7C9A8760"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34.9</w:t>
            </w:r>
          </w:p>
        </w:tc>
        <w:tc>
          <w:tcPr>
            <w:tcW w:w="850" w:type="dxa"/>
            <w:tcBorders>
              <w:top w:val="nil"/>
              <w:left w:val="nil"/>
              <w:bottom w:val="single" w:sz="12" w:space="0" w:color="auto"/>
              <w:right w:val="nil"/>
            </w:tcBorders>
            <w:noWrap/>
            <w:hideMark/>
          </w:tcPr>
          <w:p w14:paraId="4F487366"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-28.0</w:t>
            </w:r>
          </w:p>
        </w:tc>
        <w:tc>
          <w:tcPr>
            <w:tcW w:w="1085" w:type="dxa"/>
            <w:tcBorders>
              <w:top w:val="nil"/>
              <w:left w:val="nil"/>
              <w:bottom w:val="single" w:sz="12" w:space="0" w:color="auto"/>
              <w:right w:val="single" w:sz="12" w:space="0" w:color="auto"/>
            </w:tcBorders>
            <w:noWrap/>
            <w:hideMark/>
          </w:tcPr>
          <w:p w14:paraId="297FDDE8"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31.3</w:t>
            </w:r>
          </w:p>
        </w:tc>
        <w:tc>
          <w:tcPr>
            <w:tcW w:w="990" w:type="dxa"/>
            <w:tcBorders>
              <w:top w:val="nil"/>
              <w:left w:val="single" w:sz="12" w:space="0" w:color="auto"/>
              <w:bottom w:val="single" w:sz="12" w:space="0" w:color="auto"/>
              <w:right w:val="nil"/>
            </w:tcBorders>
            <w:noWrap/>
            <w:hideMark/>
          </w:tcPr>
          <w:p w14:paraId="2970DC8F"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29.1</w:t>
            </w:r>
          </w:p>
        </w:tc>
        <w:tc>
          <w:tcPr>
            <w:tcW w:w="992" w:type="dxa"/>
            <w:tcBorders>
              <w:top w:val="nil"/>
              <w:left w:val="nil"/>
              <w:bottom w:val="single" w:sz="12" w:space="0" w:color="auto"/>
              <w:right w:val="nil"/>
            </w:tcBorders>
            <w:noWrap/>
            <w:hideMark/>
          </w:tcPr>
          <w:p w14:paraId="69CA142B"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11.0</w:t>
            </w:r>
          </w:p>
        </w:tc>
        <w:tc>
          <w:tcPr>
            <w:tcW w:w="722" w:type="dxa"/>
            <w:tcBorders>
              <w:top w:val="nil"/>
              <w:left w:val="nil"/>
              <w:bottom w:val="single" w:sz="12" w:space="0" w:color="auto"/>
              <w:right w:val="single" w:sz="12" w:space="0" w:color="auto"/>
            </w:tcBorders>
            <w:noWrap/>
            <w:hideMark/>
          </w:tcPr>
          <w:p w14:paraId="087494A2"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29.7</w:t>
            </w:r>
          </w:p>
        </w:tc>
        <w:tc>
          <w:tcPr>
            <w:tcW w:w="1126" w:type="dxa"/>
            <w:tcBorders>
              <w:top w:val="nil"/>
              <w:left w:val="single" w:sz="12" w:space="0" w:color="auto"/>
              <w:bottom w:val="single" w:sz="12" w:space="0" w:color="auto"/>
              <w:right w:val="single" w:sz="12" w:space="0" w:color="auto"/>
            </w:tcBorders>
            <w:noWrap/>
            <w:hideMark/>
          </w:tcPr>
          <w:p w14:paraId="7B76CA9D" w14:textId="77777777" w:rsidR="00394E20" w:rsidRPr="00B71F92" w:rsidRDefault="00394E20" w:rsidP="008C0804">
            <w:pPr>
              <w:tabs>
                <w:tab w:val="decimal" w:pos="270"/>
              </w:tabs>
              <w:spacing w:after="0" w:line="240" w:lineRule="auto"/>
              <w:jc w:val="center"/>
              <w:rPr>
                <w:rFonts w:eastAsia="Times New Roman"/>
                <w:color w:val="000000"/>
                <w:sz w:val="18"/>
                <w:szCs w:val="18"/>
              </w:rPr>
            </w:pPr>
            <w:r w:rsidRPr="00B71F92">
              <w:rPr>
                <w:sz w:val="18"/>
                <w:szCs w:val="18"/>
              </w:rPr>
              <w:t>-1.0</w:t>
            </w:r>
          </w:p>
        </w:tc>
      </w:tr>
    </w:tbl>
    <w:p w14:paraId="3A5BD70C" w14:textId="77777777" w:rsidR="00394E20" w:rsidRPr="00AF15D1" w:rsidRDefault="00394E20" w:rsidP="00394E20">
      <w:pPr>
        <w:rPr>
          <w:sz w:val="16"/>
          <w:szCs w:val="16"/>
        </w:rPr>
      </w:pPr>
      <w:r w:rsidRPr="00B71F92">
        <w:rPr>
          <w:b/>
          <w:bCs/>
        </w:rPr>
        <w:br w:type="page"/>
      </w:r>
    </w:p>
    <w:p w14:paraId="22F04993" w14:textId="09C7C19C" w:rsidR="00394E20" w:rsidRPr="00B71F92" w:rsidRDefault="00394E20" w:rsidP="00AF15D1">
      <w:pPr>
        <w:spacing w:after="120" w:line="240" w:lineRule="auto"/>
        <w:jc w:val="both"/>
        <w:rPr>
          <w:b/>
          <w:bCs/>
        </w:rPr>
      </w:pPr>
      <w:r w:rsidRPr="00B71F92">
        <w:rPr>
          <w:b/>
          <w:bCs/>
        </w:rPr>
        <w:lastRenderedPageBreak/>
        <w:t>Table 6: Percent Change in Moving Motivations Between the 2021-Period and the 2023-Period</w:t>
      </w:r>
    </w:p>
    <w:tbl>
      <w:tblPr>
        <w:tblW w:w="14079" w:type="dxa"/>
        <w:jc w:val="center"/>
        <w:tblLayout w:type="fixed"/>
        <w:tblCellMar>
          <w:left w:w="58" w:type="dxa"/>
          <w:right w:w="29" w:type="dxa"/>
        </w:tblCellMar>
        <w:tblLook w:val="04A0" w:firstRow="1" w:lastRow="0" w:firstColumn="1" w:lastColumn="0" w:noHBand="0" w:noVBand="1"/>
      </w:tblPr>
      <w:tblGrid>
        <w:gridCol w:w="1245"/>
        <w:gridCol w:w="2700"/>
        <w:gridCol w:w="810"/>
        <w:gridCol w:w="895"/>
        <w:gridCol w:w="810"/>
        <w:gridCol w:w="905"/>
        <w:gridCol w:w="990"/>
        <w:gridCol w:w="810"/>
        <w:gridCol w:w="1089"/>
        <w:gridCol w:w="990"/>
        <w:gridCol w:w="992"/>
        <w:gridCol w:w="722"/>
        <w:gridCol w:w="1121"/>
      </w:tblGrid>
      <w:tr w:rsidR="00394E20" w:rsidRPr="00B71F92" w14:paraId="2E4932BF" w14:textId="77777777" w:rsidTr="00AF15D1">
        <w:trPr>
          <w:trHeight w:val="216"/>
          <w:jc w:val="center"/>
        </w:trPr>
        <w:tc>
          <w:tcPr>
            <w:tcW w:w="1245" w:type="dxa"/>
            <w:vMerge w:val="restart"/>
            <w:tcBorders>
              <w:top w:val="single" w:sz="12" w:space="0" w:color="auto"/>
              <w:left w:val="single" w:sz="12" w:space="0" w:color="auto"/>
              <w:right w:val="nil"/>
            </w:tcBorders>
            <w:noWrap/>
            <w:vAlign w:val="center"/>
            <w:hideMark/>
          </w:tcPr>
          <w:p w14:paraId="774355E7" w14:textId="77777777" w:rsidR="00394E20" w:rsidRPr="00B71F92" w:rsidRDefault="00394E20" w:rsidP="00AF15D1">
            <w:pPr>
              <w:spacing w:after="0" w:line="240" w:lineRule="auto"/>
              <w:jc w:val="center"/>
              <w:rPr>
                <w:rFonts w:eastAsia="Times New Roman"/>
                <w:color w:val="000000"/>
                <w:sz w:val="18"/>
                <w:szCs w:val="18"/>
              </w:rPr>
            </w:pPr>
            <w:r w:rsidRPr="00B71F92">
              <w:rPr>
                <w:rFonts w:eastAsia="Times New Roman"/>
                <w:color w:val="000000"/>
                <w:sz w:val="18"/>
                <w:szCs w:val="18"/>
              </w:rPr>
              <w:t>Variable</w:t>
            </w:r>
          </w:p>
        </w:tc>
        <w:tc>
          <w:tcPr>
            <w:tcW w:w="2700" w:type="dxa"/>
            <w:vMerge w:val="restart"/>
            <w:tcBorders>
              <w:top w:val="single" w:sz="12" w:space="0" w:color="auto"/>
              <w:left w:val="nil"/>
              <w:right w:val="single" w:sz="12" w:space="0" w:color="auto"/>
            </w:tcBorders>
            <w:noWrap/>
            <w:vAlign w:val="center"/>
            <w:hideMark/>
          </w:tcPr>
          <w:p w14:paraId="6D438663" w14:textId="77777777" w:rsidR="00394E20" w:rsidRPr="00B71F92" w:rsidRDefault="00394E20" w:rsidP="00AF15D1">
            <w:pPr>
              <w:spacing w:after="0" w:line="240" w:lineRule="auto"/>
              <w:jc w:val="center"/>
              <w:rPr>
                <w:rFonts w:eastAsia="Times New Roman"/>
                <w:color w:val="000000"/>
                <w:sz w:val="18"/>
                <w:szCs w:val="18"/>
              </w:rPr>
            </w:pPr>
            <w:r w:rsidRPr="00B71F92">
              <w:rPr>
                <w:rFonts w:eastAsia="Times New Roman"/>
                <w:color w:val="000000"/>
                <w:sz w:val="18"/>
                <w:szCs w:val="18"/>
              </w:rPr>
              <w:t>Levels</w:t>
            </w:r>
          </w:p>
        </w:tc>
        <w:tc>
          <w:tcPr>
            <w:tcW w:w="810" w:type="dxa"/>
            <w:vMerge w:val="restart"/>
            <w:tcBorders>
              <w:top w:val="single" w:sz="12" w:space="0" w:color="auto"/>
              <w:left w:val="single" w:sz="12" w:space="0" w:color="auto"/>
              <w:bottom w:val="single" w:sz="12" w:space="0" w:color="auto"/>
              <w:right w:val="single" w:sz="12" w:space="0" w:color="auto"/>
            </w:tcBorders>
            <w:noWrap/>
            <w:vAlign w:val="center"/>
            <w:hideMark/>
          </w:tcPr>
          <w:p w14:paraId="52876D63"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Move Within Two Years</w:t>
            </w:r>
          </w:p>
        </w:tc>
        <w:tc>
          <w:tcPr>
            <w:tcW w:w="9324" w:type="dxa"/>
            <w:gridSpan w:val="10"/>
            <w:tcBorders>
              <w:top w:val="single" w:sz="12" w:space="0" w:color="auto"/>
              <w:left w:val="single" w:sz="12" w:space="0" w:color="auto"/>
              <w:bottom w:val="single" w:sz="12" w:space="0" w:color="auto"/>
              <w:right w:val="single" w:sz="12" w:space="0" w:color="auto"/>
            </w:tcBorders>
            <w:noWrap/>
            <w:vAlign w:val="center"/>
            <w:hideMark/>
          </w:tcPr>
          <w:p w14:paraId="307C5EAF"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Reason for Considering a Move</w:t>
            </w:r>
          </w:p>
        </w:tc>
      </w:tr>
      <w:tr w:rsidR="00394E20" w:rsidRPr="00B71F92" w14:paraId="26176C15" w14:textId="77777777" w:rsidTr="00AF15D1">
        <w:trPr>
          <w:trHeight w:val="216"/>
          <w:jc w:val="center"/>
        </w:trPr>
        <w:tc>
          <w:tcPr>
            <w:tcW w:w="1245" w:type="dxa"/>
            <w:vMerge/>
            <w:tcBorders>
              <w:left w:val="single" w:sz="12" w:space="0" w:color="auto"/>
              <w:right w:val="nil"/>
            </w:tcBorders>
            <w:vAlign w:val="center"/>
            <w:hideMark/>
          </w:tcPr>
          <w:p w14:paraId="492C94B0" w14:textId="77777777" w:rsidR="00394E20" w:rsidRPr="00B71F92" w:rsidRDefault="00394E20" w:rsidP="00AF15D1">
            <w:pPr>
              <w:spacing w:after="0" w:line="240" w:lineRule="auto"/>
              <w:rPr>
                <w:rFonts w:eastAsia="Times New Roman"/>
                <w:color w:val="000000"/>
                <w:sz w:val="18"/>
                <w:szCs w:val="18"/>
              </w:rPr>
            </w:pPr>
          </w:p>
        </w:tc>
        <w:tc>
          <w:tcPr>
            <w:tcW w:w="2700" w:type="dxa"/>
            <w:vMerge/>
            <w:tcBorders>
              <w:left w:val="nil"/>
              <w:right w:val="single" w:sz="12" w:space="0" w:color="auto"/>
            </w:tcBorders>
            <w:vAlign w:val="center"/>
            <w:hideMark/>
          </w:tcPr>
          <w:p w14:paraId="4E5112D5" w14:textId="77777777" w:rsidR="00394E20" w:rsidRPr="00B71F92" w:rsidRDefault="00394E20" w:rsidP="00AF15D1">
            <w:pPr>
              <w:spacing w:after="0" w:line="240" w:lineRule="auto"/>
              <w:rPr>
                <w:rFonts w:eastAsia="Times New Roman"/>
                <w:color w:val="000000"/>
                <w:sz w:val="18"/>
                <w:szCs w:val="18"/>
              </w:rPr>
            </w:pPr>
          </w:p>
        </w:tc>
        <w:tc>
          <w:tcPr>
            <w:tcW w:w="810" w:type="dxa"/>
            <w:vMerge/>
            <w:tcBorders>
              <w:left w:val="single" w:sz="12" w:space="0" w:color="auto"/>
              <w:bottom w:val="single" w:sz="12" w:space="0" w:color="auto"/>
              <w:right w:val="single" w:sz="12" w:space="0" w:color="auto"/>
            </w:tcBorders>
            <w:vAlign w:val="center"/>
            <w:hideMark/>
          </w:tcPr>
          <w:p w14:paraId="174C48A1" w14:textId="77777777" w:rsidR="00394E20" w:rsidRPr="00B71F92" w:rsidRDefault="00394E20" w:rsidP="00AF15D1">
            <w:pPr>
              <w:spacing w:after="0" w:line="240" w:lineRule="auto"/>
              <w:jc w:val="center"/>
              <w:rPr>
                <w:rFonts w:eastAsia="Times New Roman"/>
                <w:color w:val="000000"/>
                <w:sz w:val="18"/>
                <w:szCs w:val="18"/>
              </w:rPr>
            </w:pPr>
          </w:p>
        </w:tc>
        <w:tc>
          <w:tcPr>
            <w:tcW w:w="2610" w:type="dxa"/>
            <w:gridSpan w:val="3"/>
            <w:tcBorders>
              <w:top w:val="single" w:sz="12" w:space="0" w:color="auto"/>
              <w:left w:val="single" w:sz="12" w:space="0" w:color="auto"/>
              <w:bottom w:val="single" w:sz="12" w:space="0" w:color="auto"/>
              <w:right w:val="single" w:sz="12" w:space="0" w:color="auto"/>
            </w:tcBorders>
            <w:noWrap/>
            <w:vAlign w:val="center"/>
          </w:tcPr>
          <w:p w14:paraId="648AF465" w14:textId="77777777" w:rsidR="00394E20" w:rsidRPr="00B71F92" w:rsidRDefault="00394E20" w:rsidP="00AF15D1">
            <w:pPr>
              <w:spacing w:after="0" w:line="240" w:lineRule="auto"/>
              <w:jc w:val="center"/>
              <w:rPr>
                <w:rFonts w:eastAsia="Times New Roman"/>
                <w:color w:val="000000"/>
                <w:sz w:val="18"/>
                <w:szCs w:val="18"/>
              </w:rPr>
            </w:pPr>
            <w:r w:rsidRPr="00B71F92">
              <w:rPr>
                <w:b/>
                <w:bCs/>
                <w:sz w:val="18"/>
                <w:szCs w:val="18"/>
              </w:rPr>
              <w:t>Proactive Planning</w:t>
            </w:r>
          </w:p>
        </w:tc>
        <w:tc>
          <w:tcPr>
            <w:tcW w:w="2889" w:type="dxa"/>
            <w:gridSpan w:val="3"/>
            <w:tcBorders>
              <w:top w:val="single" w:sz="12" w:space="0" w:color="auto"/>
              <w:left w:val="single" w:sz="12" w:space="0" w:color="auto"/>
              <w:bottom w:val="single" w:sz="12" w:space="0" w:color="auto"/>
              <w:right w:val="single" w:sz="12" w:space="0" w:color="auto"/>
            </w:tcBorders>
            <w:noWrap/>
            <w:vAlign w:val="center"/>
          </w:tcPr>
          <w:p w14:paraId="41CEB177" w14:textId="77777777" w:rsidR="00394E20" w:rsidRPr="00B71F92" w:rsidRDefault="00394E20" w:rsidP="00AF15D1">
            <w:pPr>
              <w:spacing w:after="0" w:line="240" w:lineRule="auto"/>
              <w:jc w:val="center"/>
              <w:rPr>
                <w:rFonts w:eastAsia="Times New Roman"/>
                <w:color w:val="000000"/>
                <w:sz w:val="18"/>
                <w:szCs w:val="18"/>
              </w:rPr>
            </w:pPr>
            <w:r w:rsidRPr="00B71F92">
              <w:rPr>
                <w:b/>
                <w:bCs/>
                <w:sz w:val="18"/>
                <w:szCs w:val="18"/>
              </w:rPr>
              <w:t>Disconnects Between Preferences and Housing</w:t>
            </w:r>
          </w:p>
        </w:tc>
        <w:tc>
          <w:tcPr>
            <w:tcW w:w="2704" w:type="dxa"/>
            <w:gridSpan w:val="3"/>
            <w:tcBorders>
              <w:top w:val="single" w:sz="12" w:space="0" w:color="auto"/>
              <w:left w:val="single" w:sz="12" w:space="0" w:color="auto"/>
              <w:bottom w:val="single" w:sz="12" w:space="0" w:color="auto"/>
              <w:right w:val="single" w:sz="12" w:space="0" w:color="auto"/>
            </w:tcBorders>
            <w:noWrap/>
            <w:vAlign w:val="center"/>
          </w:tcPr>
          <w:p w14:paraId="317AF5DA" w14:textId="77777777" w:rsidR="00394E20" w:rsidRPr="00B71F92" w:rsidRDefault="00394E20" w:rsidP="00AF15D1">
            <w:pPr>
              <w:spacing w:after="0" w:line="240" w:lineRule="auto"/>
              <w:jc w:val="center"/>
              <w:rPr>
                <w:rFonts w:eastAsia="Times New Roman"/>
                <w:color w:val="000000"/>
                <w:sz w:val="18"/>
                <w:szCs w:val="18"/>
              </w:rPr>
            </w:pPr>
            <w:r w:rsidRPr="00B71F92">
              <w:rPr>
                <w:b/>
                <w:bCs/>
                <w:sz w:val="18"/>
                <w:szCs w:val="18"/>
              </w:rPr>
              <w:t>Triggered Reevaluations</w:t>
            </w:r>
          </w:p>
        </w:tc>
        <w:tc>
          <w:tcPr>
            <w:tcW w:w="1121" w:type="dxa"/>
            <w:tcBorders>
              <w:top w:val="single" w:sz="12" w:space="0" w:color="auto"/>
              <w:left w:val="single" w:sz="12" w:space="0" w:color="auto"/>
              <w:bottom w:val="single" w:sz="12" w:space="0" w:color="auto"/>
              <w:right w:val="single" w:sz="12" w:space="0" w:color="auto"/>
            </w:tcBorders>
            <w:noWrap/>
            <w:vAlign w:val="center"/>
          </w:tcPr>
          <w:p w14:paraId="55367AF2" w14:textId="77777777" w:rsidR="00394E20" w:rsidRPr="00B71F92" w:rsidRDefault="00394E20" w:rsidP="00AF15D1">
            <w:pPr>
              <w:spacing w:after="0" w:line="240" w:lineRule="auto"/>
              <w:jc w:val="center"/>
              <w:rPr>
                <w:rFonts w:eastAsia="Times New Roman"/>
                <w:color w:val="000000"/>
                <w:sz w:val="18"/>
                <w:szCs w:val="18"/>
              </w:rPr>
            </w:pPr>
            <w:r w:rsidRPr="00B71F92">
              <w:rPr>
                <w:b/>
                <w:bCs/>
                <w:sz w:val="18"/>
                <w:szCs w:val="18"/>
              </w:rPr>
              <w:t>Forced Relocations</w:t>
            </w:r>
          </w:p>
        </w:tc>
      </w:tr>
      <w:tr w:rsidR="00394E20" w:rsidRPr="00B71F92" w14:paraId="45A6998D" w14:textId="77777777" w:rsidTr="00AF15D1">
        <w:trPr>
          <w:trHeight w:val="216"/>
          <w:jc w:val="center"/>
        </w:trPr>
        <w:tc>
          <w:tcPr>
            <w:tcW w:w="1245" w:type="dxa"/>
            <w:vMerge/>
            <w:tcBorders>
              <w:left w:val="single" w:sz="12" w:space="0" w:color="auto"/>
              <w:bottom w:val="single" w:sz="12" w:space="0" w:color="auto"/>
              <w:right w:val="nil"/>
            </w:tcBorders>
            <w:vAlign w:val="center"/>
          </w:tcPr>
          <w:p w14:paraId="6B9A371F" w14:textId="77777777" w:rsidR="00394E20" w:rsidRPr="00B71F92" w:rsidRDefault="00394E20" w:rsidP="00AF15D1">
            <w:pPr>
              <w:spacing w:after="0" w:line="240" w:lineRule="auto"/>
              <w:rPr>
                <w:rFonts w:eastAsia="Times New Roman"/>
                <w:color w:val="000000"/>
                <w:sz w:val="18"/>
                <w:szCs w:val="18"/>
              </w:rPr>
            </w:pPr>
          </w:p>
        </w:tc>
        <w:tc>
          <w:tcPr>
            <w:tcW w:w="2700" w:type="dxa"/>
            <w:vMerge/>
            <w:tcBorders>
              <w:left w:val="nil"/>
              <w:bottom w:val="single" w:sz="12" w:space="0" w:color="auto"/>
              <w:right w:val="single" w:sz="12" w:space="0" w:color="auto"/>
            </w:tcBorders>
            <w:vAlign w:val="center"/>
          </w:tcPr>
          <w:p w14:paraId="164183C5" w14:textId="77777777" w:rsidR="00394E20" w:rsidRPr="00B71F92" w:rsidRDefault="00394E20" w:rsidP="00AF15D1">
            <w:pPr>
              <w:spacing w:after="0" w:line="240" w:lineRule="auto"/>
              <w:rPr>
                <w:rFonts w:eastAsia="Times New Roman"/>
                <w:color w:val="000000"/>
                <w:sz w:val="18"/>
                <w:szCs w:val="18"/>
              </w:rPr>
            </w:pPr>
          </w:p>
        </w:tc>
        <w:tc>
          <w:tcPr>
            <w:tcW w:w="810" w:type="dxa"/>
            <w:vMerge/>
            <w:tcBorders>
              <w:left w:val="single" w:sz="12" w:space="0" w:color="auto"/>
              <w:bottom w:val="single" w:sz="12" w:space="0" w:color="auto"/>
              <w:right w:val="single" w:sz="12" w:space="0" w:color="auto"/>
            </w:tcBorders>
            <w:vAlign w:val="center"/>
          </w:tcPr>
          <w:p w14:paraId="6A68D86F" w14:textId="77777777" w:rsidR="00394E20" w:rsidRPr="00B71F92" w:rsidRDefault="00394E20" w:rsidP="00AF15D1">
            <w:pPr>
              <w:spacing w:after="0" w:line="240" w:lineRule="auto"/>
              <w:jc w:val="center"/>
              <w:rPr>
                <w:rFonts w:eastAsia="Times New Roman"/>
                <w:color w:val="000000"/>
                <w:sz w:val="18"/>
                <w:szCs w:val="18"/>
              </w:rPr>
            </w:pPr>
          </w:p>
        </w:tc>
        <w:tc>
          <w:tcPr>
            <w:tcW w:w="895" w:type="dxa"/>
            <w:tcBorders>
              <w:top w:val="single" w:sz="12" w:space="0" w:color="auto"/>
              <w:left w:val="single" w:sz="12" w:space="0" w:color="auto"/>
              <w:bottom w:val="single" w:sz="12" w:space="0" w:color="auto"/>
              <w:right w:val="nil"/>
            </w:tcBorders>
            <w:noWrap/>
          </w:tcPr>
          <w:p w14:paraId="5343F92F" w14:textId="77777777" w:rsidR="00394E20" w:rsidRPr="00B71F92" w:rsidRDefault="00394E20" w:rsidP="00AF15D1">
            <w:pPr>
              <w:spacing w:after="0" w:line="240" w:lineRule="auto"/>
              <w:jc w:val="center"/>
              <w:rPr>
                <w:sz w:val="18"/>
                <w:szCs w:val="18"/>
              </w:rPr>
            </w:pPr>
            <w:r w:rsidRPr="00B71F92">
              <w:rPr>
                <w:sz w:val="18"/>
                <w:szCs w:val="18"/>
              </w:rPr>
              <w:t>Better access to work</w:t>
            </w:r>
          </w:p>
        </w:tc>
        <w:tc>
          <w:tcPr>
            <w:tcW w:w="810" w:type="dxa"/>
            <w:tcBorders>
              <w:top w:val="single" w:sz="12" w:space="0" w:color="auto"/>
              <w:left w:val="nil"/>
              <w:bottom w:val="single" w:sz="12" w:space="0" w:color="auto"/>
              <w:right w:val="nil"/>
            </w:tcBorders>
            <w:noWrap/>
          </w:tcPr>
          <w:p w14:paraId="71BB5843" w14:textId="77777777" w:rsidR="00394E20" w:rsidRPr="00B71F92" w:rsidRDefault="00394E20" w:rsidP="00AF15D1">
            <w:pPr>
              <w:spacing w:after="0" w:line="240" w:lineRule="auto"/>
              <w:jc w:val="center"/>
              <w:rPr>
                <w:sz w:val="18"/>
                <w:szCs w:val="18"/>
              </w:rPr>
            </w:pPr>
            <w:r w:rsidRPr="00B71F92">
              <w:rPr>
                <w:sz w:val="18"/>
                <w:szCs w:val="18"/>
              </w:rPr>
              <w:t>Upgrade or buy a home</w:t>
            </w:r>
          </w:p>
        </w:tc>
        <w:tc>
          <w:tcPr>
            <w:tcW w:w="905" w:type="dxa"/>
            <w:tcBorders>
              <w:top w:val="single" w:sz="12" w:space="0" w:color="auto"/>
              <w:left w:val="nil"/>
              <w:bottom w:val="single" w:sz="12" w:space="0" w:color="auto"/>
              <w:right w:val="single" w:sz="12" w:space="0" w:color="auto"/>
            </w:tcBorders>
            <w:noWrap/>
          </w:tcPr>
          <w:p w14:paraId="3B35FA87" w14:textId="77777777" w:rsidR="00394E20" w:rsidRPr="00B71F92" w:rsidRDefault="00394E20" w:rsidP="00AF15D1">
            <w:pPr>
              <w:spacing w:after="0" w:line="240" w:lineRule="auto"/>
              <w:jc w:val="center"/>
              <w:rPr>
                <w:sz w:val="18"/>
                <w:szCs w:val="18"/>
              </w:rPr>
            </w:pPr>
            <w:r w:rsidRPr="00B71F92">
              <w:rPr>
                <w:sz w:val="18"/>
                <w:szCs w:val="18"/>
              </w:rPr>
              <w:t>Change in who you live with</w:t>
            </w:r>
          </w:p>
        </w:tc>
        <w:tc>
          <w:tcPr>
            <w:tcW w:w="990" w:type="dxa"/>
            <w:tcBorders>
              <w:top w:val="single" w:sz="12" w:space="0" w:color="auto"/>
              <w:left w:val="single" w:sz="12" w:space="0" w:color="auto"/>
              <w:bottom w:val="single" w:sz="12" w:space="0" w:color="auto"/>
              <w:right w:val="nil"/>
            </w:tcBorders>
            <w:noWrap/>
          </w:tcPr>
          <w:p w14:paraId="20D8CE02" w14:textId="77777777" w:rsidR="00394E20" w:rsidRPr="00B71F92" w:rsidRDefault="00394E20" w:rsidP="00AF15D1">
            <w:pPr>
              <w:spacing w:after="0" w:line="240" w:lineRule="auto"/>
              <w:jc w:val="center"/>
              <w:rPr>
                <w:sz w:val="18"/>
                <w:szCs w:val="18"/>
              </w:rPr>
            </w:pPr>
            <w:r w:rsidRPr="00B71F92">
              <w:rPr>
                <w:sz w:val="18"/>
                <w:szCs w:val="18"/>
              </w:rPr>
              <w:t>Need for more space</w:t>
            </w:r>
          </w:p>
        </w:tc>
        <w:tc>
          <w:tcPr>
            <w:tcW w:w="810" w:type="dxa"/>
            <w:tcBorders>
              <w:top w:val="single" w:sz="12" w:space="0" w:color="auto"/>
              <w:left w:val="nil"/>
              <w:bottom w:val="single" w:sz="12" w:space="0" w:color="auto"/>
              <w:right w:val="nil"/>
            </w:tcBorders>
            <w:noWrap/>
          </w:tcPr>
          <w:p w14:paraId="3863E8B6" w14:textId="77777777" w:rsidR="00394E20" w:rsidRPr="00B71F92" w:rsidRDefault="00394E20" w:rsidP="00AF15D1">
            <w:pPr>
              <w:spacing w:after="0" w:line="240" w:lineRule="auto"/>
              <w:jc w:val="center"/>
              <w:rPr>
                <w:sz w:val="18"/>
                <w:szCs w:val="18"/>
              </w:rPr>
            </w:pPr>
            <w:r w:rsidRPr="00B71F92">
              <w:rPr>
                <w:sz w:val="18"/>
                <w:szCs w:val="18"/>
              </w:rPr>
              <w:t>Need for less space</w:t>
            </w:r>
          </w:p>
        </w:tc>
        <w:tc>
          <w:tcPr>
            <w:tcW w:w="1087" w:type="dxa"/>
            <w:tcBorders>
              <w:top w:val="single" w:sz="12" w:space="0" w:color="auto"/>
              <w:left w:val="nil"/>
              <w:bottom w:val="single" w:sz="12" w:space="0" w:color="auto"/>
              <w:right w:val="single" w:sz="12" w:space="0" w:color="auto"/>
            </w:tcBorders>
            <w:noWrap/>
          </w:tcPr>
          <w:p w14:paraId="6BE35A9E" w14:textId="77777777" w:rsidR="00394E20" w:rsidRPr="00B71F92" w:rsidRDefault="00394E20" w:rsidP="00AF15D1">
            <w:pPr>
              <w:spacing w:after="0" w:line="240" w:lineRule="auto"/>
              <w:jc w:val="center"/>
              <w:rPr>
                <w:sz w:val="18"/>
                <w:szCs w:val="18"/>
              </w:rPr>
            </w:pPr>
            <w:r w:rsidRPr="00B71F92">
              <w:rPr>
                <w:sz w:val="18"/>
                <w:szCs w:val="18"/>
              </w:rPr>
              <w:t>Concerns about safety or crime</w:t>
            </w:r>
          </w:p>
        </w:tc>
        <w:tc>
          <w:tcPr>
            <w:tcW w:w="990" w:type="dxa"/>
            <w:tcBorders>
              <w:top w:val="single" w:sz="12" w:space="0" w:color="auto"/>
              <w:left w:val="single" w:sz="12" w:space="0" w:color="auto"/>
              <w:bottom w:val="single" w:sz="12" w:space="0" w:color="auto"/>
              <w:right w:val="nil"/>
            </w:tcBorders>
            <w:noWrap/>
          </w:tcPr>
          <w:p w14:paraId="0C184AB3" w14:textId="77777777" w:rsidR="00394E20" w:rsidRPr="00B71F92" w:rsidRDefault="00394E20" w:rsidP="00AF15D1">
            <w:pPr>
              <w:spacing w:after="0" w:line="240" w:lineRule="auto"/>
              <w:jc w:val="center"/>
              <w:rPr>
                <w:sz w:val="18"/>
                <w:szCs w:val="18"/>
              </w:rPr>
            </w:pPr>
            <w:r w:rsidRPr="00B71F92">
              <w:rPr>
                <w:sz w:val="18"/>
                <w:szCs w:val="18"/>
              </w:rPr>
              <w:t>Increase in housing costs</w:t>
            </w:r>
          </w:p>
        </w:tc>
        <w:tc>
          <w:tcPr>
            <w:tcW w:w="992" w:type="dxa"/>
            <w:tcBorders>
              <w:top w:val="single" w:sz="12" w:space="0" w:color="auto"/>
              <w:left w:val="nil"/>
              <w:bottom w:val="single" w:sz="12" w:space="0" w:color="auto"/>
              <w:right w:val="nil"/>
            </w:tcBorders>
            <w:noWrap/>
          </w:tcPr>
          <w:p w14:paraId="1AF66CB4" w14:textId="77777777" w:rsidR="00394E20" w:rsidRPr="00B71F92" w:rsidRDefault="00394E20" w:rsidP="00AF15D1">
            <w:pPr>
              <w:spacing w:after="0" w:line="240" w:lineRule="auto"/>
              <w:jc w:val="center"/>
              <w:rPr>
                <w:sz w:val="18"/>
                <w:szCs w:val="18"/>
              </w:rPr>
            </w:pPr>
            <w:r w:rsidRPr="00B71F92">
              <w:rPr>
                <w:sz w:val="18"/>
                <w:szCs w:val="18"/>
              </w:rPr>
              <w:t>Change in income or finances</w:t>
            </w:r>
          </w:p>
        </w:tc>
        <w:tc>
          <w:tcPr>
            <w:tcW w:w="722" w:type="dxa"/>
            <w:tcBorders>
              <w:top w:val="single" w:sz="12" w:space="0" w:color="auto"/>
              <w:left w:val="nil"/>
              <w:bottom w:val="single" w:sz="12" w:space="0" w:color="auto"/>
              <w:right w:val="single" w:sz="12" w:space="0" w:color="auto"/>
            </w:tcBorders>
            <w:noWrap/>
          </w:tcPr>
          <w:p w14:paraId="7AB4E74A" w14:textId="77777777" w:rsidR="00394E20" w:rsidRPr="00B71F92" w:rsidRDefault="00394E20" w:rsidP="00AF15D1">
            <w:pPr>
              <w:spacing w:after="0" w:line="240" w:lineRule="auto"/>
              <w:jc w:val="center"/>
              <w:rPr>
                <w:sz w:val="18"/>
                <w:szCs w:val="18"/>
              </w:rPr>
            </w:pPr>
            <w:r w:rsidRPr="00B71F92">
              <w:rPr>
                <w:sz w:val="18"/>
                <w:szCs w:val="18"/>
              </w:rPr>
              <w:t>Friends leaving</w:t>
            </w:r>
          </w:p>
        </w:tc>
        <w:tc>
          <w:tcPr>
            <w:tcW w:w="1121" w:type="dxa"/>
            <w:tcBorders>
              <w:top w:val="single" w:sz="12" w:space="0" w:color="auto"/>
              <w:left w:val="single" w:sz="12" w:space="0" w:color="auto"/>
              <w:bottom w:val="single" w:sz="12" w:space="0" w:color="auto"/>
              <w:right w:val="single" w:sz="12" w:space="0" w:color="auto"/>
            </w:tcBorders>
            <w:noWrap/>
          </w:tcPr>
          <w:p w14:paraId="091A010A" w14:textId="77777777" w:rsidR="00394E20" w:rsidRPr="00B71F92" w:rsidRDefault="00394E20" w:rsidP="00AF15D1">
            <w:pPr>
              <w:spacing w:after="0" w:line="240" w:lineRule="auto"/>
              <w:jc w:val="center"/>
              <w:rPr>
                <w:sz w:val="18"/>
                <w:szCs w:val="18"/>
              </w:rPr>
            </w:pPr>
            <w:r w:rsidRPr="00B71F92">
              <w:rPr>
                <w:sz w:val="18"/>
                <w:szCs w:val="18"/>
              </w:rPr>
              <w:t>Threat of being forced to move out</w:t>
            </w:r>
          </w:p>
        </w:tc>
      </w:tr>
      <w:tr w:rsidR="00394E20" w:rsidRPr="00B71F92" w14:paraId="558C7D15" w14:textId="77777777" w:rsidTr="00AF15D1">
        <w:trPr>
          <w:trHeight w:val="216"/>
          <w:jc w:val="center"/>
        </w:trPr>
        <w:tc>
          <w:tcPr>
            <w:tcW w:w="14079" w:type="dxa"/>
            <w:gridSpan w:val="13"/>
            <w:tcBorders>
              <w:top w:val="single" w:sz="12" w:space="0" w:color="auto"/>
              <w:left w:val="single" w:sz="12" w:space="0" w:color="auto"/>
              <w:bottom w:val="single" w:sz="4" w:space="0" w:color="auto"/>
              <w:right w:val="single" w:sz="12" w:space="0" w:color="auto"/>
            </w:tcBorders>
            <w:noWrap/>
            <w:vAlign w:val="center"/>
          </w:tcPr>
          <w:p w14:paraId="235D838D" w14:textId="77777777" w:rsidR="00394E20" w:rsidRPr="00B71F92" w:rsidRDefault="00394E20" w:rsidP="00AF15D1">
            <w:pPr>
              <w:tabs>
                <w:tab w:val="decimal" w:pos="270"/>
              </w:tabs>
              <w:spacing w:after="0" w:line="240" w:lineRule="auto"/>
              <w:rPr>
                <w:b/>
                <w:bCs/>
                <w:i/>
                <w:iCs/>
                <w:sz w:val="18"/>
                <w:szCs w:val="18"/>
              </w:rPr>
            </w:pPr>
            <w:r w:rsidRPr="00B71F92">
              <w:rPr>
                <w:b/>
                <w:bCs/>
                <w:i/>
                <w:iCs/>
                <w:sz w:val="18"/>
                <w:szCs w:val="18"/>
              </w:rPr>
              <w:t>Lifecycle and Household Composition Variables</w:t>
            </w:r>
          </w:p>
        </w:tc>
      </w:tr>
      <w:tr w:rsidR="00394E20" w:rsidRPr="00B71F92" w14:paraId="4A258E7E"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09A765B3"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Lifecycle</w:t>
            </w:r>
          </w:p>
        </w:tc>
        <w:tc>
          <w:tcPr>
            <w:tcW w:w="2700" w:type="dxa"/>
            <w:tcBorders>
              <w:top w:val="single" w:sz="4" w:space="0" w:color="auto"/>
              <w:left w:val="nil"/>
              <w:bottom w:val="nil"/>
              <w:right w:val="single" w:sz="12" w:space="0" w:color="auto"/>
            </w:tcBorders>
            <w:noWrap/>
            <w:vAlign w:val="center"/>
            <w:hideMark/>
          </w:tcPr>
          <w:p w14:paraId="75F53A0C"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Young (adults 18-44)</w:t>
            </w:r>
          </w:p>
        </w:tc>
        <w:tc>
          <w:tcPr>
            <w:tcW w:w="810" w:type="dxa"/>
            <w:tcBorders>
              <w:top w:val="single" w:sz="4" w:space="0" w:color="auto"/>
              <w:left w:val="single" w:sz="12" w:space="0" w:color="auto"/>
              <w:bottom w:val="nil"/>
              <w:right w:val="single" w:sz="12" w:space="0" w:color="auto"/>
            </w:tcBorders>
            <w:noWrap/>
            <w:hideMark/>
          </w:tcPr>
          <w:p w14:paraId="5BC0DD2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-21.7</w:t>
            </w:r>
          </w:p>
        </w:tc>
        <w:tc>
          <w:tcPr>
            <w:tcW w:w="895" w:type="dxa"/>
            <w:tcBorders>
              <w:top w:val="single" w:sz="4" w:space="0" w:color="auto"/>
              <w:left w:val="single" w:sz="12" w:space="0" w:color="auto"/>
              <w:bottom w:val="nil"/>
              <w:right w:val="nil"/>
            </w:tcBorders>
            <w:noWrap/>
            <w:hideMark/>
          </w:tcPr>
          <w:p w14:paraId="10F06E7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single" w:sz="4" w:space="0" w:color="auto"/>
              <w:left w:val="nil"/>
              <w:bottom w:val="nil"/>
              <w:right w:val="nil"/>
            </w:tcBorders>
            <w:noWrap/>
            <w:hideMark/>
          </w:tcPr>
          <w:p w14:paraId="72C9C00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w:t>
            </w:r>
          </w:p>
        </w:tc>
        <w:tc>
          <w:tcPr>
            <w:tcW w:w="905" w:type="dxa"/>
            <w:tcBorders>
              <w:top w:val="single" w:sz="4" w:space="0" w:color="auto"/>
              <w:left w:val="nil"/>
              <w:bottom w:val="nil"/>
              <w:right w:val="single" w:sz="12" w:space="0" w:color="auto"/>
            </w:tcBorders>
            <w:noWrap/>
            <w:hideMark/>
          </w:tcPr>
          <w:p w14:paraId="40D8208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26.8</w:t>
            </w:r>
          </w:p>
        </w:tc>
        <w:tc>
          <w:tcPr>
            <w:tcW w:w="990" w:type="dxa"/>
            <w:tcBorders>
              <w:top w:val="single" w:sz="4" w:space="0" w:color="auto"/>
              <w:left w:val="single" w:sz="12" w:space="0" w:color="auto"/>
              <w:bottom w:val="nil"/>
              <w:right w:val="nil"/>
            </w:tcBorders>
            <w:noWrap/>
            <w:hideMark/>
          </w:tcPr>
          <w:p w14:paraId="3E65F65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-16.5</w:t>
            </w:r>
          </w:p>
        </w:tc>
        <w:tc>
          <w:tcPr>
            <w:tcW w:w="810" w:type="dxa"/>
            <w:tcBorders>
              <w:top w:val="single" w:sz="4" w:space="0" w:color="auto"/>
              <w:left w:val="nil"/>
              <w:bottom w:val="nil"/>
              <w:right w:val="nil"/>
            </w:tcBorders>
            <w:noWrap/>
            <w:hideMark/>
          </w:tcPr>
          <w:p w14:paraId="68A7A8F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-34.7</w:t>
            </w:r>
          </w:p>
        </w:tc>
        <w:tc>
          <w:tcPr>
            <w:tcW w:w="1087" w:type="dxa"/>
            <w:tcBorders>
              <w:top w:val="single" w:sz="4" w:space="0" w:color="auto"/>
              <w:left w:val="nil"/>
              <w:bottom w:val="nil"/>
              <w:right w:val="single" w:sz="12" w:space="0" w:color="auto"/>
            </w:tcBorders>
            <w:noWrap/>
            <w:hideMark/>
          </w:tcPr>
          <w:p w14:paraId="0309EB4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single" w:sz="4" w:space="0" w:color="auto"/>
              <w:left w:val="single" w:sz="12" w:space="0" w:color="auto"/>
              <w:bottom w:val="nil"/>
              <w:right w:val="nil"/>
            </w:tcBorders>
            <w:noWrap/>
            <w:hideMark/>
          </w:tcPr>
          <w:p w14:paraId="2E9359E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49.3</w:t>
            </w:r>
          </w:p>
        </w:tc>
        <w:tc>
          <w:tcPr>
            <w:tcW w:w="992" w:type="dxa"/>
            <w:tcBorders>
              <w:top w:val="single" w:sz="4" w:space="0" w:color="auto"/>
              <w:left w:val="nil"/>
              <w:bottom w:val="nil"/>
              <w:right w:val="nil"/>
            </w:tcBorders>
            <w:noWrap/>
            <w:hideMark/>
          </w:tcPr>
          <w:p w14:paraId="65EC063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-8.4</w:t>
            </w:r>
          </w:p>
        </w:tc>
        <w:tc>
          <w:tcPr>
            <w:tcW w:w="722" w:type="dxa"/>
            <w:tcBorders>
              <w:top w:val="single" w:sz="4" w:space="0" w:color="auto"/>
              <w:left w:val="nil"/>
              <w:bottom w:val="nil"/>
              <w:right w:val="single" w:sz="12" w:space="0" w:color="auto"/>
            </w:tcBorders>
            <w:noWrap/>
            <w:hideMark/>
          </w:tcPr>
          <w:p w14:paraId="2AB6ADD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9.2</w:t>
            </w:r>
          </w:p>
        </w:tc>
        <w:tc>
          <w:tcPr>
            <w:tcW w:w="1121" w:type="dxa"/>
            <w:tcBorders>
              <w:top w:val="single" w:sz="4" w:space="0" w:color="auto"/>
              <w:left w:val="single" w:sz="12" w:space="0" w:color="auto"/>
              <w:bottom w:val="nil"/>
              <w:right w:val="single" w:sz="12" w:space="0" w:color="auto"/>
            </w:tcBorders>
            <w:noWrap/>
            <w:hideMark/>
          </w:tcPr>
          <w:p w14:paraId="3D38E13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-34.4</w:t>
            </w:r>
          </w:p>
        </w:tc>
      </w:tr>
      <w:tr w:rsidR="00394E20" w:rsidRPr="00B71F92" w14:paraId="5CA0EB4E"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1DD84D7E"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0E21ACD3"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Middle-aged (adults 45-64)</w:t>
            </w:r>
          </w:p>
        </w:tc>
        <w:tc>
          <w:tcPr>
            <w:tcW w:w="810" w:type="dxa"/>
            <w:tcBorders>
              <w:top w:val="nil"/>
              <w:left w:val="single" w:sz="12" w:space="0" w:color="auto"/>
              <w:bottom w:val="nil"/>
              <w:right w:val="single" w:sz="12" w:space="0" w:color="auto"/>
            </w:tcBorders>
            <w:noWrap/>
            <w:hideMark/>
          </w:tcPr>
          <w:p w14:paraId="3CEFCA2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-0.7</w:t>
            </w:r>
          </w:p>
        </w:tc>
        <w:tc>
          <w:tcPr>
            <w:tcW w:w="895" w:type="dxa"/>
            <w:tcBorders>
              <w:top w:val="nil"/>
              <w:left w:val="single" w:sz="12" w:space="0" w:color="auto"/>
              <w:bottom w:val="nil"/>
              <w:right w:val="nil"/>
            </w:tcBorders>
            <w:noWrap/>
            <w:hideMark/>
          </w:tcPr>
          <w:p w14:paraId="562B408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nil"/>
              <w:left w:val="nil"/>
              <w:bottom w:val="nil"/>
              <w:right w:val="nil"/>
            </w:tcBorders>
            <w:noWrap/>
            <w:hideMark/>
          </w:tcPr>
          <w:p w14:paraId="5456D59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4.6</w:t>
            </w:r>
          </w:p>
        </w:tc>
        <w:tc>
          <w:tcPr>
            <w:tcW w:w="905" w:type="dxa"/>
            <w:tcBorders>
              <w:top w:val="nil"/>
              <w:left w:val="nil"/>
              <w:bottom w:val="nil"/>
              <w:right w:val="single" w:sz="12" w:space="0" w:color="auto"/>
            </w:tcBorders>
            <w:noWrap/>
            <w:hideMark/>
          </w:tcPr>
          <w:p w14:paraId="224C6F8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15.5</w:t>
            </w:r>
          </w:p>
        </w:tc>
        <w:tc>
          <w:tcPr>
            <w:tcW w:w="990" w:type="dxa"/>
            <w:tcBorders>
              <w:top w:val="nil"/>
              <w:left w:val="single" w:sz="12" w:space="0" w:color="auto"/>
              <w:bottom w:val="nil"/>
              <w:right w:val="nil"/>
            </w:tcBorders>
            <w:noWrap/>
            <w:hideMark/>
          </w:tcPr>
          <w:p w14:paraId="695E481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-19.7</w:t>
            </w:r>
          </w:p>
        </w:tc>
        <w:tc>
          <w:tcPr>
            <w:tcW w:w="810" w:type="dxa"/>
            <w:tcBorders>
              <w:top w:val="nil"/>
              <w:left w:val="nil"/>
              <w:bottom w:val="nil"/>
              <w:right w:val="nil"/>
            </w:tcBorders>
            <w:noWrap/>
            <w:hideMark/>
          </w:tcPr>
          <w:p w14:paraId="61002B8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187.9</w:t>
            </w:r>
          </w:p>
        </w:tc>
        <w:tc>
          <w:tcPr>
            <w:tcW w:w="1087" w:type="dxa"/>
            <w:tcBorders>
              <w:top w:val="nil"/>
              <w:left w:val="nil"/>
              <w:bottom w:val="nil"/>
              <w:right w:val="single" w:sz="12" w:space="0" w:color="auto"/>
            </w:tcBorders>
            <w:noWrap/>
            <w:hideMark/>
          </w:tcPr>
          <w:p w14:paraId="5E92314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bottom w:val="nil"/>
              <w:right w:val="nil"/>
            </w:tcBorders>
            <w:noWrap/>
            <w:hideMark/>
          </w:tcPr>
          <w:p w14:paraId="2979783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-21.9</w:t>
            </w:r>
          </w:p>
        </w:tc>
        <w:tc>
          <w:tcPr>
            <w:tcW w:w="992" w:type="dxa"/>
            <w:tcBorders>
              <w:top w:val="nil"/>
              <w:left w:val="nil"/>
              <w:bottom w:val="nil"/>
              <w:right w:val="nil"/>
            </w:tcBorders>
            <w:noWrap/>
            <w:hideMark/>
          </w:tcPr>
          <w:p w14:paraId="3404ABE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-8.4</w:t>
            </w:r>
          </w:p>
        </w:tc>
        <w:tc>
          <w:tcPr>
            <w:tcW w:w="722" w:type="dxa"/>
            <w:tcBorders>
              <w:top w:val="nil"/>
              <w:left w:val="nil"/>
              <w:bottom w:val="nil"/>
              <w:right w:val="single" w:sz="12" w:space="0" w:color="auto"/>
            </w:tcBorders>
            <w:noWrap/>
            <w:hideMark/>
          </w:tcPr>
          <w:p w14:paraId="32433D9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9.2</w:t>
            </w:r>
          </w:p>
        </w:tc>
        <w:tc>
          <w:tcPr>
            <w:tcW w:w="1121" w:type="dxa"/>
            <w:tcBorders>
              <w:top w:val="nil"/>
              <w:left w:val="single" w:sz="12" w:space="0" w:color="auto"/>
              <w:bottom w:val="nil"/>
              <w:right w:val="single" w:sz="12" w:space="0" w:color="auto"/>
            </w:tcBorders>
            <w:noWrap/>
            <w:hideMark/>
          </w:tcPr>
          <w:p w14:paraId="589EBC0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-34.4</w:t>
            </w:r>
          </w:p>
        </w:tc>
      </w:tr>
      <w:tr w:rsidR="00394E20" w:rsidRPr="00B71F92" w14:paraId="71AD2E4C"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246FEC19"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right w:val="single" w:sz="12" w:space="0" w:color="auto"/>
            </w:tcBorders>
            <w:noWrap/>
            <w:vAlign w:val="center"/>
            <w:hideMark/>
          </w:tcPr>
          <w:p w14:paraId="74C14FF9"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Older (adults 65+)</w:t>
            </w:r>
          </w:p>
        </w:tc>
        <w:tc>
          <w:tcPr>
            <w:tcW w:w="810" w:type="dxa"/>
            <w:tcBorders>
              <w:top w:val="nil"/>
              <w:left w:val="single" w:sz="12" w:space="0" w:color="auto"/>
              <w:right w:val="single" w:sz="12" w:space="0" w:color="auto"/>
            </w:tcBorders>
            <w:noWrap/>
            <w:hideMark/>
          </w:tcPr>
          <w:p w14:paraId="3725FBF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54.6</w:t>
            </w:r>
          </w:p>
        </w:tc>
        <w:tc>
          <w:tcPr>
            <w:tcW w:w="895" w:type="dxa"/>
            <w:tcBorders>
              <w:top w:val="nil"/>
              <w:left w:val="single" w:sz="12" w:space="0" w:color="auto"/>
              <w:right w:val="nil"/>
            </w:tcBorders>
            <w:noWrap/>
            <w:hideMark/>
          </w:tcPr>
          <w:p w14:paraId="473F296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nil"/>
              <w:left w:val="nil"/>
              <w:right w:val="nil"/>
            </w:tcBorders>
            <w:noWrap/>
            <w:hideMark/>
          </w:tcPr>
          <w:p w14:paraId="5D2396D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4.4</w:t>
            </w:r>
          </w:p>
        </w:tc>
        <w:tc>
          <w:tcPr>
            <w:tcW w:w="905" w:type="dxa"/>
            <w:tcBorders>
              <w:top w:val="nil"/>
              <w:left w:val="nil"/>
              <w:right w:val="single" w:sz="12" w:space="0" w:color="auto"/>
            </w:tcBorders>
            <w:noWrap/>
            <w:hideMark/>
          </w:tcPr>
          <w:p w14:paraId="395E110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21.6</w:t>
            </w:r>
          </w:p>
        </w:tc>
        <w:tc>
          <w:tcPr>
            <w:tcW w:w="990" w:type="dxa"/>
            <w:tcBorders>
              <w:top w:val="nil"/>
              <w:left w:val="single" w:sz="12" w:space="0" w:color="auto"/>
              <w:right w:val="nil"/>
            </w:tcBorders>
            <w:noWrap/>
            <w:hideMark/>
          </w:tcPr>
          <w:p w14:paraId="68BFA3A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-19.9</w:t>
            </w:r>
          </w:p>
        </w:tc>
        <w:tc>
          <w:tcPr>
            <w:tcW w:w="810" w:type="dxa"/>
            <w:tcBorders>
              <w:top w:val="nil"/>
              <w:left w:val="nil"/>
              <w:right w:val="nil"/>
            </w:tcBorders>
            <w:noWrap/>
            <w:hideMark/>
          </w:tcPr>
          <w:p w14:paraId="1AF6891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58.6</w:t>
            </w:r>
          </w:p>
        </w:tc>
        <w:tc>
          <w:tcPr>
            <w:tcW w:w="1087" w:type="dxa"/>
            <w:tcBorders>
              <w:top w:val="nil"/>
              <w:left w:val="nil"/>
              <w:right w:val="single" w:sz="12" w:space="0" w:color="auto"/>
            </w:tcBorders>
            <w:noWrap/>
            <w:hideMark/>
          </w:tcPr>
          <w:p w14:paraId="7EF663D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right w:val="nil"/>
            </w:tcBorders>
            <w:noWrap/>
            <w:hideMark/>
          </w:tcPr>
          <w:p w14:paraId="4D610E3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67.9</w:t>
            </w:r>
          </w:p>
        </w:tc>
        <w:tc>
          <w:tcPr>
            <w:tcW w:w="992" w:type="dxa"/>
            <w:tcBorders>
              <w:top w:val="nil"/>
              <w:left w:val="nil"/>
              <w:right w:val="nil"/>
            </w:tcBorders>
            <w:noWrap/>
            <w:hideMark/>
          </w:tcPr>
          <w:p w14:paraId="1F6A349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-8.4</w:t>
            </w:r>
          </w:p>
        </w:tc>
        <w:tc>
          <w:tcPr>
            <w:tcW w:w="722" w:type="dxa"/>
            <w:tcBorders>
              <w:top w:val="nil"/>
              <w:left w:val="nil"/>
              <w:right w:val="single" w:sz="12" w:space="0" w:color="auto"/>
            </w:tcBorders>
            <w:noWrap/>
            <w:hideMark/>
          </w:tcPr>
          <w:p w14:paraId="4871111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-82.1</w:t>
            </w:r>
          </w:p>
        </w:tc>
        <w:tc>
          <w:tcPr>
            <w:tcW w:w="1121" w:type="dxa"/>
            <w:tcBorders>
              <w:top w:val="nil"/>
              <w:left w:val="single" w:sz="12" w:space="0" w:color="auto"/>
              <w:right w:val="single" w:sz="12" w:space="0" w:color="auto"/>
            </w:tcBorders>
            <w:noWrap/>
            <w:hideMark/>
          </w:tcPr>
          <w:p w14:paraId="34A9D06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-38.2</w:t>
            </w:r>
          </w:p>
        </w:tc>
      </w:tr>
      <w:tr w:rsidR="00394E20" w:rsidRPr="00B71F92" w14:paraId="0D4B01A7"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1BD617DE"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4" w:space="0" w:color="auto"/>
              <w:right w:val="single" w:sz="12" w:space="0" w:color="auto"/>
            </w:tcBorders>
            <w:noWrap/>
            <w:vAlign w:val="center"/>
            <w:hideMark/>
          </w:tcPr>
          <w:p w14:paraId="7F5E55AB"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Extended/multigenerational</w:t>
            </w:r>
          </w:p>
        </w:tc>
        <w:tc>
          <w:tcPr>
            <w:tcW w:w="810" w:type="dxa"/>
            <w:tcBorders>
              <w:top w:val="nil"/>
              <w:left w:val="single" w:sz="12" w:space="0" w:color="auto"/>
              <w:bottom w:val="single" w:sz="4" w:space="0" w:color="auto"/>
              <w:right w:val="single" w:sz="12" w:space="0" w:color="auto"/>
            </w:tcBorders>
            <w:noWrap/>
            <w:hideMark/>
          </w:tcPr>
          <w:p w14:paraId="61097FE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-9.1</w:t>
            </w:r>
          </w:p>
        </w:tc>
        <w:tc>
          <w:tcPr>
            <w:tcW w:w="895" w:type="dxa"/>
            <w:tcBorders>
              <w:top w:val="nil"/>
              <w:left w:val="single" w:sz="12" w:space="0" w:color="auto"/>
              <w:bottom w:val="single" w:sz="4" w:space="0" w:color="auto"/>
              <w:right w:val="nil"/>
            </w:tcBorders>
            <w:noWrap/>
            <w:hideMark/>
          </w:tcPr>
          <w:p w14:paraId="447C814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nil"/>
              <w:left w:val="nil"/>
              <w:bottom w:val="single" w:sz="4" w:space="0" w:color="auto"/>
              <w:right w:val="nil"/>
            </w:tcBorders>
            <w:noWrap/>
            <w:hideMark/>
          </w:tcPr>
          <w:p w14:paraId="7778821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nil"/>
              <w:left w:val="nil"/>
              <w:bottom w:val="single" w:sz="4" w:space="0" w:color="auto"/>
              <w:right w:val="single" w:sz="12" w:space="0" w:color="auto"/>
            </w:tcBorders>
            <w:noWrap/>
            <w:hideMark/>
          </w:tcPr>
          <w:p w14:paraId="6524A65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26.7</w:t>
            </w:r>
          </w:p>
        </w:tc>
        <w:tc>
          <w:tcPr>
            <w:tcW w:w="990" w:type="dxa"/>
            <w:tcBorders>
              <w:top w:val="nil"/>
              <w:left w:val="single" w:sz="12" w:space="0" w:color="auto"/>
              <w:bottom w:val="single" w:sz="4" w:space="0" w:color="auto"/>
              <w:right w:val="nil"/>
            </w:tcBorders>
            <w:noWrap/>
            <w:hideMark/>
          </w:tcPr>
          <w:p w14:paraId="4A0F4C8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7.2</w:t>
            </w:r>
          </w:p>
        </w:tc>
        <w:tc>
          <w:tcPr>
            <w:tcW w:w="810" w:type="dxa"/>
            <w:tcBorders>
              <w:top w:val="nil"/>
              <w:left w:val="nil"/>
              <w:bottom w:val="single" w:sz="4" w:space="0" w:color="auto"/>
              <w:right w:val="nil"/>
            </w:tcBorders>
            <w:noWrap/>
            <w:hideMark/>
          </w:tcPr>
          <w:p w14:paraId="47F78B7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-34.7</w:t>
            </w:r>
          </w:p>
        </w:tc>
        <w:tc>
          <w:tcPr>
            <w:tcW w:w="1087" w:type="dxa"/>
            <w:tcBorders>
              <w:top w:val="nil"/>
              <w:left w:val="nil"/>
              <w:bottom w:val="single" w:sz="4" w:space="0" w:color="auto"/>
              <w:right w:val="single" w:sz="12" w:space="0" w:color="auto"/>
            </w:tcBorders>
            <w:noWrap/>
            <w:hideMark/>
          </w:tcPr>
          <w:p w14:paraId="7EAF404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bottom w:val="single" w:sz="4" w:space="0" w:color="auto"/>
              <w:right w:val="nil"/>
            </w:tcBorders>
            <w:noWrap/>
            <w:hideMark/>
          </w:tcPr>
          <w:p w14:paraId="2442E0E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49.3</w:t>
            </w:r>
          </w:p>
        </w:tc>
        <w:tc>
          <w:tcPr>
            <w:tcW w:w="992" w:type="dxa"/>
            <w:tcBorders>
              <w:top w:val="nil"/>
              <w:left w:val="nil"/>
              <w:bottom w:val="single" w:sz="4" w:space="0" w:color="auto"/>
              <w:right w:val="nil"/>
            </w:tcBorders>
            <w:noWrap/>
            <w:hideMark/>
          </w:tcPr>
          <w:p w14:paraId="34B9EAF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-8.3</w:t>
            </w:r>
          </w:p>
        </w:tc>
        <w:tc>
          <w:tcPr>
            <w:tcW w:w="722" w:type="dxa"/>
            <w:tcBorders>
              <w:top w:val="nil"/>
              <w:left w:val="nil"/>
              <w:bottom w:val="single" w:sz="4" w:space="0" w:color="auto"/>
              <w:right w:val="single" w:sz="12" w:space="0" w:color="auto"/>
            </w:tcBorders>
            <w:noWrap/>
            <w:hideMark/>
          </w:tcPr>
          <w:p w14:paraId="5B7897D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19.8</w:t>
            </w:r>
          </w:p>
        </w:tc>
        <w:tc>
          <w:tcPr>
            <w:tcW w:w="1121" w:type="dxa"/>
            <w:tcBorders>
              <w:top w:val="nil"/>
              <w:left w:val="single" w:sz="12" w:space="0" w:color="auto"/>
              <w:bottom w:val="single" w:sz="4" w:space="0" w:color="auto"/>
              <w:right w:val="single" w:sz="12" w:space="0" w:color="auto"/>
            </w:tcBorders>
            <w:noWrap/>
            <w:hideMark/>
          </w:tcPr>
          <w:p w14:paraId="3C6517B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-34.4</w:t>
            </w:r>
          </w:p>
        </w:tc>
      </w:tr>
      <w:tr w:rsidR="00394E20" w:rsidRPr="00B71F92" w14:paraId="294B41B7"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118B0C0F"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Household Composition</w:t>
            </w:r>
          </w:p>
        </w:tc>
        <w:tc>
          <w:tcPr>
            <w:tcW w:w="2700" w:type="dxa"/>
            <w:tcBorders>
              <w:top w:val="single" w:sz="4" w:space="0" w:color="auto"/>
              <w:left w:val="nil"/>
              <w:bottom w:val="nil"/>
              <w:right w:val="single" w:sz="12" w:space="0" w:color="auto"/>
            </w:tcBorders>
            <w:noWrap/>
            <w:vAlign w:val="center"/>
            <w:hideMark/>
          </w:tcPr>
          <w:p w14:paraId="1E5A4B41"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2+ adults</w:t>
            </w:r>
          </w:p>
        </w:tc>
        <w:tc>
          <w:tcPr>
            <w:tcW w:w="810" w:type="dxa"/>
            <w:tcBorders>
              <w:top w:val="single" w:sz="4" w:space="0" w:color="auto"/>
              <w:left w:val="single" w:sz="12" w:space="0" w:color="auto"/>
              <w:bottom w:val="nil"/>
              <w:right w:val="single" w:sz="12" w:space="0" w:color="auto"/>
            </w:tcBorders>
            <w:noWrap/>
            <w:hideMark/>
          </w:tcPr>
          <w:p w14:paraId="0905D21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-7.4</w:t>
            </w:r>
          </w:p>
        </w:tc>
        <w:tc>
          <w:tcPr>
            <w:tcW w:w="895" w:type="dxa"/>
            <w:tcBorders>
              <w:top w:val="single" w:sz="4" w:space="0" w:color="auto"/>
              <w:left w:val="single" w:sz="12" w:space="0" w:color="auto"/>
              <w:bottom w:val="nil"/>
              <w:right w:val="nil"/>
            </w:tcBorders>
            <w:noWrap/>
            <w:hideMark/>
          </w:tcPr>
          <w:p w14:paraId="3F5A395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single" w:sz="4" w:space="0" w:color="auto"/>
              <w:left w:val="nil"/>
              <w:bottom w:val="nil"/>
              <w:right w:val="nil"/>
            </w:tcBorders>
            <w:noWrap/>
            <w:hideMark/>
          </w:tcPr>
          <w:p w14:paraId="0355944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w:t>
            </w:r>
          </w:p>
        </w:tc>
        <w:tc>
          <w:tcPr>
            <w:tcW w:w="905" w:type="dxa"/>
            <w:tcBorders>
              <w:top w:val="single" w:sz="4" w:space="0" w:color="auto"/>
              <w:left w:val="nil"/>
              <w:bottom w:val="nil"/>
              <w:right w:val="single" w:sz="12" w:space="0" w:color="auto"/>
            </w:tcBorders>
            <w:noWrap/>
            <w:hideMark/>
          </w:tcPr>
          <w:p w14:paraId="0526E01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single" w:sz="4" w:space="0" w:color="auto"/>
              <w:left w:val="single" w:sz="12" w:space="0" w:color="auto"/>
              <w:bottom w:val="nil"/>
              <w:right w:val="nil"/>
            </w:tcBorders>
            <w:noWrap/>
            <w:hideMark/>
          </w:tcPr>
          <w:p w14:paraId="3F70440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-13.7</w:t>
            </w:r>
          </w:p>
        </w:tc>
        <w:tc>
          <w:tcPr>
            <w:tcW w:w="810" w:type="dxa"/>
            <w:tcBorders>
              <w:top w:val="single" w:sz="4" w:space="0" w:color="auto"/>
              <w:left w:val="nil"/>
              <w:bottom w:val="nil"/>
              <w:right w:val="nil"/>
            </w:tcBorders>
            <w:noWrap/>
            <w:hideMark/>
          </w:tcPr>
          <w:p w14:paraId="50ED85D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10.8</w:t>
            </w:r>
          </w:p>
        </w:tc>
        <w:tc>
          <w:tcPr>
            <w:tcW w:w="1087" w:type="dxa"/>
            <w:tcBorders>
              <w:top w:val="single" w:sz="4" w:space="0" w:color="auto"/>
              <w:left w:val="nil"/>
              <w:bottom w:val="nil"/>
              <w:right w:val="single" w:sz="12" w:space="0" w:color="auto"/>
            </w:tcBorders>
            <w:noWrap/>
            <w:hideMark/>
          </w:tcPr>
          <w:p w14:paraId="4333B09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-25.8</w:t>
            </w:r>
          </w:p>
        </w:tc>
        <w:tc>
          <w:tcPr>
            <w:tcW w:w="990" w:type="dxa"/>
            <w:tcBorders>
              <w:top w:val="single" w:sz="4" w:space="0" w:color="auto"/>
              <w:left w:val="single" w:sz="12" w:space="0" w:color="auto"/>
              <w:bottom w:val="nil"/>
              <w:right w:val="nil"/>
            </w:tcBorders>
            <w:noWrap/>
            <w:hideMark/>
          </w:tcPr>
          <w:p w14:paraId="310B636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single" w:sz="4" w:space="0" w:color="auto"/>
              <w:left w:val="nil"/>
              <w:bottom w:val="nil"/>
              <w:right w:val="nil"/>
            </w:tcBorders>
            <w:noWrap/>
            <w:hideMark/>
          </w:tcPr>
          <w:p w14:paraId="1CF0731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30.9</w:t>
            </w:r>
          </w:p>
        </w:tc>
        <w:tc>
          <w:tcPr>
            <w:tcW w:w="722" w:type="dxa"/>
            <w:tcBorders>
              <w:top w:val="single" w:sz="4" w:space="0" w:color="auto"/>
              <w:left w:val="nil"/>
              <w:bottom w:val="nil"/>
              <w:right w:val="single" w:sz="12" w:space="0" w:color="auto"/>
            </w:tcBorders>
            <w:noWrap/>
            <w:hideMark/>
          </w:tcPr>
          <w:p w14:paraId="4F7C97B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-34.7</w:t>
            </w:r>
          </w:p>
        </w:tc>
        <w:tc>
          <w:tcPr>
            <w:tcW w:w="1121" w:type="dxa"/>
            <w:tcBorders>
              <w:top w:val="single" w:sz="4" w:space="0" w:color="auto"/>
              <w:left w:val="single" w:sz="12" w:space="0" w:color="auto"/>
              <w:bottom w:val="nil"/>
              <w:right w:val="single" w:sz="12" w:space="0" w:color="auto"/>
            </w:tcBorders>
            <w:noWrap/>
            <w:hideMark/>
          </w:tcPr>
          <w:p w14:paraId="79D6320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5CE99415" w14:textId="77777777" w:rsidTr="00AF15D1">
        <w:trPr>
          <w:trHeight w:val="216"/>
          <w:jc w:val="center"/>
        </w:trPr>
        <w:tc>
          <w:tcPr>
            <w:tcW w:w="1245" w:type="dxa"/>
            <w:vMerge/>
            <w:tcBorders>
              <w:top w:val="single" w:sz="4" w:space="0" w:color="auto"/>
              <w:left w:val="single" w:sz="12" w:space="0" w:color="auto"/>
              <w:bottom w:val="single" w:sz="4" w:space="0" w:color="auto"/>
              <w:right w:val="nil"/>
            </w:tcBorders>
            <w:vAlign w:val="center"/>
            <w:hideMark/>
          </w:tcPr>
          <w:p w14:paraId="4724E26C"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6D0F1403"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Single male adult</w:t>
            </w:r>
          </w:p>
        </w:tc>
        <w:tc>
          <w:tcPr>
            <w:tcW w:w="810" w:type="dxa"/>
            <w:tcBorders>
              <w:top w:val="nil"/>
              <w:left w:val="single" w:sz="12" w:space="0" w:color="auto"/>
              <w:bottom w:val="nil"/>
              <w:right w:val="single" w:sz="12" w:space="0" w:color="auto"/>
            </w:tcBorders>
            <w:noWrap/>
            <w:hideMark/>
          </w:tcPr>
          <w:p w14:paraId="767F9B9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-28.1</w:t>
            </w:r>
          </w:p>
        </w:tc>
        <w:tc>
          <w:tcPr>
            <w:tcW w:w="895" w:type="dxa"/>
            <w:tcBorders>
              <w:top w:val="nil"/>
              <w:left w:val="single" w:sz="12" w:space="0" w:color="auto"/>
              <w:bottom w:val="nil"/>
              <w:right w:val="nil"/>
            </w:tcBorders>
            <w:noWrap/>
            <w:hideMark/>
          </w:tcPr>
          <w:p w14:paraId="187FF9D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nil"/>
              <w:left w:val="nil"/>
              <w:bottom w:val="nil"/>
              <w:right w:val="nil"/>
            </w:tcBorders>
            <w:noWrap/>
            <w:hideMark/>
          </w:tcPr>
          <w:p w14:paraId="00A0AA2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3.6</w:t>
            </w:r>
          </w:p>
        </w:tc>
        <w:tc>
          <w:tcPr>
            <w:tcW w:w="905" w:type="dxa"/>
            <w:tcBorders>
              <w:top w:val="nil"/>
              <w:left w:val="nil"/>
              <w:bottom w:val="nil"/>
              <w:right w:val="single" w:sz="12" w:space="0" w:color="auto"/>
            </w:tcBorders>
            <w:noWrap/>
            <w:hideMark/>
          </w:tcPr>
          <w:p w14:paraId="2EACC6C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nil"/>
              <w:left w:val="single" w:sz="12" w:space="0" w:color="auto"/>
              <w:bottom w:val="nil"/>
              <w:right w:val="nil"/>
            </w:tcBorders>
            <w:noWrap/>
            <w:hideMark/>
          </w:tcPr>
          <w:p w14:paraId="3553937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-16.8</w:t>
            </w:r>
          </w:p>
        </w:tc>
        <w:tc>
          <w:tcPr>
            <w:tcW w:w="810" w:type="dxa"/>
            <w:tcBorders>
              <w:top w:val="nil"/>
              <w:left w:val="nil"/>
              <w:bottom w:val="nil"/>
              <w:right w:val="nil"/>
            </w:tcBorders>
            <w:noWrap/>
            <w:hideMark/>
          </w:tcPr>
          <w:p w14:paraId="624E392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108.8</w:t>
            </w:r>
          </w:p>
        </w:tc>
        <w:tc>
          <w:tcPr>
            <w:tcW w:w="1087" w:type="dxa"/>
            <w:tcBorders>
              <w:top w:val="nil"/>
              <w:left w:val="nil"/>
              <w:bottom w:val="nil"/>
              <w:right w:val="single" w:sz="12" w:space="0" w:color="auto"/>
            </w:tcBorders>
            <w:noWrap/>
            <w:hideMark/>
          </w:tcPr>
          <w:p w14:paraId="6DF27BD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-26.2</w:t>
            </w:r>
          </w:p>
        </w:tc>
        <w:tc>
          <w:tcPr>
            <w:tcW w:w="990" w:type="dxa"/>
            <w:tcBorders>
              <w:top w:val="nil"/>
              <w:left w:val="single" w:sz="12" w:space="0" w:color="auto"/>
              <w:bottom w:val="nil"/>
              <w:right w:val="nil"/>
            </w:tcBorders>
            <w:noWrap/>
            <w:hideMark/>
          </w:tcPr>
          <w:p w14:paraId="0A85EF5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nil"/>
              <w:right w:val="nil"/>
            </w:tcBorders>
            <w:noWrap/>
            <w:hideMark/>
          </w:tcPr>
          <w:p w14:paraId="4F3B25A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-47.5</w:t>
            </w:r>
          </w:p>
        </w:tc>
        <w:tc>
          <w:tcPr>
            <w:tcW w:w="722" w:type="dxa"/>
            <w:tcBorders>
              <w:top w:val="nil"/>
              <w:left w:val="nil"/>
              <w:bottom w:val="nil"/>
              <w:right w:val="single" w:sz="12" w:space="0" w:color="auto"/>
            </w:tcBorders>
            <w:noWrap/>
            <w:hideMark/>
          </w:tcPr>
          <w:p w14:paraId="2B217EF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-33.5</w:t>
            </w:r>
          </w:p>
        </w:tc>
        <w:tc>
          <w:tcPr>
            <w:tcW w:w="1121" w:type="dxa"/>
            <w:tcBorders>
              <w:top w:val="nil"/>
              <w:left w:val="single" w:sz="12" w:space="0" w:color="auto"/>
              <w:bottom w:val="nil"/>
              <w:right w:val="single" w:sz="12" w:space="0" w:color="auto"/>
            </w:tcBorders>
            <w:noWrap/>
            <w:hideMark/>
          </w:tcPr>
          <w:p w14:paraId="3F0FD19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4AE5FE49" w14:textId="77777777" w:rsidTr="00AF15D1">
        <w:trPr>
          <w:trHeight w:val="216"/>
          <w:jc w:val="center"/>
        </w:trPr>
        <w:tc>
          <w:tcPr>
            <w:tcW w:w="1245" w:type="dxa"/>
            <w:vMerge/>
            <w:tcBorders>
              <w:top w:val="single" w:sz="4" w:space="0" w:color="auto"/>
              <w:left w:val="single" w:sz="12" w:space="0" w:color="auto"/>
              <w:bottom w:val="single" w:sz="4" w:space="0" w:color="auto"/>
              <w:right w:val="nil"/>
            </w:tcBorders>
            <w:vAlign w:val="center"/>
            <w:hideMark/>
          </w:tcPr>
          <w:p w14:paraId="07E2C2DF"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4" w:space="0" w:color="auto"/>
              <w:right w:val="single" w:sz="12" w:space="0" w:color="auto"/>
            </w:tcBorders>
            <w:noWrap/>
            <w:vAlign w:val="center"/>
            <w:hideMark/>
          </w:tcPr>
          <w:p w14:paraId="215AA54D"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Single female adult</w:t>
            </w:r>
          </w:p>
        </w:tc>
        <w:tc>
          <w:tcPr>
            <w:tcW w:w="810" w:type="dxa"/>
            <w:tcBorders>
              <w:top w:val="nil"/>
              <w:left w:val="single" w:sz="12" w:space="0" w:color="auto"/>
              <w:bottom w:val="single" w:sz="4" w:space="0" w:color="auto"/>
              <w:right w:val="single" w:sz="12" w:space="0" w:color="auto"/>
            </w:tcBorders>
            <w:noWrap/>
            <w:hideMark/>
          </w:tcPr>
          <w:p w14:paraId="2D844EF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-7.7</w:t>
            </w:r>
          </w:p>
        </w:tc>
        <w:tc>
          <w:tcPr>
            <w:tcW w:w="895" w:type="dxa"/>
            <w:tcBorders>
              <w:top w:val="nil"/>
              <w:left w:val="single" w:sz="12" w:space="0" w:color="auto"/>
              <w:bottom w:val="single" w:sz="4" w:space="0" w:color="auto"/>
              <w:right w:val="nil"/>
            </w:tcBorders>
            <w:noWrap/>
            <w:hideMark/>
          </w:tcPr>
          <w:p w14:paraId="47D64B5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nil"/>
              <w:left w:val="nil"/>
              <w:bottom w:val="single" w:sz="4" w:space="0" w:color="auto"/>
              <w:right w:val="nil"/>
            </w:tcBorders>
            <w:noWrap/>
            <w:hideMark/>
          </w:tcPr>
          <w:p w14:paraId="031470B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3.9</w:t>
            </w:r>
          </w:p>
        </w:tc>
        <w:tc>
          <w:tcPr>
            <w:tcW w:w="905" w:type="dxa"/>
            <w:tcBorders>
              <w:top w:val="nil"/>
              <w:left w:val="nil"/>
              <w:bottom w:val="single" w:sz="4" w:space="0" w:color="auto"/>
              <w:right w:val="single" w:sz="12" w:space="0" w:color="auto"/>
            </w:tcBorders>
            <w:noWrap/>
            <w:hideMark/>
          </w:tcPr>
          <w:p w14:paraId="4234F3D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nil"/>
              <w:left w:val="single" w:sz="12" w:space="0" w:color="auto"/>
              <w:bottom w:val="single" w:sz="4" w:space="0" w:color="auto"/>
              <w:right w:val="nil"/>
            </w:tcBorders>
            <w:noWrap/>
            <w:hideMark/>
          </w:tcPr>
          <w:p w14:paraId="047B9DB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-16.2</w:t>
            </w:r>
          </w:p>
        </w:tc>
        <w:tc>
          <w:tcPr>
            <w:tcW w:w="810" w:type="dxa"/>
            <w:tcBorders>
              <w:top w:val="nil"/>
              <w:left w:val="nil"/>
              <w:bottom w:val="single" w:sz="4" w:space="0" w:color="auto"/>
              <w:right w:val="nil"/>
            </w:tcBorders>
            <w:noWrap/>
            <w:hideMark/>
          </w:tcPr>
          <w:p w14:paraId="155EEDD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10.8</w:t>
            </w:r>
          </w:p>
        </w:tc>
        <w:tc>
          <w:tcPr>
            <w:tcW w:w="1087" w:type="dxa"/>
            <w:tcBorders>
              <w:top w:val="nil"/>
              <w:left w:val="nil"/>
              <w:bottom w:val="single" w:sz="4" w:space="0" w:color="auto"/>
              <w:right w:val="single" w:sz="12" w:space="0" w:color="auto"/>
            </w:tcBorders>
            <w:noWrap/>
            <w:hideMark/>
          </w:tcPr>
          <w:p w14:paraId="75D83CC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-24.0</w:t>
            </w:r>
          </w:p>
        </w:tc>
        <w:tc>
          <w:tcPr>
            <w:tcW w:w="990" w:type="dxa"/>
            <w:tcBorders>
              <w:top w:val="nil"/>
              <w:left w:val="single" w:sz="12" w:space="0" w:color="auto"/>
              <w:bottom w:val="single" w:sz="4" w:space="0" w:color="auto"/>
              <w:right w:val="nil"/>
            </w:tcBorders>
            <w:noWrap/>
            <w:hideMark/>
          </w:tcPr>
          <w:p w14:paraId="03A19EE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single" w:sz="4" w:space="0" w:color="auto"/>
              <w:right w:val="nil"/>
            </w:tcBorders>
            <w:noWrap/>
            <w:hideMark/>
          </w:tcPr>
          <w:p w14:paraId="6A59C55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-19.9</w:t>
            </w:r>
          </w:p>
        </w:tc>
        <w:tc>
          <w:tcPr>
            <w:tcW w:w="722" w:type="dxa"/>
            <w:tcBorders>
              <w:top w:val="nil"/>
              <w:left w:val="nil"/>
              <w:bottom w:val="single" w:sz="4" w:space="0" w:color="auto"/>
              <w:right w:val="single" w:sz="12" w:space="0" w:color="auto"/>
            </w:tcBorders>
            <w:noWrap/>
            <w:hideMark/>
          </w:tcPr>
          <w:p w14:paraId="10F4175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-33.1</w:t>
            </w:r>
          </w:p>
        </w:tc>
        <w:tc>
          <w:tcPr>
            <w:tcW w:w="1121" w:type="dxa"/>
            <w:tcBorders>
              <w:top w:val="nil"/>
              <w:left w:val="single" w:sz="12" w:space="0" w:color="auto"/>
              <w:bottom w:val="single" w:sz="4" w:space="0" w:color="auto"/>
              <w:right w:val="single" w:sz="12" w:space="0" w:color="auto"/>
            </w:tcBorders>
            <w:noWrap/>
            <w:hideMark/>
          </w:tcPr>
          <w:p w14:paraId="7F2F0BD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5795CA4A"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745925EF"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Presence of Children</w:t>
            </w:r>
          </w:p>
        </w:tc>
        <w:tc>
          <w:tcPr>
            <w:tcW w:w="2700" w:type="dxa"/>
            <w:tcBorders>
              <w:top w:val="single" w:sz="4" w:space="0" w:color="auto"/>
              <w:left w:val="nil"/>
              <w:bottom w:val="nil"/>
              <w:right w:val="single" w:sz="12" w:space="0" w:color="auto"/>
            </w:tcBorders>
            <w:noWrap/>
            <w:vAlign w:val="center"/>
            <w:hideMark/>
          </w:tcPr>
          <w:p w14:paraId="1B1145DA"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No Children</w:t>
            </w:r>
          </w:p>
        </w:tc>
        <w:tc>
          <w:tcPr>
            <w:tcW w:w="810" w:type="dxa"/>
            <w:tcBorders>
              <w:top w:val="single" w:sz="4" w:space="0" w:color="auto"/>
              <w:left w:val="single" w:sz="12" w:space="0" w:color="auto"/>
              <w:bottom w:val="nil"/>
              <w:right w:val="single" w:sz="12" w:space="0" w:color="auto"/>
            </w:tcBorders>
            <w:noWrap/>
            <w:hideMark/>
          </w:tcPr>
          <w:p w14:paraId="00B171C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-11.5</w:t>
            </w:r>
          </w:p>
        </w:tc>
        <w:tc>
          <w:tcPr>
            <w:tcW w:w="895" w:type="dxa"/>
            <w:tcBorders>
              <w:top w:val="single" w:sz="4" w:space="0" w:color="auto"/>
              <w:left w:val="single" w:sz="12" w:space="0" w:color="auto"/>
              <w:bottom w:val="nil"/>
              <w:right w:val="nil"/>
            </w:tcBorders>
            <w:noWrap/>
            <w:hideMark/>
          </w:tcPr>
          <w:p w14:paraId="3266678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9.9</w:t>
            </w:r>
          </w:p>
        </w:tc>
        <w:tc>
          <w:tcPr>
            <w:tcW w:w="810" w:type="dxa"/>
            <w:tcBorders>
              <w:top w:val="single" w:sz="4" w:space="0" w:color="auto"/>
              <w:left w:val="nil"/>
              <w:bottom w:val="nil"/>
              <w:right w:val="nil"/>
            </w:tcBorders>
            <w:noWrap/>
            <w:hideMark/>
          </w:tcPr>
          <w:p w14:paraId="1D9ECBD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6.6</w:t>
            </w:r>
          </w:p>
        </w:tc>
        <w:tc>
          <w:tcPr>
            <w:tcW w:w="905" w:type="dxa"/>
            <w:tcBorders>
              <w:top w:val="single" w:sz="4" w:space="0" w:color="auto"/>
              <w:left w:val="nil"/>
              <w:bottom w:val="nil"/>
              <w:right w:val="single" w:sz="12" w:space="0" w:color="auto"/>
            </w:tcBorders>
            <w:noWrap/>
            <w:hideMark/>
          </w:tcPr>
          <w:p w14:paraId="6FFF9B2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25.5</w:t>
            </w:r>
          </w:p>
        </w:tc>
        <w:tc>
          <w:tcPr>
            <w:tcW w:w="990" w:type="dxa"/>
            <w:tcBorders>
              <w:top w:val="single" w:sz="4" w:space="0" w:color="auto"/>
              <w:left w:val="single" w:sz="12" w:space="0" w:color="auto"/>
              <w:bottom w:val="nil"/>
              <w:right w:val="nil"/>
            </w:tcBorders>
            <w:noWrap/>
            <w:hideMark/>
          </w:tcPr>
          <w:p w14:paraId="3BEF789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-14.4</w:t>
            </w:r>
          </w:p>
        </w:tc>
        <w:tc>
          <w:tcPr>
            <w:tcW w:w="810" w:type="dxa"/>
            <w:tcBorders>
              <w:top w:val="single" w:sz="4" w:space="0" w:color="auto"/>
              <w:left w:val="nil"/>
              <w:bottom w:val="nil"/>
              <w:right w:val="nil"/>
            </w:tcBorders>
            <w:noWrap/>
            <w:hideMark/>
          </w:tcPr>
          <w:p w14:paraId="6CF276F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28.5</w:t>
            </w:r>
          </w:p>
        </w:tc>
        <w:tc>
          <w:tcPr>
            <w:tcW w:w="1087" w:type="dxa"/>
            <w:tcBorders>
              <w:top w:val="single" w:sz="4" w:space="0" w:color="auto"/>
              <w:left w:val="nil"/>
              <w:bottom w:val="nil"/>
              <w:right w:val="single" w:sz="12" w:space="0" w:color="auto"/>
            </w:tcBorders>
            <w:noWrap/>
            <w:hideMark/>
          </w:tcPr>
          <w:p w14:paraId="2CCA1B4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-26.4</w:t>
            </w:r>
          </w:p>
        </w:tc>
        <w:tc>
          <w:tcPr>
            <w:tcW w:w="990" w:type="dxa"/>
            <w:tcBorders>
              <w:top w:val="single" w:sz="4" w:space="0" w:color="auto"/>
              <w:left w:val="single" w:sz="12" w:space="0" w:color="auto"/>
              <w:bottom w:val="nil"/>
              <w:right w:val="nil"/>
            </w:tcBorders>
            <w:noWrap/>
            <w:hideMark/>
          </w:tcPr>
          <w:p w14:paraId="6086165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33.8</w:t>
            </w:r>
          </w:p>
        </w:tc>
        <w:tc>
          <w:tcPr>
            <w:tcW w:w="992" w:type="dxa"/>
            <w:tcBorders>
              <w:top w:val="single" w:sz="4" w:space="0" w:color="auto"/>
              <w:left w:val="nil"/>
              <w:bottom w:val="nil"/>
              <w:right w:val="nil"/>
            </w:tcBorders>
            <w:noWrap/>
            <w:hideMark/>
          </w:tcPr>
          <w:p w14:paraId="1313D86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-8.5</w:t>
            </w:r>
          </w:p>
        </w:tc>
        <w:tc>
          <w:tcPr>
            <w:tcW w:w="722" w:type="dxa"/>
            <w:tcBorders>
              <w:top w:val="single" w:sz="4" w:space="0" w:color="auto"/>
              <w:left w:val="nil"/>
              <w:bottom w:val="nil"/>
              <w:right w:val="single" w:sz="12" w:space="0" w:color="auto"/>
            </w:tcBorders>
            <w:noWrap/>
            <w:hideMark/>
          </w:tcPr>
          <w:p w14:paraId="7B60D3B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single" w:sz="4" w:space="0" w:color="auto"/>
              <w:left w:val="single" w:sz="12" w:space="0" w:color="auto"/>
              <w:bottom w:val="nil"/>
              <w:right w:val="single" w:sz="12" w:space="0" w:color="auto"/>
            </w:tcBorders>
            <w:noWrap/>
            <w:hideMark/>
          </w:tcPr>
          <w:p w14:paraId="4CA7AC9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-35.1</w:t>
            </w:r>
          </w:p>
        </w:tc>
      </w:tr>
      <w:tr w:rsidR="00394E20" w:rsidRPr="00B71F92" w14:paraId="3A6FF5DF"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287E6F1F"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1579C3DE"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Children aged 0-4</w:t>
            </w:r>
          </w:p>
        </w:tc>
        <w:tc>
          <w:tcPr>
            <w:tcW w:w="810" w:type="dxa"/>
            <w:tcBorders>
              <w:top w:val="nil"/>
              <w:left w:val="single" w:sz="12" w:space="0" w:color="auto"/>
              <w:bottom w:val="nil"/>
              <w:right w:val="single" w:sz="12" w:space="0" w:color="auto"/>
            </w:tcBorders>
            <w:noWrap/>
            <w:hideMark/>
          </w:tcPr>
          <w:p w14:paraId="7B5BD9B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95" w:type="dxa"/>
            <w:tcBorders>
              <w:top w:val="nil"/>
              <w:left w:val="single" w:sz="12" w:space="0" w:color="auto"/>
              <w:bottom w:val="nil"/>
              <w:right w:val="nil"/>
            </w:tcBorders>
            <w:noWrap/>
            <w:hideMark/>
          </w:tcPr>
          <w:p w14:paraId="0DBB1E1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27.0</w:t>
            </w:r>
          </w:p>
        </w:tc>
        <w:tc>
          <w:tcPr>
            <w:tcW w:w="810" w:type="dxa"/>
            <w:tcBorders>
              <w:top w:val="nil"/>
              <w:left w:val="nil"/>
              <w:bottom w:val="nil"/>
              <w:right w:val="nil"/>
            </w:tcBorders>
            <w:noWrap/>
            <w:hideMark/>
          </w:tcPr>
          <w:p w14:paraId="5E7D1FA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-19.9</w:t>
            </w:r>
          </w:p>
        </w:tc>
        <w:tc>
          <w:tcPr>
            <w:tcW w:w="905" w:type="dxa"/>
            <w:tcBorders>
              <w:top w:val="nil"/>
              <w:left w:val="nil"/>
              <w:bottom w:val="nil"/>
              <w:right w:val="single" w:sz="12" w:space="0" w:color="auto"/>
            </w:tcBorders>
            <w:noWrap/>
            <w:hideMark/>
          </w:tcPr>
          <w:p w14:paraId="013453B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11.3</w:t>
            </w:r>
          </w:p>
        </w:tc>
        <w:tc>
          <w:tcPr>
            <w:tcW w:w="990" w:type="dxa"/>
            <w:tcBorders>
              <w:top w:val="nil"/>
              <w:left w:val="single" w:sz="12" w:space="0" w:color="auto"/>
              <w:bottom w:val="nil"/>
              <w:right w:val="nil"/>
            </w:tcBorders>
            <w:noWrap/>
            <w:hideMark/>
          </w:tcPr>
          <w:p w14:paraId="4F7B50B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-12.1</w:t>
            </w:r>
          </w:p>
        </w:tc>
        <w:tc>
          <w:tcPr>
            <w:tcW w:w="810" w:type="dxa"/>
            <w:tcBorders>
              <w:top w:val="nil"/>
              <w:left w:val="nil"/>
              <w:bottom w:val="nil"/>
              <w:right w:val="nil"/>
            </w:tcBorders>
            <w:noWrap/>
            <w:hideMark/>
          </w:tcPr>
          <w:p w14:paraId="48D55FA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16.8</w:t>
            </w:r>
          </w:p>
        </w:tc>
        <w:tc>
          <w:tcPr>
            <w:tcW w:w="1087" w:type="dxa"/>
            <w:tcBorders>
              <w:top w:val="nil"/>
              <w:left w:val="nil"/>
              <w:bottom w:val="nil"/>
              <w:right w:val="single" w:sz="12" w:space="0" w:color="auto"/>
            </w:tcBorders>
            <w:noWrap/>
            <w:hideMark/>
          </w:tcPr>
          <w:p w14:paraId="3CC2FAF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-23.1</w:t>
            </w:r>
          </w:p>
        </w:tc>
        <w:tc>
          <w:tcPr>
            <w:tcW w:w="990" w:type="dxa"/>
            <w:tcBorders>
              <w:top w:val="nil"/>
              <w:left w:val="single" w:sz="12" w:space="0" w:color="auto"/>
              <w:bottom w:val="nil"/>
              <w:right w:val="nil"/>
            </w:tcBorders>
            <w:noWrap/>
            <w:hideMark/>
          </w:tcPr>
          <w:p w14:paraId="1F23584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47.4</w:t>
            </w:r>
          </w:p>
        </w:tc>
        <w:tc>
          <w:tcPr>
            <w:tcW w:w="992" w:type="dxa"/>
            <w:tcBorders>
              <w:top w:val="nil"/>
              <w:left w:val="nil"/>
              <w:bottom w:val="nil"/>
              <w:right w:val="nil"/>
            </w:tcBorders>
            <w:noWrap/>
            <w:hideMark/>
          </w:tcPr>
          <w:p w14:paraId="29FFA27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-8.5</w:t>
            </w:r>
          </w:p>
        </w:tc>
        <w:tc>
          <w:tcPr>
            <w:tcW w:w="722" w:type="dxa"/>
            <w:tcBorders>
              <w:top w:val="nil"/>
              <w:left w:val="nil"/>
              <w:bottom w:val="nil"/>
              <w:right w:val="single" w:sz="12" w:space="0" w:color="auto"/>
            </w:tcBorders>
            <w:noWrap/>
            <w:hideMark/>
          </w:tcPr>
          <w:p w14:paraId="4F08B24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nil"/>
              <w:right w:val="single" w:sz="12" w:space="0" w:color="auto"/>
            </w:tcBorders>
            <w:noWrap/>
            <w:hideMark/>
          </w:tcPr>
          <w:p w14:paraId="1BAC421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-31.2</w:t>
            </w:r>
          </w:p>
        </w:tc>
      </w:tr>
      <w:tr w:rsidR="00394E20" w:rsidRPr="00B71F92" w14:paraId="24DC2790"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74384878"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2E412958"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Children aged 5-11</w:t>
            </w:r>
          </w:p>
        </w:tc>
        <w:tc>
          <w:tcPr>
            <w:tcW w:w="810" w:type="dxa"/>
            <w:tcBorders>
              <w:top w:val="nil"/>
              <w:left w:val="single" w:sz="12" w:space="0" w:color="auto"/>
              <w:bottom w:val="nil"/>
              <w:right w:val="single" w:sz="12" w:space="0" w:color="auto"/>
            </w:tcBorders>
            <w:noWrap/>
            <w:hideMark/>
          </w:tcPr>
          <w:p w14:paraId="14DBD14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-10.9</w:t>
            </w:r>
          </w:p>
        </w:tc>
        <w:tc>
          <w:tcPr>
            <w:tcW w:w="895" w:type="dxa"/>
            <w:tcBorders>
              <w:top w:val="nil"/>
              <w:left w:val="single" w:sz="12" w:space="0" w:color="auto"/>
              <w:bottom w:val="nil"/>
              <w:right w:val="nil"/>
            </w:tcBorders>
            <w:noWrap/>
            <w:hideMark/>
          </w:tcPr>
          <w:p w14:paraId="4FF8BFD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810" w:type="dxa"/>
            <w:tcBorders>
              <w:top w:val="nil"/>
              <w:left w:val="nil"/>
              <w:bottom w:val="nil"/>
              <w:right w:val="nil"/>
            </w:tcBorders>
            <w:noWrap/>
            <w:hideMark/>
          </w:tcPr>
          <w:p w14:paraId="14E3E77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6.6</w:t>
            </w:r>
          </w:p>
        </w:tc>
        <w:tc>
          <w:tcPr>
            <w:tcW w:w="905" w:type="dxa"/>
            <w:tcBorders>
              <w:top w:val="nil"/>
              <w:left w:val="nil"/>
              <w:bottom w:val="nil"/>
              <w:right w:val="single" w:sz="12" w:space="0" w:color="auto"/>
            </w:tcBorders>
            <w:noWrap/>
            <w:hideMark/>
          </w:tcPr>
          <w:p w14:paraId="06342DC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16.7</w:t>
            </w:r>
          </w:p>
        </w:tc>
        <w:tc>
          <w:tcPr>
            <w:tcW w:w="990" w:type="dxa"/>
            <w:tcBorders>
              <w:top w:val="nil"/>
              <w:left w:val="single" w:sz="12" w:space="0" w:color="auto"/>
              <w:bottom w:val="nil"/>
              <w:right w:val="nil"/>
            </w:tcBorders>
            <w:noWrap/>
            <w:hideMark/>
          </w:tcPr>
          <w:p w14:paraId="1ACC175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-13.9</w:t>
            </w:r>
          </w:p>
        </w:tc>
        <w:tc>
          <w:tcPr>
            <w:tcW w:w="810" w:type="dxa"/>
            <w:tcBorders>
              <w:top w:val="nil"/>
              <w:left w:val="nil"/>
              <w:bottom w:val="nil"/>
              <w:right w:val="nil"/>
            </w:tcBorders>
            <w:noWrap/>
            <w:hideMark/>
          </w:tcPr>
          <w:p w14:paraId="22A7158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16.8</w:t>
            </w:r>
          </w:p>
        </w:tc>
        <w:tc>
          <w:tcPr>
            <w:tcW w:w="1087" w:type="dxa"/>
            <w:tcBorders>
              <w:top w:val="nil"/>
              <w:left w:val="nil"/>
              <w:bottom w:val="nil"/>
              <w:right w:val="single" w:sz="12" w:space="0" w:color="auto"/>
            </w:tcBorders>
            <w:noWrap/>
            <w:hideMark/>
          </w:tcPr>
          <w:p w14:paraId="7EF0CD9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-26.4</w:t>
            </w:r>
          </w:p>
        </w:tc>
        <w:tc>
          <w:tcPr>
            <w:tcW w:w="990" w:type="dxa"/>
            <w:tcBorders>
              <w:top w:val="nil"/>
              <w:left w:val="single" w:sz="12" w:space="0" w:color="auto"/>
              <w:bottom w:val="nil"/>
              <w:right w:val="nil"/>
            </w:tcBorders>
            <w:noWrap/>
            <w:hideMark/>
          </w:tcPr>
          <w:p w14:paraId="770C81A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46.4</w:t>
            </w:r>
          </w:p>
        </w:tc>
        <w:tc>
          <w:tcPr>
            <w:tcW w:w="992" w:type="dxa"/>
            <w:tcBorders>
              <w:top w:val="nil"/>
              <w:left w:val="nil"/>
              <w:bottom w:val="nil"/>
              <w:right w:val="nil"/>
            </w:tcBorders>
            <w:noWrap/>
            <w:hideMark/>
          </w:tcPr>
          <w:p w14:paraId="35D7F06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-8.5</w:t>
            </w:r>
          </w:p>
        </w:tc>
        <w:tc>
          <w:tcPr>
            <w:tcW w:w="722" w:type="dxa"/>
            <w:tcBorders>
              <w:top w:val="nil"/>
              <w:left w:val="nil"/>
              <w:bottom w:val="nil"/>
              <w:right w:val="single" w:sz="12" w:space="0" w:color="auto"/>
            </w:tcBorders>
            <w:noWrap/>
            <w:hideMark/>
          </w:tcPr>
          <w:p w14:paraId="382EE44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nil"/>
              <w:right w:val="single" w:sz="12" w:space="0" w:color="auto"/>
            </w:tcBorders>
            <w:noWrap/>
            <w:hideMark/>
          </w:tcPr>
          <w:p w14:paraId="79F771F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-31.2</w:t>
            </w:r>
          </w:p>
        </w:tc>
      </w:tr>
      <w:tr w:rsidR="00394E20" w:rsidRPr="00B71F92" w14:paraId="575859B9"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2CE68B84"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4" w:space="0" w:color="auto"/>
              <w:right w:val="single" w:sz="12" w:space="0" w:color="auto"/>
            </w:tcBorders>
            <w:noWrap/>
            <w:vAlign w:val="center"/>
            <w:hideMark/>
          </w:tcPr>
          <w:p w14:paraId="23831661"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Children aged 12-17</w:t>
            </w:r>
          </w:p>
        </w:tc>
        <w:tc>
          <w:tcPr>
            <w:tcW w:w="810" w:type="dxa"/>
            <w:tcBorders>
              <w:top w:val="nil"/>
              <w:left w:val="single" w:sz="12" w:space="0" w:color="auto"/>
              <w:bottom w:val="single" w:sz="4" w:space="0" w:color="auto"/>
              <w:right w:val="single" w:sz="12" w:space="0" w:color="auto"/>
            </w:tcBorders>
            <w:noWrap/>
            <w:hideMark/>
          </w:tcPr>
          <w:p w14:paraId="76FE4F6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-10.9</w:t>
            </w:r>
          </w:p>
        </w:tc>
        <w:tc>
          <w:tcPr>
            <w:tcW w:w="895" w:type="dxa"/>
            <w:tcBorders>
              <w:top w:val="nil"/>
              <w:left w:val="single" w:sz="12" w:space="0" w:color="auto"/>
              <w:bottom w:val="single" w:sz="4" w:space="0" w:color="auto"/>
              <w:right w:val="nil"/>
            </w:tcBorders>
            <w:noWrap/>
            <w:hideMark/>
          </w:tcPr>
          <w:p w14:paraId="1538AC7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9.9</w:t>
            </w:r>
          </w:p>
        </w:tc>
        <w:tc>
          <w:tcPr>
            <w:tcW w:w="810" w:type="dxa"/>
            <w:tcBorders>
              <w:top w:val="nil"/>
              <w:left w:val="nil"/>
              <w:bottom w:val="single" w:sz="4" w:space="0" w:color="auto"/>
              <w:right w:val="nil"/>
            </w:tcBorders>
            <w:noWrap/>
            <w:hideMark/>
          </w:tcPr>
          <w:p w14:paraId="3A3CEB8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6.6</w:t>
            </w:r>
          </w:p>
        </w:tc>
        <w:tc>
          <w:tcPr>
            <w:tcW w:w="905" w:type="dxa"/>
            <w:tcBorders>
              <w:top w:val="nil"/>
              <w:left w:val="nil"/>
              <w:bottom w:val="single" w:sz="4" w:space="0" w:color="auto"/>
              <w:right w:val="single" w:sz="12" w:space="0" w:color="auto"/>
            </w:tcBorders>
            <w:noWrap/>
            <w:hideMark/>
          </w:tcPr>
          <w:p w14:paraId="4E2490E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23.1</w:t>
            </w:r>
          </w:p>
        </w:tc>
        <w:tc>
          <w:tcPr>
            <w:tcW w:w="990" w:type="dxa"/>
            <w:tcBorders>
              <w:top w:val="nil"/>
              <w:left w:val="single" w:sz="12" w:space="0" w:color="auto"/>
              <w:bottom w:val="single" w:sz="4" w:space="0" w:color="auto"/>
              <w:right w:val="nil"/>
            </w:tcBorders>
            <w:noWrap/>
            <w:hideMark/>
          </w:tcPr>
          <w:p w14:paraId="6BD6E4B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-14.4</w:t>
            </w:r>
          </w:p>
        </w:tc>
        <w:tc>
          <w:tcPr>
            <w:tcW w:w="810" w:type="dxa"/>
            <w:tcBorders>
              <w:top w:val="nil"/>
              <w:left w:val="nil"/>
              <w:bottom w:val="single" w:sz="4" w:space="0" w:color="auto"/>
              <w:right w:val="nil"/>
            </w:tcBorders>
            <w:noWrap/>
            <w:hideMark/>
          </w:tcPr>
          <w:p w14:paraId="2E11770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16.8</w:t>
            </w:r>
          </w:p>
        </w:tc>
        <w:tc>
          <w:tcPr>
            <w:tcW w:w="1087" w:type="dxa"/>
            <w:tcBorders>
              <w:top w:val="nil"/>
              <w:left w:val="nil"/>
              <w:bottom w:val="single" w:sz="4" w:space="0" w:color="auto"/>
              <w:right w:val="single" w:sz="12" w:space="0" w:color="auto"/>
            </w:tcBorders>
            <w:noWrap/>
            <w:hideMark/>
          </w:tcPr>
          <w:p w14:paraId="6F0F4D7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-26.4</w:t>
            </w:r>
          </w:p>
        </w:tc>
        <w:tc>
          <w:tcPr>
            <w:tcW w:w="990" w:type="dxa"/>
            <w:tcBorders>
              <w:top w:val="nil"/>
              <w:left w:val="single" w:sz="12" w:space="0" w:color="auto"/>
              <w:bottom w:val="single" w:sz="4" w:space="0" w:color="auto"/>
              <w:right w:val="nil"/>
            </w:tcBorders>
            <w:noWrap/>
            <w:hideMark/>
          </w:tcPr>
          <w:p w14:paraId="391C6C0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46.4</w:t>
            </w:r>
          </w:p>
        </w:tc>
        <w:tc>
          <w:tcPr>
            <w:tcW w:w="992" w:type="dxa"/>
            <w:tcBorders>
              <w:top w:val="nil"/>
              <w:left w:val="nil"/>
              <w:bottom w:val="single" w:sz="4" w:space="0" w:color="auto"/>
              <w:right w:val="nil"/>
            </w:tcBorders>
            <w:noWrap/>
            <w:hideMark/>
          </w:tcPr>
          <w:p w14:paraId="12685A2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-8.5</w:t>
            </w:r>
          </w:p>
        </w:tc>
        <w:tc>
          <w:tcPr>
            <w:tcW w:w="722" w:type="dxa"/>
            <w:tcBorders>
              <w:top w:val="nil"/>
              <w:left w:val="nil"/>
              <w:bottom w:val="single" w:sz="4" w:space="0" w:color="auto"/>
              <w:right w:val="single" w:sz="12" w:space="0" w:color="auto"/>
            </w:tcBorders>
            <w:noWrap/>
            <w:hideMark/>
          </w:tcPr>
          <w:p w14:paraId="485834D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single" w:sz="4" w:space="0" w:color="auto"/>
              <w:right w:val="single" w:sz="12" w:space="0" w:color="auto"/>
            </w:tcBorders>
            <w:noWrap/>
            <w:hideMark/>
          </w:tcPr>
          <w:p w14:paraId="7AEFA9F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-31.2</w:t>
            </w:r>
          </w:p>
        </w:tc>
      </w:tr>
      <w:tr w:rsidR="00394E20" w:rsidRPr="00B71F92" w14:paraId="33326BB9" w14:textId="77777777" w:rsidTr="00AF15D1">
        <w:trPr>
          <w:trHeight w:val="216"/>
          <w:jc w:val="center"/>
        </w:trPr>
        <w:tc>
          <w:tcPr>
            <w:tcW w:w="14079" w:type="dxa"/>
            <w:gridSpan w:val="13"/>
            <w:tcBorders>
              <w:top w:val="single" w:sz="4" w:space="0" w:color="auto"/>
              <w:left w:val="single" w:sz="12" w:space="0" w:color="auto"/>
              <w:bottom w:val="single" w:sz="4" w:space="0" w:color="auto"/>
              <w:right w:val="single" w:sz="12" w:space="0" w:color="auto"/>
            </w:tcBorders>
            <w:noWrap/>
            <w:vAlign w:val="center"/>
          </w:tcPr>
          <w:p w14:paraId="7376E4BF" w14:textId="77777777" w:rsidR="00394E20" w:rsidRPr="00B71F92" w:rsidRDefault="00394E20" w:rsidP="00AF15D1">
            <w:pPr>
              <w:tabs>
                <w:tab w:val="decimal" w:pos="270"/>
              </w:tabs>
              <w:spacing w:after="0" w:line="240" w:lineRule="auto"/>
              <w:rPr>
                <w:b/>
                <w:bCs/>
                <w:i/>
                <w:iCs/>
                <w:sz w:val="18"/>
                <w:szCs w:val="18"/>
              </w:rPr>
            </w:pPr>
            <w:r w:rsidRPr="00B71F92">
              <w:rPr>
                <w:b/>
                <w:bCs/>
                <w:i/>
                <w:iCs/>
                <w:sz w:val="18"/>
                <w:szCs w:val="18"/>
              </w:rPr>
              <w:t>Employment-Related and Education Variables</w:t>
            </w:r>
          </w:p>
        </w:tc>
      </w:tr>
      <w:tr w:rsidR="00394E20" w:rsidRPr="00B71F92" w14:paraId="3C22002E"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305B6742"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Employment</w:t>
            </w:r>
          </w:p>
        </w:tc>
        <w:tc>
          <w:tcPr>
            <w:tcW w:w="2700" w:type="dxa"/>
            <w:tcBorders>
              <w:top w:val="single" w:sz="4" w:space="0" w:color="auto"/>
              <w:left w:val="nil"/>
              <w:bottom w:val="nil"/>
              <w:right w:val="single" w:sz="12" w:space="0" w:color="auto"/>
            </w:tcBorders>
            <w:noWrap/>
            <w:vAlign w:val="center"/>
            <w:hideMark/>
          </w:tcPr>
          <w:p w14:paraId="3D951AA8"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No Employed Adults</w:t>
            </w:r>
          </w:p>
        </w:tc>
        <w:tc>
          <w:tcPr>
            <w:tcW w:w="810" w:type="dxa"/>
            <w:tcBorders>
              <w:top w:val="single" w:sz="4" w:space="0" w:color="auto"/>
              <w:left w:val="single" w:sz="12" w:space="0" w:color="auto"/>
              <w:bottom w:val="nil"/>
              <w:right w:val="single" w:sz="12" w:space="0" w:color="auto"/>
            </w:tcBorders>
            <w:noWrap/>
            <w:hideMark/>
          </w:tcPr>
          <w:p w14:paraId="1C2C640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-24.6</w:t>
            </w:r>
          </w:p>
        </w:tc>
        <w:tc>
          <w:tcPr>
            <w:tcW w:w="895" w:type="dxa"/>
            <w:tcBorders>
              <w:top w:val="single" w:sz="4" w:space="0" w:color="auto"/>
              <w:left w:val="single" w:sz="12" w:space="0" w:color="auto"/>
              <w:bottom w:val="nil"/>
              <w:right w:val="nil"/>
            </w:tcBorders>
            <w:noWrap/>
            <w:hideMark/>
          </w:tcPr>
          <w:p w14:paraId="6E06B8A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-45.2</w:t>
            </w:r>
          </w:p>
        </w:tc>
        <w:tc>
          <w:tcPr>
            <w:tcW w:w="810" w:type="dxa"/>
            <w:tcBorders>
              <w:top w:val="single" w:sz="4" w:space="0" w:color="auto"/>
              <w:left w:val="nil"/>
              <w:bottom w:val="nil"/>
              <w:right w:val="nil"/>
            </w:tcBorders>
            <w:noWrap/>
            <w:hideMark/>
          </w:tcPr>
          <w:p w14:paraId="12E6195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single" w:sz="4" w:space="0" w:color="auto"/>
              <w:left w:val="nil"/>
              <w:bottom w:val="nil"/>
              <w:right w:val="single" w:sz="12" w:space="0" w:color="auto"/>
            </w:tcBorders>
            <w:noWrap/>
            <w:hideMark/>
          </w:tcPr>
          <w:p w14:paraId="2067B7A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22.5</w:t>
            </w:r>
          </w:p>
        </w:tc>
        <w:tc>
          <w:tcPr>
            <w:tcW w:w="990" w:type="dxa"/>
            <w:tcBorders>
              <w:top w:val="single" w:sz="4" w:space="0" w:color="auto"/>
              <w:left w:val="single" w:sz="12" w:space="0" w:color="auto"/>
              <w:bottom w:val="nil"/>
              <w:right w:val="nil"/>
            </w:tcBorders>
            <w:noWrap/>
            <w:hideMark/>
          </w:tcPr>
          <w:p w14:paraId="45FDB50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-13.9</w:t>
            </w:r>
          </w:p>
        </w:tc>
        <w:tc>
          <w:tcPr>
            <w:tcW w:w="810" w:type="dxa"/>
            <w:tcBorders>
              <w:top w:val="single" w:sz="4" w:space="0" w:color="auto"/>
              <w:left w:val="nil"/>
              <w:bottom w:val="nil"/>
              <w:right w:val="nil"/>
            </w:tcBorders>
            <w:noWrap/>
            <w:hideMark/>
          </w:tcPr>
          <w:p w14:paraId="3117615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29.4</w:t>
            </w:r>
          </w:p>
        </w:tc>
        <w:tc>
          <w:tcPr>
            <w:tcW w:w="1087" w:type="dxa"/>
            <w:tcBorders>
              <w:top w:val="single" w:sz="4" w:space="0" w:color="auto"/>
              <w:left w:val="nil"/>
              <w:bottom w:val="nil"/>
              <w:right w:val="single" w:sz="12" w:space="0" w:color="auto"/>
            </w:tcBorders>
            <w:noWrap/>
            <w:hideMark/>
          </w:tcPr>
          <w:p w14:paraId="68FEAB4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-61.0</w:t>
            </w:r>
          </w:p>
        </w:tc>
        <w:tc>
          <w:tcPr>
            <w:tcW w:w="990" w:type="dxa"/>
            <w:tcBorders>
              <w:top w:val="single" w:sz="4" w:space="0" w:color="auto"/>
              <w:left w:val="single" w:sz="12" w:space="0" w:color="auto"/>
              <w:bottom w:val="nil"/>
              <w:right w:val="nil"/>
            </w:tcBorders>
            <w:noWrap/>
            <w:hideMark/>
          </w:tcPr>
          <w:p w14:paraId="0CFDF77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single" w:sz="4" w:space="0" w:color="auto"/>
              <w:left w:val="nil"/>
              <w:bottom w:val="nil"/>
              <w:right w:val="nil"/>
            </w:tcBorders>
            <w:noWrap/>
            <w:hideMark/>
          </w:tcPr>
          <w:p w14:paraId="060AA7C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42.4</w:t>
            </w:r>
          </w:p>
        </w:tc>
        <w:tc>
          <w:tcPr>
            <w:tcW w:w="722" w:type="dxa"/>
            <w:tcBorders>
              <w:top w:val="single" w:sz="4" w:space="0" w:color="auto"/>
              <w:left w:val="nil"/>
              <w:bottom w:val="nil"/>
              <w:right w:val="single" w:sz="12" w:space="0" w:color="auto"/>
            </w:tcBorders>
            <w:noWrap/>
            <w:hideMark/>
          </w:tcPr>
          <w:p w14:paraId="61D3758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121.1</w:t>
            </w:r>
          </w:p>
        </w:tc>
        <w:tc>
          <w:tcPr>
            <w:tcW w:w="1121" w:type="dxa"/>
            <w:tcBorders>
              <w:top w:val="single" w:sz="4" w:space="0" w:color="auto"/>
              <w:left w:val="single" w:sz="12" w:space="0" w:color="auto"/>
              <w:bottom w:val="nil"/>
              <w:right w:val="single" w:sz="12" w:space="0" w:color="auto"/>
            </w:tcBorders>
            <w:noWrap/>
            <w:hideMark/>
          </w:tcPr>
          <w:p w14:paraId="0851908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-43.7</w:t>
            </w:r>
          </w:p>
        </w:tc>
      </w:tr>
      <w:tr w:rsidR="00394E20" w:rsidRPr="00B71F92" w14:paraId="48FA456C"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7F6DB195"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2E42AF45"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Presence of employed adult</w:t>
            </w:r>
          </w:p>
        </w:tc>
        <w:tc>
          <w:tcPr>
            <w:tcW w:w="810" w:type="dxa"/>
            <w:tcBorders>
              <w:top w:val="nil"/>
              <w:left w:val="single" w:sz="12" w:space="0" w:color="auto"/>
              <w:bottom w:val="nil"/>
              <w:right w:val="single" w:sz="12" w:space="0" w:color="auto"/>
            </w:tcBorders>
            <w:noWrap/>
            <w:hideMark/>
          </w:tcPr>
          <w:p w14:paraId="4F4AB39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-8.9</w:t>
            </w:r>
          </w:p>
        </w:tc>
        <w:tc>
          <w:tcPr>
            <w:tcW w:w="895" w:type="dxa"/>
            <w:tcBorders>
              <w:top w:val="nil"/>
              <w:left w:val="single" w:sz="12" w:space="0" w:color="auto"/>
              <w:bottom w:val="nil"/>
              <w:right w:val="nil"/>
            </w:tcBorders>
            <w:noWrap/>
            <w:hideMark/>
          </w:tcPr>
          <w:p w14:paraId="7FD7C92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33.9</w:t>
            </w:r>
          </w:p>
        </w:tc>
        <w:tc>
          <w:tcPr>
            <w:tcW w:w="810" w:type="dxa"/>
            <w:tcBorders>
              <w:top w:val="nil"/>
              <w:left w:val="nil"/>
              <w:bottom w:val="nil"/>
              <w:right w:val="nil"/>
            </w:tcBorders>
            <w:noWrap/>
            <w:hideMark/>
          </w:tcPr>
          <w:p w14:paraId="144C79D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nil"/>
              <w:left w:val="nil"/>
              <w:bottom w:val="nil"/>
              <w:right w:val="single" w:sz="12" w:space="0" w:color="auto"/>
            </w:tcBorders>
            <w:noWrap/>
            <w:hideMark/>
          </w:tcPr>
          <w:p w14:paraId="54EC030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nil"/>
              <w:left w:val="single" w:sz="12" w:space="0" w:color="auto"/>
              <w:bottom w:val="nil"/>
              <w:right w:val="nil"/>
            </w:tcBorders>
            <w:noWrap/>
            <w:hideMark/>
          </w:tcPr>
          <w:p w14:paraId="7D3C108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-13.9</w:t>
            </w:r>
          </w:p>
        </w:tc>
        <w:tc>
          <w:tcPr>
            <w:tcW w:w="810" w:type="dxa"/>
            <w:tcBorders>
              <w:top w:val="nil"/>
              <w:left w:val="nil"/>
              <w:bottom w:val="nil"/>
              <w:right w:val="nil"/>
            </w:tcBorders>
            <w:noWrap/>
            <w:hideMark/>
          </w:tcPr>
          <w:p w14:paraId="0453231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32.6</w:t>
            </w:r>
          </w:p>
        </w:tc>
        <w:tc>
          <w:tcPr>
            <w:tcW w:w="1087" w:type="dxa"/>
            <w:tcBorders>
              <w:top w:val="nil"/>
              <w:left w:val="nil"/>
              <w:bottom w:val="nil"/>
              <w:right w:val="single" w:sz="12" w:space="0" w:color="auto"/>
            </w:tcBorders>
            <w:noWrap/>
            <w:hideMark/>
          </w:tcPr>
          <w:p w14:paraId="0475588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-7.2</w:t>
            </w:r>
          </w:p>
        </w:tc>
        <w:tc>
          <w:tcPr>
            <w:tcW w:w="990" w:type="dxa"/>
            <w:tcBorders>
              <w:top w:val="nil"/>
              <w:left w:val="single" w:sz="12" w:space="0" w:color="auto"/>
              <w:bottom w:val="nil"/>
              <w:right w:val="nil"/>
            </w:tcBorders>
            <w:noWrap/>
            <w:hideMark/>
          </w:tcPr>
          <w:p w14:paraId="24D14D7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nil"/>
              <w:right w:val="nil"/>
            </w:tcBorders>
            <w:noWrap/>
            <w:hideMark/>
          </w:tcPr>
          <w:p w14:paraId="0C94B63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-27.6</w:t>
            </w:r>
          </w:p>
        </w:tc>
        <w:tc>
          <w:tcPr>
            <w:tcW w:w="722" w:type="dxa"/>
            <w:tcBorders>
              <w:top w:val="nil"/>
              <w:left w:val="nil"/>
              <w:bottom w:val="nil"/>
              <w:right w:val="single" w:sz="12" w:space="0" w:color="auto"/>
            </w:tcBorders>
            <w:noWrap/>
            <w:hideMark/>
          </w:tcPr>
          <w:p w14:paraId="401EADA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-58.6</w:t>
            </w:r>
          </w:p>
        </w:tc>
        <w:tc>
          <w:tcPr>
            <w:tcW w:w="1121" w:type="dxa"/>
            <w:tcBorders>
              <w:top w:val="nil"/>
              <w:left w:val="single" w:sz="12" w:space="0" w:color="auto"/>
              <w:bottom w:val="nil"/>
              <w:right w:val="single" w:sz="12" w:space="0" w:color="auto"/>
            </w:tcBorders>
            <w:noWrap/>
            <w:hideMark/>
          </w:tcPr>
          <w:p w14:paraId="73F995F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-31.4</w:t>
            </w:r>
          </w:p>
        </w:tc>
      </w:tr>
      <w:tr w:rsidR="00394E20" w:rsidRPr="00B71F92" w14:paraId="495ACC6C"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44461846"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501E1FAD"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Adult with more than one job</w:t>
            </w:r>
          </w:p>
        </w:tc>
        <w:tc>
          <w:tcPr>
            <w:tcW w:w="810" w:type="dxa"/>
            <w:tcBorders>
              <w:top w:val="nil"/>
              <w:left w:val="single" w:sz="12" w:space="0" w:color="auto"/>
              <w:bottom w:val="nil"/>
              <w:right w:val="single" w:sz="12" w:space="0" w:color="auto"/>
            </w:tcBorders>
            <w:noWrap/>
            <w:hideMark/>
          </w:tcPr>
          <w:p w14:paraId="2EB21F6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-8.9</w:t>
            </w:r>
          </w:p>
        </w:tc>
        <w:tc>
          <w:tcPr>
            <w:tcW w:w="895" w:type="dxa"/>
            <w:tcBorders>
              <w:top w:val="nil"/>
              <w:left w:val="single" w:sz="12" w:space="0" w:color="auto"/>
              <w:bottom w:val="nil"/>
              <w:right w:val="nil"/>
            </w:tcBorders>
            <w:noWrap/>
            <w:hideMark/>
          </w:tcPr>
          <w:p w14:paraId="026C111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24.9</w:t>
            </w:r>
          </w:p>
        </w:tc>
        <w:tc>
          <w:tcPr>
            <w:tcW w:w="810" w:type="dxa"/>
            <w:tcBorders>
              <w:top w:val="nil"/>
              <w:left w:val="nil"/>
              <w:bottom w:val="nil"/>
              <w:right w:val="nil"/>
            </w:tcBorders>
            <w:noWrap/>
            <w:hideMark/>
          </w:tcPr>
          <w:p w14:paraId="06D90C5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nil"/>
              <w:left w:val="nil"/>
              <w:bottom w:val="nil"/>
              <w:right w:val="single" w:sz="12" w:space="0" w:color="auto"/>
            </w:tcBorders>
            <w:noWrap/>
            <w:hideMark/>
          </w:tcPr>
          <w:p w14:paraId="4FBBC6D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nil"/>
              <w:left w:val="single" w:sz="12" w:space="0" w:color="auto"/>
              <w:bottom w:val="nil"/>
              <w:right w:val="nil"/>
            </w:tcBorders>
            <w:noWrap/>
            <w:hideMark/>
          </w:tcPr>
          <w:p w14:paraId="71C8176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-13.6</w:t>
            </w:r>
          </w:p>
        </w:tc>
        <w:tc>
          <w:tcPr>
            <w:tcW w:w="810" w:type="dxa"/>
            <w:tcBorders>
              <w:top w:val="nil"/>
              <w:left w:val="nil"/>
              <w:bottom w:val="nil"/>
              <w:right w:val="nil"/>
            </w:tcBorders>
            <w:noWrap/>
            <w:hideMark/>
          </w:tcPr>
          <w:p w14:paraId="2436141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32.6</w:t>
            </w:r>
          </w:p>
        </w:tc>
        <w:tc>
          <w:tcPr>
            <w:tcW w:w="1087" w:type="dxa"/>
            <w:tcBorders>
              <w:top w:val="nil"/>
              <w:left w:val="nil"/>
              <w:bottom w:val="nil"/>
              <w:right w:val="single" w:sz="12" w:space="0" w:color="auto"/>
            </w:tcBorders>
            <w:noWrap/>
            <w:hideMark/>
          </w:tcPr>
          <w:p w14:paraId="49ADC28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-7.2</w:t>
            </w:r>
          </w:p>
        </w:tc>
        <w:tc>
          <w:tcPr>
            <w:tcW w:w="990" w:type="dxa"/>
            <w:tcBorders>
              <w:top w:val="nil"/>
              <w:left w:val="single" w:sz="12" w:space="0" w:color="auto"/>
              <w:bottom w:val="nil"/>
              <w:right w:val="nil"/>
            </w:tcBorders>
            <w:noWrap/>
            <w:hideMark/>
          </w:tcPr>
          <w:p w14:paraId="2A0D48E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nil"/>
              <w:right w:val="nil"/>
            </w:tcBorders>
            <w:noWrap/>
            <w:hideMark/>
          </w:tcPr>
          <w:p w14:paraId="5AB3A4A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-28.3</w:t>
            </w:r>
          </w:p>
        </w:tc>
        <w:tc>
          <w:tcPr>
            <w:tcW w:w="722" w:type="dxa"/>
            <w:tcBorders>
              <w:top w:val="nil"/>
              <w:left w:val="nil"/>
              <w:bottom w:val="nil"/>
              <w:right w:val="single" w:sz="12" w:space="0" w:color="auto"/>
            </w:tcBorders>
            <w:noWrap/>
            <w:hideMark/>
          </w:tcPr>
          <w:p w14:paraId="38C0A4D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-58.6</w:t>
            </w:r>
          </w:p>
        </w:tc>
        <w:tc>
          <w:tcPr>
            <w:tcW w:w="1121" w:type="dxa"/>
            <w:tcBorders>
              <w:top w:val="nil"/>
              <w:left w:val="single" w:sz="12" w:space="0" w:color="auto"/>
              <w:bottom w:val="nil"/>
              <w:right w:val="single" w:sz="12" w:space="0" w:color="auto"/>
            </w:tcBorders>
            <w:noWrap/>
            <w:hideMark/>
          </w:tcPr>
          <w:p w14:paraId="51807D7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-31.4</w:t>
            </w:r>
          </w:p>
        </w:tc>
      </w:tr>
      <w:tr w:rsidR="00394E20" w:rsidRPr="00B71F92" w14:paraId="46A63071"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3B6124ED"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18D25BD6"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 xml:space="preserve">Job </w:t>
            </w:r>
            <w:proofErr w:type="gramStart"/>
            <w:r w:rsidRPr="00B71F92">
              <w:rPr>
                <w:rFonts w:eastAsia="Times New Roman"/>
                <w:color w:val="000000"/>
                <w:sz w:val="18"/>
                <w:szCs w:val="18"/>
              </w:rPr>
              <w:t>change</w:t>
            </w:r>
            <w:proofErr w:type="gramEnd"/>
            <w:r w:rsidRPr="00B71F92">
              <w:rPr>
                <w:rFonts w:eastAsia="Times New Roman"/>
                <w:color w:val="000000"/>
                <w:sz w:val="18"/>
                <w:szCs w:val="18"/>
              </w:rPr>
              <w:t xml:space="preserve"> in past five years</w:t>
            </w:r>
          </w:p>
        </w:tc>
        <w:tc>
          <w:tcPr>
            <w:tcW w:w="810" w:type="dxa"/>
            <w:tcBorders>
              <w:top w:val="nil"/>
              <w:left w:val="single" w:sz="12" w:space="0" w:color="auto"/>
              <w:bottom w:val="nil"/>
              <w:right w:val="single" w:sz="12" w:space="0" w:color="auto"/>
            </w:tcBorders>
            <w:noWrap/>
            <w:hideMark/>
          </w:tcPr>
          <w:p w14:paraId="5919DC0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w:t>
            </w:r>
          </w:p>
        </w:tc>
        <w:tc>
          <w:tcPr>
            <w:tcW w:w="895" w:type="dxa"/>
            <w:tcBorders>
              <w:top w:val="nil"/>
              <w:left w:val="single" w:sz="12" w:space="0" w:color="auto"/>
              <w:bottom w:val="nil"/>
              <w:right w:val="nil"/>
            </w:tcBorders>
            <w:noWrap/>
            <w:hideMark/>
          </w:tcPr>
          <w:p w14:paraId="501A2C9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31.9</w:t>
            </w:r>
          </w:p>
        </w:tc>
        <w:tc>
          <w:tcPr>
            <w:tcW w:w="810" w:type="dxa"/>
            <w:tcBorders>
              <w:top w:val="nil"/>
              <w:left w:val="nil"/>
              <w:bottom w:val="nil"/>
              <w:right w:val="nil"/>
            </w:tcBorders>
            <w:noWrap/>
            <w:hideMark/>
          </w:tcPr>
          <w:p w14:paraId="172C897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nil"/>
              <w:left w:val="nil"/>
              <w:bottom w:val="nil"/>
              <w:right w:val="single" w:sz="12" w:space="0" w:color="auto"/>
            </w:tcBorders>
            <w:noWrap/>
            <w:hideMark/>
          </w:tcPr>
          <w:p w14:paraId="22A2B5C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nil"/>
              <w:left w:val="single" w:sz="12" w:space="0" w:color="auto"/>
              <w:bottom w:val="nil"/>
              <w:right w:val="nil"/>
            </w:tcBorders>
            <w:noWrap/>
            <w:hideMark/>
          </w:tcPr>
          <w:p w14:paraId="572496C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-13.9</w:t>
            </w:r>
          </w:p>
        </w:tc>
        <w:tc>
          <w:tcPr>
            <w:tcW w:w="810" w:type="dxa"/>
            <w:tcBorders>
              <w:top w:val="nil"/>
              <w:left w:val="nil"/>
              <w:bottom w:val="nil"/>
              <w:right w:val="nil"/>
            </w:tcBorders>
            <w:noWrap/>
            <w:hideMark/>
          </w:tcPr>
          <w:p w14:paraId="31B9BB1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nil"/>
              <w:left w:val="nil"/>
              <w:bottom w:val="nil"/>
              <w:right w:val="single" w:sz="12" w:space="0" w:color="auto"/>
            </w:tcBorders>
            <w:noWrap/>
            <w:hideMark/>
          </w:tcPr>
          <w:p w14:paraId="3D4C51C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bottom w:val="nil"/>
              <w:right w:val="nil"/>
            </w:tcBorders>
            <w:noWrap/>
            <w:hideMark/>
          </w:tcPr>
          <w:p w14:paraId="33EA1E0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nil"/>
              <w:right w:val="nil"/>
            </w:tcBorders>
            <w:noWrap/>
            <w:hideMark/>
          </w:tcPr>
          <w:p w14:paraId="378DD69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-8.4</w:t>
            </w:r>
          </w:p>
        </w:tc>
        <w:tc>
          <w:tcPr>
            <w:tcW w:w="722" w:type="dxa"/>
            <w:tcBorders>
              <w:top w:val="nil"/>
              <w:left w:val="nil"/>
              <w:bottom w:val="nil"/>
              <w:right w:val="single" w:sz="12" w:space="0" w:color="auto"/>
            </w:tcBorders>
            <w:noWrap/>
            <w:hideMark/>
          </w:tcPr>
          <w:p w14:paraId="576F457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-70.5</w:t>
            </w:r>
          </w:p>
        </w:tc>
        <w:tc>
          <w:tcPr>
            <w:tcW w:w="1121" w:type="dxa"/>
            <w:tcBorders>
              <w:top w:val="nil"/>
              <w:left w:val="single" w:sz="12" w:space="0" w:color="auto"/>
              <w:bottom w:val="nil"/>
              <w:right w:val="single" w:sz="12" w:space="0" w:color="auto"/>
            </w:tcBorders>
            <w:noWrap/>
            <w:hideMark/>
          </w:tcPr>
          <w:p w14:paraId="62C8A67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353B269C"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709D2E66"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4" w:space="0" w:color="auto"/>
              <w:right w:val="single" w:sz="12" w:space="0" w:color="auto"/>
            </w:tcBorders>
            <w:noWrap/>
            <w:vAlign w:val="bottom"/>
            <w:hideMark/>
          </w:tcPr>
          <w:p w14:paraId="5909E69B"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No Job change in past five years</w:t>
            </w:r>
          </w:p>
        </w:tc>
        <w:tc>
          <w:tcPr>
            <w:tcW w:w="810" w:type="dxa"/>
            <w:tcBorders>
              <w:top w:val="nil"/>
              <w:left w:val="single" w:sz="12" w:space="0" w:color="auto"/>
              <w:bottom w:val="single" w:sz="4" w:space="0" w:color="auto"/>
              <w:right w:val="single" w:sz="12" w:space="0" w:color="auto"/>
            </w:tcBorders>
            <w:noWrap/>
            <w:hideMark/>
          </w:tcPr>
          <w:p w14:paraId="6BE0A35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-18.6</w:t>
            </w:r>
          </w:p>
        </w:tc>
        <w:tc>
          <w:tcPr>
            <w:tcW w:w="895" w:type="dxa"/>
            <w:tcBorders>
              <w:top w:val="nil"/>
              <w:left w:val="single" w:sz="12" w:space="0" w:color="auto"/>
              <w:bottom w:val="single" w:sz="4" w:space="0" w:color="auto"/>
              <w:right w:val="nil"/>
            </w:tcBorders>
            <w:noWrap/>
            <w:hideMark/>
          </w:tcPr>
          <w:p w14:paraId="23E75B6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-6.2</w:t>
            </w:r>
          </w:p>
        </w:tc>
        <w:tc>
          <w:tcPr>
            <w:tcW w:w="810" w:type="dxa"/>
            <w:tcBorders>
              <w:top w:val="nil"/>
              <w:left w:val="nil"/>
              <w:bottom w:val="single" w:sz="4" w:space="0" w:color="auto"/>
              <w:right w:val="nil"/>
            </w:tcBorders>
            <w:noWrap/>
            <w:hideMark/>
          </w:tcPr>
          <w:p w14:paraId="7DAA891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nil"/>
              <w:left w:val="nil"/>
              <w:bottom w:val="single" w:sz="4" w:space="0" w:color="auto"/>
              <w:right w:val="single" w:sz="12" w:space="0" w:color="auto"/>
            </w:tcBorders>
            <w:noWrap/>
            <w:hideMark/>
          </w:tcPr>
          <w:p w14:paraId="125AD95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23.2</w:t>
            </w:r>
          </w:p>
        </w:tc>
        <w:tc>
          <w:tcPr>
            <w:tcW w:w="990" w:type="dxa"/>
            <w:tcBorders>
              <w:top w:val="nil"/>
              <w:left w:val="single" w:sz="12" w:space="0" w:color="auto"/>
              <w:bottom w:val="single" w:sz="4" w:space="0" w:color="auto"/>
              <w:right w:val="nil"/>
            </w:tcBorders>
            <w:noWrap/>
            <w:hideMark/>
          </w:tcPr>
          <w:p w14:paraId="4250438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-13.9</w:t>
            </w:r>
          </w:p>
        </w:tc>
        <w:tc>
          <w:tcPr>
            <w:tcW w:w="810" w:type="dxa"/>
            <w:tcBorders>
              <w:top w:val="nil"/>
              <w:left w:val="nil"/>
              <w:bottom w:val="single" w:sz="4" w:space="0" w:color="auto"/>
              <w:right w:val="nil"/>
            </w:tcBorders>
            <w:noWrap/>
            <w:hideMark/>
          </w:tcPr>
          <w:p w14:paraId="1C3C88D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nil"/>
              <w:left w:val="nil"/>
              <w:bottom w:val="single" w:sz="4" w:space="0" w:color="auto"/>
              <w:right w:val="single" w:sz="12" w:space="0" w:color="auto"/>
            </w:tcBorders>
            <w:noWrap/>
            <w:hideMark/>
          </w:tcPr>
          <w:p w14:paraId="595A42F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bottom w:val="single" w:sz="4" w:space="0" w:color="auto"/>
              <w:right w:val="nil"/>
            </w:tcBorders>
            <w:noWrap/>
            <w:hideMark/>
          </w:tcPr>
          <w:p w14:paraId="76C7298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single" w:sz="4" w:space="0" w:color="auto"/>
              <w:right w:val="nil"/>
            </w:tcBorders>
            <w:noWrap/>
            <w:hideMark/>
          </w:tcPr>
          <w:p w14:paraId="51905A2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-6.5</w:t>
            </w:r>
          </w:p>
        </w:tc>
        <w:tc>
          <w:tcPr>
            <w:tcW w:w="722" w:type="dxa"/>
            <w:tcBorders>
              <w:top w:val="nil"/>
              <w:left w:val="nil"/>
              <w:bottom w:val="single" w:sz="4" w:space="0" w:color="auto"/>
              <w:right w:val="single" w:sz="12" w:space="0" w:color="auto"/>
            </w:tcBorders>
            <w:noWrap/>
            <w:hideMark/>
          </w:tcPr>
          <w:p w14:paraId="29DEB89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-13.6</w:t>
            </w:r>
          </w:p>
        </w:tc>
        <w:tc>
          <w:tcPr>
            <w:tcW w:w="1121" w:type="dxa"/>
            <w:tcBorders>
              <w:top w:val="nil"/>
              <w:left w:val="single" w:sz="12" w:space="0" w:color="auto"/>
              <w:bottom w:val="single" w:sz="4" w:space="0" w:color="auto"/>
              <w:right w:val="single" w:sz="12" w:space="0" w:color="auto"/>
            </w:tcBorders>
            <w:noWrap/>
            <w:hideMark/>
          </w:tcPr>
          <w:p w14:paraId="605B9A4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79058372"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3944EFB6"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Household Income</w:t>
            </w:r>
          </w:p>
        </w:tc>
        <w:tc>
          <w:tcPr>
            <w:tcW w:w="2700" w:type="dxa"/>
            <w:tcBorders>
              <w:top w:val="single" w:sz="4" w:space="0" w:color="auto"/>
              <w:left w:val="nil"/>
              <w:bottom w:val="nil"/>
              <w:right w:val="single" w:sz="12" w:space="0" w:color="auto"/>
            </w:tcBorders>
            <w:noWrap/>
            <w:vAlign w:val="center"/>
            <w:hideMark/>
          </w:tcPr>
          <w:p w14:paraId="24ACE612"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Less than $50,000</w:t>
            </w:r>
          </w:p>
        </w:tc>
        <w:tc>
          <w:tcPr>
            <w:tcW w:w="810" w:type="dxa"/>
            <w:tcBorders>
              <w:top w:val="single" w:sz="4" w:space="0" w:color="auto"/>
              <w:left w:val="single" w:sz="12" w:space="0" w:color="auto"/>
              <w:bottom w:val="nil"/>
              <w:right w:val="single" w:sz="12" w:space="0" w:color="auto"/>
            </w:tcBorders>
            <w:noWrap/>
            <w:hideMark/>
          </w:tcPr>
          <w:p w14:paraId="180308E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-15.8</w:t>
            </w:r>
          </w:p>
        </w:tc>
        <w:tc>
          <w:tcPr>
            <w:tcW w:w="895" w:type="dxa"/>
            <w:tcBorders>
              <w:top w:val="single" w:sz="4" w:space="0" w:color="auto"/>
              <w:left w:val="single" w:sz="12" w:space="0" w:color="auto"/>
              <w:bottom w:val="nil"/>
              <w:right w:val="nil"/>
            </w:tcBorders>
            <w:noWrap/>
            <w:hideMark/>
          </w:tcPr>
          <w:p w14:paraId="477A0B0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152.1</w:t>
            </w:r>
          </w:p>
        </w:tc>
        <w:tc>
          <w:tcPr>
            <w:tcW w:w="810" w:type="dxa"/>
            <w:tcBorders>
              <w:top w:val="single" w:sz="4" w:space="0" w:color="auto"/>
              <w:left w:val="nil"/>
              <w:bottom w:val="nil"/>
              <w:right w:val="nil"/>
            </w:tcBorders>
            <w:noWrap/>
            <w:hideMark/>
          </w:tcPr>
          <w:p w14:paraId="30067F8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5.8</w:t>
            </w:r>
          </w:p>
        </w:tc>
        <w:tc>
          <w:tcPr>
            <w:tcW w:w="905" w:type="dxa"/>
            <w:tcBorders>
              <w:top w:val="single" w:sz="4" w:space="0" w:color="auto"/>
              <w:left w:val="nil"/>
              <w:bottom w:val="nil"/>
              <w:right w:val="single" w:sz="12" w:space="0" w:color="auto"/>
            </w:tcBorders>
            <w:noWrap/>
            <w:hideMark/>
          </w:tcPr>
          <w:p w14:paraId="0456884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16.7</w:t>
            </w:r>
          </w:p>
        </w:tc>
        <w:tc>
          <w:tcPr>
            <w:tcW w:w="990" w:type="dxa"/>
            <w:tcBorders>
              <w:top w:val="single" w:sz="4" w:space="0" w:color="auto"/>
              <w:left w:val="single" w:sz="12" w:space="0" w:color="auto"/>
              <w:bottom w:val="nil"/>
              <w:right w:val="nil"/>
            </w:tcBorders>
            <w:noWrap/>
            <w:hideMark/>
          </w:tcPr>
          <w:p w14:paraId="06B5D9E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-15.0</w:t>
            </w:r>
          </w:p>
        </w:tc>
        <w:tc>
          <w:tcPr>
            <w:tcW w:w="810" w:type="dxa"/>
            <w:tcBorders>
              <w:top w:val="single" w:sz="4" w:space="0" w:color="auto"/>
              <w:left w:val="nil"/>
              <w:bottom w:val="nil"/>
              <w:right w:val="nil"/>
            </w:tcBorders>
            <w:noWrap/>
            <w:hideMark/>
          </w:tcPr>
          <w:p w14:paraId="0975B79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68.9</w:t>
            </w:r>
          </w:p>
        </w:tc>
        <w:tc>
          <w:tcPr>
            <w:tcW w:w="1087" w:type="dxa"/>
            <w:tcBorders>
              <w:top w:val="single" w:sz="4" w:space="0" w:color="auto"/>
              <w:left w:val="nil"/>
              <w:bottom w:val="nil"/>
              <w:right w:val="single" w:sz="12" w:space="0" w:color="auto"/>
            </w:tcBorders>
            <w:noWrap/>
            <w:hideMark/>
          </w:tcPr>
          <w:p w14:paraId="041187B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single" w:sz="4" w:space="0" w:color="auto"/>
              <w:left w:val="single" w:sz="12" w:space="0" w:color="auto"/>
              <w:bottom w:val="nil"/>
              <w:right w:val="nil"/>
            </w:tcBorders>
            <w:noWrap/>
            <w:hideMark/>
          </w:tcPr>
          <w:p w14:paraId="2F90E34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-15.3</w:t>
            </w:r>
          </w:p>
        </w:tc>
        <w:tc>
          <w:tcPr>
            <w:tcW w:w="992" w:type="dxa"/>
            <w:tcBorders>
              <w:top w:val="single" w:sz="4" w:space="0" w:color="auto"/>
              <w:left w:val="nil"/>
              <w:bottom w:val="nil"/>
              <w:right w:val="nil"/>
            </w:tcBorders>
            <w:noWrap/>
            <w:hideMark/>
          </w:tcPr>
          <w:p w14:paraId="646C0C8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-34.4</w:t>
            </w:r>
          </w:p>
        </w:tc>
        <w:tc>
          <w:tcPr>
            <w:tcW w:w="722" w:type="dxa"/>
            <w:tcBorders>
              <w:top w:val="single" w:sz="4" w:space="0" w:color="auto"/>
              <w:left w:val="nil"/>
              <w:bottom w:val="nil"/>
              <w:right w:val="single" w:sz="12" w:space="0" w:color="auto"/>
            </w:tcBorders>
            <w:noWrap/>
            <w:hideMark/>
          </w:tcPr>
          <w:p w14:paraId="2029B34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single" w:sz="4" w:space="0" w:color="auto"/>
              <w:left w:val="single" w:sz="12" w:space="0" w:color="auto"/>
              <w:bottom w:val="nil"/>
              <w:right w:val="single" w:sz="12" w:space="0" w:color="auto"/>
            </w:tcBorders>
            <w:noWrap/>
            <w:hideMark/>
          </w:tcPr>
          <w:p w14:paraId="7ACF2D3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-25.8</w:t>
            </w:r>
          </w:p>
        </w:tc>
      </w:tr>
      <w:tr w:rsidR="00394E20" w:rsidRPr="00B71F92" w14:paraId="61C97DED"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639093BD"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3C80A615"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$50,000-$99,999</w:t>
            </w:r>
          </w:p>
        </w:tc>
        <w:tc>
          <w:tcPr>
            <w:tcW w:w="810" w:type="dxa"/>
            <w:tcBorders>
              <w:top w:val="nil"/>
              <w:left w:val="single" w:sz="12" w:space="0" w:color="auto"/>
              <w:bottom w:val="nil"/>
              <w:right w:val="single" w:sz="12" w:space="0" w:color="auto"/>
            </w:tcBorders>
            <w:noWrap/>
            <w:hideMark/>
          </w:tcPr>
          <w:p w14:paraId="2E70471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-15.8</w:t>
            </w:r>
          </w:p>
        </w:tc>
        <w:tc>
          <w:tcPr>
            <w:tcW w:w="895" w:type="dxa"/>
            <w:tcBorders>
              <w:top w:val="nil"/>
              <w:left w:val="single" w:sz="12" w:space="0" w:color="auto"/>
              <w:bottom w:val="nil"/>
              <w:right w:val="nil"/>
            </w:tcBorders>
            <w:noWrap/>
            <w:hideMark/>
          </w:tcPr>
          <w:p w14:paraId="2464714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16.3</w:t>
            </w:r>
          </w:p>
        </w:tc>
        <w:tc>
          <w:tcPr>
            <w:tcW w:w="810" w:type="dxa"/>
            <w:tcBorders>
              <w:top w:val="nil"/>
              <w:left w:val="nil"/>
              <w:bottom w:val="nil"/>
              <w:right w:val="nil"/>
            </w:tcBorders>
            <w:noWrap/>
            <w:hideMark/>
          </w:tcPr>
          <w:p w14:paraId="3C59CF6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3.9</w:t>
            </w:r>
          </w:p>
        </w:tc>
        <w:tc>
          <w:tcPr>
            <w:tcW w:w="905" w:type="dxa"/>
            <w:tcBorders>
              <w:top w:val="nil"/>
              <w:left w:val="nil"/>
              <w:bottom w:val="nil"/>
              <w:right w:val="single" w:sz="12" w:space="0" w:color="auto"/>
            </w:tcBorders>
            <w:noWrap/>
            <w:hideMark/>
          </w:tcPr>
          <w:p w14:paraId="5C75DDB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30.6</w:t>
            </w:r>
          </w:p>
        </w:tc>
        <w:tc>
          <w:tcPr>
            <w:tcW w:w="990" w:type="dxa"/>
            <w:tcBorders>
              <w:top w:val="nil"/>
              <w:left w:val="single" w:sz="12" w:space="0" w:color="auto"/>
              <w:bottom w:val="nil"/>
              <w:right w:val="nil"/>
            </w:tcBorders>
            <w:noWrap/>
            <w:hideMark/>
          </w:tcPr>
          <w:p w14:paraId="30C7534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-14.2</w:t>
            </w:r>
          </w:p>
        </w:tc>
        <w:tc>
          <w:tcPr>
            <w:tcW w:w="810" w:type="dxa"/>
            <w:tcBorders>
              <w:top w:val="nil"/>
              <w:left w:val="nil"/>
              <w:bottom w:val="nil"/>
              <w:right w:val="nil"/>
            </w:tcBorders>
            <w:noWrap/>
            <w:hideMark/>
          </w:tcPr>
          <w:p w14:paraId="69D3960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51.3</w:t>
            </w:r>
          </w:p>
        </w:tc>
        <w:tc>
          <w:tcPr>
            <w:tcW w:w="1087" w:type="dxa"/>
            <w:tcBorders>
              <w:top w:val="nil"/>
              <w:left w:val="nil"/>
              <w:bottom w:val="nil"/>
              <w:right w:val="single" w:sz="12" w:space="0" w:color="auto"/>
            </w:tcBorders>
            <w:noWrap/>
            <w:hideMark/>
          </w:tcPr>
          <w:p w14:paraId="75304BD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bottom w:val="nil"/>
              <w:right w:val="nil"/>
            </w:tcBorders>
            <w:noWrap/>
            <w:hideMark/>
          </w:tcPr>
          <w:p w14:paraId="58DA25C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75.6</w:t>
            </w:r>
          </w:p>
        </w:tc>
        <w:tc>
          <w:tcPr>
            <w:tcW w:w="992" w:type="dxa"/>
            <w:tcBorders>
              <w:top w:val="nil"/>
              <w:left w:val="nil"/>
              <w:bottom w:val="nil"/>
              <w:right w:val="nil"/>
            </w:tcBorders>
            <w:noWrap/>
            <w:hideMark/>
          </w:tcPr>
          <w:p w14:paraId="43E8702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30.5</w:t>
            </w:r>
          </w:p>
        </w:tc>
        <w:tc>
          <w:tcPr>
            <w:tcW w:w="722" w:type="dxa"/>
            <w:tcBorders>
              <w:top w:val="nil"/>
              <w:left w:val="nil"/>
              <w:bottom w:val="nil"/>
              <w:right w:val="single" w:sz="12" w:space="0" w:color="auto"/>
            </w:tcBorders>
            <w:noWrap/>
            <w:hideMark/>
          </w:tcPr>
          <w:p w14:paraId="472363B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nil"/>
              <w:right w:val="single" w:sz="12" w:space="0" w:color="auto"/>
            </w:tcBorders>
            <w:noWrap/>
            <w:hideMark/>
          </w:tcPr>
          <w:p w14:paraId="33B5D56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-32.7</w:t>
            </w:r>
          </w:p>
        </w:tc>
      </w:tr>
      <w:tr w:rsidR="00394E20" w:rsidRPr="00B71F92" w14:paraId="3D729551"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09F0EA4E"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7A5979D0"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$100,000-$199,999</w:t>
            </w:r>
          </w:p>
        </w:tc>
        <w:tc>
          <w:tcPr>
            <w:tcW w:w="810" w:type="dxa"/>
            <w:tcBorders>
              <w:top w:val="nil"/>
              <w:left w:val="single" w:sz="12" w:space="0" w:color="auto"/>
              <w:bottom w:val="nil"/>
              <w:right w:val="single" w:sz="12" w:space="0" w:color="auto"/>
            </w:tcBorders>
            <w:noWrap/>
            <w:hideMark/>
          </w:tcPr>
          <w:p w14:paraId="55A32BB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1.4</w:t>
            </w:r>
          </w:p>
        </w:tc>
        <w:tc>
          <w:tcPr>
            <w:tcW w:w="895" w:type="dxa"/>
            <w:tcBorders>
              <w:top w:val="nil"/>
              <w:left w:val="single" w:sz="12" w:space="0" w:color="auto"/>
              <w:bottom w:val="nil"/>
              <w:right w:val="nil"/>
            </w:tcBorders>
            <w:noWrap/>
            <w:hideMark/>
          </w:tcPr>
          <w:p w14:paraId="6FD07E1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-48.0</w:t>
            </w:r>
          </w:p>
        </w:tc>
        <w:tc>
          <w:tcPr>
            <w:tcW w:w="810" w:type="dxa"/>
            <w:tcBorders>
              <w:top w:val="nil"/>
              <w:left w:val="nil"/>
              <w:bottom w:val="nil"/>
              <w:right w:val="nil"/>
            </w:tcBorders>
            <w:noWrap/>
            <w:hideMark/>
          </w:tcPr>
          <w:p w14:paraId="2C813EA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2.8</w:t>
            </w:r>
          </w:p>
        </w:tc>
        <w:tc>
          <w:tcPr>
            <w:tcW w:w="905" w:type="dxa"/>
            <w:tcBorders>
              <w:top w:val="nil"/>
              <w:left w:val="nil"/>
              <w:bottom w:val="nil"/>
              <w:right w:val="single" w:sz="12" w:space="0" w:color="auto"/>
            </w:tcBorders>
            <w:noWrap/>
            <w:hideMark/>
          </w:tcPr>
          <w:p w14:paraId="754E26E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23.5</w:t>
            </w:r>
          </w:p>
        </w:tc>
        <w:tc>
          <w:tcPr>
            <w:tcW w:w="990" w:type="dxa"/>
            <w:tcBorders>
              <w:top w:val="nil"/>
              <w:left w:val="single" w:sz="12" w:space="0" w:color="auto"/>
              <w:bottom w:val="nil"/>
              <w:right w:val="nil"/>
            </w:tcBorders>
            <w:noWrap/>
            <w:hideMark/>
          </w:tcPr>
          <w:p w14:paraId="52380EC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-13.7</w:t>
            </w:r>
          </w:p>
        </w:tc>
        <w:tc>
          <w:tcPr>
            <w:tcW w:w="810" w:type="dxa"/>
            <w:tcBorders>
              <w:top w:val="nil"/>
              <w:left w:val="nil"/>
              <w:bottom w:val="nil"/>
              <w:right w:val="nil"/>
            </w:tcBorders>
            <w:noWrap/>
            <w:hideMark/>
          </w:tcPr>
          <w:p w14:paraId="4B9C3A5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51.3</w:t>
            </w:r>
          </w:p>
        </w:tc>
        <w:tc>
          <w:tcPr>
            <w:tcW w:w="1087" w:type="dxa"/>
            <w:tcBorders>
              <w:top w:val="nil"/>
              <w:left w:val="nil"/>
              <w:bottom w:val="nil"/>
              <w:right w:val="single" w:sz="12" w:space="0" w:color="auto"/>
            </w:tcBorders>
            <w:noWrap/>
            <w:hideMark/>
          </w:tcPr>
          <w:p w14:paraId="4376149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bottom w:val="nil"/>
              <w:right w:val="nil"/>
            </w:tcBorders>
            <w:noWrap/>
            <w:hideMark/>
          </w:tcPr>
          <w:p w14:paraId="24008C3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84.8</w:t>
            </w:r>
          </w:p>
        </w:tc>
        <w:tc>
          <w:tcPr>
            <w:tcW w:w="992" w:type="dxa"/>
            <w:tcBorders>
              <w:top w:val="nil"/>
              <w:left w:val="nil"/>
              <w:bottom w:val="nil"/>
              <w:right w:val="nil"/>
            </w:tcBorders>
            <w:noWrap/>
            <w:hideMark/>
          </w:tcPr>
          <w:p w14:paraId="440F1B8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48.6</w:t>
            </w:r>
          </w:p>
        </w:tc>
        <w:tc>
          <w:tcPr>
            <w:tcW w:w="722" w:type="dxa"/>
            <w:tcBorders>
              <w:top w:val="nil"/>
              <w:left w:val="nil"/>
              <w:bottom w:val="nil"/>
              <w:right w:val="single" w:sz="12" w:space="0" w:color="auto"/>
            </w:tcBorders>
            <w:noWrap/>
            <w:hideMark/>
          </w:tcPr>
          <w:p w14:paraId="129EE65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nil"/>
              <w:right w:val="single" w:sz="12" w:space="0" w:color="auto"/>
            </w:tcBorders>
            <w:noWrap/>
            <w:hideMark/>
          </w:tcPr>
          <w:p w14:paraId="74F6DC6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-39.2</w:t>
            </w:r>
          </w:p>
        </w:tc>
      </w:tr>
      <w:tr w:rsidR="00394E20" w:rsidRPr="00B71F92" w14:paraId="6BFB6992"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6FD710ED"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4" w:space="0" w:color="auto"/>
              <w:right w:val="single" w:sz="12" w:space="0" w:color="auto"/>
            </w:tcBorders>
            <w:noWrap/>
            <w:vAlign w:val="center"/>
            <w:hideMark/>
          </w:tcPr>
          <w:p w14:paraId="28B13F66"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$200 or more</w:t>
            </w:r>
          </w:p>
        </w:tc>
        <w:tc>
          <w:tcPr>
            <w:tcW w:w="810" w:type="dxa"/>
            <w:tcBorders>
              <w:top w:val="nil"/>
              <w:left w:val="single" w:sz="12" w:space="0" w:color="auto"/>
              <w:bottom w:val="single" w:sz="4" w:space="0" w:color="auto"/>
              <w:right w:val="single" w:sz="12" w:space="0" w:color="auto"/>
            </w:tcBorders>
            <w:noWrap/>
            <w:hideMark/>
          </w:tcPr>
          <w:p w14:paraId="32D9E3B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-16.0</w:t>
            </w:r>
          </w:p>
        </w:tc>
        <w:tc>
          <w:tcPr>
            <w:tcW w:w="895" w:type="dxa"/>
            <w:tcBorders>
              <w:top w:val="nil"/>
              <w:left w:val="single" w:sz="12" w:space="0" w:color="auto"/>
              <w:bottom w:val="single" w:sz="4" w:space="0" w:color="auto"/>
              <w:right w:val="nil"/>
            </w:tcBorders>
            <w:noWrap/>
            <w:hideMark/>
          </w:tcPr>
          <w:p w14:paraId="6C022ED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27.8</w:t>
            </w:r>
          </w:p>
        </w:tc>
        <w:tc>
          <w:tcPr>
            <w:tcW w:w="810" w:type="dxa"/>
            <w:tcBorders>
              <w:top w:val="nil"/>
              <w:left w:val="nil"/>
              <w:bottom w:val="single" w:sz="4" w:space="0" w:color="auto"/>
              <w:right w:val="nil"/>
            </w:tcBorders>
            <w:noWrap/>
            <w:hideMark/>
          </w:tcPr>
          <w:p w14:paraId="2ACBA08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w:t>
            </w:r>
          </w:p>
        </w:tc>
        <w:tc>
          <w:tcPr>
            <w:tcW w:w="905" w:type="dxa"/>
            <w:tcBorders>
              <w:top w:val="nil"/>
              <w:left w:val="nil"/>
              <w:bottom w:val="single" w:sz="4" w:space="0" w:color="auto"/>
              <w:right w:val="single" w:sz="12" w:space="0" w:color="auto"/>
            </w:tcBorders>
            <w:noWrap/>
            <w:hideMark/>
          </w:tcPr>
          <w:p w14:paraId="60DA64A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20.0</w:t>
            </w:r>
          </w:p>
        </w:tc>
        <w:tc>
          <w:tcPr>
            <w:tcW w:w="990" w:type="dxa"/>
            <w:tcBorders>
              <w:top w:val="nil"/>
              <w:left w:val="single" w:sz="12" w:space="0" w:color="auto"/>
              <w:bottom w:val="single" w:sz="4" w:space="0" w:color="auto"/>
              <w:right w:val="nil"/>
            </w:tcBorders>
            <w:noWrap/>
            <w:hideMark/>
          </w:tcPr>
          <w:p w14:paraId="3555814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-13.2</w:t>
            </w:r>
          </w:p>
        </w:tc>
        <w:tc>
          <w:tcPr>
            <w:tcW w:w="810" w:type="dxa"/>
            <w:tcBorders>
              <w:top w:val="nil"/>
              <w:left w:val="nil"/>
              <w:bottom w:val="single" w:sz="4" w:space="0" w:color="auto"/>
              <w:right w:val="nil"/>
            </w:tcBorders>
            <w:noWrap/>
            <w:hideMark/>
          </w:tcPr>
          <w:p w14:paraId="2C4CD29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-44.3</w:t>
            </w:r>
          </w:p>
        </w:tc>
        <w:tc>
          <w:tcPr>
            <w:tcW w:w="1087" w:type="dxa"/>
            <w:tcBorders>
              <w:top w:val="nil"/>
              <w:left w:val="nil"/>
              <w:bottom w:val="single" w:sz="4" w:space="0" w:color="auto"/>
              <w:right w:val="single" w:sz="12" w:space="0" w:color="auto"/>
            </w:tcBorders>
            <w:noWrap/>
            <w:hideMark/>
          </w:tcPr>
          <w:p w14:paraId="1A36B56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-25.7</w:t>
            </w:r>
          </w:p>
        </w:tc>
        <w:tc>
          <w:tcPr>
            <w:tcW w:w="990" w:type="dxa"/>
            <w:tcBorders>
              <w:top w:val="nil"/>
              <w:left w:val="single" w:sz="12" w:space="0" w:color="auto"/>
              <w:bottom w:val="single" w:sz="4" w:space="0" w:color="auto"/>
              <w:right w:val="nil"/>
            </w:tcBorders>
            <w:noWrap/>
            <w:hideMark/>
          </w:tcPr>
          <w:p w14:paraId="3FD926A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53.1</w:t>
            </w:r>
          </w:p>
        </w:tc>
        <w:tc>
          <w:tcPr>
            <w:tcW w:w="992" w:type="dxa"/>
            <w:tcBorders>
              <w:top w:val="nil"/>
              <w:left w:val="nil"/>
              <w:bottom w:val="single" w:sz="4" w:space="0" w:color="auto"/>
              <w:right w:val="nil"/>
            </w:tcBorders>
            <w:noWrap/>
            <w:hideMark/>
          </w:tcPr>
          <w:p w14:paraId="08ABA08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-21.9</w:t>
            </w:r>
          </w:p>
        </w:tc>
        <w:tc>
          <w:tcPr>
            <w:tcW w:w="722" w:type="dxa"/>
            <w:tcBorders>
              <w:top w:val="nil"/>
              <w:left w:val="nil"/>
              <w:bottom w:val="single" w:sz="4" w:space="0" w:color="auto"/>
              <w:right w:val="single" w:sz="12" w:space="0" w:color="auto"/>
            </w:tcBorders>
            <w:noWrap/>
            <w:hideMark/>
          </w:tcPr>
          <w:p w14:paraId="3B3AB4D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single" w:sz="4" w:space="0" w:color="auto"/>
              <w:right w:val="single" w:sz="12" w:space="0" w:color="auto"/>
            </w:tcBorders>
            <w:noWrap/>
            <w:hideMark/>
          </w:tcPr>
          <w:p w14:paraId="563936E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-43.1</w:t>
            </w:r>
          </w:p>
        </w:tc>
      </w:tr>
      <w:tr w:rsidR="00394E20" w:rsidRPr="00B71F92" w14:paraId="6E29CCBF"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270DEE57"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Educational Attainment</w:t>
            </w:r>
          </w:p>
        </w:tc>
        <w:tc>
          <w:tcPr>
            <w:tcW w:w="2700" w:type="dxa"/>
            <w:tcBorders>
              <w:top w:val="single" w:sz="4" w:space="0" w:color="auto"/>
              <w:left w:val="nil"/>
              <w:bottom w:val="nil"/>
              <w:right w:val="single" w:sz="12" w:space="0" w:color="auto"/>
            </w:tcBorders>
            <w:noWrap/>
            <w:vAlign w:val="center"/>
            <w:hideMark/>
          </w:tcPr>
          <w:p w14:paraId="5C7D5373"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Less than bachelor's degree</w:t>
            </w:r>
          </w:p>
        </w:tc>
        <w:tc>
          <w:tcPr>
            <w:tcW w:w="810" w:type="dxa"/>
            <w:tcBorders>
              <w:top w:val="single" w:sz="4" w:space="0" w:color="auto"/>
              <w:left w:val="single" w:sz="12" w:space="0" w:color="auto"/>
              <w:bottom w:val="nil"/>
              <w:right w:val="single" w:sz="12" w:space="0" w:color="auto"/>
            </w:tcBorders>
            <w:noWrap/>
            <w:hideMark/>
          </w:tcPr>
          <w:p w14:paraId="4EF7466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-11.3</w:t>
            </w:r>
          </w:p>
        </w:tc>
        <w:tc>
          <w:tcPr>
            <w:tcW w:w="895" w:type="dxa"/>
            <w:tcBorders>
              <w:top w:val="single" w:sz="4" w:space="0" w:color="auto"/>
              <w:left w:val="single" w:sz="12" w:space="0" w:color="auto"/>
              <w:bottom w:val="nil"/>
              <w:right w:val="nil"/>
            </w:tcBorders>
            <w:noWrap/>
            <w:hideMark/>
          </w:tcPr>
          <w:p w14:paraId="7F55DA2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10.7</w:t>
            </w:r>
          </w:p>
        </w:tc>
        <w:tc>
          <w:tcPr>
            <w:tcW w:w="810" w:type="dxa"/>
            <w:tcBorders>
              <w:top w:val="single" w:sz="4" w:space="0" w:color="auto"/>
              <w:left w:val="nil"/>
              <w:bottom w:val="nil"/>
              <w:right w:val="nil"/>
            </w:tcBorders>
            <w:noWrap/>
            <w:hideMark/>
          </w:tcPr>
          <w:p w14:paraId="1B9DFA9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3.6</w:t>
            </w:r>
          </w:p>
        </w:tc>
        <w:tc>
          <w:tcPr>
            <w:tcW w:w="905" w:type="dxa"/>
            <w:tcBorders>
              <w:top w:val="single" w:sz="4" w:space="0" w:color="auto"/>
              <w:left w:val="nil"/>
              <w:bottom w:val="nil"/>
              <w:right w:val="single" w:sz="12" w:space="0" w:color="auto"/>
            </w:tcBorders>
            <w:noWrap/>
            <w:hideMark/>
          </w:tcPr>
          <w:p w14:paraId="16A3E54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26.4</w:t>
            </w:r>
          </w:p>
        </w:tc>
        <w:tc>
          <w:tcPr>
            <w:tcW w:w="990" w:type="dxa"/>
            <w:tcBorders>
              <w:top w:val="single" w:sz="4" w:space="0" w:color="auto"/>
              <w:left w:val="single" w:sz="12" w:space="0" w:color="auto"/>
              <w:bottom w:val="nil"/>
              <w:right w:val="nil"/>
            </w:tcBorders>
            <w:noWrap/>
            <w:hideMark/>
          </w:tcPr>
          <w:p w14:paraId="289E930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-14.7</w:t>
            </w:r>
          </w:p>
        </w:tc>
        <w:tc>
          <w:tcPr>
            <w:tcW w:w="810" w:type="dxa"/>
            <w:tcBorders>
              <w:top w:val="single" w:sz="4" w:space="0" w:color="auto"/>
              <w:left w:val="nil"/>
              <w:bottom w:val="nil"/>
              <w:right w:val="nil"/>
            </w:tcBorders>
            <w:noWrap/>
            <w:hideMark/>
          </w:tcPr>
          <w:p w14:paraId="667B580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single" w:sz="4" w:space="0" w:color="auto"/>
              <w:left w:val="nil"/>
              <w:bottom w:val="nil"/>
              <w:right w:val="single" w:sz="12" w:space="0" w:color="auto"/>
            </w:tcBorders>
            <w:noWrap/>
            <w:hideMark/>
          </w:tcPr>
          <w:p w14:paraId="24ECA7E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26.4</w:t>
            </w:r>
          </w:p>
        </w:tc>
        <w:tc>
          <w:tcPr>
            <w:tcW w:w="990" w:type="dxa"/>
            <w:tcBorders>
              <w:top w:val="single" w:sz="4" w:space="0" w:color="auto"/>
              <w:left w:val="single" w:sz="12" w:space="0" w:color="auto"/>
              <w:bottom w:val="nil"/>
              <w:right w:val="nil"/>
            </w:tcBorders>
            <w:noWrap/>
            <w:hideMark/>
          </w:tcPr>
          <w:p w14:paraId="25F2654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single" w:sz="4" w:space="0" w:color="auto"/>
              <w:left w:val="nil"/>
              <w:bottom w:val="nil"/>
              <w:right w:val="nil"/>
            </w:tcBorders>
            <w:noWrap/>
            <w:hideMark/>
          </w:tcPr>
          <w:p w14:paraId="5F24CB4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-7.7</w:t>
            </w:r>
          </w:p>
        </w:tc>
        <w:tc>
          <w:tcPr>
            <w:tcW w:w="722" w:type="dxa"/>
            <w:tcBorders>
              <w:top w:val="single" w:sz="4" w:space="0" w:color="auto"/>
              <w:left w:val="nil"/>
              <w:bottom w:val="nil"/>
              <w:right w:val="single" w:sz="12" w:space="0" w:color="auto"/>
            </w:tcBorders>
            <w:noWrap/>
            <w:hideMark/>
          </w:tcPr>
          <w:p w14:paraId="2198601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single" w:sz="4" w:space="0" w:color="auto"/>
              <w:left w:val="single" w:sz="12" w:space="0" w:color="auto"/>
              <w:bottom w:val="nil"/>
              <w:right w:val="single" w:sz="12" w:space="0" w:color="auto"/>
            </w:tcBorders>
            <w:noWrap/>
            <w:hideMark/>
          </w:tcPr>
          <w:p w14:paraId="6DABAD7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5B74066F"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54A0AF99"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337D764C"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Bachelor's degree</w:t>
            </w:r>
          </w:p>
        </w:tc>
        <w:tc>
          <w:tcPr>
            <w:tcW w:w="810" w:type="dxa"/>
            <w:tcBorders>
              <w:top w:val="nil"/>
              <w:left w:val="single" w:sz="12" w:space="0" w:color="auto"/>
              <w:bottom w:val="nil"/>
              <w:right w:val="single" w:sz="12" w:space="0" w:color="auto"/>
            </w:tcBorders>
            <w:noWrap/>
            <w:hideMark/>
          </w:tcPr>
          <w:p w14:paraId="6F3002C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95" w:type="dxa"/>
            <w:tcBorders>
              <w:top w:val="nil"/>
              <w:left w:val="single" w:sz="12" w:space="0" w:color="auto"/>
              <w:bottom w:val="nil"/>
              <w:right w:val="nil"/>
            </w:tcBorders>
            <w:noWrap/>
            <w:hideMark/>
          </w:tcPr>
          <w:p w14:paraId="1FE8270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10.7</w:t>
            </w:r>
          </w:p>
        </w:tc>
        <w:tc>
          <w:tcPr>
            <w:tcW w:w="810" w:type="dxa"/>
            <w:tcBorders>
              <w:top w:val="nil"/>
              <w:left w:val="nil"/>
              <w:bottom w:val="nil"/>
              <w:right w:val="nil"/>
            </w:tcBorders>
            <w:noWrap/>
            <w:hideMark/>
          </w:tcPr>
          <w:p w14:paraId="282CEB3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nil"/>
              <w:left w:val="nil"/>
              <w:bottom w:val="nil"/>
              <w:right w:val="single" w:sz="12" w:space="0" w:color="auto"/>
            </w:tcBorders>
            <w:noWrap/>
            <w:hideMark/>
          </w:tcPr>
          <w:p w14:paraId="5E486A0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21.8</w:t>
            </w:r>
          </w:p>
        </w:tc>
        <w:tc>
          <w:tcPr>
            <w:tcW w:w="990" w:type="dxa"/>
            <w:tcBorders>
              <w:top w:val="nil"/>
              <w:left w:val="single" w:sz="12" w:space="0" w:color="auto"/>
              <w:bottom w:val="nil"/>
              <w:right w:val="nil"/>
            </w:tcBorders>
            <w:noWrap/>
            <w:hideMark/>
          </w:tcPr>
          <w:p w14:paraId="1B179E1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-13.7</w:t>
            </w:r>
          </w:p>
        </w:tc>
        <w:tc>
          <w:tcPr>
            <w:tcW w:w="810" w:type="dxa"/>
            <w:tcBorders>
              <w:top w:val="nil"/>
              <w:left w:val="nil"/>
              <w:bottom w:val="nil"/>
              <w:right w:val="nil"/>
            </w:tcBorders>
            <w:noWrap/>
            <w:hideMark/>
          </w:tcPr>
          <w:p w14:paraId="7418267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nil"/>
              <w:left w:val="nil"/>
              <w:bottom w:val="nil"/>
              <w:right w:val="single" w:sz="12" w:space="0" w:color="auto"/>
            </w:tcBorders>
            <w:noWrap/>
            <w:hideMark/>
          </w:tcPr>
          <w:p w14:paraId="5D880B0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-49.8</w:t>
            </w:r>
          </w:p>
        </w:tc>
        <w:tc>
          <w:tcPr>
            <w:tcW w:w="990" w:type="dxa"/>
            <w:tcBorders>
              <w:top w:val="nil"/>
              <w:left w:val="single" w:sz="12" w:space="0" w:color="auto"/>
              <w:bottom w:val="nil"/>
              <w:right w:val="nil"/>
            </w:tcBorders>
            <w:noWrap/>
            <w:hideMark/>
          </w:tcPr>
          <w:p w14:paraId="471BF21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nil"/>
              <w:right w:val="nil"/>
            </w:tcBorders>
            <w:noWrap/>
            <w:hideMark/>
          </w:tcPr>
          <w:p w14:paraId="16245C4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-7.7</w:t>
            </w:r>
          </w:p>
        </w:tc>
        <w:tc>
          <w:tcPr>
            <w:tcW w:w="722" w:type="dxa"/>
            <w:tcBorders>
              <w:top w:val="nil"/>
              <w:left w:val="nil"/>
              <w:bottom w:val="nil"/>
              <w:right w:val="single" w:sz="12" w:space="0" w:color="auto"/>
            </w:tcBorders>
            <w:noWrap/>
            <w:hideMark/>
          </w:tcPr>
          <w:p w14:paraId="0BF5523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nil"/>
              <w:right w:val="single" w:sz="12" w:space="0" w:color="auto"/>
            </w:tcBorders>
            <w:noWrap/>
            <w:hideMark/>
          </w:tcPr>
          <w:p w14:paraId="5D6088F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5CFBE8C4"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0D27B6D4"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4" w:space="0" w:color="auto"/>
              <w:right w:val="single" w:sz="12" w:space="0" w:color="auto"/>
            </w:tcBorders>
            <w:noWrap/>
            <w:vAlign w:val="center"/>
            <w:hideMark/>
          </w:tcPr>
          <w:p w14:paraId="479DA913"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Graduate degree</w:t>
            </w:r>
          </w:p>
        </w:tc>
        <w:tc>
          <w:tcPr>
            <w:tcW w:w="810" w:type="dxa"/>
            <w:tcBorders>
              <w:top w:val="nil"/>
              <w:left w:val="single" w:sz="12" w:space="0" w:color="auto"/>
              <w:bottom w:val="single" w:sz="4" w:space="0" w:color="auto"/>
              <w:right w:val="single" w:sz="12" w:space="0" w:color="auto"/>
            </w:tcBorders>
            <w:noWrap/>
            <w:hideMark/>
          </w:tcPr>
          <w:p w14:paraId="066C116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-11.3</w:t>
            </w:r>
          </w:p>
        </w:tc>
        <w:tc>
          <w:tcPr>
            <w:tcW w:w="895" w:type="dxa"/>
            <w:tcBorders>
              <w:top w:val="nil"/>
              <w:left w:val="single" w:sz="12" w:space="0" w:color="auto"/>
              <w:bottom w:val="single" w:sz="4" w:space="0" w:color="auto"/>
              <w:right w:val="nil"/>
            </w:tcBorders>
            <w:noWrap/>
            <w:hideMark/>
          </w:tcPr>
          <w:p w14:paraId="7AE350A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12.5</w:t>
            </w:r>
          </w:p>
        </w:tc>
        <w:tc>
          <w:tcPr>
            <w:tcW w:w="810" w:type="dxa"/>
            <w:tcBorders>
              <w:top w:val="nil"/>
              <w:left w:val="nil"/>
              <w:bottom w:val="single" w:sz="4" w:space="0" w:color="auto"/>
              <w:right w:val="nil"/>
            </w:tcBorders>
            <w:noWrap/>
            <w:hideMark/>
          </w:tcPr>
          <w:p w14:paraId="7D9B4E5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w:t>
            </w:r>
          </w:p>
        </w:tc>
        <w:tc>
          <w:tcPr>
            <w:tcW w:w="905" w:type="dxa"/>
            <w:tcBorders>
              <w:top w:val="nil"/>
              <w:left w:val="nil"/>
              <w:bottom w:val="single" w:sz="4" w:space="0" w:color="auto"/>
              <w:right w:val="single" w:sz="12" w:space="0" w:color="auto"/>
            </w:tcBorders>
            <w:noWrap/>
            <w:hideMark/>
          </w:tcPr>
          <w:p w14:paraId="4A19811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21.8</w:t>
            </w:r>
          </w:p>
        </w:tc>
        <w:tc>
          <w:tcPr>
            <w:tcW w:w="990" w:type="dxa"/>
            <w:tcBorders>
              <w:top w:val="nil"/>
              <w:left w:val="single" w:sz="12" w:space="0" w:color="auto"/>
              <w:bottom w:val="single" w:sz="4" w:space="0" w:color="auto"/>
              <w:right w:val="nil"/>
            </w:tcBorders>
            <w:noWrap/>
            <w:hideMark/>
          </w:tcPr>
          <w:p w14:paraId="4F79A08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-13.7</w:t>
            </w:r>
          </w:p>
        </w:tc>
        <w:tc>
          <w:tcPr>
            <w:tcW w:w="810" w:type="dxa"/>
            <w:tcBorders>
              <w:top w:val="nil"/>
              <w:left w:val="nil"/>
              <w:bottom w:val="single" w:sz="4" w:space="0" w:color="auto"/>
              <w:right w:val="nil"/>
            </w:tcBorders>
            <w:noWrap/>
            <w:hideMark/>
          </w:tcPr>
          <w:p w14:paraId="081020B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nil"/>
              <w:left w:val="nil"/>
              <w:bottom w:val="single" w:sz="4" w:space="0" w:color="auto"/>
              <w:right w:val="single" w:sz="12" w:space="0" w:color="auto"/>
            </w:tcBorders>
            <w:noWrap/>
            <w:hideMark/>
          </w:tcPr>
          <w:p w14:paraId="6DC4568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-31.3</w:t>
            </w:r>
          </w:p>
        </w:tc>
        <w:tc>
          <w:tcPr>
            <w:tcW w:w="990" w:type="dxa"/>
            <w:tcBorders>
              <w:top w:val="nil"/>
              <w:left w:val="single" w:sz="12" w:space="0" w:color="auto"/>
              <w:bottom w:val="single" w:sz="4" w:space="0" w:color="auto"/>
              <w:right w:val="nil"/>
            </w:tcBorders>
            <w:noWrap/>
            <w:hideMark/>
          </w:tcPr>
          <w:p w14:paraId="2039A7B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35.0</w:t>
            </w:r>
          </w:p>
        </w:tc>
        <w:tc>
          <w:tcPr>
            <w:tcW w:w="992" w:type="dxa"/>
            <w:tcBorders>
              <w:top w:val="nil"/>
              <w:left w:val="nil"/>
              <w:bottom w:val="single" w:sz="4" w:space="0" w:color="auto"/>
              <w:right w:val="nil"/>
            </w:tcBorders>
            <w:noWrap/>
            <w:hideMark/>
          </w:tcPr>
          <w:p w14:paraId="5EE48D78"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-4.6</w:t>
            </w:r>
          </w:p>
        </w:tc>
        <w:tc>
          <w:tcPr>
            <w:tcW w:w="722" w:type="dxa"/>
            <w:tcBorders>
              <w:top w:val="nil"/>
              <w:left w:val="nil"/>
              <w:bottom w:val="single" w:sz="4" w:space="0" w:color="auto"/>
              <w:right w:val="single" w:sz="12" w:space="0" w:color="auto"/>
            </w:tcBorders>
            <w:noWrap/>
            <w:hideMark/>
          </w:tcPr>
          <w:p w14:paraId="01141AF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single" w:sz="4" w:space="0" w:color="auto"/>
              <w:right w:val="single" w:sz="12" w:space="0" w:color="auto"/>
            </w:tcBorders>
            <w:noWrap/>
            <w:hideMark/>
          </w:tcPr>
          <w:p w14:paraId="7B5A946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5589EB06" w14:textId="77777777" w:rsidTr="00AF15D1">
        <w:trPr>
          <w:trHeight w:val="216"/>
          <w:jc w:val="center"/>
        </w:trPr>
        <w:tc>
          <w:tcPr>
            <w:tcW w:w="14079" w:type="dxa"/>
            <w:gridSpan w:val="13"/>
            <w:tcBorders>
              <w:top w:val="single" w:sz="4" w:space="0" w:color="auto"/>
              <w:left w:val="single" w:sz="12" w:space="0" w:color="auto"/>
              <w:bottom w:val="single" w:sz="4" w:space="0" w:color="auto"/>
              <w:right w:val="single" w:sz="12" w:space="0" w:color="auto"/>
            </w:tcBorders>
            <w:noWrap/>
            <w:vAlign w:val="center"/>
          </w:tcPr>
          <w:p w14:paraId="471D992B" w14:textId="77777777" w:rsidR="00394E20" w:rsidRPr="00B71F92" w:rsidRDefault="00394E20" w:rsidP="00AF15D1">
            <w:pPr>
              <w:tabs>
                <w:tab w:val="decimal" w:pos="270"/>
              </w:tabs>
              <w:spacing w:after="0" w:line="240" w:lineRule="auto"/>
              <w:rPr>
                <w:b/>
                <w:bCs/>
                <w:i/>
                <w:iCs/>
                <w:sz w:val="18"/>
                <w:szCs w:val="18"/>
              </w:rPr>
            </w:pPr>
            <w:r w:rsidRPr="00B71F92">
              <w:rPr>
                <w:b/>
                <w:bCs/>
                <w:i/>
                <w:iCs/>
                <w:sz w:val="18"/>
                <w:szCs w:val="18"/>
              </w:rPr>
              <w:t>Race and Ethnicity Variables</w:t>
            </w:r>
          </w:p>
        </w:tc>
      </w:tr>
      <w:tr w:rsidR="00394E20" w:rsidRPr="00B71F92" w14:paraId="0D6F8882"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270A2E4E"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Race</w:t>
            </w:r>
          </w:p>
        </w:tc>
        <w:tc>
          <w:tcPr>
            <w:tcW w:w="2700" w:type="dxa"/>
            <w:tcBorders>
              <w:top w:val="single" w:sz="4" w:space="0" w:color="auto"/>
              <w:left w:val="nil"/>
              <w:bottom w:val="nil"/>
              <w:right w:val="single" w:sz="12" w:space="0" w:color="auto"/>
            </w:tcBorders>
            <w:noWrap/>
            <w:vAlign w:val="center"/>
            <w:hideMark/>
          </w:tcPr>
          <w:p w14:paraId="4C9F3A1B"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White</w:t>
            </w:r>
          </w:p>
        </w:tc>
        <w:tc>
          <w:tcPr>
            <w:tcW w:w="810" w:type="dxa"/>
            <w:tcBorders>
              <w:top w:val="single" w:sz="4" w:space="0" w:color="auto"/>
              <w:left w:val="single" w:sz="12" w:space="0" w:color="auto"/>
              <w:bottom w:val="nil"/>
              <w:right w:val="single" w:sz="12" w:space="0" w:color="auto"/>
            </w:tcBorders>
            <w:noWrap/>
            <w:hideMark/>
          </w:tcPr>
          <w:p w14:paraId="1384FA7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-11.6</w:t>
            </w:r>
          </w:p>
        </w:tc>
        <w:tc>
          <w:tcPr>
            <w:tcW w:w="895" w:type="dxa"/>
            <w:tcBorders>
              <w:top w:val="single" w:sz="4" w:space="0" w:color="auto"/>
              <w:left w:val="single" w:sz="12" w:space="0" w:color="auto"/>
              <w:bottom w:val="nil"/>
              <w:right w:val="nil"/>
            </w:tcBorders>
            <w:noWrap/>
            <w:hideMark/>
          </w:tcPr>
          <w:p w14:paraId="6F8AA80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12.2</w:t>
            </w:r>
          </w:p>
        </w:tc>
        <w:tc>
          <w:tcPr>
            <w:tcW w:w="810" w:type="dxa"/>
            <w:tcBorders>
              <w:top w:val="single" w:sz="4" w:space="0" w:color="auto"/>
              <w:left w:val="nil"/>
              <w:bottom w:val="nil"/>
              <w:right w:val="nil"/>
            </w:tcBorders>
            <w:noWrap/>
            <w:hideMark/>
          </w:tcPr>
          <w:p w14:paraId="355E440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6.7</w:t>
            </w:r>
          </w:p>
        </w:tc>
        <w:tc>
          <w:tcPr>
            <w:tcW w:w="905" w:type="dxa"/>
            <w:tcBorders>
              <w:top w:val="single" w:sz="4" w:space="0" w:color="auto"/>
              <w:left w:val="nil"/>
              <w:bottom w:val="nil"/>
              <w:right w:val="single" w:sz="12" w:space="0" w:color="auto"/>
            </w:tcBorders>
            <w:noWrap/>
            <w:hideMark/>
          </w:tcPr>
          <w:p w14:paraId="7C65A99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20.0</w:t>
            </w:r>
          </w:p>
        </w:tc>
        <w:tc>
          <w:tcPr>
            <w:tcW w:w="990" w:type="dxa"/>
            <w:tcBorders>
              <w:top w:val="single" w:sz="4" w:space="0" w:color="auto"/>
              <w:left w:val="single" w:sz="12" w:space="0" w:color="auto"/>
              <w:bottom w:val="nil"/>
              <w:right w:val="nil"/>
            </w:tcBorders>
            <w:noWrap/>
            <w:hideMark/>
          </w:tcPr>
          <w:p w14:paraId="63291F1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-11.2</w:t>
            </w:r>
          </w:p>
        </w:tc>
        <w:tc>
          <w:tcPr>
            <w:tcW w:w="810" w:type="dxa"/>
            <w:tcBorders>
              <w:top w:val="single" w:sz="4" w:space="0" w:color="auto"/>
              <w:left w:val="nil"/>
              <w:bottom w:val="nil"/>
              <w:right w:val="nil"/>
            </w:tcBorders>
            <w:noWrap/>
            <w:hideMark/>
          </w:tcPr>
          <w:p w14:paraId="3B9B7A2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single" w:sz="4" w:space="0" w:color="auto"/>
              <w:left w:val="nil"/>
              <w:bottom w:val="nil"/>
              <w:right w:val="single" w:sz="12" w:space="0" w:color="auto"/>
            </w:tcBorders>
            <w:noWrap/>
            <w:hideMark/>
          </w:tcPr>
          <w:p w14:paraId="56AAAD4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-26.9</w:t>
            </w:r>
          </w:p>
        </w:tc>
        <w:tc>
          <w:tcPr>
            <w:tcW w:w="990" w:type="dxa"/>
            <w:tcBorders>
              <w:top w:val="single" w:sz="4" w:space="0" w:color="auto"/>
              <w:left w:val="single" w:sz="12" w:space="0" w:color="auto"/>
              <w:bottom w:val="nil"/>
              <w:right w:val="nil"/>
            </w:tcBorders>
            <w:noWrap/>
            <w:hideMark/>
          </w:tcPr>
          <w:p w14:paraId="6CC60E4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27.6</w:t>
            </w:r>
          </w:p>
        </w:tc>
        <w:tc>
          <w:tcPr>
            <w:tcW w:w="992" w:type="dxa"/>
            <w:tcBorders>
              <w:top w:val="single" w:sz="4" w:space="0" w:color="auto"/>
              <w:left w:val="nil"/>
              <w:bottom w:val="nil"/>
              <w:right w:val="nil"/>
            </w:tcBorders>
            <w:noWrap/>
            <w:hideMark/>
          </w:tcPr>
          <w:p w14:paraId="051D937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-21.3</w:t>
            </w:r>
          </w:p>
        </w:tc>
        <w:tc>
          <w:tcPr>
            <w:tcW w:w="722" w:type="dxa"/>
            <w:tcBorders>
              <w:top w:val="single" w:sz="4" w:space="0" w:color="auto"/>
              <w:left w:val="nil"/>
              <w:bottom w:val="nil"/>
              <w:right w:val="single" w:sz="12" w:space="0" w:color="auto"/>
            </w:tcBorders>
            <w:noWrap/>
            <w:hideMark/>
          </w:tcPr>
          <w:p w14:paraId="5AAE99B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-42.1</w:t>
            </w:r>
          </w:p>
        </w:tc>
        <w:tc>
          <w:tcPr>
            <w:tcW w:w="1121" w:type="dxa"/>
            <w:tcBorders>
              <w:top w:val="single" w:sz="4" w:space="0" w:color="auto"/>
              <w:left w:val="single" w:sz="12" w:space="0" w:color="auto"/>
              <w:bottom w:val="nil"/>
              <w:right w:val="single" w:sz="12" w:space="0" w:color="auto"/>
            </w:tcBorders>
            <w:noWrap/>
            <w:hideMark/>
          </w:tcPr>
          <w:p w14:paraId="774AD8E4"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-34.1</w:t>
            </w:r>
          </w:p>
        </w:tc>
      </w:tr>
      <w:tr w:rsidR="00394E20" w:rsidRPr="00B71F92" w14:paraId="3E1BA744"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0AD4A970"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nil"/>
              <w:right w:val="single" w:sz="12" w:space="0" w:color="auto"/>
            </w:tcBorders>
            <w:noWrap/>
            <w:vAlign w:val="center"/>
            <w:hideMark/>
          </w:tcPr>
          <w:p w14:paraId="1B74E8BC"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Asian</w:t>
            </w:r>
          </w:p>
        </w:tc>
        <w:tc>
          <w:tcPr>
            <w:tcW w:w="810" w:type="dxa"/>
            <w:tcBorders>
              <w:top w:val="nil"/>
              <w:left w:val="single" w:sz="12" w:space="0" w:color="auto"/>
              <w:bottom w:val="nil"/>
              <w:right w:val="single" w:sz="12" w:space="0" w:color="auto"/>
            </w:tcBorders>
            <w:noWrap/>
            <w:hideMark/>
          </w:tcPr>
          <w:p w14:paraId="6F112CD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-11.5</w:t>
            </w:r>
          </w:p>
        </w:tc>
        <w:tc>
          <w:tcPr>
            <w:tcW w:w="895" w:type="dxa"/>
            <w:tcBorders>
              <w:top w:val="nil"/>
              <w:left w:val="single" w:sz="12" w:space="0" w:color="auto"/>
              <w:bottom w:val="nil"/>
              <w:right w:val="nil"/>
            </w:tcBorders>
            <w:noWrap/>
            <w:hideMark/>
          </w:tcPr>
          <w:p w14:paraId="00F31FD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6.6</w:t>
            </w:r>
          </w:p>
        </w:tc>
        <w:tc>
          <w:tcPr>
            <w:tcW w:w="810" w:type="dxa"/>
            <w:tcBorders>
              <w:top w:val="nil"/>
              <w:left w:val="nil"/>
              <w:bottom w:val="nil"/>
              <w:right w:val="nil"/>
            </w:tcBorders>
            <w:noWrap/>
            <w:hideMark/>
          </w:tcPr>
          <w:p w14:paraId="0A18160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-21.1</w:t>
            </w:r>
          </w:p>
        </w:tc>
        <w:tc>
          <w:tcPr>
            <w:tcW w:w="905" w:type="dxa"/>
            <w:tcBorders>
              <w:top w:val="nil"/>
              <w:left w:val="nil"/>
              <w:bottom w:val="nil"/>
              <w:right w:val="single" w:sz="12" w:space="0" w:color="auto"/>
            </w:tcBorders>
            <w:noWrap/>
            <w:hideMark/>
          </w:tcPr>
          <w:p w14:paraId="5912BFF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34.9</w:t>
            </w:r>
          </w:p>
        </w:tc>
        <w:tc>
          <w:tcPr>
            <w:tcW w:w="990" w:type="dxa"/>
            <w:tcBorders>
              <w:top w:val="nil"/>
              <w:left w:val="single" w:sz="12" w:space="0" w:color="auto"/>
              <w:bottom w:val="nil"/>
              <w:right w:val="nil"/>
            </w:tcBorders>
            <w:noWrap/>
            <w:hideMark/>
          </w:tcPr>
          <w:p w14:paraId="3F5C85B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-30.9</w:t>
            </w:r>
          </w:p>
        </w:tc>
        <w:tc>
          <w:tcPr>
            <w:tcW w:w="810" w:type="dxa"/>
            <w:tcBorders>
              <w:top w:val="nil"/>
              <w:left w:val="nil"/>
              <w:bottom w:val="nil"/>
              <w:right w:val="nil"/>
            </w:tcBorders>
            <w:noWrap/>
            <w:hideMark/>
          </w:tcPr>
          <w:p w14:paraId="5B82D18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nil"/>
              <w:left w:val="nil"/>
              <w:bottom w:val="nil"/>
              <w:right w:val="single" w:sz="12" w:space="0" w:color="auto"/>
            </w:tcBorders>
            <w:noWrap/>
            <w:hideMark/>
          </w:tcPr>
          <w:p w14:paraId="44AD71F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-26.9</w:t>
            </w:r>
          </w:p>
        </w:tc>
        <w:tc>
          <w:tcPr>
            <w:tcW w:w="990" w:type="dxa"/>
            <w:tcBorders>
              <w:top w:val="nil"/>
              <w:left w:val="single" w:sz="12" w:space="0" w:color="auto"/>
              <w:bottom w:val="nil"/>
              <w:right w:val="nil"/>
            </w:tcBorders>
            <w:noWrap/>
            <w:hideMark/>
          </w:tcPr>
          <w:p w14:paraId="4CFA4B4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119.8</w:t>
            </w:r>
          </w:p>
        </w:tc>
        <w:tc>
          <w:tcPr>
            <w:tcW w:w="992" w:type="dxa"/>
            <w:tcBorders>
              <w:top w:val="nil"/>
              <w:left w:val="nil"/>
              <w:bottom w:val="nil"/>
              <w:right w:val="nil"/>
            </w:tcBorders>
            <w:noWrap/>
            <w:hideMark/>
          </w:tcPr>
          <w:p w14:paraId="3927ADC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116.5</w:t>
            </w:r>
          </w:p>
        </w:tc>
        <w:tc>
          <w:tcPr>
            <w:tcW w:w="722" w:type="dxa"/>
            <w:tcBorders>
              <w:top w:val="nil"/>
              <w:left w:val="nil"/>
              <w:bottom w:val="nil"/>
              <w:right w:val="single" w:sz="12" w:space="0" w:color="auto"/>
            </w:tcBorders>
            <w:noWrap/>
            <w:hideMark/>
          </w:tcPr>
          <w:p w14:paraId="4241845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139.3</w:t>
            </w:r>
          </w:p>
        </w:tc>
        <w:tc>
          <w:tcPr>
            <w:tcW w:w="1121" w:type="dxa"/>
            <w:tcBorders>
              <w:top w:val="nil"/>
              <w:left w:val="single" w:sz="12" w:space="0" w:color="auto"/>
              <w:bottom w:val="nil"/>
              <w:right w:val="single" w:sz="12" w:space="0" w:color="auto"/>
            </w:tcBorders>
            <w:noWrap/>
            <w:hideMark/>
          </w:tcPr>
          <w:p w14:paraId="667F563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-36.9</w:t>
            </w:r>
          </w:p>
        </w:tc>
      </w:tr>
      <w:tr w:rsidR="00394E20" w:rsidRPr="00B71F92" w14:paraId="0CC92CF2" w14:textId="77777777" w:rsidTr="00AF15D1">
        <w:trPr>
          <w:trHeight w:val="216"/>
          <w:jc w:val="center"/>
        </w:trPr>
        <w:tc>
          <w:tcPr>
            <w:tcW w:w="1245" w:type="dxa"/>
            <w:vMerge/>
            <w:tcBorders>
              <w:top w:val="nil"/>
              <w:left w:val="single" w:sz="12" w:space="0" w:color="auto"/>
              <w:bottom w:val="single" w:sz="4" w:space="0" w:color="auto"/>
              <w:right w:val="nil"/>
            </w:tcBorders>
            <w:vAlign w:val="center"/>
            <w:hideMark/>
          </w:tcPr>
          <w:p w14:paraId="45ECBE62"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4" w:space="0" w:color="auto"/>
              <w:right w:val="single" w:sz="12" w:space="0" w:color="auto"/>
            </w:tcBorders>
            <w:noWrap/>
            <w:vAlign w:val="center"/>
            <w:hideMark/>
          </w:tcPr>
          <w:p w14:paraId="265097E9"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Black or Other</w:t>
            </w:r>
          </w:p>
        </w:tc>
        <w:tc>
          <w:tcPr>
            <w:tcW w:w="810" w:type="dxa"/>
            <w:tcBorders>
              <w:top w:val="nil"/>
              <w:left w:val="single" w:sz="12" w:space="0" w:color="auto"/>
              <w:bottom w:val="single" w:sz="4" w:space="0" w:color="auto"/>
              <w:right w:val="single" w:sz="12" w:space="0" w:color="auto"/>
            </w:tcBorders>
            <w:noWrap/>
            <w:hideMark/>
          </w:tcPr>
          <w:p w14:paraId="7CE0851B"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-11.6</w:t>
            </w:r>
          </w:p>
        </w:tc>
        <w:tc>
          <w:tcPr>
            <w:tcW w:w="895" w:type="dxa"/>
            <w:tcBorders>
              <w:top w:val="nil"/>
              <w:left w:val="single" w:sz="12" w:space="0" w:color="auto"/>
              <w:bottom w:val="single" w:sz="4" w:space="0" w:color="auto"/>
              <w:right w:val="nil"/>
            </w:tcBorders>
            <w:noWrap/>
            <w:hideMark/>
          </w:tcPr>
          <w:p w14:paraId="4C5F573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9.4</w:t>
            </w:r>
          </w:p>
        </w:tc>
        <w:tc>
          <w:tcPr>
            <w:tcW w:w="810" w:type="dxa"/>
            <w:tcBorders>
              <w:top w:val="nil"/>
              <w:left w:val="nil"/>
              <w:bottom w:val="single" w:sz="4" w:space="0" w:color="auto"/>
              <w:right w:val="nil"/>
            </w:tcBorders>
            <w:noWrap/>
            <w:hideMark/>
          </w:tcPr>
          <w:p w14:paraId="00A2B7E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6.7</w:t>
            </w:r>
          </w:p>
        </w:tc>
        <w:tc>
          <w:tcPr>
            <w:tcW w:w="905" w:type="dxa"/>
            <w:tcBorders>
              <w:top w:val="nil"/>
              <w:left w:val="nil"/>
              <w:bottom w:val="single" w:sz="4" w:space="0" w:color="auto"/>
              <w:right w:val="single" w:sz="12" w:space="0" w:color="auto"/>
            </w:tcBorders>
            <w:noWrap/>
            <w:hideMark/>
          </w:tcPr>
          <w:p w14:paraId="7D74B163"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24.8</w:t>
            </w:r>
          </w:p>
        </w:tc>
        <w:tc>
          <w:tcPr>
            <w:tcW w:w="990" w:type="dxa"/>
            <w:tcBorders>
              <w:top w:val="nil"/>
              <w:left w:val="single" w:sz="12" w:space="0" w:color="auto"/>
              <w:bottom w:val="single" w:sz="4" w:space="0" w:color="auto"/>
              <w:right w:val="nil"/>
            </w:tcBorders>
            <w:noWrap/>
            <w:hideMark/>
          </w:tcPr>
          <w:p w14:paraId="00C618D5"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-11.2</w:t>
            </w:r>
          </w:p>
        </w:tc>
        <w:tc>
          <w:tcPr>
            <w:tcW w:w="810" w:type="dxa"/>
            <w:tcBorders>
              <w:top w:val="nil"/>
              <w:left w:val="nil"/>
              <w:bottom w:val="single" w:sz="4" w:space="0" w:color="auto"/>
              <w:right w:val="nil"/>
            </w:tcBorders>
            <w:noWrap/>
            <w:hideMark/>
          </w:tcPr>
          <w:p w14:paraId="4AB357C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nil"/>
              <w:left w:val="nil"/>
              <w:bottom w:val="single" w:sz="4" w:space="0" w:color="auto"/>
              <w:right w:val="single" w:sz="12" w:space="0" w:color="auto"/>
            </w:tcBorders>
            <w:noWrap/>
            <w:hideMark/>
          </w:tcPr>
          <w:p w14:paraId="5D3A5FA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-25.1</w:t>
            </w:r>
          </w:p>
        </w:tc>
        <w:tc>
          <w:tcPr>
            <w:tcW w:w="990" w:type="dxa"/>
            <w:tcBorders>
              <w:top w:val="nil"/>
              <w:left w:val="single" w:sz="12" w:space="0" w:color="auto"/>
              <w:bottom w:val="single" w:sz="4" w:space="0" w:color="auto"/>
              <w:right w:val="nil"/>
            </w:tcBorders>
            <w:noWrap/>
            <w:hideMark/>
          </w:tcPr>
          <w:p w14:paraId="23756FF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27.6</w:t>
            </w:r>
          </w:p>
        </w:tc>
        <w:tc>
          <w:tcPr>
            <w:tcW w:w="992" w:type="dxa"/>
            <w:tcBorders>
              <w:top w:val="nil"/>
              <w:left w:val="nil"/>
              <w:bottom w:val="single" w:sz="4" w:space="0" w:color="auto"/>
              <w:right w:val="nil"/>
            </w:tcBorders>
            <w:noWrap/>
            <w:hideMark/>
          </w:tcPr>
          <w:p w14:paraId="6B559486"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-21.3</w:t>
            </w:r>
          </w:p>
        </w:tc>
        <w:tc>
          <w:tcPr>
            <w:tcW w:w="722" w:type="dxa"/>
            <w:tcBorders>
              <w:top w:val="nil"/>
              <w:left w:val="nil"/>
              <w:bottom w:val="single" w:sz="4" w:space="0" w:color="auto"/>
              <w:right w:val="single" w:sz="12" w:space="0" w:color="auto"/>
            </w:tcBorders>
            <w:noWrap/>
            <w:hideMark/>
          </w:tcPr>
          <w:p w14:paraId="4D2FB631"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-42.1</w:t>
            </w:r>
          </w:p>
        </w:tc>
        <w:tc>
          <w:tcPr>
            <w:tcW w:w="1121" w:type="dxa"/>
            <w:tcBorders>
              <w:top w:val="nil"/>
              <w:left w:val="single" w:sz="12" w:space="0" w:color="auto"/>
              <w:bottom w:val="single" w:sz="4" w:space="0" w:color="auto"/>
              <w:right w:val="single" w:sz="12" w:space="0" w:color="auto"/>
            </w:tcBorders>
            <w:noWrap/>
            <w:hideMark/>
          </w:tcPr>
          <w:p w14:paraId="3A6D43A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-30.1</w:t>
            </w:r>
          </w:p>
        </w:tc>
      </w:tr>
      <w:tr w:rsidR="00394E20" w:rsidRPr="00B71F92" w14:paraId="17C6C5CF" w14:textId="77777777" w:rsidTr="00AF15D1">
        <w:trPr>
          <w:trHeight w:val="216"/>
          <w:jc w:val="center"/>
        </w:trPr>
        <w:tc>
          <w:tcPr>
            <w:tcW w:w="1245" w:type="dxa"/>
            <w:vMerge w:val="restart"/>
            <w:tcBorders>
              <w:top w:val="single" w:sz="4" w:space="0" w:color="auto"/>
              <w:left w:val="single" w:sz="12" w:space="0" w:color="auto"/>
              <w:bottom w:val="single" w:sz="4" w:space="0" w:color="auto"/>
              <w:right w:val="nil"/>
            </w:tcBorders>
            <w:noWrap/>
            <w:vAlign w:val="center"/>
            <w:hideMark/>
          </w:tcPr>
          <w:p w14:paraId="1CCDFA23" w14:textId="77777777" w:rsidR="00394E20" w:rsidRPr="00B71F92" w:rsidRDefault="00394E20" w:rsidP="00AF15D1">
            <w:pPr>
              <w:spacing w:after="0" w:line="240" w:lineRule="auto"/>
              <w:jc w:val="center"/>
              <w:rPr>
                <w:rFonts w:eastAsia="Times New Roman"/>
                <w:b/>
                <w:bCs/>
                <w:color w:val="000000"/>
                <w:sz w:val="18"/>
                <w:szCs w:val="18"/>
              </w:rPr>
            </w:pPr>
            <w:r w:rsidRPr="00B71F92">
              <w:rPr>
                <w:rFonts w:eastAsia="Times New Roman"/>
                <w:b/>
                <w:bCs/>
                <w:color w:val="000000"/>
                <w:sz w:val="18"/>
                <w:szCs w:val="18"/>
              </w:rPr>
              <w:t>Ethnicity</w:t>
            </w:r>
          </w:p>
        </w:tc>
        <w:tc>
          <w:tcPr>
            <w:tcW w:w="2700" w:type="dxa"/>
            <w:tcBorders>
              <w:top w:val="single" w:sz="4" w:space="0" w:color="auto"/>
              <w:left w:val="nil"/>
              <w:bottom w:val="nil"/>
              <w:right w:val="single" w:sz="12" w:space="0" w:color="auto"/>
            </w:tcBorders>
            <w:noWrap/>
            <w:vAlign w:val="center"/>
            <w:hideMark/>
          </w:tcPr>
          <w:p w14:paraId="2501C95D"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Not Hispanic</w:t>
            </w:r>
          </w:p>
        </w:tc>
        <w:tc>
          <w:tcPr>
            <w:tcW w:w="810" w:type="dxa"/>
            <w:tcBorders>
              <w:top w:val="single" w:sz="4" w:space="0" w:color="auto"/>
              <w:left w:val="single" w:sz="12" w:space="0" w:color="auto"/>
              <w:bottom w:val="nil"/>
              <w:right w:val="single" w:sz="12" w:space="0" w:color="auto"/>
            </w:tcBorders>
            <w:noWrap/>
            <w:hideMark/>
          </w:tcPr>
          <w:p w14:paraId="5096B48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-11.6</w:t>
            </w:r>
          </w:p>
        </w:tc>
        <w:tc>
          <w:tcPr>
            <w:tcW w:w="895" w:type="dxa"/>
            <w:tcBorders>
              <w:top w:val="single" w:sz="4" w:space="0" w:color="auto"/>
              <w:left w:val="single" w:sz="12" w:space="0" w:color="auto"/>
              <w:bottom w:val="nil"/>
              <w:right w:val="nil"/>
            </w:tcBorders>
            <w:noWrap/>
            <w:hideMark/>
          </w:tcPr>
          <w:p w14:paraId="40994EC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single" w:sz="4" w:space="0" w:color="auto"/>
              <w:left w:val="nil"/>
              <w:bottom w:val="nil"/>
              <w:right w:val="nil"/>
            </w:tcBorders>
            <w:noWrap/>
            <w:hideMark/>
          </w:tcPr>
          <w:p w14:paraId="5470F68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w:t>
            </w:r>
          </w:p>
        </w:tc>
        <w:tc>
          <w:tcPr>
            <w:tcW w:w="905" w:type="dxa"/>
            <w:tcBorders>
              <w:top w:val="single" w:sz="4" w:space="0" w:color="auto"/>
              <w:left w:val="nil"/>
              <w:bottom w:val="nil"/>
              <w:right w:val="single" w:sz="12" w:space="0" w:color="auto"/>
            </w:tcBorders>
            <w:noWrap/>
            <w:hideMark/>
          </w:tcPr>
          <w:p w14:paraId="0CAF3E2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single" w:sz="4" w:space="0" w:color="auto"/>
              <w:left w:val="single" w:sz="12" w:space="0" w:color="auto"/>
              <w:bottom w:val="nil"/>
              <w:right w:val="nil"/>
            </w:tcBorders>
            <w:noWrap/>
            <w:hideMark/>
          </w:tcPr>
          <w:p w14:paraId="39F09AE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-14.1</w:t>
            </w:r>
          </w:p>
        </w:tc>
        <w:tc>
          <w:tcPr>
            <w:tcW w:w="810" w:type="dxa"/>
            <w:tcBorders>
              <w:top w:val="single" w:sz="4" w:space="0" w:color="auto"/>
              <w:left w:val="nil"/>
              <w:bottom w:val="nil"/>
              <w:right w:val="nil"/>
            </w:tcBorders>
            <w:noWrap/>
            <w:hideMark/>
          </w:tcPr>
          <w:p w14:paraId="5E73CBB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single" w:sz="4" w:space="0" w:color="auto"/>
              <w:left w:val="nil"/>
              <w:bottom w:val="nil"/>
              <w:right w:val="single" w:sz="12" w:space="0" w:color="auto"/>
            </w:tcBorders>
            <w:noWrap/>
            <w:hideMark/>
          </w:tcPr>
          <w:p w14:paraId="1B5A001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-28.9</w:t>
            </w:r>
          </w:p>
        </w:tc>
        <w:tc>
          <w:tcPr>
            <w:tcW w:w="990" w:type="dxa"/>
            <w:tcBorders>
              <w:top w:val="single" w:sz="4" w:space="0" w:color="auto"/>
              <w:left w:val="single" w:sz="12" w:space="0" w:color="auto"/>
              <w:bottom w:val="nil"/>
              <w:right w:val="nil"/>
            </w:tcBorders>
            <w:noWrap/>
            <w:hideMark/>
          </w:tcPr>
          <w:p w14:paraId="66C36F4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37.0</w:t>
            </w:r>
          </w:p>
        </w:tc>
        <w:tc>
          <w:tcPr>
            <w:tcW w:w="992" w:type="dxa"/>
            <w:tcBorders>
              <w:top w:val="single" w:sz="4" w:space="0" w:color="auto"/>
              <w:left w:val="nil"/>
              <w:bottom w:val="nil"/>
              <w:right w:val="nil"/>
            </w:tcBorders>
            <w:noWrap/>
            <w:hideMark/>
          </w:tcPr>
          <w:p w14:paraId="72915567"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-8.0</w:t>
            </w:r>
          </w:p>
        </w:tc>
        <w:tc>
          <w:tcPr>
            <w:tcW w:w="722" w:type="dxa"/>
            <w:tcBorders>
              <w:top w:val="single" w:sz="4" w:space="0" w:color="auto"/>
              <w:left w:val="nil"/>
              <w:bottom w:val="nil"/>
              <w:right w:val="single" w:sz="12" w:space="0" w:color="auto"/>
            </w:tcBorders>
            <w:noWrap/>
            <w:hideMark/>
          </w:tcPr>
          <w:p w14:paraId="4C86435C"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single" w:sz="4" w:space="0" w:color="auto"/>
              <w:left w:val="single" w:sz="12" w:space="0" w:color="auto"/>
              <w:bottom w:val="nil"/>
              <w:right w:val="single" w:sz="12" w:space="0" w:color="auto"/>
            </w:tcBorders>
            <w:noWrap/>
            <w:hideMark/>
          </w:tcPr>
          <w:p w14:paraId="55D2EC79"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-34.4</w:t>
            </w:r>
          </w:p>
        </w:tc>
      </w:tr>
      <w:tr w:rsidR="00394E20" w:rsidRPr="00B71F92" w14:paraId="61D0BFCA" w14:textId="77777777" w:rsidTr="00AF15D1">
        <w:trPr>
          <w:trHeight w:val="216"/>
          <w:jc w:val="center"/>
        </w:trPr>
        <w:tc>
          <w:tcPr>
            <w:tcW w:w="1245" w:type="dxa"/>
            <w:vMerge/>
            <w:tcBorders>
              <w:top w:val="nil"/>
              <w:left w:val="single" w:sz="12" w:space="0" w:color="auto"/>
              <w:bottom w:val="single" w:sz="12" w:space="0" w:color="auto"/>
              <w:right w:val="nil"/>
            </w:tcBorders>
            <w:vAlign w:val="center"/>
            <w:hideMark/>
          </w:tcPr>
          <w:p w14:paraId="3F9F6699" w14:textId="77777777" w:rsidR="00394E20" w:rsidRPr="00B71F92" w:rsidRDefault="00394E20" w:rsidP="00AF15D1">
            <w:pPr>
              <w:spacing w:after="0" w:line="240" w:lineRule="auto"/>
              <w:rPr>
                <w:rFonts w:eastAsia="Times New Roman"/>
                <w:b/>
                <w:bCs/>
                <w:color w:val="000000"/>
                <w:sz w:val="18"/>
                <w:szCs w:val="18"/>
              </w:rPr>
            </w:pPr>
          </w:p>
        </w:tc>
        <w:tc>
          <w:tcPr>
            <w:tcW w:w="2700" w:type="dxa"/>
            <w:tcBorders>
              <w:top w:val="nil"/>
              <w:left w:val="nil"/>
              <w:bottom w:val="single" w:sz="12" w:space="0" w:color="auto"/>
              <w:right w:val="single" w:sz="12" w:space="0" w:color="auto"/>
            </w:tcBorders>
            <w:noWrap/>
            <w:vAlign w:val="center"/>
            <w:hideMark/>
          </w:tcPr>
          <w:p w14:paraId="612FD199" w14:textId="77777777" w:rsidR="00394E20" w:rsidRPr="00B71F92" w:rsidRDefault="00394E20" w:rsidP="00AF15D1">
            <w:pPr>
              <w:spacing w:after="0" w:line="240" w:lineRule="auto"/>
              <w:rPr>
                <w:rFonts w:eastAsia="Times New Roman"/>
                <w:color w:val="000000"/>
                <w:sz w:val="18"/>
                <w:szCs w:val="18"/>
              </w:rPr>
            </w:pPr>
            <w:r w:rsidRPr="00B71F92">
              <w:rPr>
                <w:rFonts w:eastAsia="Times New Roman"/>
                <w:color w:val="000000"/>
                <w:sz w:val="18"/>
                <w:szCs w:val="18"/>
              </w:rPr>
              <w:t>Hispanic</w:t>
            </w:r>
          </w:p>
        </w:tc>
        <w:tc>
          <w:tcPr>
            <w:tcW w:w="810" w:type="dxa"/>
            <w:tcBorders>
              <w:top w:val="nil"/>
              <w:left w:val="single" w:sz="12" w:space="0" w:color="auto"/>
              <w:bottom w:val="single" w:sz="12" w:space="0" w:color="auto"/>
              <w:right w:val="single" w:sz="12" w:space="0" w:color="auto"/>
            </w:tcBorders>
            <w:noWrap/>
            <w:hideMark/>
          </w:tcPr>
          <w:p w14:paraId="0288C882"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-11.5</w:t>
            </w:r>
          </w:p>
        </w:tc>
        <w:tc>
          <w:tcPr>
            <w:tcW w:w="895" w:type="dxa"/>
            <w:tcBorders>
              <w:top w:val="nil"/>
              <w:left w:val="single" w:sz="12" w:space="0" w:color="auto"/>
              <w:bottom w:val="single" w:sz="12" w:space="0" w:color="auto"/>
              <w:right w:val="nil"/>
            </w:tcBorders>
            <w:noWrap/>
            <w:hideMark/>
          </w:tcPr>
          <w:p w14:paraId="5480C23F"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11.4</w:t>
            </w:r>
          </w:p>
        </w:tc>
        <w:tc>
          <w:tcPr>
            <w:tcW w:w="810" w:type="dxa"/>
            <w:tcBorders>
              <w:top w:val="nil"/>
              <w:left w:val="nil"/>
              <w:bottom w:val="single" w:sz="12" w:space="0" w:color="auto"/>
              <w:right w:val="nil"/>
            </w:tcBorders>
            <w:noWrap/>
            <w:hideMark/>
          </w:tcPr>
          <w:p w14:paraId="6AA8CC5E"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4.0</w:t>
            </w:r>
          </w:p>
        </w:tc>
        <w:tc>
          <w:tcPr>
            <w:tcW w:w="905" w:type="dxa"/>
            <w:tcBorders>
              <w:top w:val="nil"/>
              <w:left w:val="nil"/>
              <w:bottom w:val="single" w:sz="12" w:space="0" w:color="auto"/>
              <w:right w:val="single" w:sz="12" w:space="0" w:color="auto"/>
            </w:tcBorders>
            <w:noWrap/>
            <w:hideMark/>
          </w:tcPr>
          <w:p w14:paraId="68B52F0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23.3</w:t>
            </w:r>
          </w:p>
        </w:tc>
        <w:tc>
          <w:tcPr>
            <w:tcW w:w="990" w:type="dxa"/>
            <w:tcBorders>
              <w:top w:val="nil"/>
              <w:left w:val="single" w:sz="12" w:space="0" w:color="auto"/>
              <w:bottom w:val="single" w:sz="12" w:space="0" w:color="auto"/>
              <w:right w:val="nil"/>
            </w:tcBorders>
            <w:noWrap/>
            <w:hideMark/>
          </w:tcPr>
          <w:p w14:paraId="09DAFE1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-13.0</w:t>
            </w:r>
          </w:p>
        </w:tc>
        <w:tc>
          <w:tcPr>
            <w:tcW w:w="810" w:type="dxa"/>
            <w:tcBorders>
              <w:top w:val="nil"/>
              <w:left w:val="nil"/>
              <w:bottom w:val="single" w:sz="12" w:space="0" w:color="auto"/>
              <w:right w:val="nil"/>
            </w:tcBorders>
            <w:noWrap/>
            <w:hideMark/>
          </w:tcPr>
          <w:p w14:paraId="3151545A"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33.3</w:t>
            </w:r>
          </w:p>
        </w:tc>
        <w:tc>
          <w:tcPr>
            <w:tcW w:w="1087" w:type="dxa"/>
            <w:tcBorders>
              <w:top w:val="nil"/>
              <w:left w:val="nil"/>
              <w:bottom w:val="single" w:sz="12" w:space="0" w:color="auto"/>
              <w:right w:val="single" w:sz="12" w:space="0" w:color="auto"/>
            </w:tcBorders>
            <w:noWrap/>
            <w:hideMark/>
          </w:tcPr>
          <w:p w14:paraId="181DBE7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14.6</w:t>
            </w:r>
          </w:p>
        </w:tc>
        <w:tc>
          <w:tcPr>
            <w:tcW w:w="990" w:type="dxa"/>
            <w:tcBorders>
              <w:top w:val="nil"/>
              <w:left w:val="single" w:sz="12" w:space="0" w:color="auto"/>
              <w:bottom w:val="single" w:sz="12" w:space="0" w:color="auto"/>
              <w:right w:val="nil"/>
            </w:tcBorders>
            <w:noWrap/>
            <w:hideMark/>
          </w:tcPr>
          <w:p w14:paraId="481F9BF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27.1</w:t>
            </w:r>
          </w:p>
        </w:tc>
        <w:tc>
          <w:tcPr>
            <w:tcW w:w="992" w:type="dxa"/>
            <w:tcBorders>
              <w:top w:val="nil"/>
              <w:left w:val="nil"/>
              <w:bottom w:val="single" w:sz="12" w:space="0" w:color="auto"/>
              <w:right w:val="nil"/>
            </w:tcBorders>
            <w:noWrap/>
            <w:hideMark/>
          </w:tcPr>
          <w:p w14:paraId="7FAE2A7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-9.5</w:t>
            </w:r>
          </w:p>
        </w:tc>
        <w:tc>
          <w:tcPr>
            <w:tcW w:w="722" w:type="dxa"/>
            <w:tcBorders>
              <w:top w:val="nil"/>
              <w:left w:val="nil"/>
              <w:bottom w:val="single" w:sz="12" w:space="0" w:color="auto"/>
              <w:right w:val="single" w:sz="12" w:space="0" w:color="auto"/>
            </w:tcBorders>
            <w:noWrap/>
            <w:hideMark/>
          </w:tcPr>
          <w:p w14:paraId="579F0C3D"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-32.5</w:t>
            </w:r>
          </w:p>
        </w:tc>
        <w:tc>
          <w:tcPr>
            <w:tcW w:w="1121" w:type="dxa"/>
            <w:tcBorders>
              <w:top w:val="nil"/>
              <w:left w:val="single" w:sz="12" w:space="0" w:color="auto"/>
              <w:bottom w:val="single" w:sz="12" w:space="0" w:color="auto"/>
              <w:right w:val="single" w:sz="12" w:space="0" w:color="auto"/>
            </w:tcBorders>
            <w:noWrap/>
            <w:hideMark/>
          </w:tcPr>
          <w:p w14:paraId="0BA55C40" w14:textId="77777777" w:rsidR="00394E20" w:rsidRPr="00B71F92" w:rsidRDefault="00394E20" w:rsidP="00AF15D1">
            <w:pPr>
              <w:tabs>
                <w:tab w:val="decimal" w:pos="270"/>
              </w:tabs>
              <w:spacing w:after="0" w:line="240" w:lineRule="auto"/>
              <w:jc w:val="center"/>
              <w:rPr>
                <w:rFonts w:eastAsia="Times New Roman"/>
                <w:color w:val="000000"/>
                <w:sz w:val="18"/>
                <w:szCs w:val="18"/>
              </w:rPr>
            </w:pPr>
            <w:r w:rsidRPr="00B71F92">
              <w:rPr>
                <w:sz w:val="18"/>
                <w:szCs w:val="18"/>
              </w:rPr>
              <w:t>-32.8</w:t>
            </w:r>
          </w:p>
        </w:tc>
      </w:tr>
    </w:tbl>
    <w:p w14:paraId="205A9F99" w14:textId="77777777" w:rsidR="00394E20" w:rsidRPr="00B71F92" w:rsidRDefault="00394E20" w:rsidP="00394E20">
      <w:pPr>
        <w:spacing w:after="0" w:line="240" w:lineRule="auto"/>
        <w:jc w:val="both"/>
        <w:rPr>
          <w:b/>
          <w:bCs/>
        </w:rPr>
        <w:sectPr w:rsidR="00394E20" w:rsidRPr="00B71F92" w:rsidSect="00394E20">
          <w:pgSz w:w="15840" w:h="12240" w:orient="landscape" w:code="1"/>
          <w:pgMar w:top="1440" w:right="1440" w:bottom="1440" w:left="1440" w:header="720" w:footer="720" w:gutter="0"/>
          <w:cols w:space="720"/>
          <w:docGrid w:linePitch="360"/>
        </w:sectPr>
      </w:pPr>
    </w:p>
    <w:p w14:paraId="7771D56B" w14:textId="77777777" w:rsidR="008404B6" w:rsidRPr="00B71F92" w:rsidRDefault="008404B6" w:rsidP="008404B6">
      <w:pPr>
        <w:spacing w:after="0" w:line="240" w:lineRule="auto"/>
        <w:jc w:val="both"/>
        <w:rPr>
          <w:b/>
          <w:bCs/>
        </w:rPr>
      </w:pPr>
      <w:r w:rsidRPr="00B71F92">
        <w:rPr>
          <w:b/>
          <w:bCs/>
        </w:rPr>
        <w:lastRenderedPageBreak/>
        <w:t>6. CONCLUSIONS</w:t>
      </w:r>
    </w:p>
    <w:p w14:paraId="7214078B" w14:textId="2A190864" w:rsidR="00231655" w:rsidRPr="00B71F92" w:rsidRDefault="00DD0238" w:rsidP="008404B6">
      <w:pPr>
        <w:spacing w:after="0" w:line="240" w:lineRule="auto"/>
        <w:jc w:val="both"/>
      </w:pPr>
      <w:r w:rsidRPr="00B71F92">
        <w:t xml:space="preserve">Residential relocations occur due to a multitude of interrelated factors </w:t>
      </w:r>
      <w:r w:rsidR="00FF5C82" w:rsidRPr="00B71F92">
        <w:t xml:space="preserve">as families plan moves based on their life-course and </w:t>
      </w:r>
      <w:r w:rsidR="00A51DDF" w:rsidRPr="00B71F92">
        <w:t>adjust</w:t>
      </w:r>
      <w:r w:rsidR="00FF5C82" w:rsidRPr="00B71F92">
        <w:t xml:space="preserve"> </w:t>
      </w:r>
      <w:r w:rsidR="00C043D6" w:rsidRPr="00B71F92">
        <w:t xml:space="preserve">these plans </w:t>
      </w:r>
      <w:r w:rsidR="00FF5C82" w:rsidRPr="00B71F92">
        <w:t xml:space="preserve">over time in response to their own </w:t>
      </w:r>
      <w:r w:rsidR="00C043D6" w:rsidRPr="00B71F92">
        <w:t>evolving</w:t>
      </w:r>
      <w:r w:rsidR="00FF5C82" w:rsidRPr="00B71F92">
        <w:t xml:space="preserve"> needs and structural changes to the housing market. </w:t>
      </w:r>
      <w:r w:rsidR="000D3ED4" w:rsidRPr="00B71F92">
        <w:t xml:space="preserve">In this paper, we examine this process to determine how </w:t>
      </w:r>
      <w:r w:rsidR="00087FD8" w:rsidRPr="00B71F92">
        <w:t xml:space="preserve">relocations are motivated differently among different subgroups of the population, as well as how these motivations have changed over time in response to evolving external conditions. </w:t>
      </w:r>
      <w:r w:rsidR="00163F03" w:rsidRPr="00B71F92">
        <w:t xml:space="preserve">We conceptualize this relocation process in terms of structuration theory </w:t>
      </w:r>
      <w:r w:rsidR="009D6800" w:rsidRPr="00B71F92">
        <w:t xml:space="preserve">to accommodate this duality between the pressures presented by social context in relation to individual preferences and agency in navigating the housing market, as well as </w:t>
      </w:r>
      <w:r w:rsidR="00F969F8" w:rsidRPr="00B71F92">
        <w:t>the cyclical nature of this process as individuals make decisions to produce these same structural conditions themselves</w:t>
      </w:r>
      <w:r w:rsidR="009D6800" w:rsidRPr="00B71F92">
        <w:t xml:space="preserve">. </w:t>
      </w:r>
      <w:r w:rsidR="009F19FC" w:rsidRPr="00B71F92">
        <w:t xml:space="preserve">The findings illustrate how individual relocation decisions, motivated by proactive planning processes, disconnects between housing preferences and housing outcomes, triggered reevaluations of housing situations, and </w:t>
      </w:r>
      <w:r w:rsidR="00C74CCE" w:rsidRPr="00B71F92">
        <w:t xml:space="preserve">threats of </w:t>
      </w:r>
      <w:r w:rsidR="009F19FC" w:rsidRPr="00B71F92">
        <w:t xml:space="preserve">forced relocations, collectively shape urban landscapes. For instance, </w:t>
      </w:r>
      <w:r w:rsidR="00EC4D32" w:rsidRPr="00B71F92">
        <w:t xml:space="preserve">shifts in the nature of employment and remote work during the 2021 period </w:t>
      </w:r>
      <w:r w:rsidR="00AF3B3E" w:rsidRPr="00B71F92">
        <w:t>have</w:t>
      </w:r>
      <w:r w:rsidR="00EC4D32" w:rsidRPr="00B71F92">
        <w:t xml:space="preserve"> had broad implications for housing outcomes by reducing motivations related to aligning home and workplace locations</w:t>
      </w:r>
      <w:r w:rsidR="00C74CCE" w:rsidRPr="00B71F92">
        <w:t>,</w:t>
      </w:r>
      <w:r w:rsidR="00EC4D32" w:rsidRPr="00B71F92">
        <w:t xml:space="preserve"> while increasing attention to space at home. These choices then influence neighborhood composition, housing market dynamics, and travel demand patterns</w:t>
      </w:r>
      <w:r w:rsidR="00DA02DB" w:rsidRPr="00B71F92">
        <w:t xml:space="preserve">, further influencing opportunities available to current and future movers. </w:t>
      </w:r>
      <w:r w:rsidR="00E75699" w:rsidRPr="00B71F92">
        <w:t xml:space="preserve">We find that relocations in the 2021 period were less commonly motivated by </w:t>
      </w:r>
      <w:r w:rsidR="00DA4B4F" w:rsidRPr="00B71F92">
        <w:t>proactive planning processes or forced relocations than they had been previously, instead being motivated by triggered</w:t>
      </w:r>
      <w:r w:rsidR="00C74CCE" w:rsidRPr="00B71F92">
        <w:t xml:space="preserve"> reevaluations</w:t>
      </w:r>
      <w:r w:rsidR="00DA4B4F" w:rsidRPr="00B71F92">
        <w:t xml:space="preserve"> in housing situations or changing housing preferences. </w:t>
      </w:r>
      <w:r w:rsidR="00781643" w:rsidRPr="00B71F92">
        <w:t>Finally, t</w:t>
      </w:r>
      <w:r w:rsidR="00233889" w:rsidRPr="00B71F92">
        <w:t xml:space="preserve">he 2023 period saw a continued decline </w:t>
      </w:r>
      <w:r w:rsidR="00C74CCE" w:rsidRPr="00B71F92">
        <w:t xml:space="preserve">in perceived threats </w:t>
      </w:r>
      <w:r w:rsidR="00233889" w:rsidRPr="00B71F92">
        <w:t>of forced relocations</w:t>
      </w:r>
      <w:r w:rsidR="00C74CCE" w:rsidRPr="00B71F92">
        <w:t>,</w:t>
      </w:r>
      <w:r w:rsidR="00233889" w:rsidRPr="00B71F92">
        <w:t xml:space="preserve"> but a reversal of many of the other trends</w:t>
      </w:r>
      <w:r w:rsidR="00B90F47" w:rsidRPr="00B71F92">
        <w:t xml:space="preserve">. In particular, many families </w:t>
      </w:r>
      <w:r w:rsidR="00C74CCE" w:rsidRPr="00B71F92">
        <w:t xml:space="preserve">seemed motivated by a desire for </w:t>
      </w:r>
      <w:r w:rsidR="00B90F47" w:rsidRPr="00B71F92">
        <w:t xml:space="preserve">less space in their home during the 2023 period compared with the 2021 period, </w:t>
      </w:r>
      <w:r w:rsidR="0064597A" w:rsidRPr="00B71F92">
        <w:t xml:space="preserve">while moves motivated by changes in income or finances or friends and family leaving the area declined. </w:t>
      </w:r>
    </w:p>
    <w:p w14:paraId="58706D1C" w14:textId="30424A21" w:rsidR="00163F03" w:rsidRDefault="00A13F74" w:rsidP="008404B6">
      <w:pPr>
        <w:spacing w:after="0" w:line="240" w:lineRule="auto"/>
        <w:jc w:val="both"/>
      </w:pPr>
      <w:r w:rsidRPr="00B71F92">
        <w:tab/>
      </w:r>
      <w:r w:rsidR="00456B1F" w:rsidRPr="00B71F92">
        <w:t xml:space="preserve">There are several additional avenues for further research. First, while this paper considers </w:t>
      </w:r>
      <w:r w:rsidR="00E9206B" w:rsidRPr="00B71F92">
        <w:t xml:space="preserve">intra-regional </w:t>
      </w:r>
      <w:r w:rsidR="006C2E2D" w:rsidRPr="00B71F92">
        <w:t>relocations</w:t>
      </w:r>
      <w:r w:rsidR="00E9206B" w:rsidRPr="00B71F92">
        <w:t xml:space="preserve"> in the Puget Sound region, we do not consider </w:t>
      </w:r>
      <w:r w:rsidR="006C2E2D" w:rsidRPr="00B71F92">
        <w:t xml:space="preserve">other geographic regions or </w:t>
      </w:r>
      <w:r w:rsidR="00E9206B" w:rsidRPr="00B71F92">
        <w:t>long</w:t>
      </w:r>
      <w:r w:rsidR="006C2E2D" w:rsidRPr="00B71F92">
        <w:t xml:space="preserve">er distance inter-regional relocations. </w:t>
      </w:r>
      <w:r w:rsidR="00C74CCE" w:rsidRPr="00B71F92">
        <w:t xml:space="preserve">A study of inter-regional relocations and motivations would be particularly valuable because such </w:t>
      </w:r>
      <w:r w:rsidR="00AF3B3E" w:rsidRPr="00B71F92">
        <w:t>longer distance moves differ significantly from shorter intra-regional moves and may be motivated by different considerations</w:t>
      </w:r>
      <w:r w:rsidR="00C74CCE" w:rsidRPr="00B71F92">
        <w:t>.</w:t>
      </w:r>
      <w:r w:rsidR="00AF3B3E" w:rsidRPr="00B71F92">
        <w:t xml:space="preserve"> Second, </w:t>
      </w:r>
      <w:r w:rsidR="00E326F7" w:rsidRPr="00B71F92">
        <w:t xml:space="preserve">we consider the household as a unit, with motivational responses from a single household member to represent the preferences of the household. </w:t>
      </w:r>
      <w:r w:rsidR="00C74CCE" w:rsidRPr="00B71F92">
        <w:t>T</w:t>
      </w:r>
      <w:r w:rsidR="00E326F7" w:rsidRPr="00B71F92">
        <w:t xml:space="preserve">hese reference individuals are likely to be aware of the motivations of other household members, but a consideration of how household members interact to make </w:t>
      </w:r>
      <w:r w:rsidR="008656D9" w:rsidRPr="00B71F92">
        <w:t>relocation decisions</w:t>
      </w:r>
      <w:r w:rsidR="00E326F7" w:rsidRPr="00B71F92">
        <w:t xml:space="preserve"> </w:t>
      </w:r>
      <w:r w:rsidR="00C74CCE" w:rsidRPr="00B71F92">
        <w:t xml:space="preserve">jointly </w:t>
      </w:r>
      <w:r w:rsidR="00E326F7" w:rsidRPr="00B71F92">
        <w:t xml:space="preserve">and navigate their own differing motivations would be of interest. Finally, </w:t>
      </w:r>
      <w:r w:rsidR="00653490" w:rsidRPr="00B71F92">
        <w:t xml:space="preserve">while there is evidence that the housing search process is dependent on the motivations for relocation </w:t>
      </w:r>
      <w:r w:rsidR="00653490" w:rsidRPr="00B71F92">
        <w:fldChar w:fldCharType="begin"/>
      </w:r>
      <w:r w:rsidR="00CC7ABA" w:rsidRPr="00B71F92">
        <w:instrText xml:space="preserve"> ADDIN ZOTERO_ITEM CSL_CITATION {"citationID":"9jMv3MtH","properties":{"formattedCitation":"(Saini and Pandit, 2025)","plainCitation":"(Saini and Pandit, 2025)","dontUpdate":true,"noteIndex":0},"citationItems":[{"id":4054,"uris":["http://zotero.org/users/12832277/items/LY2DR2VM"],"itemData":{"id":4054,"type":"article-journal","abstract":"When a household decides to move from the current location, it takes bundle of decisions such as when to move, where to search, and others. We hypothise that these decisions are interlinked and may result in different decision-making trajectories. This heterogeneity in decision-making may exist due to the influence of different triggers, associated urgency, and household's attributes on spatial decisions (search criteria and search type: tenure or typology), choice of information source, search duration, and search extent which may result in varied choice set for different households. The paper aims to establish a need to determine these decision trajectories by quantitatively exploring the variation across decision dimensions. A retrospective revealed preference survey was conducted in Rajarhat Newtown and Rajarhat Gopalpur in India resulting in 272 households’ samples. The findings support the hypothesis and also suggests that variation in trigger and urgency results in the variation of search duration from 1 day to 2 years whereas variation in household's attributes reveals the selection of different search criteria and search type. The study bears an important implication on land use and transportation integration (LUTI) models by providing an alternative approach to consider dependency across decision stages dimensions of relocation process to develop the choice set formation, and location choice model.","collection-title":"World Conference on Transport Research - WCTR 2023 Montreal 17-21 July 2023","container-title":"Transportation Research Procedia","DOI":"10.1016/j.trpro.2024.12.063","ISSN":"2352-1465","page":"604-619","source":"ScienceDirect","title":"A Quantitative Exploration of Linkages Across the Decision Stages of Residential Relocation Process","volume":"82","author":[{"family":"Saini","given":"Preety"},{"family":"Pandit","given":"Debapratim"}],"issued":{"date-parts":[["2025",1,1]]}}}],"schema":"https://github.com/citation-style-language/schema/raw/master/csl-citation.json"} </w:instrText>
      </w:r>
      <w:r w:rsidR="00653490" w:rsidRPr="00B71F92">
        <w:fldChar w:fldCharType="separate"/>
      </w:r>
      <w:r w:rsidR="00653490" w:rsidRPr="00B71F92">
        <w:t>(</w:t>
      </w:r>
      <w:r w:rsidR="002B2F88" w:rsidRPr="00B71F92">
        <w:t xml:space="preserve">see </w:t>
      </w:r>
      <w:r w:rsidR="00653490" w:rsidRPr="00B71F92">
        <w:t>Saini and Pandit, 2025)</w:t>
      </w:r>
      <w:r w:rsidR="00653490" w:rsidRPr="00B71F92">
        <w:fldChar w:fldCharType="end"/>
      </w:r>
      <w:r w:rsidR="002B2F88" w:rsidRPr="00B71F92">
        <w:t xml:space="preserve">, a more comprehensive assessment of the connections between the motivations for relocation, the nature of the housing search processes, and actual housing outcomes </w:t>
      </w:r>
      <w:r w:rsidR="00E34E79" w:rsidRPr="00B71F92">
        <w:t xml:space="preserve">would provide </w:t>
      </w:r>
      <w:r w:rsidR="00C74CCE" w:rsidRPr="00B71F92">
        <w:t xml:space="preserve">further </w:t>
      </w:r>
      <w:r w:rsidR="00E34E79" w:rsidRPr="00B71F92">
        <w:t xml:space="preserve">valuable insights for policy interventions. </w:t>
      </w:r>
    </w:p>
    <w:p w14:paraId="7A229BFE" w14:textId="1CC74E78" w:rsidR="00E435BB" w:rsidRDefault="00E435BB" w:rsidP="008404B6">
      <w:pPr>
        <w:spacing w:after="0" w:line="240" w:lineRule="auto"/>
        <w:jc w:val="both"/>
      </w:pPr>
    </w:p>
    <w:p w14:paraId="12245E9E" w14:textId="77777777" w:rsidR="00E435BB" w:rsidRPr="00E435BB" w:rsidRDefault="00E435BB" w:rsidP="00E435BB">
      <w:pPr>
        <w:spacing w:after="0" w:line="240" w:lineRule="auto"/>
        <w:rPr>
          <w:b/>
          <w:bCs/>
          <w:caps/>
        </w:rPr>
      </w:pPr>
      <w:r w:rsidRPr="00E435BB">
        <w:rPr>
          <w:b/>
          <w:bCs/>
          <w:caps/>
        </w:rPr>
        <w:t>Acknowledgments</w:t>
      </w:r>
    </w:p>
    <w:p w14:paraId="251A1A5A" w14:textId="184E7D10" w:rsidR="00E435BB" w:rsidRPr="00B71F92" w:rsidRDefault="00E435BB" w:rsidP="00E435BB">
      <w:pPr>
        <w:spacing w:after="0" w:line="240" w:lineRule="auto"/>
        <w:jc w:val="both"/>
      </w:pPr>
      <w:r>
        <w:t>This research was partially supported by the U.S. Department of Transportation through the Center for Understanding Future Travel Behavior and Demand (TBD) (Grant No. 69A3552344815 and No. 69A3552348320). The authors are grateful to Lisa Macias for help in formatting this document.</w:t>
      </w:r>
    </w:p>
    <w:p w14:paraId="545A3770" w14:textId="23A7D36A" w:rsidR="00960461" w:rsidRDefault="00960461" w:rsidP="008404B6">
      <w:pPr>
        <w:spacing w:after="0" w:line="240" w:lineRule="auto"/>
        <w:jc w:val="both"/>
      </w:pPr>
    </w:p>
    <w:p w14:paraId="7866564E" w14:textId="77777777" w:rsidR="00E435BB" w:rsidRPr="00B71F92" w:rsidRDefault="00E435BB" w:rsidP="008404B6">
      <w:pPr>
        <w:spacing w:after="0" w:line="240" w:lineRule="auto"/>
        <w:jc w:val="both"/>
      </w:pPr>
    </w:p>
    <w:p w14:paraId="455CB4E9" w14:textId="77777777" w:rsidR="008404B6" w:rsidRPr="00B71F92" w:rsidRDefault="008404B6" w:rsidP="008404B6">
      <w:pPr>
        <w:spacing w:after="0" w:line="240" w:lineRule="auto"/>
        <w:jc w:val="both"/>
        <w:rPr>
          <w:b/>
          <w:bCs/>
        </w:rPr>
      </w:pPr>
      <w:r w:rsidRPr="00B71F92">
        <w:rPr>
          <w:b/>
          <w:bCs/>
        </w:rPr>
        <w:lastRenderedPageBreak/>
        <w:t>REFERENCES</w:t>
      </w:r>
    </w:p>
    <w:p w14:paraId="59C1CD0E" w14:textId="77777777" w:rsidR="0068413E" w:rsidRDefault="008404B6" w:rsidP="0068413E">
      <w:pPr>
        <w:pStyle w:val="Bibliography"/>
      </w:pPr>
      <w:r w:rsidRPr="00B71F92">
        <w:fldChar w:fldCharType="begin"/>
      </w:r>
      <w:r w:rsidR="000D6573" w:rsidRPr="00B71F92">
        <w:instrText xml:space="preserve"> ADDIN ZOTERO_BIBL {"uncited":[],"omitted":[],"custom":[]} CSL_BIBLIOGRAPHY </w:instrText>
      </w:r>
      <w:r w:rsidRPr="00B71F92">
        <w:fldChar w:fldCharType="separate"/>
      </w:r>
      <w:r w:rsidR="0068413E">
        <w:t>Ali, A.K., Wehby, G.L., 2022. State Eviction Moratoriums During The COVID-19 Pandemic Were Associated With Improved Mental Health Among People Who Rent. Health Affairs 41, 1583–1589. https://doi.org/10.1377/hlthaff.2022.00750</w:t>
      </w:r>
    </w:p>
    <w:p w14:paraId="7AE46D1F" w14:textId="77777777" w:rsidR="0068413E" w:rsidRDefault="0068413E" w:rsidP="0068413E">
      <w:pPr>
        <w:pStyle w:val="Bibliography"/>
      </w:pPr>
      <w:r>
        <w:t>Artamonova, A., Gillespie, B.J., Brandén, M., 2020. Geographic Mobility Among Older People and Their Adult Children: The Role of Parents’ Health Issues and Family Ties. Population, Space and Place 26, 2371. https://doi.org/10.1002/psp.2371</w:t>
      </w:r>
    </w:p>
    <w:p w14:paraId="283B32B4" w14:textId="77777777" w:rsidR="0068413E" w:rsidRDefault="0068413E" w:rsidP="0068413E">
      <w:pPr>
        <w:pStyle w:val="Bibliography"/>
      </w:pPr>
      <w:r>
        <w:t>Bassoli, E., Belloni, M., Brugiavini, A., Gao, Y., 2023. Did the Pandemic Change Retirement Trends?, in: Social, Health, and Economic Impacts of the COVID-19 Pandemic and the Epidemiological Control Measures. De Gruyter, Boston, MA, pp. 129–140.</w:t>
      </w:r>
    </w:p>
    <w:p w14:paraId="0214E15C" w14:textId="77777777" w:rsidR="0068413E" w:rsidRDefault="0068413E" w:rsidP="0068413E">
      <w:pPr>
        <w:pStyle w:val="Bibliography"/>
      </w:pPr>
      <w:r>
        <w:t>Bhat, A.C., Almeida, D.M., Fenelon, A., Santos-Lozada, A.R., 2022. A Longitudinal Analysis of the Relationship Between Housing Insecurity and Physical Health Among Midlife and Aging Adults in the United States. SSM - Population Health 18. https://doi.org/10.1016/j.ssmph.2022.101128</w:t>
      </w:r>
    </w:p>
    <w:p w14:paraId="76164236" w14:textId="77777777" w:rsidR="0068413E" w:rsidRDefault="0068413E" w:rsidP="0068413E">
      <w:pPr>
        <w:pStyle w:val="Bibliography"/>
      </w:pPr>
      <w:r>
        <w:t>Bhat, A.C., Fenelon, A., Almeida, D.M., 2025. Housing Insecurity Pathways to Physiological and Epigenetic Manifestations of Health Among Aging Adults: A Conceptual Model. Frontiers in Public Health 13. https://doi.org/10.3389/fpubh.2025.1485371</w:t>
      </w:r>
    </w:p>
    <w:p w14:paraId="4EF70FE0" w14:textId="77777777" w:rsidR="0068413E" w:rsidRDefault="0068413E" w:rsidP="0068413E">
      <w:pPr>
        <w:pStyle w:val="Bibliography"/>
      </w:pPr>
      <w:r>
        <w:t>Bhat, C.R., 2018. New Matrix-Based Methods for the Analytic Evaluation of the Multivariate Cumulative Normal Distribution Function. Transportation Research Part B: Methodological 109, 238–256. https://doi.org/10.1016/j.trb.2018.01.011</w:t>
      </w:r>
    </w:p>
    <w:p w14:paraId="7728D153" w14:textId="77777777" w:rsidR="0068413E" w:rsidRDefault="0068413E" w:rsidP="0068413E">
      <w:pPr>
        <w:pStyle w:val="Bibliography"/>
      </w:pPr>
      <w:r>
        <w:t>Bhat, C.R., 2015. A Comprehensive Dwelling Unit Choice Model Accommodating Psychological Constructs Within a Search Strategy for Consideration Set Formation. Transportation Research Part B: Methodological 79, 161–188. https://doi.org/10.1016/j.trb.2015.05.021</w:t>
      </w:r>
    </w:p>
    <w:p w14:paraId="73F34BE5" w14:textId="77777777" w:rsidR="0068413E" w:rsidRDefault="0068413E" w:rsidP="0068413E">
      <w:pPr>
        <w:pStyle w:val="Bibliography"/>
      </w:pPr>
      <w:r>
        <w:t>Breetzke, J., Wild, E.-M., 2022. Social Connections at Work and Mental Health During the First Wave of the COVID-19 Pandemic: Evidence from Employees in Germany. PLOS ONE 17. https://doi.org/10.1371/journal.pone.0264602</w:t>
      </w:r>
    </w:p>
    <w:p w14:paraId="57B37C03" w14:textId="77777777" w:rsidR="0068413E" w:rsidRDefault="0068413E" w:rsidP="0068413E">
      <w:pPr>
        <w:pStyle w:val="Bibliography"/>
      </w:pPr>
      <w:r>
        <w:t>Bruch, E.E., Mare, R.D., 2006. Neighborhood Choice and Neighborhood Change. American Journal of Sociology 112, 667–709. https://doi.org/10.1086/507856</w:t>
      </w:r>
    </w:p>
    <w:p w14:paraId="1BA9679E" w14:textId="77777777" w:rsidR="0068413E" w:rsidRDefault="0068413E" w:rsidP="0068413E">
      <w:pPr>
        <w:pStyle w:val="Bibliography"/>
      </w:pPr>
      <w:r>
        <w:t>Chesterman, A., de Battista, M., Causse, E., 2021. Effects of Social Position and Household Affordances on Covid-19 Lockdown Resilience and Coping. Journal of Environmental Psychology 78, 101687. https://doi.org/10.1016/j.jenvp.2021.101687</w:t>
      </w:r>
    </w:p>
    <w:p w14:paraId="4CF8DAC9" w14:textId="77777777" w:rsidR="0068413E" w:rsidRDefault="0068413E" w:rsidP="0068413E">
      <w:pPr>
        <w:pStyle w:val="Bibliography"/>
      </w:pPr>
      <w:r>
        <w:t>Choi, H., Oishi, S., 2020. The Psychology of Residential Mobility: A Decade of Progress. Current Opinion in Psychology, Socio-Ecological Psychology 32, 72–75. https://doi.org/10.1016/j.copsyc.2019.07.008</w:t>
      </w:r>
    </w:p>
    <w:p w14:paraId="01EE2851" w14:textId="77777777" w:rsidR="0068413E" w:rsidRDefault="0068413E" w:rsidP="0068413E">
      <w:pPr>
        <w:pStyle w:val="Bibliography"/>
      </w:pPr>
      <w:r>
        <w:t>Chyn, E., 2018. Moved to Opportunity: The Long-Run Effects of Public Housing Demolition on Children. American Economic Review 108, 3028–3056. https://doi.org/10.1257/aer.20161352</w:t>
      </w:r>
    </w:p>
    <w:p w14:paraId="288D4FFE" w14:textId="77777777" w:rsidR="0068413E" w:rsidRDefault="0068413E" w:rsidP="0068413E">
      <w:pPr>
        <w:pStyle w:val="Bibliography"/>
      </w:pPr>
      <w:r>
        <w:t>Clark, W.A.V., 2013. Life Course Events and Residential Change: Unpacking Age Effects on the Probability of Moving. Journal of Population Research 30, 319–334. https://doi.org/10.1007/s12546-013-9116-y</w:t>
      </w:r>
    </w:p>
    <w:p w14:paraId="50428F54" w14:textId="77777777" w:rsidR="0068413E" w:rsidRDefault="0068413E" w:rsidP="0068413E">
      <w:pPr>
        <w:pStyle w:val="Bibliography"/>
      </w:pPr>
      <w:r>
        <w:t>Clark, W.A.V., Huang, Y., 2003. The Life Course and Residential Mobility in British Housing Markets. Environment and Planning A: Economy and Space 35, 323–339. https://doi.org/10.1068/a3542</w:t>
      </w:r>
    </w:p>
    <w:p w14:paraId="24816202" w14:textId="77777777" w:rsidR="0068413E" w:rsidRDefault="0068413E" w:rsidP="0068413E">
      <w:pPr>
        <w:pStyle w:val="Bibliography"/>
      </w:pPr>
      <w:r>
        <w:lastRenderedPageBreak/>
        <w:t>Clark, W.A.V., Ong ViforJ, R., Phelps, C., 2023. Personality Traits, Risk Aversion and Endowment Effects on Residential Mobility Outcomes. Personality and Individual Differences 203. https://doi.org/10.1016/j.paid.2022.112035</w:t>
      </w:r>
    </w:p>
    <w:p w14:paraId="1299AE10" w14:textId="77777777" w:rsidR="0068413E" w:rsidRDefault="0068413E" w:rsidP="0068413E">
      <w:pPr>
        <w:pStyle w:val="Bibliography"/>
      </w:pPr>
      <w:r>
        <w:t>De Vos, J., Ettema, D., Witlox, F., 2018. Changing Travel Behaviour and Attitudes Following a Residential Relocation. Journal of Transport Geography 73, 131–147. https://doi.org/10.1016/j.jtrangeo.2018.10.013</w:t>
      </w:r>
    </w:p>
    <w:p w14:paraId="2CB74C4B" w14:textId="77777777" w:rsidR="0068413E" w:rsidRDefault="0068413E" w:rsidP="0068413E">
      <w:pPr>
        <w:pStyle w:val="Bibliography"/>
      </w:pPr>
      <w:r>
        <w:t>Desmond, M., 2022. Unaffordable America: Poverty, housing, and eviction: American Journal of Sociology, in: The Affordable Housing Reader, American Journal of Sociology. Routledge.</w:t>
      </w:r>
    </w:p>
    <w:p w14:paraId="0EF6A0BB" w14:textId="77777777" w:rsidR="0068413E" w:rsidRDefault="0068413E" w:rsidP="0068413E">
      <w:pPr>
        <w:pStyle w:val="Bibliography"/>
      </w:pPr>
      <w:r>
        <w:t>Desmond, M., An, W., Winkler, R., Ferriss, T., 2013. Evicting Children. Social Forces 92, 303–327. https://doi.org/10.1093/sf/sot047</w:t>
      </w:r>
    </w:p>
    <w:p w14:paraId="2680E45A" w14:textId="77777777" w:rsidR="0068413E" w:rsidRDefault="0068413E" w:rsidP="0068413E">
      <w:pPr>
        <w:pStyle w:val="Bibliography"/>
      </w:pPr>
      <w:r>
        <w:t>Desmond, M., Gershenson, C., Kiviat, B., 2015. Forced Relocation and Residential Instability among Urban Renters. Social Service Review 89, 227–262. https://doi.org/10.1086/681091</w:t>
      </w:r>
    </w:p>
    <w:p w14:paraId="39C50FEF" w14:textId="77777777" w:rsidR="0068413E" w:rsidRDefault="0068413E" w:rsidP="0068413E">
      <w:pPr>
        <w:pStyle w:val="Bibliography"/>
      </w:pPr>
      <w:r>
        <w:t>Divounguy, O., 2025. Renters Need to Earn $100K in Twice as Many Markets Than in 2020 (April Rent Report), Market Reports, Market Trends. Zillow.</w:t>
      </w:r>
    </w:p>
    <w:p w14:paraId="5801295A" w14:textId="77777777" w:rsidR="0068413E" w:rsidRDefault="0068413E" w:rsidP="0068413E">
      <w:pPr>
        <w:pStyle w:val="Bibliography"/>
      </w:pPr>
      <w:r>
        <w:t>Doling, J., Arundel, R., 2022. The Home as Workplace: A Challenge for Housing Research. Housing, Theory and Society 39, 1–20. https://doi.org/10.1080/14036096.2020.1846611</w:t>
      </w:r>
    </w:p>
    <w:p w14:paraId="3F9C4041" w14:textId="77777777" w:rsidR="0068413E" w:rsidRDefault="0068413E" w:rsidP="0068413E">
      <w:pPr>
        <w:pStyle w:val="Bibliography"/>
      </w:pPr>
      <w:r>
        <w:t>Du, R.Y., Kamakura, W.A., 2006. Household Life Cycles and Lifestyles in the United States. Journal of Marketing Research 43, 121–132. https://doi.org/10.1509/jmkr.43.1.121</w:t>
      </w:r>
    </w:p>
    <w:p w14:paraId="6859E04B" w14:textId="77777777" w:rsidR="0068413E" w:rsidRDefault="0068413E" w:rsidP="0068413E">
      <w:pPr>
        <w:pStyle w:val="Bibliography"/>
      </w:pPr>
      <w:r>
        <w:t>Duque-Calvache, R., Torrado, J.M., Mesa-Pedrazas, Á., 2021. Lockdown and Adaptation: Residential Mobility in Spain During the COVID-19 Crisis. European Societies 23, S759–S776. https://doi.org/10.1080/14616696.2020.1836386</w:t>
      </w:r>
    </w:p>
    <w:p w14:paraId="5AFE7F8D" w14:textId="77777777" w:rsidR="0068413E" w:rsidRDefault="0068413E" w:rsidP="0068413E">
      <w:pPr>
        <w:pStyle w:val="Bibliography"/>
      </w:pPr>
      <w:r>
        <w:t>Eriksson, E., Wazinski, K., Wanka, A., Kylén, M., Oswald, F., Slaug, B., Iwarsson, S., Schmidt, S.M., 2022. Perceived Housing in Relation to Retirement and Relocation: A Qualitative Interview Study among Older Adults. International Journal of Environmental Research and Public Health 19. https://doi.org/10.3390/ijerph192013314</w:t>
      </w:r>
    </w:p>
    <w:p w14:paraId="70702A0C" w14:textId="77777777" w:rsidR="0068413E" w:rsidRDefault="0068413E" w:rsidP="0068413E">
      <w:pPr>
        <w:pStyle w:val="Bibliography"/>
      </w:pPr>
      <w:r>
        <w:t>Ermisch, J., Washbrook, E., 2012. Residential Mobility: Wealth, Demographic and Housing Market Effects. Scottish Journal of Political Economy 59, 483–499. https://doi.org/10.1111/j.1467-9485.2012.00591.x</w:t>
      </w:r>
    </w:p>
    <w:p w14:paraId="1A0A08CB" w14:textId="77777777" w:rsidR="0068413E" w:rsidRDefault="0068413E" w:rsidP="0068413E">
      <w:pPr>
        <w:pStyle w:val="Bibliography"/>
      </w:pPr>
      <w:r>
        <w:t>Evans, M., 2020. The Unequal Housing and Neighborhood Outcomes of Displaced Movers. Journal of urban affairs 43, 1214–1234. https://doi.org/10.1080/07352166.2020.1730697</w:t>
      </w:r>
    </w:p>
    <w:p w14:paraId="0E002618" w14:textId="77777777" w:rsidR="0068413E" w:rsidRDefault="0068413E" w:rsidP="0068413E">
      <w:pPr>
        <w:pStyle w:val="Bibliography"/>
      </w:pPr>
      <w:r>
        <w:t>Falkingham, J., Sage, J., Stone, J., Vlachantoni, A., 2016. Residential Mobility Across the Life Course: Continuity and Change Across Three Cohorts in Britain. Advances in Life Course Research 30, 111–123. https://doi.org/10.1016/j.alcr.2016.06.001</w:t>
      </w:r>
    </w:p>
    <w:p w14:paraId="36C23219" w14:textId="77777777" w:rsidR="0068413E" w:rsidRDefault="0068413E" w:rsidP="0068413E">
      <w:pPr>
        <w:pStyle w:val="Bibliography"/>
      </w:pPr>
      <w:r>
        <w:t>Fallahi, B., Mehrad, A., 2015. The Effect of Income on Job Satisfaction and Residential Satisfaction: a Literature Review. Journal of Educational, Health and Community Psychology 4. https://doi.org/10.12928/jehcp.v4i1.3694</w:t>
      </w:r>
    </w:p>
    <w:p w14:paraId="5308B895" w14:textId="77777777" w:rsidR="0068413E" w:rsidRDefault="0068413E" w:rsidP="0068413E">
      <w:pPr>
        <w:pStyle w:val="Bibliography"/>
      </w:pPr>
      <w:r>
        <w:t>Festinger, L., 1957. A Theory of Cognitive Dissonance. Row, Peterson, and Company, Evanston, IL.</w:t>
      </w:r>
    </w:p>
    <w:p w14:paraId="109DFB42" w14:textId="77777777" w:rsidR="0068413E" w:rsidRDefault="0068413E" w:rsidP="0068413E">
      <w:pPr>
        <w:pStyle w:val="Bibliography"/>
      </w:pPr>
      <w:r>
        <w:t>Fischer, P.A., Malmberg, G., 2001. Settled People Don’t Move: On Life Course and (Im-)Mobility in Sweden. International Journal of Population Geography 7, 357–371. https://doi.org/10.1002/ijpg.230</w:t>
      </w:r>
    </w:p>
    <w:p w14:paraId="17BCBF43" w14:textId="77777777" w:rsidR="0068413E" w:rsidRDefault="0068413E" w:rsidP="0068413E">
      <w:pPr>
        <w:pStyle w:val="Bibliography"/>
      </w:pPr>
      <w:r>
        <w:t>Fleischer, F., 2007. “To Choose a House Means to Choose a Lifestyle.” The Consumption of Housing and Class-Structuration in Urban China. City &amp; Society 19, 287–311. https://doi.org/10.1525/city.2007.19.2.287</w:t>
      </w:r>
    </w:p>
    <w:p w14:paraId="3F022E3A" w14:textId="77777777" w:rsidR="0068413E" w:rsidRDefault="0068413E" w:rsidP="0068413E">
      <w:pPr>
        <w:pStyle w:val="Bibliography"/>
      </w:pPr>
      <w:r>
        <w:lastRenderedPageBreak/>
        <w:t>Frederick, T.J., Chwalek, M., Hughes, J., Karabanow, J., Kidd, S., 2014. How Stable Is Stable? Defining and Measuring Housing Stability. Journal of Community Psychology 42, 964–979. https://doi.org/10.1002/jcop.21665</w:t>
      </w:r>
    </w:p>
    <w:p w14:paraId="51B44C73" w14:textId="77777777" w:rsidR="0068413E" w:rsidRDefault="0068413E" w:rsidP="0068413E">
      <w:pPr>
        <w:pStyle w:val="Bibliography"/>
      </w:pPr>
      <w:r>
        <w:t>Frenkel, A., Kaplan, S., 2015. The Joint Choice of Tenure, Dwelling Type, Size and Location: The Effect of Home-Oriented Versus Culture-Oriented Lifestyle. Letters in Spatial and Resource Sciences 8, 233–251. https://doi.org/10.1007/s12076-014-0131-1</w:t>
      </w:r>
    </w:p>
    <w:p w14:paraId="0CE5A867" w14:textId="77777777" w:rsidR="0068413E" w:rsidRDefault="0068413E" w:rsidP="0068413E">
      <w:pPr>
        <w:pStyle w:val="Bibliography"/>
      </w:pPr>
      <w:r>
        <w:t>Fu, X., 2025. Interdependencies Among Changes in Residence, Occupation, and Car Ownership − a Life Course Approach. Travel Behaviour and Society 39. https://doi.org/10.1016/j.tbs.2024.100942</w:t>
      </w:r>
    </w:p>
    <w:p w14:paraId="617A3BFA" w14:textId="77777777" w:rsidR="0068413E" w:rsidRDefault="0068413E" w:rsidP="0068413E">
      <w:pPr>
        <w:pStyle w:val="Bibliography"/>
      </w:pPr>
      <w:r>
        <w:t>Gaertner, B., Fuchs, J., Möhler, R., Meyer, G., Scheidt-Nave, C., 2021. Older People at the Beginning of the COVID-19 Pandemic: A Scoping Review. Journal of Health Monitoring 6, 2–37. https://doi.org/10.25646/7857</w:t>
      </w:r>
    </w:p>
    <w:p w14:paraId="295BC761" w14:textId="77777777" w:rsidR="0068413E" w:rsidRDefault="0068413E" w:rsidP="0068413E">
      <w:pPr>
        <w:pStyle w:val="Bibliography"/>
      </w:pPr>
      <w:r>
        <w:t>Ghasri, M., Rashidi, T., Auld, J., 2023. Determinants of Residential Mobility: An Adaptive Retrospective Survey Method. Transportation Letters 15, 129–141. https://doi.org/10.1080/19427867.2022.2038347</w:t>
      </w:r>
    </w:p>
    <w:p w14:paraId="40FC9ABF" w14:textId="77777777" w:rsidR="0068413E" w:rsidRDefault="0068413E" w:rsidP="0068413E">
      <w:pPr>
        <w:pStyle w:val="Bibliography"/>
      </w:pPr>
      <w:r>
        <w:t>Giddens, A., 1984. The Constitution of Society: Outline of the Theory of Structuration. University of California Press.</w:t>
      </w:r>
    </w:p>
    <w:p w14:paraId="35C9684E" w14:textId="77777777" w:rsidR="0068413E" w:rsidRDefault="0068413E" w:rsidP="0068413E">
      <w:pPr>
        <w:pStyle w:val="Bibliography"/>
      </w:pPr>
      <w:r>
        <w:t>Giddens, A., 1979. Central Problems in Social Theory: Action, Structure and Contradiction in Social Analysis, 1st ed. Bloomsbury Publishing Plc. https://doi.org/10.1007/978-1-349-16161-4</w:t>
      </w:r>
    </w:p>
    <w:p w14:paraId="0AB346CA" w14:textId="77777777" w:rsidR="0068413E" w:rsidRDefault="0068413E" w:rsidP="0068413E">
      <w:pPr>
        <w:pStyle w:val="Bibliography"/>
      </w:pPr>
      <w:r>
        <w:t>Gonzalez, L., 2020. LEG Emergency Defense of Eviction ORD, 126075.</w:t>
      </w:r>
    </w:p>
    <w:p w14:paraId="1AAF6DAE" w14:textId="77777777" w:rsidR="0068413E" w:rsidRDefault="0068413E" w:rsidP="0068413E">
      <w:pPr>
        <w:pStyle w:val="Bibliography"/>
      </w:pPr>
      <w:r>
        <w:t>Haartsen, T., Stockdale, A., 2018. S/Elective Belonging: How Rural Newcomer Families with Children Become Stayers. Population, Space and Place 24, e2137. https://doi.org/10.1002/psp.2137</w:t>
      </w:r>
    </w:p>
    <w:p w14:paraId="570F6BD3" w14:textId="77777777" w:rsidR="0068413E" w:rsidRDefault="0068413E" w:rsidP="0068413E">
      <w:pPr>
        <w:pStyle w:val="Bibliography"/>
      </w:pPr>
      <w:r>
        <w:t>Hur, H., Koh, K., 2023. Why and Where Do Highly Educated Workers Relocate? A National-Level Analysis across U.S. Census Regions. Sustainability 15, 1423. https://doi.org/10.3390/su15021423</w:t>
      </w:r>
    </w:p>
    <w:p w14:paraId="05A85FAA" w14:textId="77777777" w:rsidR="0068413E" w:rsidRDefault="0068413E" w:rsidP="0068413E">
      <w:pPr>
        <w:pStyle w:val="Bibliography"/>
      </w:pPr>
      <w:r>
        <w:t>Jansen, S.J.T., Hoekstra, J.S.C.M., Boumeester, H.J.F.M., 2017. The Impact of Earthquakes on the Intention to Move: Fight or Flight? Journal of Environmental Psychology 54, 38–49. https://doi.org/10.1016/j.jenvp.2017.09.006</w:t>
      </w:r>
    </w:p>
    <w:p w14:paraId="276AA05A" w14:textId="77777777" w:rsidR="0068413E" w:rsidRDefault="0068413E" w:rsidP="0068413E">
      <w:pPr>
        <w:pStyle w:val="Bibliography"/>
      </w:pPr>
      <w:r>
        <w:t>Jiang, W., Feng, T., Timmermans, H., Li, H., 2019. Intention to Move in Renovated Historical Blocks in China. Journal of Housing and the Built Environment 34, 73–90. https://doi.org/10.1007/s10901-018-9608-3</w:t>
      </w:r>
    </w:p>
    <w:p w14:paraId="40965AE3" w14:textId="77777777" w:rsidR="0068413E" w:rsidRDefault="0068413E" w:rsidP="0068413E">
      <w:pPr>
        <w:pStyle w:val="Bibliography"/>
      </w:pPr>
      <w:r>
        <w:t>Jiang, W., Feng, T., Timmermans, H.J.P., 2020. Latent Class Path Model of Intention to Move House. Socio-Economic Planning Sciences 70, 100743. https://doi.org/10.1016/j.seps.2019.100743</w:t>
      </w:r>
    </w:p>
    <w:p w14:paraId="63298729" w14:textId="77777777" w:rsidR="0068413E" w:rsidRDefault="0068413E" w:rsidP="0068413E">
      <w:pPr>
        <w:pStyle w:val="Bibliography"/>
      </w:pPr>
      <w:r>
        <w:t>Jones, A., Dantzler, P., 2021. Neighbourhood Perceptions and Residential Mobility. Urban Studies 58, 1792–1810. https://doi.org/10.1177/0042098020916440</w:t>
      </w:r>
    </w:p>
    <w:p w14:paraId="4B3321C9" w14:textId="77777777" w:rsidR="0068413E" w:rsidRDefault="0068413E" w:rsidP="0068413E">
      <w:pPr>
        <w:pStyle w:val="Bibliography"/>
      </w:pPr>
      <w:r>
        <w:t>Jones, M.R., Karsten, H., 2008. Giddens’s Structuration Theory and Information Systems Research. MIS Quarterly 32, 127–157. https://doi.org/10.2307/25148831</w:t>
      </w:r>
    </w:p>
    <w:p w14:paraId="03A3F976" w14:textId="77777777" w:rsidR="0068413E" w:rsidRDefault="0068413E" w:rsidP="0068413E">
      <w:pPr>
        <w:pStyle w:val="Bibliography"/>
      </w:pPr>
      <w:r>
        <w:t>Kahneman, D., Knetsch, J.L., Thaler, R.H., 1991. Anomalies: The Endowment Effect, Loss Aversion, and Status Quo Bias. Journal of Economic Perspectives 5, 193–206. https://doi.org/10.1257/jep.5.1.193</w:t>
      </w:r>
    </w:p>
    <w:p w14:paraId="44A5C463" w14:textId="77777777" w:rsidR="0068413E" w:rsidRDefault="0068413E" w:rsidP="0068413E">
      <w:pPr>
        <w:pStyle w:val="Bibliography"/>
      </w:pPr>
      <w:r>
        <w:t>Kan, K., 1999. Expected and Unexpected Residential Mobility. Journal of Urban Economics 45, 72–96. https://doi.org/10.1006/juec.1998.2082</w:t>
      </w:r>
    </w:p>
    <w:p w14:paraId="266BDD5D" w14:textId="77777777" w:rsidR="0068413E" w:rsidRDefault="0068413E" w:rsidP="0068413E">
      <w:pPr>
        <w:pStyle w:val="Bibliography"/>
      </w:pPr>
      <w:r>
        <w:lastRenderedPageBreak/>
        <w:t>Khando, K., Islam, M.S., Gao, S., 2022. The Use of Structuration Theory in Empirical Information Systems Research: A Systematic Literature Review, in: Papagiannidis, S., Alamanos, E., Gupta, S., Dwivedi, Y.K., Mäntymäki, M., Pappas, I.O. (Eds.), The Role of Digital Technologies in Shaping the Post-Pandemic World. Springer International Publishing, Cham, pp. 327–339. https://doi.org/10.1007/978-3-031-15342-6_26</w:t>
      </w:r>
    </w:p>
    <w:p w14:paraId="1317F2A2" w14:textId="77777777" w:rsidR="0068413E" w:rsidRDefault="0068413E" w:rsidP="0068413E">
      <w:pPr>
        <w:pStyle w:val="Bibliography"/>
      </w:pPr>
      <w:r>
        <w:t>Kim, A., Waldorf, B.S., 2021. Retirement, Relocation, and Residential Choices, in: Cochrane, W., Cameron, M.P., Alimi, O. (Eds.), Labor Markets, Migration, and Mobility: Essays in Honor of Jacques Poot. Springer, Singapore, pp. 181–196. https://doi.org/10.1007/978-981-15-9275-1_8</w:t>
      </w:r>
    </w:p>
    <w:p w14:paraId="18C3ED06" w14:textId="77777777" w:rsidR="0068413E" w:rsidRDefault="0068413E" w:rsidP="0068413E">
      <w:pPr>
        <w:pStyle w:val="Bibliography"/>
      </w:pPr>
      <w:r>
        <w:t>Kuderer, P., Liias, M., Conway, S., Das, M., Lovelett, L., Saldaña, R., Wilson, C., 2020. Eviction moratorium—Unpaid rent—Repayment plans—Rental assistance, Revised Code of Washington.</w:t>
      </w:r>
    </w:p>
    <w:p w14:paraId="2F68AD30" w14:textId="7DD5A36B" w:rsidR="0068413E" w:rsidRDefault="0068413E" w:rsidP="0068413E">
      <w:pPr>
        <w:pStyle w:val="Bibliography"/>
      </w:pPr>
      <w:r>
        <w:t>Lamorgese, A.R., Pellegrino, D., 2022. Loss Aversion in Housing Appraisal: Evidence from Italian Homeowners. Journal of Housing Economics 56</w:t>
      </w:r>
      <w:r w:rsidR="001F31AF">
        <w:t>, 101826</w:t>
      </w:r>
      <w:r>
        <w:t>. https://doi.org/10.1016/j.jhe.2022.101826</w:t>
      </w:r>
    </w:p>
    <w:p w14:paraId="5DC8D224" w14:textId="6802DF44" w:rsidR="0068413E" w:rsidRDefault="0068413E" w:rsidP="0068413E">
      <w:pPr>
        <w:pStyle w:val="Bibliography"/>
      </w:pPr>
      <w:r>
        <w:t xml:space="preserve">Lawrence, E., Root, E.D., Mollborn, S., 2015. Residential Mobility in Early Childhood: Household and Neighborhood Characteristics of Movers and Non-Movers. Demographic </w:t>
      </w:r>
      <w:r w:rsidR="001F31AF">
        <w:t>R</w:t>
      </w:r>
      <w:r>
        <w:t>search 33, 939–950.</w:t>
      </w:r>
    </w:p>
    <w:p w14:paraId="7C32A8C2" w14:textId="77777777" w:rsidR="0068413E" w:rsidRDefault="0068413E" w:rsidP="0068413E">
      <w:pPr>
        <w:pStyle w:val="Bibliography"/>
      </w:pPr>
      <w:r>
        <w:t>Lee, H., Perkins, K.L., 2023. The Geography of Gentrification and Residential Mobility. Social Forces 101, 1856–1887. https://doi.org/10.1093/sf/soac086</w:t>
      </w:r>
    </w:p>
    <w:p w14:paraId="3E811A14" w14:textId="77777777" w:rsidR="0068413E" w:rsidRDefault="0068413E" w:rsidP="0068413E">
      <w:pPr>
        <w:pStyle w:val="Bibliography"/>
      </w:pPr>
      <w:r>
        <w:t>Lee, Y., Circella, G., Mokhtarian, P.L., Guhathakurta, S., 2019. Heterogeneous Residential Preferences Among Millennials and Members of Generation X in California: A Latent-Class Approach. Transportation Research Part D: Transport and Environment 76, 289–304. https://doi.org/10.1016/j.trd.2019.08.001</w:t>
      </w:r>
    </w:p>
    <w:p w14:paraId="79D257FD" w14:textId="5F9ABCE0" w:rsidR="0068413E" w:rsidRDefault="0068413E" w:rsidP="0068413E">
      <w:pPr>
        <w:pStyle w:val="Bibliography"/>
      </w:pPr>
      <w:r>
        <w:t>Li, A., 2019. Fertility Intention-Induced Relocation: The Mediating Role of Housing Markets. Population, Space and Place 25</w:t>
      </w:r>
      <w:r w:rsidR="001F31AF">
        <w:t>(8), e2265</w:t>
      </w:r>
      <w:r>
        <w:t>. https://doi.org/10.1002/psp.2265</w:t>
      </w:r>
    </w:p>
    <w:p w14:paraId="1586863D" w14:textId="77777777" w:rsidR="0068413E" w:rsidRDefault="0068413E" w:rsidP="0068413E">
      <w:pPr>
        <w:pStyle w:val="Bibliography"/>
      </w:pPr>
      <w:r>
        <w:t>Li, S. (Alex), Hu, W., Guo, F., 2022. Recent Relocation Patterns Among Older Adults in the United States. Journal of the American Planning Association 88, 15–29. https://doi.org/10.1080/01944363.2021.1902842</w:t>
      </w:r>
    </w:p>
    <w:p w14:paraId="64D8996A" w14:textId="77777777" w:rsidR="0068413E" w:rsidRDefault="0068413E" w:rsidP="0068413E">
      <w:pPr>
        <w:pStyle w:val="Bibliography"/>
      </w:pPr>
      <w:r>
        <w:t>Lu, Q., Burgess, G., 2023. Housing for Talents: Highly Skilled Migrants’ Strategies for Accessing Affordable Rental Housing. Transactions in Planning and Urban Research 2, 478–501. https://doi.org/10.1177/27541223231210820</w:t>
      </w:r>
    </w:p>
    <w:p w14:paraId="64826DBE" w14:textId="77777777" w:rsidR="0068413E" w:rsidRDefault="0068413E" w:rsidP="0068413E">
      <w:pPr>
        <w:pStyle w:val="Bibliography"/>
      </w:pPr>
      <w:r>
        <w:t>Massenkoff, M., Chalfin, A., 2022. Activity-Adjusted Crime Rates Show That Public Safety Worsened in 2020. Proceedings of the National Academy of Sciences of the United States of America 119. https://doi.org/10.1073/pnas.2208598119</w:t>
      </w:r>
    </w:p>
    <w:p w14:paraId="7AB903FC" w14:textId="77777777" w:rsidR="0068413E" w:rsidRDefault="0068413E" w:rsidP="0068413E">
      <w:pPr>
        <w:pStyle w:val="Bibliography"/>
      </w:pPr>
      <w:r>
        <w:t>Mulder, C.H., Hooimeijer, P., 1999. Residential Relocations in the Life Course, in: van Wissen, L.J.G., Dykstra, P.A. (Eds.), Population Issues: An Interdisciplinary Focus. Springer Netherlands, Dordrecht, pp. 159–186. https://doi.org/10.1007/978-94-011-4389-9_6</w:t>
      </w:r>
    </w:p>
    <w:p w14:paraId="26DAE551" w14:textId="77777777" w:rsidR="0068413E" w:rsidRDefault="0068413E" w:rsidP="0068413E">
      <w:pPr>
        <w:pStyle w:val="Bibliography"/>
      </w:pPr>
      <w:r>
        <w:t>Munnell, A.H., Chen, A., 2021. COVID-19 Is Not a Retirement Story, Issue in Brief. Center for Retirement Research at Boston College.</w:t>
      </w:r>
    </w:p>
    <w:p w14:paraId="369C1730" w14:textId="77777777" w:rsidR="0068413E" w:rsidRDefault="0068413E" w:rsidP="0068413E">
      <w:pPr>
        <w:pStyle w:val="Bibliography"/>
      </w:pPr>
      <w:r>
        <w:t>Ong ViforJ, R., Hewton, J., Bawa, S., Singh, R., 2023. Forced Housing Mobility and Mental Wellbeing: Evidence from Australia. International Journal of Housing Policy 23, 138–162. https://doi.org/10.1080/19491247.2022.2059845</w:t>
      </w:r>
    </w:p>
    <w:p w14:paraId="1D326036" w14:textId="77777777" w:rsidR="0068413E" w:rsidRDefault="0068413E" w:rsidP="0068413E">
      <w:pPr>
        <w:pStyle w:val="Bibliography"/>
      </w:pPr>
      <w:r>
        <w:t>Ong ViforJ, R., Suenaga, H., Brierty, R., 2024. Homeownership and Subjective Well-Being: Are the Links Heterogeneous Across Location, Age and Income? Urban Studies 61, 859–877. https://doi.org/10.1177/00420980231190479</w:t>
      </w:r>
    </w:p>
    <w:p w14:paraId="30A1ADF1" w14:textId="77777777" w:rsidR="0068413E" w:rsidRDefault="0068413E" w:rsidP="0068413E">
      <w:pPr>
        <w:pStyle w:val="Bibliography"/>
      </w:pPr>
      <w:r>
        <w:lastRenderedPageBreak/>
        <w:t>Orvin, M.M., Fatmi, M.R., 2022. Modeling Residential Mobility Decisions from a Life History–Oriented Perspective. Transportation Letters 14, 1100–1109. https://doi.org/10.1080/19427867.2021.1995585</w:t>
      </w:r>
    </w:p>
    <w:p w14:paraId="459AC47A" w14:textId="77777777" w:rsidR="0068413E" w:rsidRDefault="0068413E" w:rsidP="0068413E">
      <w:pPr>
        <w:pStyle w:val="Bibliography"/>
      </w:pPr>
      <w:r>
        <w:t>Pagani, A., Baur, I., Binder, C.R., 2021. Tenants’ Residential Mobility in Switzerland: The Role of Housing Functions. Journal of Housing and the Built Environment 36, 1417–1456. https://doi.org/10.1007/s10901-021-09874-5</w:t>
      </w:r>
    </w:p>
    <w:p w14:paraId="5D705290" w14:textId="77777777" w:rsidR="0068413E" w:rsidRDefault="0068413E" w:rsidP="0068413E">
      <w:pPr>
        <w:pStyle w:val="Bibliography"/>
      </w:pPr>
      <w:r>
        <w:t>Perera, U., Lee, P., 2021. A Relational Lens to Understand Housing Affordability in the 21st Century. Journal of Urban Management 10, 314–324. https://doi.org/10.1016/j.jum.2021.08.004</w:t>
      </w:r>
    </w:p>
    <w:p w14:paraId="391C3AC6" w14:textId="77777777" w:rsidR="0068413E" w:rsidRDefault="0068413E" w:rsidP="0068413E">
      <w:pPr>
        <w:pStyle w:val="Bibliography"/>
      </w:pPr>
      <w:r>
        <w:t>Puget Sound Regional Council, 2024. 2023 Puget Sound Regional Travel Study.</w:t>
      </w:r>
    </w:p>
    <w:p w14:paraId="0B079D51" w14:textId="77777777" w:rsidR="0068413E" w:rsidRDefault="0068413E" w:rsidP="0068413E">
      <w:pPr>
        <w:pStyle w:val="Bibliography"/>
      </w:pPr>
      <w:r>
        <w:t>Robbennolt, D., Haddad, A., Bhat, C.R., 2024a. A Rank-Based Model of Residential Location Preferences Before and After the COVID-19 Pandemic. Technical paper, Department of Civil, Architectural and Environmental Engineering, The University of Texas at Austin.</w:t>
      </w:r>
    </w:p>
    <w:p w14:paraId="3E2AE8AB" w14:textId="77777777" w:rsidR="0068413E" w:rsidRDefault="0068413E" w:rsidP="0068413E">
      <w:pPr>
        <w:pStyle w:val="Bibliography"/>
      </w:pPr>
      <w:r>
        <w:t>Robbennolt, D., Haddad, A.J., Mondal, A., Bhat, C.R., 2024b. Housing Choice in an Evolving Remote Work Landscape. Transportation Research Part A: Policy and Practice 190, 104285. https://doi.org/10.1016/j.tra.2024.104285</w:t>
      </w:r>
    </w:p>
    <w:p w14:paraId="0F2CC376" w14:textId="77777777" w:rsidR="0068413E" w:rsidRDefault="0068413E" w:rsidP="0068413E">
      <w:pPr>
        <w:pStyle w:val="Bibliography"/>
      </w:pPr>
      <w:r>
        <w:t>Robbennolt, D., Pendyala, R.M., Bhat, C.R., 2025. Data Collection, Weighting, and Modeling Techniques to Estimate Unbiased Population Parameters. Technical paper, Department of Civil, Architectural and Environmental Engineering, The University of Texas at Austin.</w:t>
      </w:r>
    </w:p>
    <w:p w14:paraId="43534974" w14:textId="77777777" w:rsidR="0068413E" w:rsidRDefault="0068413E" w:rsidP="0068413E">
      <w:pPr>
        <w:pStyle w:val="Bibliography"/>
      </w:pPr>
      <w:r>
        <w:t>Roberts, S., 2024. Rebuilding Trust in a Divided Community: An Integrated Approach The Tactics of Resolution: Exploring International Innovation in Law Enforcement and Conflict Resolution. Pepperdine Dispute Resolution Law Journal 24, 461–478.</w:t>
      </w:r>
    </w:p>
    <w:p w14:paraId="6D35BAD5" w14:textId="77777777" w:rsidR="0068413E" w:rsidRDefault="0068413E" w:rsidP="0068413E">
      <w:pPr>
        <w:pStyle w:val="Bibliography"/>
      </w:pPr>
      <w:r>
        <w:t>Rothbaum, J., Bee, A., 2021. Coronavirus Infects Surveys, Too: Survey Nonresponse Bias and the Coronavirus Pandemic. U.S. Census Bureau.</w:t>
      </w:r>
    </w:p>
    <w:p w14:paraId="414D7976" w14:textId="77777777" w:rsidR="0068413E" w:rsidRDefault="0068413E" w:rsidP="0068413E">
      <w:pPr>
        <w:pStyle w:val="Bibliography"/>
      </w:pPr>
      <w:r>
        <w:t>RSG, 2024. 2023 Puget Sound Regional Travel Survey (No. Final Report). Puget Sound Regional Council.</w:t>
      </w:r>
    </w:p>
    <w:p w14:paraId="543975EA" w14:textId="77777777" w:rsidR="0068413E" w:rsidRDefault="0068413E" w:rsidP="0068413E">
      <w:pPr>
        <w:pStyle w:val="Bibliography"/>
      </w:pPr>
      <w:r>
        <w:t>Sadeghlou, S., Emami, A., 2023. Residential Preferences and Satisfaction: A Qualitative Study Using Means-End Chain Theory. Journal of Housing and the Built Environment 38, 1711–1734. https://doi.org/10.1007/s10901-023-10017-1</w:t>
      </w:r>
    </w:p>
    <w:p w14:paraId="3B6D67E0" w14:textId="77777777" w:rsidR="0068413E" w:rsidRDefault="0068413E" w:rsidP="0068413E">
      <w:pPr>
        <w:pStyle w:val="Bibliography"/>
      </w:pPr>
      <w:r>
        <w:t>Saini, P., Pandit, D., 2025. A Quantitative Exploration of Linkages Across the Decision Stages of Residential Relocation Process. Transportation Research Procedia, World Conference on Transport Research - WCTR 2023 Montreal 17-21 July 2023 82, 604–619. https://doi.org/10.1016/j.trpro.2024.12.063</w:t>
      </w:r>
    </w:p>
    <w:p w14:paraId="6F36DC5B" w14:textId="77777777" w:rsidR="0068413E" w:rsidRDefault="0068413E" w:rsidP="0068413E">
      <w:pPr>
        <w:pStyle w:val="Bibliography"/>
      </w:pPr>
      <w:r>
        <w:t>Saleheen, H.N., Barela, K.A., 2025. Community Power Model: Pathway to Equity. Journal of the National Hispanic Medical Association 3, 83–104.</w:t>
      </w:r>
    </w:p>
    <w:p w14:paraId="26B0830D" w14:textId="77777777" w:rsidR="0068413E" w:rsidRDefault="0068413E" w:rsidP="0068413E">
      <w:pPr>
        <w:pStyle w:val="Bibliography"/>
      </w:pPr>
      <w:r>
        <w:t>Sarre, P., 1986. Choice and Constraint in Ethnic Minority Housing: A Structurationist View. Housing Studies 1, 71–86. https://doi.org/10.1080/02673038608720566</w:t>
      </w:r>
    </w:p>
    <w:p w14:paraId="5CA04417" w14:textId="77777777" w:rsidR="0068413E" w:rsidRDefault="0068413E" w:rsidP="0068413E">
      <w:pPr>
        <w:pStyle w:val="Bibliography"/>
      </w:pPr>
      <w:r>
        <w:t>Solon, G., Haider, S.J., Wooldridge, J.M., 2015. What Are We Weighting For? Journal of Human Resources 50, 301–316. https://doi.org/10.3368/jhr.50.2.301</w:t>
      </w:r>
    </w:p>
    <w:p w14:paraId="0B61134E" w14:textId="77777777" w:rsidR="0068413E" w:rsidRDefault="0068413E" w:rsidP="0068413E">
      <w:pPr>
        <w:pStyle w:val="Bibliography"/>
      </w:pPr>
      <w:r>
        <w:t>Somashekhar, M., Buszkiewicz, J., Allard, S.W., Romich, J., 2022. How Do Employers Belonging to Marginalized Communities Respond to Minimum Wage Increases? The Case of Immigrant-Owned Businesses in Seattle. Economic Development Quarterly 36, 108–123. https://doi.org/10.1177/08912424221089918</w:t>
      </w:r>
    </w:p>
    <w:p w14:paraId="262E4EDC" w14:textId="77777777" w:rsidR="0068413E" w:rsidRDefault="0068413E" w:rsidP="0068413E">
      <w:pPr>
        <w:pStyle w:val="Bibliography"/>
      </w:pPr>
      <w:r>
        <w:t>Summers, N., Steil, J., 2024. Pathways to Eviction. Law &amp; Social Inquiry 1–41. https://doi.org/10.1017/lsi.2024.23</w:t>
      </w:r>
    </w:p>
    <w:p w14:paraId="59941840" w14:textId="77777777" w:rsidR="0068413E" w:rsidRDefault="0068413E" w:rsidP="0068413E">
      <w:pPr>
        <w:pStyle w:val="Bibliography"/>
      </w:pPr>
      <w:r>
        <w:lastRenderedPageBreak/>
        <w:t>Swope, C.B., Hernández, D., 2019. Housing as a Determinant of Health Equity: A Conceptual Model. Social Science &amp; Medicine 243. https://doi.org/10.1016/j.socscimed.2019.112571</w:t>
      </w:r>
    </w:p>
    <w:p w14:paraId="21733049" w14:textId="77777777" w:rsidR="0068413E" w:rsidRDefault="0068413E" w:rsidP="0068413E">
      <w:pPr>
        <w:pStyle w:val="Bibliography"/>
      </w:pPr>
      <w:r>
        <w:t>Tan, C., 2021. A Study of Boundedly Rational Behaviour in Housing Choice: Evidence from Malaysia. International Journal of Housing Markets and Analysis 15, 1259–1274. https://doi.org/10.1108/IJHMA-08-2021-0094</w:t>
      </w:r>
    </w:p>
    <w:p w14:paraId="5B101C9C" w14:textId="77777777" w:rsidR="0068413E" w:rsidRDefault="0068413E" w:rsidP="0068413E">
      <w:pPr>
        <w:pStyle w:val="Bibliography"/>
      </w:pPr>
      <w:r>
        <w:t>Tao, Y., Petrović, A., van Ham, M., Fu, X., 2023. Residential Relocation as a Key Event in Commuting Mode Shift. Transportation Research Part D: Transport and Environment 119, 103772. https://doi.org/10.1016/j.trd.2023.103772</w:t>
      </w:r>
    </w:p>
    <w:p w14:paraId="14268070" w14:textId="77777777" w:rsidR="0068413E" w:rsidRDefault="0068413E" w:rsidP="0068413E">
      <w:pPr>
        <w:pStyle w:val="Bibliography"/>
      </w:pPr>
      <w:r>
        <w:t>United States Department of Labor, 2025. Changing Compensation Costs in the Seattle Metropolitan Area [WWW Document]. U.S. Bureau of Labor Statistics. URL https://www.bls.gov/regions/west/news-release/employmentcostindex_seattle.htm</w:t>
      </w:r>
    </w:p>
    <w:p w14:paraId="241A1484" w14:textId="77777777" w:rsidR="0068413E" w:rsidRDefault="0068413E" w:rsidP="0068413E">
      <w:pPr>
        <w:pStyle w:val="Bibliography"/>
      </w:pPr>
      <w:r>
        <w:t>van de Coevering, P., Maat, K., van Wee, B., 2018. Residential Self-Selection, Reverse Causality and Residential Dissonance. A Latent Class Transition Model of Interactions Between the Built Environment, Travel Attitudes and Travel Behavior. Transportation Research Part A: Policy and Practice 118, 466–479. https://doi.org/10.1016/j.tra.2018.08.035</w:t>
      </w:r>
    </w:p>
    <w:p w14:paraId="1791DEE7" w14:textId="77777777" w:rsidR="0068413E" w:rsidRDefault="0068413E" w:rsidP="0068413E">
      <w:pPr>
        <w:pStyle w:val="Bibliography"/>
      </w:pPr>
      <w:r>
        <w:t>Velasquez, A.J., Douglas, J.A., Guo, F., Robinette, J.W., 2022. In the Eyes of the Beholder: Race, Place and Health. Frontiers in Public Health 10. https://doi.org/10.3389/fpubh.2022.920637</w:t>
      </w:r>
    </w:p>
    <w:p w14:paraId="5220FA51" w14:textId="77777777" w:rsidR="0068413E" w:rsidRDefault="0068413E" w:rsidP="0068413E">
      <w:pPr>
        <w:pStyle w:val="Bibliography"/>
      </w:pPr>
      <w:r>
        <w:t>Verplanken, B., Walker, I., Davis, A., Jurasek, M., 2008. Context Change and Travel Mode Choice: Combining the Habit Discontinuity and Self-Activation Hypotheses. Journal of Environmental Psychology 28, 121–127. https://doi.org/10.1016/j.jenvp.2007.10.005</w:t>
      </w:r>
    </w:p>
    <w:p w14:paraId="562FCA52" w14:textId="77777777" w:rsidR="0068413E" w:rsidRDefault="0068413E" w:rsidP="0068413E">
      <w:pPr>
        <w:pStyle w:val="Bibliography"/>
      </w:pPr>
      <w:r>
        <w:t>Versey, H.S., Russell, C.N., 2023. The Impact of COVID-19 and Housing Insecurity on Lower-Income Black Women. Journal of Social Issues 79, 773–793. https://doi.org/10.1111/josi.12555</w:t>
      </w:r>
    </w:p>
    <w:p w14:paraId="02717DEA" w14:textId="77777777" w:rsidR="0068413E" w:rsidRDefault="0068413E" w:rsidP="0068413E">
      <w:pPr>
        <w:pStyle w:val="Bibliography"/>
      </w:pPr>
      <w:r>
        <w:t>Vidal, S., Huinink, J., Feldhaus, M., 2017. Fertility Intentions and Residential Relocations. Demography 54, 1305–1330. https://doi.org/10.1007/s13524-017-0592-0</w:t>
      </w:r>
    </w:p>
    <w:p w14:paraId="56F8307B" w14:textId="77777777" w:rsidR="0068413E" w:rsidRDefault="0068413E" w:rsidP="0068413E">
      <w:pPr>
        <w:pStyle w:val="Bibliography"/>
      </w:pPr>
      <w:r>
        <w:t>Waldron, R., 2024. Responding to Housing Precarity: The Coping Strategies of Generation Rent. Housing Studies 39, 124–145. https://doi.org/10.1080/02673037.2021.2022606</w:t>
      </w:r>
    </w:p>
    <w:p w14:paraId="021EFD37" w14:textId="77777777" w:rsidR="001F31AF" w:rsidRDefault="001F31AF" w:rsidP="001F31AF">
      <w:pPr>
        <w:pStyle w:val="Bibliography"/>
      </w:pPr>
      <w:r>
        <w:t>Wang, W., Durst, N.J., 2023. Planning for Active Aging: Exploring Housing Preferences of Elderly Populations in the United States. Journal of Housing and the Built Environment 38, 795–809. https://doi.org/10.1007/s10901-022-09962-0</w:t>
      </w:r>
    </w:p>
    <w:p w14:paraId="0A68BA8D" w14:textId="4E4CD4CF" w:rsidR="0068413E" w:rsidRDefault="0068413E" w:rsidP="0068413E">
      <w:pPr>
        <w:pStyle w:val="Bibliography"/>
      </w:pPr>
      <w:r>
        <w:t>Wang, B., Feng, X., Loo, B.P.Y., Xue, D., Liu, J., Tong, S., 202</w:t>
      </w:r>
      <w:r w:rsidR="001F31AF">
        <w:t>5</w:t>
      </w:r>
      <w:r>
        <w:t>. Hedonic Price Effects of Homeworking Under the COVID-19: Evidence from Housing Markets in Guangzhou, China. Journal of Housing and the Built Environment</w:t>
      </w:r>
      <w:r w:rsidR="00BA5E33">
        <w:t xml:space="preserve"> 40, 629–653</w:t>
      </w:r>
      <w:r>
        <w:t>. https://doi.org/10.1007/s10901-023-10102-5</w:t>
      </w:r>
    </w:p>
    <w:p w14:paraId="4121FF6E" w14:textId="77777777" w:rsidR="0068413E" w:rsidRDefault="0068413E" w:rsidP="0068413E">
      <w:pPr>
        <w:pStyle w:val="Bibliography"/>
      </w:pPr>
      <w:r>
        <w:t>Washington Center for Real Estate Research, 2023. Washington State Housing Market Report. University of Washington, Seattle, WA.</w:t>
      </w:r>
    </w:p>
    <w:p w14:paraId="5050F833" w14:textId="77777777" w:rsidR="0068413E" w:rsidRDefault="0068413E" w:rsidP="0068413E">
      <w:pPr>
        <w:pStyle w:val="Bibliography"/>
      </w:pPr>
      <w:r>
        <w:t>Wegener, B.A., Schmidt, P., 2024. Wellbeing at Home: A Mediation Analysis of Residential Satisfaction, Comfort, and Home Attachment. Journal of Housing and the Built Environment 39, 103–131. https://doi.org/10.1007/s10901-023-10068-4</w:t>
      </w:r>
    </w:p>
    <w:p w14:paraId="4D4EA32E" w14:textId="1D1116C4" w:rsidR="0068413E" w:rsidRDefault="0068413E" w:rsidP="0068413E">
      <w:pPr>
        <w:pStyle w:val="Bibliography"/>
      </w:pPr>
      <w:r>
        <w:t>Weiss, J., Ferrante, L., Soler-Porta, M., 2021. There Is No Place like Home! How Willing Are Young Adults to Move to Find a Job? Sustainability 13</w:t>
      </w:r>
      <w:r w:rsidR="00BA5E33">
        <w:t>(13), 7494</w:t>
      </w:r>
      <w:r>
        <w:t>. https://doi.org/10.3390/su13137494</w:t>
      </w:r>
    </w:p>
    <w:p w14:paraId="5CD6EFB4" w14:textId="77777777" w:rsidR="0068413E" w:rsidRDefault="0068413E" w:rsidP="0068413E">
      <w:pPr>
        <w:pStyle w:val="Bibliography"/>
      </w:pPr>
      <w:r>
        <w:t>Whitaker, S.D., 2021. Did the COVID-19 Pandemic Cause an Urban Exodus? Cleveland Fed District Data Brief. https://doi.org/10.26509/frbc-ddb-20210205</w:t>
      </w:r>
    </w:p>
    <w:p w14:paraId="3CB6BDFC" w14:textId="77777777" w:rsidR="0068413E" w:rsidRDefault="0068413E" w:rsidP="0068413E">
      <w:pPr>
        <w:pStyle w:val="Bibliography"/>
      </w:pPr>
      <w:r>
        <w:lastRenderedPageBreak/>
        <w:t>Windsong, E.A., 2010. There Is No Place Like Home: Complexities in Exploring Home and Place Attachment. The Social Science Journal 47, 205–214. https://doi.org/10.1016/j.soscij.2009.06.009</w:t>
      </w:r>
    </w:p>
    <w:p w14:paraId="49A32E1C" w14:textId="6F5E415F" w:rsidR="0068413E" w:rsidRDefault="0068413E" w:rsidP="0068413E">
      <w:pPr>
        <w:pStyle w:val="Bibliography"/>
      </w:pPr>
      <w:r>
        <w:t xml:space="preserve">Yadav, A., Taei, A., Jönson, H., Iwarsson, S., Granbom, M., 2025. Staying or Moving? Residential Reasoning Among Older Adults Living in Rural and Urban Disadvantaged Areas. </w:t>
      </w:r>
      <w:r w:rsidR="00BA5E33" w:rsidRPr="00BA5E33">
        <w:t>Journal of Housing and the Built Environment</w:t>
      </w:r>
      <w:r>
        <w:t>. https://doi.org/10.1007/s10901-025-10190-5</w:t>
      </w:r>
    </w:p>
    <w:p w14:paraId="142CBF8B" w14:textId="77777777" w:rsidR="0068413E" w:rsidRDefault="0068413E" w:rsidP="0068413E">
      <w:pPr>
        <w:pStyle w:val="Bibliography"/>
      </w:pPr>
      <w:r>
        <w:t>Zevnik, A., 2023. Anxiety and Political Action in Times of the Covid-19 Pandemic. International Relations (David Davies Memorial Institute of International Studies) 37, 164–171. https://doi.org/10.1177/00471178221149632</w:t>
      </w:r>
    </w:p>
    <w:p w14:paraId="13BCE308" w14:textId="77777777" w:rsidR="0068413E" w:rsidRDefault="0068413E" w:rsidP="0068413E">
      <w:pPr>
        <w:pStyle w:val="Bibliography"/>
      </w:pPr>
      <w:r>
        <w:t>Zolfaghari, A., Sivakumar, A., Polak, J.W., 2012. Choice Set Pruning in Residential Location Choice Modelling: A Comparison of Sampling and Choice Set Generation Approaches in Greater London. Transportation Planning and Technology 35, 87–106. https://doi.org/10.1080/03081060.2012.635420</w:t>
      </w:r>
    </w:p>
    <w:p w14:paraId="505E71D6" w14:textId="77777777" w:rsidR="0068413E" w:rsidRDefault="0068413E" w:rsidP="0068413E">
      <w:pPr>
        <w:pStyle w:val="Bibliography"/>
      </w:pPr>
      <w:r>
        <w:t>Zou, H., 2022. Metropolitan Social Networks and Migration: Insights from Facebook Connections. https://doi.org/10.2139/ssrn.4289153</w:t>
      </w:r>
    </w:p>
    <w:p w14:paraId="27D187B3" w14:textId="4A1224F8" w:rsidR="008404B6" w:rsidRPr="00B71F92" w:rsidRDefault="008404B6" w:rsidP="008404B6">
      <w:pPr>
        <w:spacing w:after="0" w:line="240" w:lineRule="auto"/>
        <w:jc w:val="both"/>
      </w:pPr>
      <w:r w:rsidRPr="00B71F92">
        <w:fldChar w:fldCharType="end"/>
      </w:r>
    </w:p>
    <w:sectPr w:rsidR="008404B6" w:rsidRPr="00B71F92" w:rsidSect="009002D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FBD3" w14:textId="77777777" w:rsidR="00773CA2" w:rsidRPr="00B71F92" w:rsidRDefault="00773CA2" w:rsidP="008404B6">
      <w:pPr>
        <w:spacing w:after="0" w:line="240" w:lineRule="auto"/>
      </w:pPr>
      <w:r w:rsidRPr="00B71F92">
        <w:separator/>
      </w:r>
    </w:p>
  </w:endnote>
  <w:endnote w:type="continuationSeparator" w:id="0">
    <w:p w14:paraId="7088C816" w14:textId="77777777" w:rsidR="00773CA2" w:rsidRPr="00B71F92" w:rsidRDefault="00773CA2" w:rsidP="008404B6">
      <w:pPr>
        <w:spacing w:after="0" w:line="240" w:lineRule="auto"/>
      </w:pPr>
      <w:r w:rsidRPr="00B71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516724"/>
      <w:docPartObj>
        <w:docPartGallery w:val="Page Numbers (Bottom of Page)"/>
        <w:docPartUnique/>
      </w:docPartObj>
    </w:sdtPr>
    <w:sdtEndPr/>
    <w:sdtContent>
      <w:p w14:paraId="3576E934" w14:textId="31C23974" w:rsidR="008404B6" w:rsidRPr="00B71F92" w:rsidRDefault="008404B6" w:rsidP="00D30ADA">
        <w:pPr>
          <w:pStyle w:val="Footer"/>
          <w:jc w:val="center"/>
        </w:pPr>
        <w:r w:rsidRPr="00B71F92">
          <w:fldChar w:fldCharType="begin"/>
        </w:r>
        <w:r w:rsidRPr="00B71F92">
          <w:instrText xml:space="preserve"> PAGE   \* MERGEFORMAT </w:instrText>
        </w:r>
        <w:r w:rsidRPr="00B71F92">
          <w:fldChar w:fldCharType="separate"/>
        </w:r>
        <w:r w:rsidRPr="00B71F92">
          <w:t>2</w:t>
        </w:r>
        <w:r w:rsidRPr="00B71F9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DFE6" w14:textId="77777777" w:rsidR="00773CA2" w:rsidRPr="00B71F92" w:rsidRDefault="00773CA2" w:rsidP="008404B6">
      <w:pPr>
        <w:spacing w:after="0" w:line="240" w:lineRule="auto"/>
      </w:pPr>
      <w:r w:rsidRPr="00B71F92">
        <w:separator/>
      </w:r>
    </w:p>
  </w:footnote>
  <w:footnote w:type="continuationSeparator" w:id="0">
    <w:p w14:paraId="21102CBA" w14:textId="77777777" w:rsidR="00773CA2" w:rsidRPr="00B71F92" w:rsidRDefault="00773CA2" w:rsidP="008404B6">
      <w:pPr>
        <w:spacing w:after="0" w:line="240" w:lineRule="auto"/>
      </w:pPr>
      <w:r w:rsidRPr="00B71F9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AF0"/>
    <w:multiLevelType w:val="multilevel"/>
    <w:tmpl w:val="80AA91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3460A"/>
    <w:multiLevelType w:val="hybridMultilevel"/>
    <w:tmpl w:val="E9F2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610B"/>
    <w:multiLevelType w:val="hybridMultilevel"/>
    <w:tmpl w:val="F85EB4B4"/>
    <w:lvl w:ilvl="0" w:tplc="46EAFBBC">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000D"/>
    <w:multiLevelType w:val="hybridMultilevel"/>
    <w:tmpl w:val="C28CF1B6"/>
    <w:lvl w:ilvl="0" w:tplc="5BAA251A">
      <w:numFmt w:val="bullet"/>
      <w:lvlText w:val="-"/>
      <w:lvlJc w:val="left"/>
      <w:pPr>
        <w:ind w:left="720" w:hanging="360"/>
      </w:pPr>
      <w:rPr>
        <w:rFonts w:ascii="Times New Roman" w:eastAsiaTheme="minorHAnsi" w:hAnsi="Times New Roman" w:cs="Times New Roman" w:hint="default"/>
        <w:b/>
        <w:color w:val="252525"/>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733"/>
    <w:multiLevelType w:val="hybridMultilevel"/>
    <w:tmpl w:val="C2EA3164"/>
    <w:lvl w:ilvl="0" w:tplc="3EF8FD7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9717C"/>
    <w:multiLevelType w:val="hybridMultilevel"/>
    <w:tmpl w:val="6D0E3D78"/>
    <w:lvl w:ilvl="0" w:tplc="F1B44D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B6334"/>
    <w:multiLevelType w:val="hybridMultilevel"/>
    <w:tmpl w:val="0B5AE4D0"/>
    <w:lvl w:ilvl="0" w:tplc="AB7EB0AE">
      <w:start w:val="1"/>
      <w:numFmt w:val="bullet"/>
      <w:lvlText w:val="•"/>
      <w:lvlJc w:val="left"/>
      <w:pPr>
        <w:tabs>
          <w:tab w:val="num" w:pos="720"/>
        </w:tabs>
        <w:ind w:left="720" w:hanging="360"/>
      </w:pPr>
      <w:rPr>
        <w:rFonts w:ascii="Arial" w:hAnsi="Arial" w:hint="default"/>
      </w:rPr>
    </w:lvl>
    <w:lvl w:ilvl="1" w:tplc="7F4040A4" w:tentative="1">
      <w:start w:val="1"/>
      <w:numFmt w:val="bullet"/>
      <w:lvlText w:val="•"/>
      <w:lvlJc w:val="left"/>
      <w:pPr>
        <w:tabs>
          <w:tab w:val="num" w:pos="1440"/>
        </w:tabs>
        <w:ind w:left="1440" w:hanging="360"/>
      </w:pPr>
      <w:rPr>
        <w:rFonts w:ascii="Arial" w:hAnsi="Arial" w:hint="default"/>
      </w:rPr>
    </w:lvl>
    <w:lvl w:ilvl="2" w:tplc="225A46A2" w:tentative="1">
      <w:start w:val="1"/>
      <w:numFmt w:val="bullet"/>
      <w:lvlText w:val="•"/>
      <w:lvlJc w:val="left"/>
      <w:pPr>
        <w:tabs>
          <w:tab w:val="num" w:pos="2160"/>
        </w:tabs>
        <w:ind w:left="2160" w:hanging="360"/>
      </w:pPr>
      <w:rPr>
        <w:rFonts w:ascii="Arial" w:hAnsi="Arial" w:hint="default"/>
      </w:rPr>
    </w:lvl>
    <w:lvl w:ilvl="3" w:tplc="372C0AAC" w:tentative="1">
      <w:start w:val="1"/>
      <w:numFmt w:val="bullet"/>
      <w:lvlText w:val="•"/>
      <w:lvlJc w:val="left"/>
      <w:pPr>
        <w:tabs>
          <w:tab w:val="num" w:pos="2880"/>
        </w:tabs>
        <w:ind w:left="2880" w:hanging="360"/>
      </w:pPr>
      <w:rPr>
        <w:rFonts w:ascii="Arial" w:hAnsi="Arial" w:hint="default"/>
      </w:rPr>
    </w:lvl>
    <w:lvl w:ilvl="4" w:tplc="C144EB84" w:tentative="1">
      <w:start w:val="1"/>
      <w:numFmt w:val="bullet"/>
      <w:lvlText w:val="•"/>
      <w:lvlJc w:val="left"/>
      <w:pPr>
        <w:tabs>
          <w:tab w:val="num" w:pos="3600"/>
        </w:tabs>
        <w:ind w:left="3600" w:hanging="360"/>
      </w:pPr>
      <w:rPr>
        <w:rFonts w:ascii="Arial" w:hAnsi="Arial" w:hint="default"/>
      </w:rPr>
    </w:lvl>
    <w:lvl w:ilvl="5" w:tplc="CD2CBA60" w:tentative="1">
      <w:start w:val="1"/>
      <w:numFmt w:val="bullet"/>
      <w:lvlText w:val="•"/>
      <w:lvlJc w:val="left"/>
      <w:pPr>
        <w:tabs>
          <w:tab w:val="num" w:pos="4320"/>
        </w:tabs>
        <w:ind w:left="4320" w:hanging="360"/>
      </w:pPr>
      <w:rPr>
        <w:rFonts w:ascii="Arial" w:hAnsi="Arial" w:hint="default"/>
      </w:rPr>
    </w:lvl>
    <w:lvl w:ilvl="6" w:tplc="6EF40EE2" w:tentative="1">
      <w:start w:val="1"/>
      <w:numFmt w:val="bullet"/>
      <w:lvlText w:val="•"/>
      <w:lvlJc w:val="left"/>
      <w:pPr>
        <w:tabs>
          <w:tab w:val="num" w:pos="5040"/>
        </w:tabs>
        <w:ind w:left="5040" w:hanging="360"/>
      </w:pPr>
      <w:rPr>
        <w:rFonts w:ascii="Arial" w:hAnsi="Arial" w:hint="default"/>
      </w:rPr>
    </w:lvl>
    <w:lvl w:ilvl="7" w:tplc="7748890E" w:tentative="1">
      <w:start w:val="1"/>
      <w:numFmt w:val="bullet"/>
      <w:lvlText w:val="•"/>
      <w:lvlJc w:val="left"/>
      <w:pPr>
        <w:tabs>
          <w:tab w:val="num" w:pos="5760"/>
        </w:tabs>
        <w:ind w:left="5760" w:hanging="360"/>
      </w:pPr>
      <w:rPr>
        <w:rFonts w:ascii="Arial" w:hAnsi="Arial" w:hint="default"/>
      </w:rPr>
    </w:lvl>
    <w:lvl w:ilvl="8" w:tplc="661CDA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DD5149"/>
    <w:multiLevelType w:val="hybridMultilevel"/>
    <w:tmpl w:val="58BC7B6E"/>
    <w:lvl w:ilvl="0" w:tplc="0176598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562BD"/>
    <w:multiLevelType w:val="hybridMultilevel"/>
    <w:tmpl w:val="FAF63F56"/>
    <w:lvl w:ilvl="0" w:tplc="281C10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74DBA"/>
    <w:multiLevelType w:val="hybridMultilevel"/>
    <w:tmpl w:val="93F45DD8"/>
    <w:lvl w:ilvl="0" w:tplc="CBCCE6EC">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F5945"/>
    <w:multiLevelType w:val="hybridMultilevel"/>
    <w:tmpl w:val="4C92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B7513"/>
    <w:multiLevelType w:val="hybridMultilevel"/>
    <w:tmpl w:val="2D30024A"/>
    <w:lvl w:ilvl="0" w:tplc="44FCD170">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6D0472"/>
    <w:multiLevelType w:val="hybridMultilevel"/>
    <w:tmpl w:val="827E7B30"/>
    <w:lvl w:ilvl="0" w:tplc="D2A0FA8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74E0D"/>
    <w:multiLevelType w:val="hybridMultilevel"/>
    <w:tmpl w:val="F6F843AA"/>
    <w:lvl w:ilvl="0" w:tplc="4C84ED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A117A"/>
    <w:multiLevelType w:val="hybridMultilevel"/>
    <w:tmpl w:val="2766C340"/>
    <w:lvl w:ilvl="0" w:tplc="3508BB9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77B"/>
    <w:multiLevelType w:val="hybridMultilevel"/>
    <w:tmpl w:val="3C26E7F4"/>
    <w:lvl w:ilvl="0" w:tplc="2D242E30">
      <w:start w:val="1"/>
      <w:numFmt w:val="bullet"/>
      <w:lvlText w:val="•"/>
      <w:lvlJc w:val="left"/>
      <w:pPr>
        <w:tabs>
          <w:tab w:val="num" w:pos="720"/>
        </w:tabs>
        <w:ind w:left="720" w:hanging="360"/>
      </w:pPr>
      <w:rPr>
        <w:rFonts w:ascii="Arial" w:hAnsi="Arial" w:hint="default"/>
      </w:rPr>
    </w:lvl>
    <w:lvl w:ilvl="1" w:tplc="376ED494" w:tentative="1">
      <w:start w:val="1"/>
      <w:numFmt w:val="bullet"/>
      <w:lvlText w:val="•"/>
      <w:lvlJc w:val="left"/>
      <w:pPr>
        <w:tabs>
          <w:tab w:val="num" w:pos="1440"/>
        </w:tabs>
        <w:ind w:left="1440" w:hanging="360"/>
      </w:pPr>
      <w:rPr>
        <w:rFonts w:ascii="Arial" w:hAnsi="Arial" w:hint="default"/>
      </w:rPr>
    </w:lvl>
    <w:lvl w:ilvl="2" w:tplc="D34C82D2" w:tentative="1">
      <w:start w:val="1"/>
      <w:numFmt w:val="bullet"/>
      <w:lvlText w:val="•"/>
      <w:lvlJc w:val="left"/>
      <w:pPr>
        <w:tabs>
          <w:tab w:val="num" w:pos="2160"/>
        </w:tabs>
        <w:ind w:left="2160" w:hanging="360"/>
      </w:pPr>
      <w:rPr>
        <w:rFonts w:ascii="Arial" w:hAnsi="Arial" w:hint="default"/>
      </w:rPr>
    </w:lvl>
    <w:lvl w:ilvl="3" w:tplc="4F1E88F4" w:tentative="1">
      <w:start w:val="1"/>
      <w:numFmt w:val="bullet"/>
      <w:lvlText w:val="•"/>
      <w:lvlJc w:val="left"/>
      <w:pPr>
        <w:tabs>
          <w:tab w:val="num" w:pos="2880"/>
        </w:tabs>
        <w:ind w:left="2880" w:hanging="360"/>
      </w:pPr>
      <w:rPr>
        <w:rFonts w:ascii="Arial" w:hAnsi="Arial" w:hint="default"/>
      </w:rPr>
    </w:lvl>
    <w:lvl w:ilvl="4" w:tplc="729087F2" w:tentative="1">
      <w:start w:val="1"/>
      <w:numFmt w:val="bullet"/>
      <w:lvlText w:val="•"/>
      <w:lvlJc w:val="left"/>
      <w:pPr>
        <w:tabs>
          <w:tab w:val="num" w:pos="3600"/>
        </w:tabs>
        <w:ind w:left="3600" w:hanging="360"/>
      </w:pPr>
      <w:rPr>
        <w:rFonts w:ascii="Arial" w:hAnsi="Arial" w:hint="default"/>
      </w:rPr>
    </w:lvl>
    <w:lvl w:ilvl="5" w:tplc="E466A978" w:tentative="1">
      <w:start w:val="1"/>
      <w:numFmt w:val="bullet"/>
      <w:lvlText w:val="•"/>
      <w:lvlJc w:val="left"/>
      <w:pPr>
        <w:tabs>
          <w:tab w:val="num" w:pos="4320"/>
        </w:tabs>
        <w:ind w:left="4320" w:hanging="360"/>
      </w:pPr>
      <w:rPr>
        <w:rFonts w:ascii="Arial" w:hAnsi="Arial" w:hint="default"/>
      </w:rPr>
    </w:lvl>
    <w:lvl w:ilvl="6" w:tplc="12EC5916" w:tentative="1">
      <w:start w:val="1"/>
      <w:numFmt w:val="bullet"/>
      <w:lvlText w:val="•"/>
      <w:lvlJc w:val="left"/>
      <w:pPr>
        <w:tabs>
          <w:tab w:val="num" w:pos="5040"/>
        </w:tabs>
        <w:ind w:left="5040" w:hanging="360"/>
      </w:pPr>
      <w:rPr>
        <w:rFonts w:ascii="Arial" w:hAnsi="Arial" w:hint="default"/>
      </w:rPr>
    </w:lvl>
    <w:lvl w:ilvl="7" w:tplc="FBCA2DF6" w:tentative="1">
      <w:start w:val="1"/>
      <w:numFmt w:val="bullet"/>
      <w:lvlText w:val="•"/>
      <w:lvlJc w:val="left"/>
      <w:pPr>
        <w:tabs>
          <w:tab w:val="num" w:pos="5760"/>
        </w:tabs>
        <w:ind w:left="5760" w:hanging="360"/>
      </w:pPr>
      <w:rPr>
        <w:rFonts w:ascii="Arial" w:hAnsi="Arial" w:hint="default"/>
      </w:rPr>
    </w:lvl>
    <w:lvl w:ilvl="8" w:tplc="9EBAE1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8D649A"/>
    <w:multiLevelType w:val="hybridMultilevel"/>
    <w:tmpl w:val="2BF81926"/>
    <w:lvl w:ilvl="0" w:tplc="0176598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00ACE"/>
    <w:multiLevelType w:val="hybridMultilevel"/>
    <w:tmpl w:val="680E4788"/>
    <w:lvl w:ilvl="0" w:tplc="818ECB9A">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92EC3"/>
    <w:multiLevelType w:val="hybridMultilevel"/>
    <w:tmpl w:val="095ED2D4"/>
    <w:lvl w:ilvl="0" w:tplc="017659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B0A1D"/>
    <w:multiLevelType w:val="hybridMultilevel"/>
    <w:tmpl w:val="8780C39E"/>
    <w:lvl w:ilvl="0" w:tplc="EF703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D436E"/>
    <w:multiLevelType w:val="multilevel"/>
    <w:tmpl w:val="28D60E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8574D8"/>
    <w:multiLevelType w:val="hybridMultilevel"/>
    <w:tmpl w:val="E5707EE8"/>
    <w:lvl w:ilvl="0" w:tplc="C23CF036">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19"/>
  </w:num>
  <w:num w:numId="4">
    <w:abstractNumId w:val="16"/>
  </w:num>
  <w:num w:numId="5">
    <w:abstractNumId w:val="18"/>
  </w:num>
  <w:num w:numId="6">
    <w:abstractNumId w:val="7"/>
  </w:num>
  <w:num w:numId="7">
    <w:abstractNumId w:val="5"/>
  </w:num>
  <w:num w:numId="8">
    <w:abstractNumId w:val="15"/>
  </w:num>
  <w:num w:numId="9">
    <w:abstractNumId w:val="6"/>
  </w:num>
  <w:num w:numId="10">
    <w:abstractNumId w:val="10"/>
  </w:num>
  <w:num w:numId="11">
    <w:abstractNumId w:val="2"/>
  </w:num>
  <w:num w:numId="12">
    <w:abstractNumId w:val="13"/>
  </w:num>
  <w:num w:numId="13">
    <w:abstractNumId w:val="14"/>
  </w:num>
  <w:num w:numId="14">
    <w:abstractNumId w:val="9"/>
  </w:num>
  <w:num w:numId="15">
    <w:abstractNumId w:val="11"/>
  </w:num>
  <w:num w:numId="16">
    <w:abstractNumId w:val="1"/>
  </w:num>
  <w:num w:numId="17">
    <w:abstractNumId w:val="4"/>
  </w:num>
  <w:num w:numId="18">
    <w:abstractNumId w:val="21"/>
  </w:num>
  <w:num w:numId="19">
    <w:abstractNumId w:val="8"/>
  </w:num>
  <w:num w:numId="20">
    <w:abstractNumId w:val="20"/>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F4"/>
    <w:rsid w:val="00000261"/>
    <w:rsid w:val="0000632F"/>
    <w:rsid w:val="00007816"/>
    <w:rsid w:val="00007EE8"/>
    <w:rsid w:val="00010039"/>
    <w:rsid w:val="0001008C"/>
    <w:rsid w:val="00010310"/>
    <w:rsid w:val="00011311"/>
    <w:rsid w:val="00011AF6"/>
    <w:rsid w:val="000121D3"/>
    <w:rsid w:val="00012F50"/>
    <w:rsid w:val="00013592"/>
    <w:rsid w:val="0001388F"/>
    <w:rsid w:val="00014F04"/>
    <w:rsid w:val="0001799B"/>
    <w:rsid w:val="00017F17"/>
    <w:rsid w:val="000205EB"/>
    <w:rsid w:val="0002260E"/>
    <w:rsid w:val="0002300A"/>
    <w:rsid w:val="00023138"/>
    <w:rsid w:val="00023CFB"/>
    <w:rsid w:val="00024249"/>
    <w:rsid w:val="000262A8"/>
    <w:rsid w:val="00026BB7"/>
    <w:rsid w:val="00026F97"/>
    <w:rsid w:val="000308A2"/>
    <w:rsid w:val="000322A5"/>
    <w:rsid w:val="00032F2D"/>
    <w:rsid w:val="000353B4"/>
    <w:rsid w:val="0003578B"/>
    <w:rsid w:val="00036417"/>
    <w:rsid w:val="00036603"/>
    <w:rsid w:val="00041415"/>
    <w:rsid w:val="000419C9"/>
    <w:rsid w:val="00042611"/>
    <w:rsid w:val="000435BC"/>
    <w:rsid w:val="00046B5C"/>
    <w:rsid w:val="00046F5E"/>
    <w:rsid w:val="00047DC2"/>
    <w:rsid w:val="00050CDE"/>
    <w:rsid w:val="000511A1"/>
    <w:rsid w:val="00052DC4"/>
    <w:rsid w:val="0005386F"/>
    <w:rsid w:val="00053FAB"/>
    <w:rsid w:val="00054D93"/>
    <w:rsid w:val="00063EAD"/>
    <w:rsid w:val="00064866"/>
    <w:rsid w:val="0006530E"/>
    <w:rsid w:val="000662ED"/>
    <w:rsid w:val="00066426"/>
    <w:rsid w:val="0006747A"/>
    <w:rsid w:val="00067946"/>
    <w:rsid w:val="0007024E"/>
    <w:rsid w:val="00070AF9"/>
    <w:rsid w:val="00071864"/>
    <w:rsid w:val="000733A0"/>
    <w:rsid w:val="00073839"/>
    <w:rsid w:val="00073BE2"/>
    <w:rsid w:val="00073C52"/>
    <w:rsid w:val="000760B1"/>
    <w:rsid w:val="000760EF"/>
    <w:rsid w:val="0007694E"/>
    <w:rsid w:val="00076B50"/>
    <w:rsid w:val="00076F90"/>
    <w:rsid w:val="00080ECE"/>
    <w:rsid w:val="00081872"/>
    <w:rsid w:val="00082A23"/>
    <w:rsid w:val="00083F5E"/>
    <w:rsid w:val="00085E60"/>
    <w:rsid w:val="00087DF7"/>
    <w:rsid w:val="00087FD8"/>
    <w:rsid w:val="00093164"/>
    <w:rsid w:val="000933F6"/>
    <w:rsid w:val="00093AAE"/>
    <w:rsid w:val="00094242"/>
    <w:rsid w:val="00094810"/>
    <w:rsid w:val="000955BB"/>
    <w:rsid w:val="00097278"/>
    <w:rsid w:val="000A06C1"/>
    <w:rsid w:val="000A1674"/>
    <w:rsid w:val="000A16EF"/>
    <w:rsid w:val="000A205E"/>
    <w:rsid w:val="000A2641"/>
    <w:rsid w:val="000A2D7B"/>
    <w:rsid w:val="000A3A2F"/>
    <w:rsid w:val="000A3B8A"/>
    <w:rsid w:val="000A48D6"/>
    <w:rsid w:val="000A648A"/>
    <w:rsid w:val="000B0094"/>
    <w:rsid w:val="000B00AD"/>
    <w:rsid w:val="000B2003"/>
    <w:rsid w:val="000B24C4"/>
    <w:rsid w:val="000B2C06"/>
    <w:rsid w:val="000B2F55"/>
    <w:rsid w:val="000B2F96"/>
    <w:rsid w:val="000B395F"/>
    <w:rsid w:val="000B504B"/>
    <w:rsid w:val="000B56C8"/>
    <w:rsid w:val="000B59D0"/>
    <w:rsid w:val="000B6A64"/>
    <w:rsid w:val="000B6C3B"/>
    <w:rsid w:val="000B6F06"/>
    <w:rsid w:val="000C0505"/>
    <w:rsid w:val="000C1360"/>
    <w:rsid w:val="000C1C31"/>
    <w:rsid w:val="000C2579"/>
    <w:rsid w:val="000C2680"/>
    <w:rsid w:val="000C2AEB"/>
    <w:rsid w:val="000C34DD"/>
    <w:rsid w:val="000C3A03"/>
    <w:rsid w:val="000C3A09"/>
    <w:rsid w:val="000C3C4D"/>
    <w:rsid w:val="000C4B10"/>
    <w:rsid w:val="000C61FA"/>
    <w:rsid w:val="000C62AE"/>
    <w:rsid w:val="000C79A1"/>
    <w:rsid w:val="000D0B9E"/>
    <w:rsid w:val="000D14A3"/>
    <w:rsid w:val="000D169D"/>
    <w:rsid w:val="000D19AF"/>
    <w:rsid w:val="000D1DC0"/>
    <w:rsid w:val="000D2792"/>
    <w:rsid w:val="000D2A7A"/>
    <w:rsid w:val="000D3369"/>
    <w:rsid w:val="000D36FD"/>
    <w:rsid w:val="000D3ED4"/>
    <w:rsid w:val="000D41EC"/>
    <w:rsid w:val="000D45C9"/>
    <w:rsid w:val="000D51F1"/>
    <w:rsid w:val="000D59F2"/>
    <w:rsid w:val="000D6573"/>
    <w:rsid w:val="000D756F"/>
    <w:rsid w:val="000D7CF1"/>
    <w:rsid w:val="000E086D"/>
    <w:rsid w:val="000E2522"/>
    <w:rsid w:val="000E30AB"/>
    <w:rsid w:val="000E3657"/>
    <w:rsid w:val="000E46A6"/>
    <w:rsid w:val="000E4EDB"/>
    <w:rsid w:val="000E5593"/>
    <w:rsid w:val="000E5E33"/>
    <w:rsid w:val="000E7A24"/>
    <w:rsid w:val="000F019D"/>
    <w:rsid w:val="000F089F"/>
    <w:rsid w:val="000F303A"/>
    <w:rsid w:val="000F3DE9"/>
    <w:rsid w:val="000F495A"/>
    <w:rsid w:val="000F4A1E"/>
    <w:rsid w:val="000F5040"/>
    <w:rsid w:val="000F5B6D"/>
    <w:rsid w:val="000F6A4F"/>
    <w:rsid w:val="00100DA5"/>
    <w:rsid w:val="00101D00"/>
    <w:rsid w:val="00102129"/>
    <w:rsid w:val="00103255"/>
    <w:rsid w:val="00103E6E"/>
    <w:rsid w:val="001041C7"/>
    <w:rsid w:val="001046A3"/>
    <w:rsid w:val="00104F1B"/>
    <w:rsid w:val="00105FA7"/>
    <w:rsid w:val="00106796"/>
    <w:rsid w:val="0010691E"/>
    <w:rsid w:val="00110976"/>
    <w:rsid w:val="00113F7D"/>
    <w:rsid w:val="00113FFD"/>
    <w:rsid w:val="001158EB"/>
    <w:rsid w:val="00116BBA"/>
    <w:rsid w:val="00117752"/>
    <w:rsid w:val="00120949"/>
    <w:rsid w:val="001221A0"/>
    <w:rsid w:val="00122C6B"/>
    <w:rsid w:val="001233F1"/>
    <w:rsid w:val="00124052"/>
    <w:rsid w:val="00124FE9"/>
    <w:rsid w:val="00125E2E"/>
    <w:rsid w:val="0012671C"/>
    <w:rsid w:val="00127195"/>
    <w:rsid w:val="00130930"/>
    <w:rsid w:val="00130F03"/>
    <w:rsid w:val="0013101A"/>
    <w:rsid w:val="0013126A"/>
    <w:rsid w:val="00135014"/>
    <w:rsid w:val="00135427"/>
    <w:rsid w:val="001355D9"/>
    <w:rsid w:val="00135895"/>
    <w:rsid w:val="00142DC4"/>
    <w:rsid w:val="00147015"/>
    <w:rsid w:val="0014708E"/>
    <w:rsid w:val="001478F4"/>
    <w:rsid w:val="0015058F"/>
    <w:rsid w:val="00150AAC"/>
    <w:rsid w:val="001510C6"/>
    <w:rsid w:val="00152667"/>
    <w:rsid w:val="001529C0"/>
    <w:rsid w:val="001561E2"/>
    <w:rsid w:val="001562A7"/>
    <w:rsid w:val="001570C2"/>
    <w:rsid w:val="00157495"/>
    <w:rsid w:val="00160D2F"/>
    <w:rsid w:val="001637AB"/>
    <w:rsid w:val="00163F03"/>
    <w:rsid w:val="00164F8F"/>
    <w:rsid w:val="00170260"/>
    <w:rsid w:val="001704FD"/>
    <w:rsid w:val="00171508"/>
    <w:rsid w:val="00174505"/>
    <w:rsid w:val="00174BFC"/>
    <w:rsid w:val="0017564A"/>
    <w:rsid w:val="001762F8"/>
    <w:rsid w:val="001766B6"/>
    <w:rsid w:val="00176F8F"/>
    <w:rsid w:val="00181D2F"/>
    <w:rsid w:val="00185B52"/>
    <w:rsid w:val="00185EF8"/>
    <w:rsid w:val="001870BC"/>
    <w:rsid w:val="00187C9E"/>
    <w:rsid w:val="00190129"/>
    <w:rsid w:val="00190639"/>
    <w:rsid w:val="00191625"/>
    <w:rsid w:val="00191740"/>
    <w:rsid w:val="00192464"/>
    <w:rsid w:val="00194B4F"/>
    <w:rsid w:val="00195189"/>
    <w:rsid w:val="00195292"/>
    <w:rsid w:val="001975B6"/>
    <w:rsid w:val="001A2DDB"/>
    <w:rsid w:val="001A36FD"/>
    <w:rsid w:val="001A56A7"/>
    <w:rsid w:val="001A5BE1"/>
    <w:rsid w:val="001A62E5"/>
    <w:rsid w:val="001A77B0"/>
    <w:rsid w:val="001B0F6D"/>
    <w:rsid w:val="001B115F"/>
    <w:rsid w:val="001B1567"/>
    <w:rsid w:val="001B28E9"/>
    <w:rsid w:val="001B29F2"/>
    <w:rsid w:val="001B2E0D"/>
    <w:rsid w:val="001B3030"/>
    <w:rsid w:val="001B3955"/>
    <w:rsid w:val="001B3F16"/>
    <w:rsid w:val="001B41FA"/>
    <w:rsid w:val="001B44DF"/>
    <w:rsid w:val="001B62EB"/>
    <w:rsid w:val="001B67AA"/>
    <w:rsid w:val="001B7B69"/>
    <w:rsid w:val="001B7E11"/>
    <w:rsid w:val="001C0095"/>
    <w:rsid w:val="001C06C0"/>
    <w:rsid w:val="001C1D89"/>
    <w:rsid w:val="001C2921"/>
    <w:rsid w:val="001C2C7E"/>
    <w:rsid w:val="001C39A2"/>
    <w:rsid w:val="001C43DB"/>
    <w:rsid w:val="001C77E6"/>
    <w:rsid w:val="001D0905"/>
    <w:rsid w:val="001D0F1E"/>
    <w:rsid w:val="001D2B2D"/>
    <w:rsid w:val="001D3EF6"/>
    <w:rsid w:val="001D65C8"/>
    <w:rsid w:val="001D6FDB"/>
    <w:rsid w:val="001D77D5"/>
    <w:rsid w:val="001E16B6"/>
    <w:rsid w:val="001E1E5A"/>
    <w:rsid w:val="001E2574"/>
    <w:rsid w:val="001E2E3E"/>
    <w:rsid w:val="001E3198"/>
    <w:rsid w:val="001E34C5"/>
    <w:rsid w:val="001E3802"/>
    <w:rsid w:val="001E4211"/>
    <w:rsid w:val="001E4728"/>
    <w:rsid w:val="001E6787"/>
    <w:rsid w:val="001E79CD"/>
    <w:rsid w:val="001F0253"/>
    <w:rsid w:val="001F1363"/>
    <w:rsid w:val="001F176A"/>
    <w:rsid w:val="001F282A"/>
    <w:rsid w:val="001F2FB6"/>
    <w:rsid w:val="001F31AF"/>
    <w:rsid w:val="001F3AF9"/>
    <w:rsid w:val="001F3E42"/>
    <w:rsid w:val="001F3E60"/>
    <w:rsid w:val="001F4399"/>
    <w:rsid w:val="001F4C7D"/>
    <w:rsid w:val="001F5F84"/>
    <w:rsid w:val="001F608F"/>
    <w:rsid w:val="001F7EF5"/>
    <w:rsid w:val="00202DBF"/>
    <w:rsid w:val="002047BD"/>
    <w:rsid w:val="00205856"/>
    <w:rsid w:val="00207888"/>
    <w:rsid w:val="00212C69"/>
    <w:rsid w:val="00212CF3"/>
    <w:rsid w:val="002143B5"/>
    <w:rsid w:val="002174CF"/>
    <w:rsid w:val="002174F3"/>
    <w:rsid w:val="00217B23"/>
    <w:rsid w:val="00223E75"/>
    <w:rsid w:val="00225E27"/>
    <w:rsid w:val="002263A5"/>
    <w:rsid w:val="002276A9"/>
    <w:rsid w:val="0023004F"/>
    <w:rsid w:val="0023149D"/>
    <w:rsid w:val="00231655"/>
    <w:rsid w:val="002325AD"/>
    <w:rsid w:val="002329AD"/>
    <w:rsid w:val="00233889"/>
    <w:rsid w:val="00233946"/>
    <w:rsid w:val="002348F7"/>
    <w:rsid w:val="00235B64"/>
    <w:rsid w:val="00236814"/>
    <w:rsid w:val="00240303"/>
    <w:rsid w:val="002406EF"/>
    <w:rsid w:val="00241271"/>
    <w:rsid w:val="0024156B"/>
    <w:rsid w:val="00242B85"/>
    <w:rsid w:val="002441E8"/>
    <w:rsid w:val="00245DBA"/>
    <w:rsid w:val="00247383"/>
    <w:rsid w:val="002478CC"/>
    <w:rsid w:val="00247D7F"/>
    <w:rsid w:val="00247EE5"/>
    <w:rsid w:val="0025045C"/>
    <w:rsid w:val="00251CDF"/>
    <w:rsid w:val="0025368F"/>
    <w:rsid w:val="00256C50"/>
    <w:rsid w:val="002602E5"/>
    <w:rsid w:val="00261262"/>
    <w:rsid w:val="0026199B"/>
    <w:rsid w:val="00261B60"/>
    <w:rsid w:val="0026256F"/>
    <w:rsid w:val="00264ECC"/>
    <w:rsid w:val="00265E0A"/>
    <w:rsid w:val="00272576"/>
    <w:rsid w:val="002727CA"/>
    <w:rsid w:val="00273010"/>
    <w:rsid w:val="00273165"/>
    <w:rsid w:val="002731B6"/>
    <w:rsid w:val="002738B5"/>
    <w:rsid w:val="0027403E"/>
    <w:rsid w:val="00274462"/>
    <w:rsid w:val="002753AC"/>
    <w:rsid w:val="00275D2D"/>
    <w:rsid w:val="00277667"/>
    <w:rsid w:val="00277B60"/>
    <w:rsid w:val="00280182"/>
    <w:rsid w:val="002807F3"/>
    <w:rsid w:val="00280FDD"/>
    <w:rsid w:val="0028153F"/>
    <w:rsid w:val="00282530"/>
    <w:rsid w:val="00282F9D"/>
    <w:rsid w:val="002837E5"/>
    <w:rsid w:val="002846E7"/>
    <w:rsid w:val="002859A9"/>
    <w:rsid w:val="002876B2"/>
    <w:rsid w:val="002901BD"/>
    <w:rsid w:val="0029142E"/>
    <w:rsid w:val="002919EC"/>
    <w:rsid w:val="00291BFD"/>
    <w:rsid w:val="00291FD3"/>
    <w:rsid w:val="002926C0"/>
    <w:rsid w:val="00292A1D"/>
    <w:rsid w:val="00292CEF"/>
    <w:rsid w:val="0029374B"/>
    <w:rsid w:val="0029397C"/>
    <w:rsid w:val="00293BC8"/>
    <w:rsid w:val="002955E1"/>
    <w:rsid w:val="002964CA"/>
    <w:rsid w:val="0029685F"/>
    <w:rsid w:val="002979EC"/>
    <w:rsid w:val="002A019C"/>
    <w:rsid w:val="002A0536"/>
    <w:rsid w:val="002A0E02"/>
    <w:rsid w:val="002A1357"/>
    <w:rsid w:val="002A2AE7"/>
    <w:rsid w:val="002A2E82"/>
    <w:rsid w:val="002A3BAF"/>
    <w:rsid w:val="002A43F7"/>
    <w:rsid w:val="002A478D"/>
    <w:rsid w:val="002A4E1E"/>
    <w:rsid w:val="002A4F8D"/>
    <w:rsid w:val="002A6ED9"/>
    <w:rsid w:val="002A7179"/>
    <w:rsid w:val="002B0A7B"/>
    <w:rsid w:val="002B13EF"/>
    <w:rsid w:val="002B1758"/>
    <w:rsid w:val="002B1E8B"/>
    <w:rsid w:val="002B22EA"/>
    <w:rsid w:val="002B2F88"/>
    <w:rsid w:val="002B3624"/>
    <w:rsid w:val="002B3A32"/>
    <w:rsid w:val="002B4A3A"/>
    <w:rsid w:val="002C0593"/>
    <w:rsid w:val="002C0DA3"/>
    <w:rsid w:val="002C1DC4"/>
    <w:rsid w:val="002C1FA3"/>
    <w:rsid w:val="002C2749"/>
    <w:rsid w:val="002C285A"/>
    <w:rsid w:val="002C2970"/>
    <w:rsid w:val="002C3098"/>
    <w:rsid w:val="002C3446"/>
    <w:rsid w:val="002C41EF"/>
    <w:rsid w:val="002C426D"/>
    <w:rsid w:val="002C4CD9"/>
    <w:rsid w:val="002C50E6"/>
    <w:rsid w:val="002C5E96"/>
    <w:rsid w:val="002C61DE"/>
    <w:rsid w:val="002C695B"/>
    <w:rsid w:val="002C6C3B"/>
    <w:rsid w:val="002C717E"/>
    <w:rsid w:val="002C7E18"/>
    <w:rsid w:val="002D16B8"/>
    <w:rsid w:val="002D1E8D"/>
    <w:rsid w:val="002D2379"/>
    <w:rsid w:val="002D6FB4"/>
    <w:rsid w:val="002D7E73"/>
    <w:rsid w:val="002E13A4"/>
    <w:rsid w:val="002E1CC7"/>
    <w:rsid w:val="002E2009"/>
    <w:rsid w:val="002E50DA"/>
    <w:rsid w:val="002E51BA"/>
    <w:rsid w:val="002E524D"/>
    <w:rsid w:val="002E56FC"/>
    <w:rsid w:val="002E6321"/>
    <w:rsid w:val="002F06AC"/>
    <w:rsid w:val="002F47B7"/>
    <w:rsid w:val="002F4AF8"/>
    <w:rsid w:val="002F5138"/>
    <w:rsid w:val="002F5607"/>
    <w:rsid w:val="002F5B8D"/>
    <w:rsid w:val="002F664E"/>
    <w:rsid w:val="002F7057"/>
    <w:rsid w:val="002F705B"/>
    <w:rsid w:val="002F74BC"/>
    <w:rsid w:val="002F7659"/>
    <w:rsid w:val="00301949"/>
    <w:rsid w:val="00302065"/>
    <w:rsid w:val="0030442D"/>
    <w:rsid w:val="003063C0"/>
    <w:rsid w:val="00306AFE"/>
    <w:rsid w:val="00307044"/>
    <w:rsid w:val="003076FB"/>
    <w:rsid w:val="00307DB7"/>
    <w:rsid w:val="00310207"/>
    <w:rsid w:val="00311807"/>
    <w:rsid w:val="00313740"/>
    <w:rsid w:val="00313C7E"/>
    <w:rsid w:val="00313D0C"/>
    <w:rsid w:val="003153AC"/>
    <w:rsid w:val="003162FE"/>
    <w:rsid w:val="0031647D"/>
    <w:rsid w:val="003169D1"/>
    <w:rsid w:val="00317A88"/>
    <w:rsid w:val="003213E6"/>
    <w:rsid w:val="003228E8"/>
    <w:rsid w:val="00322B94"/>
    <w:rsid w:val="00323229"/>
    <w:rsid w:val="00324EC6"/>
    <w:rsid w:val="00325070"/>
    <w:rsid w:val="003253B6"/>
    <w:rsid w:val="00326054"/>
    <w:rsid w:val="00327F28"/>
    <w:rsid w:val="00332FB7"/>
    <w:rsid w:val="00333EF4"/>
    <w:rsid w:val="003340B6"/>
    <w:rsid w:val="0033470C"/>
    <w:rsid w:val="00334D4F"/>
    <w:rsid w:val="00335311"/>
    <w:rsid w:val="00335EDE"/>
    <w:rsid w:val="003401AF"/>
    <w:rsid w:val="003402B9"/>
    <w:rsid w:val="00340350"/>
    <w:rsid w:val="0034149A"/>
    <w:rsid w:val="00342911"/>
    <w:rsid w:val="00344266"/>
    <w:rsid w:val="00345E3C"/>
    <w:rsid w:val="00346181"/>
    <w:rsid w:val="0034720C"/>
    <w:rsid w:val="00347216"/>
    <w:rsid w:val="00347777"/>
    <w:rsid w:val="00347A0A"/>
    <w:rsid w:val="0035045C"/>
    <w:rsid w:val="00353280"/>
    <w:rsid w:val="00353525"/>
    <w:rsid w:val="003539C9"/>
    <w:rsid w:val="00354A1E"/>
    <w:rsid w:val="0035527E"/>
    <w:rsid w:val="00356067"/>
    <w:rsid w:val="00356920"/>
    <w:rsid w:val="00356D03"/>
    <w:rsid w:val="0035730C"/>
    <w:rsid w:val="00361025"/>
    <w:rsid w:val="003610FC"/>
    <w:rsid w:val="003616A1"/>
    <w:rsid w:val="003620A0"/>
    <w:rsid w:val="00362B7A"/>
    <w:rsid w:val="003633B6"/>
    <w:rsid w:val="003636A8"/>
    <w:rsid w:val="003640D1"/>
    <w:rsid w:val="003645E4"/>
    <w:rsid w:val="00364780"/>
    <w:rsid w:val="00365617"/>
    <w:rsid w:val="00366006"/>
    <w:rsid w:val="00367A9F"/>
    <w:rsid w:val="00371391"/>
    <w:rsid w:val="00374694"/>
    <w:rsid w:val="00374CE5"/>
    <w:rsid w:val="00375D53"/>
    <w:rsid w:val="00376415"/>
    <w:rsid w:val="003815DA"/>
    <w:rsid w:val="00381A14"/>
    <w:rsid w:val="003835C1"/>
    <w:rsid w:val="0038383F"/>
    <w:rsid w:val="00384020"/>
    <w:rsid w:val="00385EBC"/>
    <w:rsid w:val="003864A5"/>
    <w:rsid w:val="003867AA"/>
    <w:rsid w:val="00386B6A"/>
    <w:rsid w:val="003905BD"/>
    <w:rsid w:val="00392F04"/>
    <w:rsid w:val="003930CF"/>
    <w:rsid w:val="00394E20"/>
    <w:rsid w:val="003A0B2B"/>
    <w:rsid w:val="003A1F99"/>
    <w:rsid w:val="003A28FB"/>
    <w:rsid w:val="003A3404"/>
    <w:rsid w:val="003A552A"/>
    <w:rsid w:val="003A7A2F"/>
    <w:rsid w:val="003B19C4"/>
    <w:rsid w:val="003B3355"/>
    <w:rsid w:val="003B45B8"/>
    <w:rsid w:val="003B48A1"/>
    <w:rsid w:val="003B4CBA"/>
    <w:rsid w:val="003B79C9"/>
    <w:rsid w:val="003C1B43"/>
    <w:rsid w:val="003C2B02"/>
    <w:rsid w:val="003C7914"/>
    <w:rsid w:val="003D0B87"/>
    <w:rsid w:val="003D1646"/>
    <w:rsid w:val="003D26CE"/>
    <w:rsid w:val="003D2A8A"/>
    <w:rsid w:val="003D2C8B"/>
    <w:rsid w:val="003D387B"/>
    <w:rsid w:val="003D3D73"/>
    <w:rsid w:val="003D6E21"/>
    <w:rsid w:val="003E03B5"/>
    <w:rsid w:val="003E15CC"/>
    <w:rsid w:val="003E2EB7"/>
    <w:rsid w:val="003E3CED"/>
    <w:rsid w:val="003E3F87"/>
    <w:rsid w:val="003E7BF4"/>
    <w:rsid w:val="003F0AD3"/>
    <w:rsid w:val="003F17FE"/>
    <w:rsid w:val="003F38E8"/>
    <w:rsid w:val="003F3C70"/>
    <w:rsid w:val="003F48D8"/>
    <w:rsid w:val="003F4E37"/>
    <w:rsid w:val="003F5A47"/>
    <w:rsid w:val="003F5D38"/>
    <w:rsid w:val="003F7029"/>
    <w:rsid w:val="003F7622"/>
    <w:rsid w:val="003F7DC8"/>
    <w:rsid w:val="00400C88"/>
    <w:rsid w:val="004018CE"/>
    <w:rsid w:val="004027A7"/>
    <w:rsid w:val="0040781D"/>
    <w:rsid w:val="00411753"/>
    <w:rsid w:val="00411EC9"/>
    <w:rsid w:val="00412216"/>
    <w:rsid w:val="00412221"/>
    <w:rsid w:val="00413CFB"/>
    <w:rsid w:val="004144A7"/>
    <w:rsid w:val="00414633"/>
    <w:rsid w:val="00415150"/>
    <w:rsid w:val="00415DD8"/>
    <w:rsid w:val="00415FB4"/>
    <w:rsid w:val="004163C8"/>
    <w:rsid w:val="00417348"/>
    <w:rsid w:val="0041798F"/>
    <w:rsid w:val="00417A75"/>
    <w:rsid w:val="00421319"/>
    <w:rsid w:val="004213A7"/>
    <w:rsid w:val="004214D3"/>
    <w:rsid w:val="0042161D"/>
    <w:rsid w:val="00421676"/>
    <w:rsid w:val="00422910"/>
    <w:rsid w:val="004231E6"/>
    <w:rsid w:val="00424A2A"/>
    <w:rsid w:val="00425541"/>
    <w:rsid w:val="00426C12"/>
    <w:rsid w:val="00427E62"/>
    <w:rsid w:val="00430279"/>
    <w:rsid w:val="00430690"/>
    <w:rsid w:val="00431AE4"/>
    <w:rsid w:val="00431C5F"/>
    <w:rsid w:val="004323E0"/>
    <w:rsid w:val="004325C7"/>
    <w:rsid w:val="00432F5F"/>
    <w:rsid w:val="00434098"/>
    <w:rsid w:val="004347AB"/>
    <w:rsid w:val="00435584"/>
    <w:rsid w:val="00435CAC"/>
    <w:rsid w:val="00435EAA"/>
    <w:rsid w:val="00437A5E"/>
    <w:rsid w:val="00437C87"/>
    <w:rsid w:val="004405BD"/>
    <w:rsid w:val="004421D3"/>
    <w:rsid w:val="00442479"/>
    <w:rsid w:val="00443690"/>
    <w:rsid w:val="00444490"/>
    <w:rsid w:val="00445909"/>
    <w:rsid w:val="0044668C"/>
    <w:rsid w:val="00446899"/>
    <w:rsid w:val="00446D7A"/>
    <w:rsid w:val="00446E1C"/>
    <w:rsid w:val="00447569"/>
    <w:rsid w:val="0045124A"/>
    <w:rsid w:val="0045133C"/>
    <w:rsid w:val="0045333E"/>
    <w:rsid w:val="00454D3C"/>
    <w:rsid w:val="00456B1F"/>
    <w:rsid w:val="00456FE6"/>
    <w:rsid w:val="004570B4"/>
    <w:rsid w:val="00457B40"/>
    <w:rsid w:val="004600B0"/>
    <w:rsid w:val="004611F0"/>
    <w:rsid w:val="00461AA4"/>
    <w:rsid w:val="00463A44"/>
    <w:rsid w:val="00466262"/>
    <w:rsid w:val="004670ED"/>
    <w:rsid w:val="004674AE"/>
    <w:rsid w:val="00467728"/>
    <w:rsid w:val="00467E64"/>
    <w:rsid w:val="00471133"/>
    <w:rsid w:val="00471968"/>
    <w:rsid w:val="004738B4"/>
    <w:rsid w:val="00473BA5"/>
    <w:rsid w:val="00474124"/>
    <w:rsid w:val="00474DF5"/>
    <w:rsid w:val="00474E36"/>
    <w:rsid w:val="0047527A"/>
    <w:rsid w:val="004769A4"/>
    <w:rsid w:val="00477C8E"/>
    <w:rsid w:val="004820C5"/>
    <w:rsid w:val="0048248C"/>
    <w:rsid w:val="004826E7"/>
    <w:rsid w:val="00483948"/>
    <w:rsid w:val="00483E4B"/>
    <w:rsid w:val="004843EB"/>
    <w:rsid w:val="00484B41"/>
    <w:rsid w:val="00485270"/>
    <w:rsid w:val="00486C15"/>
    <w:rsid w:val="00487AD5"/>
    <w:rsid w:val="00490267"/>
    <w:rsid w:val="00490BE1"/>
    <w:rsid w:val="004918AE"/>
    <w:rsid w:val="00494004"/>
    <w:rsid w:val="0049680F"/>
    <w:rsid w:val="00496D38"/>
    <w:rsid w:val="00497AF9"/>
    <w:rsid w:val="00497DB1"/>
    <w:rsid w:val="004A0016"/>
    <w:rsid w:val="004A235B"/>
    <w:rsid w:val="004A2614"/>
    <w:rsid w:val="004A490D"/>
    <w:rsid w:val="004A4D8C"/>
    <w:rsid w:val="004A5C35"/>
    <w:rsid w:val="004A60A8"/>
    <w:rsid w:val="004A7E76"/>
    <w:rsid w:val="004B06A0"/>
    <w:rsid w:val="004B107A"/>
    <w:rsid w:val="004B1566"/>
    <w:rsid w:val="004B1B38"/>
    <w:rsid w:val="004B1F28"/>
    <w:rsid w:val="004B2A9F"/>
    <w:rsid w:val="004B4439"/>
    <w:rsid w:val="004B57CE"/>
    <w:rsid w:val="004B6B7C"/>
    <w:rsid w:val="004B736D"/>
    <w:rsid w:val="004B7924"/>
    <w:rsid w:val="004C10AB"/>
    <w:rsid w:val="004C11C0"/>
    <w:rsid w:val="004C16BE"/>
    <w:rsid w:val="004C291D"/>
    <w:rsid w:val="004C3237"/>
    <w:rsid w:val="004C376E"/>
    <w:rsid w:val="004C5C4A"/>
    <w:rsid w:val="004C7B11"/>
    <w:rsid w:val="004D0453"/>
    <w:rsid w:val="004D071A"/>
    <w:rsid w:val="004D249F"/>
    <w:rsid w:val="004D32A3"/>
    <w:rsid w:val="004D3669"/>
    <w:rsid w:val="004D4639"/>
    <w:rsid w:val="004D4960"/>
    <w:rsid w:val="004D59C4"/>
    <w:rsid w:val="004D5A23"/>
    <w:rsid w:val="004D5FFC"/>
    <w:rsid w:val="004D6CC9"/>
    <w:rsid w:val="004E02F8"/>
    <w:rsid w:val="004E1065"/>
    <w:rsid w:val="004E1A84"/>
    <w:rsid w:val="004E1DB0"/>
    <w:rsid w:val="004E1E35"/>
    <w:rsid w:val="004E1F94"/>
    <w:rsid w:val="004E221A"/>
    <w:rsid w:val="004E23E9"/>
    <w:rsid w:val="004E2495"/>
    <w:rsid w:val="004E3E83"/>
    <w:rsid w:val="004E62F0"/>
    <w:rsid w:val="004F0F31"/>
    <w:rsid w:val="004F13ED"/>
    <w:rsid w:val="004F1F57"/>
    <w:rsid w:val="004F2A8C"/>
    <w:rsid w:val="004F2F73"/>
    <w:rsid w:val="004F37F5"/>
    <w:rsid w:val="004F6C31"/>
    <w:rsid w:val="004F6F4C"/>
    <w:rsid w:val="004F7A82"/>
    <w:rsid w:val="00500563"/>
    <w:rsid w:val="00501EA8"/>
    <w:rsid w:val="0050296E"/>
    <w:rsid w:val="005037F6"/>
    <w:rsid w:val="00504FAE"/>
    <w:rsid w:val="00505396"/>
    <w:rsid w:val="00506CFC"/>
    <w:rsid w:val="00506E5E"/>
    <w:rsid w:val="00507BD3"/>
    <w:rsid w:val="00507E87"/>
    <w:rsid w:val="0051006D"/>
    <w:rsid w:val="0051013A"/>
    <w:rsid w:val="00511061"/>
    <w:rsid w:val="00512A45"/>
    <w:rsid w:val="00512DE3"/>
    <w:rsid w:val="005136BB"/>
    <w:rsid w:val="005140AD"/>
    <w:rsid w:val="005158DB"/>
    <w:rsid w:val="00515BF3"/>
    <w:rsid w:val="00517046"/>
    <w:rsid w:val="0051792A"/>
    <w:rsid w:val="00521E03"/>
    <w:rsid w:val="00522969"/>
    <w:rsid w:val="00522E13"/>
    <w:rsid w:val="00524CDC"/>
    <w:rsid w:val="00525A68"/>
    <w:rsid w:val="0052711C"/>
    <w:rsid w:val="00530CB9"/>
    <w:rsid w:val="005323A1"/>
    <w:rsid w:val="00532657"/>
    <w:rsid w:val="00535E5C"/>
    <w:rsid w:val="0053610C"/>
    <w:rsid w:val="005404DC"/>
    <w:rsid w:val="00540F02"/>
    <w:rsid w:val="005419EB"/>
    <w:rsid w:val="00541E9F"/>
    <w:rsid w:val="005423A6"/>
    <w:rsid w:val="0054243E"/>
    <w:rsid w:val="0054394D"/>
    <w:rsid w:val="0054398E"/>
    <w:rsid w:val="00543B2F"/>
    <w:rsid w:val="00543CD2"/>
    <w:rsid w:val="00544DC5"/>
    <w:rsid w:val="00545789"/>
    <w:rsid w:val="00546A5A"/>
    <w:rsid w:val="00547BC2"/>
    <w:rsid w:val="005502DC"/>
    <w:rsid w:val="0055071C"/>
    <w:rsid w:val="00550ACE"/>
    <w:rsid w:val="00551660"/>
    <w:rsid w:val="005528E3"/>
    <w:rsid w:val="00552A40"/>
    <w:rsid w:val="00552B2C"/>
    <w:rsid w:val="005539FE"/>
    <w:rsid w:val="00554437"/>
    <w:rsid w:val="00554D2B"/>
    <w:rsid w:val="00556163"/>
    <w:rsid w:val="00557EEF"/>
    <w:rsid w:val="0056022A"/>
    <w:rsid w:val="00561B2A"/>
    <w:rsid w:val="00563CA3"/>
    <w:rsid w:val="005646E7"/>
    <w:rsid w:val="005679FC"/>
    <w:rsid w:val="00567BF1"/>
    <w:rsid w:val="00570DF7"/>
    <w:rsid w:val="005715C9"/>
    <w:rsid w:val="00572209"/>
    <w:rsid w:val="005727DE"/>
    <w:rsid w:val="00573108"/>
    <w:rsid w:val="00573B7F"/>
    <w:rsid w:val="005743A6"/>
    <w:rsid w:val="005749F4"/>
    <w:rsid w:val="00580A8C"/>
    <w:rsid w:val="00580C12"/>
    <w:rsid w:val="00583DBC"/>
    <w:rsid w:val="00585A54"/>
    <w:rsid w:val="00585DA2"/>
    <w:rsid w:val="00585EBC"/>
    <w:rsid w:val="00586737"/>
    <w:rsid w:val="00587290"/>
    <w:rsid w:val="00587BE4"/>
    <w:rsid w:val="00592A4A"/>
    <w:rsid w:val="00594C4B"/>
    <w:rsid w:val="00594D78"/>
    <w:rsid w:val="00594FE9"/>
    <w:rsid w:val="0059512C"/>
    <w:rsid w:val="00595BE9"/>
    <w:rsid w:val="00595D7A"/>
    <w:rsid w:val="005972AF"/>
    <w:rsid w:val="00597829"/>
    <w:rsid w:val="005A067D"/>
    <w:rsid w:val="005A0B72"/>
    <w:rsid w:val="005A4221"/>
    <w:rsid w:val="005A51F8"/>
    <w:rsid w:val="005A5BA6"/>
    <w:rsid w:val="005A5E20"/>
    <w:rsid w:val="005A682C"/>
    <w:rsid w:val="005A784E"/>
    <w:rsid w:val="005A7C1F"/>
    <w:rsid w:val="005B171D"/>
    <w:rsid w:val="005B177D"/>
    <w:rsid w:val="005B23BD"/>
    <w:rsid w:val="005B27A2"/>
    <w:rsid w:val="005B2DCC"/>
    <w:rsid w:val="005B36B0"/>
    <w:rsid w:val="005B4299"/>
    <w:rsid w:val="005B4517"/>
    <w:rsid w:val="005B71FC"/>
    <w:rsid w:val="005B7A0B"/>
    <w:rsid w:val="005C16F1"/>
    <w:rsid w:val="005C2F8F"/>
    <w:rsid w:val="005C3EE8"/>
    <w:rsid w:val="005C4179"/>
    <w:rsid w:val="005C497B"/>
    <w:rsid w:val="005C5B5E"/>
    <w:rsid w:val="005C5D42"/>
    <w:rsid w:val="005C644E"/>
    <w:rsid w:val="005C7526"/>
    <w:rsid w:val="005C7AB7"/>
    <w:rsid w:val="005D17AB"/>
    <w:rsid w:val="005D216A"/>
    <w:rsid w:val="005D23D6"/>
    <w:rsid w:val="005D3170"/>
    <w:rsid w:val="005D35F7"/>
    <w:rsid w:val="005D403C"/>
    <w:rsid w:val="005D5781"/>
    <w:rsid w:val="005D5A8D"/>
    <w:rsid w:val="005D6056"/>
    <w:rsid w:val="005D64C4"/>
    <w:rsid w:val="005D6DBD"/>
    <w:rsid w:val="005D77D2"/>
    <w:rsid w:val="005E1AF1"/>
    <w:rsid w:val="005E4AA7"/>
    <w:rsid w:val="005E7228"/>
    <w:rsid w:val="005E733B"/>
    <w:rsid w:val="005F0281"/>
    <w:rsid w:val="005F1973"/>
    <w:rsid w:val="005F286F"/>
    <w:rsid w:val="005F2D04"/>
    <w:rsid w:val="005F4210"/>
    <w:rsid w:val="005F5A23"/>
    <w:rsid w:val="005F5F94"/>
    <w:rsid w:val="005F6D2A"/>
    <w:rsid w:val="005F7D76"/>
    <w:rsid w:val="00600661"/>
    <w:rsid w:val="006011CC"/>
    <w:rsid w:val="00601945"/>
    <w:rsid w:val="00602F7A"/>
    <w:rsid w:val="00606067"/>
    <w:rsid w:val="00606372"/>
    <w:rsid w:val="006066A8"/>
    <w:rsid w:val="006068E3"/>
    <w:rsid w:val="00606B50"/>
    <w:rsid w:val="00607A0D"/>
    <w:rsid w:val="00610141"/>
    <w:rsid w:val="006111F3"/>
    <w:rsid w:val="006125D6"/>
    <w:rsid w:val="00612FC3"/>
    <w:rsid w:val="006131DB"/>
    <w:rsid w:val="006148D7"/>
    <w:rsid w:val="00615821"/>
    <w:rsid w:val="006173BF"/>
    <w:rsid w:val="00617D29"/>
    <w:rsid w:val="006201B4"/>
    <w:rsid w:val="00621EC2"/>
    <w:rsid w:val="00625C42"/>
    <w:rsid w:val="00625C8F"/>
    <w:rsid w:val="0062603C"/>
    <w:rsid w:val="00626682"/>
    <w:rsid w:val="006303C4"/>
    <w:rsid w:val="00631D2D"/>
    <w:rsid w:val="00632CC9"/>
    <w:rsid w:val="0063311F"/>
    <w:rsid w:val="0063502F"/>
    <w:rsid w:val="006354EA"/>
    <w:rsid w:val="00636E40"/>
    <w:rsid w:val="006374C4"/>
    <w:rsid w:val="00637CD0"/>
    <w:rsid w:val="00640E34"/>
    <w:rsid w:val="006420D9"/>
    <w:rsid w:val="00642251"/>
    <w:rsid w:val="00642665"/>
    <w:rsid w:val="00642BA2"/>
    <w:rsid w:val="00643CD4"/>
    <w:rsid w:val="006443F5"/>
    <w:rsid w:val="00644B32"/>
    <w:rsid w:val="006455FB"/>
    <w:rsid w:val="0064597A"/>
    <w:rsid w:val="00645CD5"/>
    <w:rsid w:val="006477C9"/>
    <w:rsid w:val="00650187"/>
    <w:rsid w:val="00650B16"/>
    <w:rsid w:val="00650BAD"/>
    <w:rsid w:val="00653490"/>
    <w:rsid w:val="00654D2A"/>
    <w:rsid w:val="0065576F"/>
    <w:rsid w:val="00655880"/>
    <w:rsid w:val="00656731"/>
    <w:rsid w:val="006571C7"/>
    <w:rsid w:val="0066063E"/>
    <w:rsid w:val="00660A14"/>
    <w:rsid w:val="00661BB0"/>
    <w:rsid w:val="00662F60"/>
    <w:rsid w:val="00663C6C"/>
    <w:rsid w:val="00663F48"/>
    <w:rsid w:val="006641E4"/>
    <w:rsid w:val="006650FF"/>
    <w:rsid w:val="00665274"/>
    <w:rsid w:val="00670266"/>
    <w:rsid w:val="00672317"/>
    <w:rsid w:val="0067269C"/>
    <w:rsid w:val="00672A58"/>
    <w:rsid w:val="0067326E"/>
    <w:rsid w:val="006733A8"/>
    <w:rsid w:val="00673749"/>
    <w:rsid w:val="00673C39"/>
    <w:rsid w:val="00673DF4"/>
    <w:rsid w:val="006752D4"/>
    <w:rsid w:val="00682089"/>
    <w:rsid w:val="00682575"/>
    <w:rsid w:val="00683F89"/>
    <w:rsid w:val="0068413E"/>
    <w:rsid w:val="006843A7"/>
    <w:rsid w:val="00684CE6"/>
    <w:rsid w:val="006853C0"/>
    <w:rsid w:val="00685B7A"/>
    <w:rsid w:val="00685F09"/>
    <w:rsid w:val="00691818"/>
    <w:rsid w:val="00691B9F"/>
    <w:rsid w:val="00694195"/>
    <w:rsid w:val="00695570"/>
    <w:rsid w:val="0069699C"/>
    <w:rsid w:val="00697040"/>
    <w:rsid w:val="00697388"/>
    <w:rsid w:val="006974C1"/>
    <w:rsid w:val="00697EAB"/>
    <w:rsid w:val="006A042E"/>
    <w:rsid w:val="006A138D"/>
    <w:rsid w:val="006A3C34"/>
    <w:rsid w:val="006A3D56"/>
    <w:rsid w:val="006A41E0"/>
    <w:rsid w:val="006A7359"/>
    <w:rsid w:val="006A7AC5"/>
    <w:rsid w:val="006B186E"/>
    <w:rsid w:val="006B2DFB"/>
    <w:rsid w:val="006B34BD"/>
    <w:rsid w:val="006B3F1A"/>
    <w:rsid w:val="006B4C6F"/>
    <w:rsid w:val="006B6A69"/>
    <w:rsid w:val="006B7C2E"/>
    <w:rsid w:val="006C07E1"/>
    <w:rsid w:val="006C0CC7"/>
    <w:rsid w:val="006C1735"/>
    <w:rsid w:val="006C2383"/>
    <w:rsid w:val="006C2894"/>
    <w:rsid w:val="006C2BF4"/>
    <w:rsid w:val="006C2BFB"/>
    <w:rsid w:val="006C2CAA"/>
    <w:rsid w:val="006C2E2D"/>
    <w:rsid w:val="006C313D"/>
    <w:rsid w:val="006C4851"/>
    <w:rsid w:val="006C4B00"/>
    <w:rsid w:val="006C4B2C"/>
    <w:rsid w:val="006C4E76"/>
    <w:rsid w:val="006C4FF6"/>
    <w:rsid w:val="006C53A3"/>
    <w:rsid w:val="006C6C16"/>
    <w:rsid w:val="006C741A"/>
    <w:rsid w:val="006D0330"/>
    <w:rsid w:val="006D0B75"/>
    <w:rsid w:val="006D38CE"/>
    <w:rsid w:val="006D3D49"/>
    <w:rsid w:val="006D488E"/>
    <w:rsid w:val="006D534D"/>
    <w:rsid w:val="006D6EF4"/>
    <w:rsid w:val="006D7AEF"/>
    <w:rsid w:val="006D7FDF"/>
    <w:rsid w:val="006E02F8"/>
    <w:rsid w:val="006E676E"/>
    <w:rsid w:val="006E7097"/>
    <w:rsid w:val="006F07F6"/>
    <w:rsid w:val="006F0D33"/>
    <w:rsid w:val="006F19AA"/>
    <w:rsid w:val="006F2724"/>
    <w:rsid w:val="006F29DA"/>
    <w:rsid w:val="006F2B02"/>
    <w:rsid w:val="006F33D1"/>
    <w:rsid w:val="006F3798"/>
    <w:rsid w:val="006F39DC"/>
    <w:rsid w:val="006F4DB1"/>
    <w:rsid w:val="006F72CC"/>
    <w:rsid w:val="006F73D9"/>
    <w:rsid w:val="00701A03"/>
    <w:rsid w:val="00703028"/>
    <w:rsid w:val="007037B6"/>
    <w:rsid w:val="0070398A"/>
    <w:rsid w:val="00706E73"/>
    <w:rsid w:val="00707019"/>
    <w:rsid w:val="00710659"/>
    <w:rsid w:val="00710AF6"/>
    <w:rsid w:val="00712335"/>
    <w:rsid w:val="00715A2D"/>
    <w:rsid w:val="00715B99"/>
    <w:rsid w:val="00715F5C"/>
    <w:rsid w:val="007160AB"/>
    <w:rsid w:val="007160B8"/>
    <w:rsid w:val="0071696D"/>
    <w:rsid w:val="00717111"/>
    <w:rsid w:val="00720D3A"/>
    <w:rsid w:val="00721492"/>
    <w:rsid w:val="007221E2"/>
    <w:rsid w:val="00722B00"/>
    <w:rsid w:val="00723639"/>
    <w:rsid w:val="00723C99"/>
    <w:rsid w:val="007254E0"/>
    <w:rsid w:val="0072574B"/>
    <w:rsid w:val="00726043"/>
    <w:rsid w:val="00726A78"/>
    <w:rsid w:val="00727A29"/>
    <w:rsid w:val="007315B0"/>
    <w:rsid w:val="00732D16"/>
    <w:rsid w:val="007330F0"/>
    <w:rsid w:val="007336C4"/>
    <w:rsid w:val="00733F1A"/>
    <w:rsid w:val="0073450C"/>
    <w:rsid w:val="00734520"/>
    <w:rsid w:val="00735928"/>
    <w:rsid w:val="00735B37"/>
    <w:rsid w:val="00736A81"/>
    <w:rsid w:val="0073784E"/>
    <w:rsid w:val="00741B94"/>
    <w:rsid w:val="0074214D"/>
    <w:rsid w:val="007449C3"/>
    <w:rsid w:val="00744AFD"/>
    <w:rsid w:val="007472EB"/>
    <w:rsid w:val="00747A1D"/>
    <w:rsid w:val="00747E2B"/>
    <w:rsid w:val="0075093B"/>
    <w:rsid w:val="007510DC"/>
    <w:rsid w:val="00751B06"/>
    <w:rsid w:val="007543EC"/>
    <w:rsid w:val="00754811"/>
    <w:rsid w:val="00754C46"/>
    <w:rsid w:val="007553C1"/>
    <w:rsid w:val="007578E6"/>
    <w:rsid w:val="007619C2"/>
    <w:rsid w:val="00762BA9"/>
    <w:rsid w:val="00763B30"/>
    <w:rsid w:val="00763FFB"/>
    <w:rsid w:val="00764ADD"/>
    <w:rsid w:val="007656C4"/>
    <w:rsid w:val="0076617B"/>
    <w:rsid w:val="00772BF3"/>
    <w:rsid w:val="00773CA2"/>
    <w:rsid w:val="007740E8"/>
    <w:rsid w:val="007747C7"/>
    <w:rsid w:val="00774A8B"/>
    <w:rsid w:val="00774B74"/>
    <w:rsid w:val="00776918"/>
    <w:rsid w:val="00776F9F"/>
    <w:rsid w:val="0077760D"/>
    <w:rsid w:val="00780006"/>
    <w:rsid w:val="00780490"/>
    <w:rsid w:val="007806D0"/>
    <w:rsid w:val="007806FC"/>
    <w:rsid w:val="00781076"/>
    <w:rsid w:val="007814C1"/>
    <w:rsid w:val="00781643"/>
    <w:rsid w:val="00781B55"/>
    <w:rsid w:val="00782422"/>
    <w:rsid w:val="00782911"/>
    <w:rsid w:val="00784A3A"/>
    <w:rsid w:val="00785E3A"/>
    <w:rsid w:val="00786642"/>
    <w:rsid w:val="00786851"/>
    <w:rsid w:val="00786E9A"/>
    <w:rsid w:val="007873A7"/>
    <w:rsid w:val="007879C9"/>
    <w:rsid w:val="00787BEA"/>
    <w:rsid w:val="007912AA"/>
    <w:rsid w:val="00791C8D"/>
    <w:rsid w:val="007924C3"/>
    <w:rsid w:val="00792564"/>
    <w:rsid w:val="00793C81"/>
    <w:rsid w:val="0079569D"/>
    <w:rsid w:val="00795B73"/>
    <w:rsid w:val="00795F33"/>
    <w:rsid w:val="00796BCA"/>
    <w:rsid w:val="00797124"/>
    <w:rsid w:val="0079718D"/>
    <w:rsid w:val="00797DEA"/>
    <w:rsid w:val="007A16CC"/>
    <w:rsid w:val="007A1846"/>
    <w:rsid w:val="007A2A3C"/>
    <w:rsid w:val="007A2D8F"/>
    <w:rsid w:val="007A3AAB"/>
    <w:rsid w:val="007A4407"/>
    <w:rsid w:val="007A475A"/>
    <w:rsid w:val="007A5E34"/>
    <w:rsid w:val="007A656A"/>
    <w:rsid w:val="007B4229"/>
    <w:rsid w:val="007B4533"/>
    <w:rsid w:val="007B5374"/>
    <w:rsid w:val="007B5E1C"/>
    <w:rsid w:val="007B632C"/>
    <w:rsid w:val="007B63BC"/>
    <w:rsid w:val="007B7681"/>
    <w:rsid w:val="007C026F"/>
    <w:rsid w:val="007C0686"/>
    <w:rsid w:val="007C11D7"/>
    <w:rsid w:val="007C1D2C"/>
    <w:rsid w:val="007C32AE"/>
    <w:rsid w:val="007C43AF"/>
    <w:rsid w:val="007C4535"/>
    <w:rsid w:val="007C453F"/>
    <w:rsid w:val="007C5234"/>
    <w:rsid w:val="007C680F"/>
    <w:rsid w:val="007C77EE"/>
    <w:rsid w:val="007C7855"/>
    <w:rsid w:val="007C78C8"/>
    <w:rsid w:val="007D018A"/>
    <w:rsid w:val="007D0FD6"/>
    <w:rsid w:val="007D178E"/>
    <w:rsid w:val="007D1B38"/>
    <w:rsid w:val="007D1E25"/>
    <w:rsid w:val="007D2CB8"/>
    <w:rsid w:val="007D2E14"/>
    <w:rsid w:val="007D2F17"/>
    <w:rsid w:val="007D3322"/>
    <w:rsid w:val="007D34DE"/>
    <w:rsid w:val="007D4707"/>
    <w:rsid w:val="007D5903"/>
    <w:rsid w:val="007D5BB8"/>
    <w:rsid w:val="007D76F3"/>
    <w:rsid w:val="007D78B4"/>
    <w:rsid w:val="007D7A70"/>
    <w:rsid w:val="007E3F01"/>
    <w:rsid w:val="007E4334"/>
    <w:rsid w:val="007E4F64"/>
    <w:rsid w:val="007E513F"/>
    <w:rsid w:val="007E5EF5"/>
    <w:rsid w:val="007E61EC"/>
    <w:rsid w:val="007E7135"/>
    <w:rsid w:val="007F0C86"/>
    <w:rsid w:val="007F119B"/>
    <w:rsid w:val="007F1507"/>
    <w:rsid w:val="007F192D"/>
    <w:rsid w:val="007F19E9"/>
    <w:rsid w:val="007F1F05"/>
    <w:rsid w:val="007F36A5"/>
    <w:rsid w:val="007F4623"/>
    <w:rsid w:val="007F4947"/>
    <w:rsid w:val="007F4F31"/>
    <w:rsid w:val="007F5308"/>
    <w:rsid w:val="007F7251"/>
    <w:rsid w:val="00801602"/>
    <w:rsid w:val="00803453"/>
    <w:rsid w:val="0080367D"/>
    <w:rsid w:val="0080439E"/>
    <w:rsid w:val="00804A36"/>
    <w:rsid w:val="00806114"/>
    <w:rsid w:val="00810470"/>
    <w:rsid w:val="00812A7C"/>
    <w:rsid w:val="00813577"/>
    <w:rsid w:val="008169E0"/>
    <w:rsid w:val="0081734A"/>
    <w:rsid w:val="00817723"/>
    <w:rsid w:val="0082037B"/>
    <w:rsid w:val="00820A3B"/>
    <w:rsid w:val="00821F81"/>
    <w:rsid w:val="00823173"/>
    <w:rsid w:val="00824635"/>
    <w:rsid w:val="00826838"/>
    <w:rsid w:val="00826956"/>
    <w:rsid w:val="0083225D"/>
    <w:rsid w:val="00832AAF"/>
    <w:rsid w:val="0083383F"/>
    <w:rsid w:val="00833DB6"/>
    <w:rsid w:val="008350CE"/>
    <w:rsid w:val="00835FE7"/>
    <w:rsid w:val="008404B6"/>
    <w:rsid w:val="008424B5"/>
    <w:rsid w:val="008425CB"/>
    <w:rsid w:val="00843AB3"/>
    <w:rsid w:val="008454BD"/>
    <w:rsid w:val="00845551"/>
    <w:rsid w:val="00846689"/>
    <w:rsid w:val="008469F3"/>
    <w:rsid w:val="008477EF"/>
    <w:rsid w:val="008504BD"/>
    <w:rsid w:val="00850FE1"/>
    <w:rsid w:val="00851590"/>
    <w:rsid w:val="00853526"/>
    <w:rsid w:val="0085518D"/>
    <w:rsid w:val="008553D7"/>
    <w:rsid w:val="00855AAB"/>
    <w:rsid w:val="00855E5B"/>
    <w:rsid w:val="008568DB"/>
    <w:rsid w:val="00861014"/>
    <w:rsid w:val="008616AB"/>
    <w:rsid w:val="00861F2F"/>
    <w:rsid w:val="00861F63"/>
    <w:rsid w:val="0086499D"/>
    <w:rsid w:val="00864C61"/>
    <w:rsid w:val="008653C8"/>
    <w:rsid w:val="008656D9"/>
    <w:rsid w:val="008658B8"/>
    <w:rsid w:val="008666EE"/>
    <w:rsid w:val="008672B1"/>
    <w:rsid w:val="008677F3"/>
    <w:rsid w:val="00867CFE"/>
    <w:rsid w:val="00867F9F"/>
    <w:rsid w:val="00871CCF"/>
    <w:rsid w:val="008724D0"/>
    <w:rsid w:val="008727C2"/>
    <w:rsid w:val="00872F0D"/>
    <w:rsid w:val="0087477A"/>
    <w:rsid w:val="00874E9B"/>
    <w:rsid w:val="00875DBE"/>
    <w:rsid w:val="00875DD7"/>
    <w:rsid w:val="00877FF4"/>
    <w:rsid w:val="0088045C"/>
    <w:rsid w:val="008807DE"/>
    <w:rsid w:val="008808E7"/>
    <w:rsid w:val="00880D0E"/>
    <w:rsid w:val="00885EF6"/>
    <w:rsid w:val="00885FA3"/>
    <w:rsid w:val="00886043"/>
    <w:rsid w:val="00886CFA"/>
    <w:rsid w:val="008872CE"/>
    <w:rsid w:val="00891459"/>
    <w:rsid w:val="00892092"/>
    <w:rsid w:val="0089583A"/>
    <w:rsid w:val="00895A30"/>
    <w:rsid w:val="00896DFC"/>
    <w:rsid w:val="00896F0F"/>
    <w:rsid w:val="008A0229"/>
    <w:rsid w:val="008A1137"/>
    <w:rsid w:val="008A19F4"/>
    <w:rsid w:val="008A2E18"/>
    <w:rsid w:val="008A38C9"/>
    <w:rsid w:val="008A4D74"/>
    <w:rsid w:val="008A51FA"/>
    <w:rsid w:val="008A62AD"/>
    <w:rsid w:val="008B0387"/>
    <w:rsid w:val="008B1212"/>
    <w:rsid w:val="008B1AB7"/>
    <w:rsid w:val="008B1F5A"/>
    <w:rsid w:val="008B278F"/>
    <w:rsid w:val="008B2936"/>
    <w:rsid w:val="008B3D48"/>
    <w:rsid w:val="008B458C"/>
    <w:rsid w:val="008B47A2"/>
    <w:rsid w:val="008B4F59"/>
    <w:rsid w:val="008B5AA2"/>
    <w:rsid w:val="008B6B35"/>
    <w:rsid w:val="008B703A"/>
    <w:rsid w:val="008C0C1C"/>
    <w:rsid w:val="008C1DD7"/>
    <w:rsid w:val="008C4752"/>
    <w:rsid w:val="008C62D9"/>
    <w:rsid w:val="008C6C58"/>
    <w:rsid w:val="008C722D"/>
    <w:rsid w:val="008C75A2"/>
    <w:rsid w:val="008C7684"/>
    <w:rsid w:val="008C7C3F"/>
    <w:rsid w:val="008D026E"/>
    <w:rsid w:val="008D0FE4"/>
    <w:rsid w:val="008D1314"/>
    <w:rsid w:val="008D1373"/>
    <w:rsid w:val="008D1937"/>
    <w:rsid w:val="008D30F9"/>
    <w:rsid w:val="008D40B1"/>
    <w:rsid w:val="008D4DE4"/>
    <w:rsid w:val="008D71EB"/>
    <w:rsid w:val="008E0E88"/>
    <w:rsid w:val="008E0F97"/>
    <w:rsid w:val="008E1154"/>
    <w:rsid w:val="008E1FDC"/>
    <w:rsid w:val="008E53CD"/>
    <w:rsid w:val="008E5B6F"/>
    <w:rsid w:val="008E5F27"/>
    <w:rsid w:val="008E5F28"/>
    <w:rsid w:val="008E7014"/>
    <w:rsid w:val="008E7FC5"/>
    <w:rsid w:val="008F0DB9"/>
    <w:rsid w:val="008F134E"/>
    <w:rsid w:val="008F299A"/>
    <w:rsid w:val="008F2E13"/>
    <w:rsid w:val="008F2F70"/>
    <w:rsid w:val="008F3101"/>
    <w:rsid w:val="008F4043"/>
    <w:rsid w:val="008F58D1"/>
    <w:rsid w:val="008F5906"/>
    <w:rsid w:val="009002D4"/>
    <w:rsid w:val="00900A9A"/>
    <w:rsid w:val="00900BF7"/>
    <w:rsid w:val="009018CB"/>
    <w:rsid w:val="00903BDA"/>
    <w:rsid w:val="00906236"/>
    <w:rsid w:val="00907BC3"/>
    <w:rsid w:val="00910C25"/>
    <w:rsid w:val="00911D48"/>
    <w:rsid w:val="00913081"/>
    <w:rsid w:val="00913402"/>
    <w:rsid w:val="00914A7F"/>
    <w:rsid w:val="009153EE"/>
    <w:rsid w:val="00915676"/>
    <w:rsid w:val="00916517"/>
    <w:rsid w:val="0091794D"/>
    <w:rsid w:val="00920657"/>
    <w:rsid w:val="0092143C"/>
    <w:rsid w:val="00921A99"/>
    <w:rsid w:val="00922DE5"/>
    <w:rsid w:val="00924261"/>
    <w:rsid w:val="00924626"/>
    <w:rsid w:val="00924D0E"/>
    <w:rsid w:val="009257B7"/>
    <w:rsid w:val="00925C02"/>
    <w:rsid w:val="00925DCC"/>
    <w:rsid w:val="00925FFE"/>
    <w:rsid w:val="00926B36"/>
    <w:rsid w:val="0093025D"/>
    <w:rsid w:val="00930436"/>
    <w:rsid w:val="0093044D"/>
    <w:rsid w:val="0093285A"/>
    <w:rsid w:val="00932A21"/>
    <w:rsid w:val="009332C3"/>
    <w:rsid w:val="00933417"/>
    <w:rsid w:val="009357AA"/>
    <w:rsid w:val="009401B0"/>
    <w:rsid w:val="00942D40"/>
    <w:rsid w:val="00944126"/>
    <w:rsid w:val="0094565C"/>
    <w:rsid w:val="00945A17"/>
    <w:rsid w:val="00945B93"/>
    <w:rsid w:val="009461ED"/>
    <w:rsid w:val="00946247"/>
    <w:rsid w:val="00946402"/>
    <w:rsid w:val="00946ED8"/>
    <w:rsid w:val="00946F6E"/>
    <w:rsid w:val="00950471"/>
    <w:rsid w:val="009523D1"/>
    <w:rsid w:val="00952E72"/>
    <w:rsid w:val="009536B1"/>
    <w:rsid w:val="009578E8"/>
    <w:rsid w:val="00960461"/>
    <w:rsid w:val="009605BB"/>
    <w:rsid w:val="00960A47"/>
    <w:rsid w:val="0096258C"/>
    <w:rsid w:val="00962FBC"/>
    <w:rsid w:val="00963D4D"/>
    <w:rsid w:val="00963EF9"/>
    <w:rsid w:val="00965206"/>
    <w:rsid w:val="0096549E"/>
    <w:rsid w:val="009668F0"/>
    <w:rsid w:val="00966B87"/>
    <w:rsid w:val="00970022"/>
    <w:rsid w:val="00971BA6"/>
    <w:rsid w:val="00971D4A"/>
    <w:rsid w:val="00972397"/>
    <w:rsid w:val="00973F1F"/>
    <w:rsid w:val="00973FF2"/>
    <w:rsid w:val="00975340"/>
    <w:rsid w:val="009756EE"/>
    <w:rsid w:val="00976401"/>
    <w:rsid w:val="00976B17"/>
    <w:rsid w:val="009779D3"/>
    <w:rsid w:val="00977F90"/>
    <w:rsid w:val="00980001"/>
    <w:rsid w:val="00980C71"/>
    <w:rsid w:val="009818A3"/>
    <w:rsid w:val="00981D7D"/>
    <w:rsid w:val="00982565"/>
    <w:rsid w:val="009831C9"/>
    <w:rsid w:val="009849D5"/>
    <w:rsid w:val="00984B26"/>
    <w:rsid w:val="00985D10"/>
    <w:rsid w:val="0098733A"/>
    <w:rsid w:val="00987DC8"/>
    <w:rsid w:val="009900A6"/>
    <w:rsid w:val="009907B8"/>
    <w:rsid w:val="00990C2E"/>
    <w:rsid w:val="00992921"/>
    <w:rsid w:val="00992ABC"/>
    <w:rsid w:val="00993508"/>
    <w:rsid w:val="009944FC"/>
    <w:rsid w:val="00994733"/>
    <w:rsid w:val="00994742"/>
    <w:rsid w:val="00994F44"/>
    <w:rsid w:val="00994F54"/>
    <w:rsid w:val="00997849"/>
    <w:rsid w:val="00997C5B"/>
    <w:rsid w:val="009A03B7"/>
    <w:rsid w:val="009A1867"/>
    <w:rsid w:val="009A251E"/>
    <w:rsid w:val="009A4FB1"/>
    <w:rsid w:val="009A5A45"/>
    <w:rsid w:val="009A6543"/>
    <w:rsid w:val="009A6684"/>
    <w:rsid w:val="009A7FC2"/>
    <w:rsid w:val="009B1BD0"/>
    <w:rsid w:val="009B3058"/>
    <w:rsid w:val="009B43C9"/>
    <w:rsid w:val="009B509E"/>
    <w:rsid w:val="009B517E"/>
    <w:rsid w:val="009B5EAD"/>
    <w:rsid w:val="009B6374"/>
    <w:rsid w:val="009B6A5D"/>
    <w:rsid w:val="009C1085"/>
    <w:rsid w:val="009C21F7"/>
    <w:rsid w:val="009C2353"/>
    <w:rsid w:val="009C2446"/>
    <w:rsid w:val="009C2CC0"/>
    <w:rsid w:val="009C2FFA"/>
    <w:rsid w:val="009C3CE0"/>
    <w:rsid w:val="009C4618"/>
    <w:rsid w:val="009C5E84"/>
    <w:rsid w:val="009C632D"/>
    <w:rsid w:val="009C66A4"/>
    <w:rsid w:val="009D0728"/>
    <w:rsid w:val="009D3322"/>
    <w:rsid w:val="009D34D8"/>
    <w:rsid w:val="009D36DE"/>
    <w:rsid w:val="009D3850"/>
    <w:rsid w:val="009D3D8A"/>
    <w:rsid w:val="009D4CF0"/>
    <w:rsid w:val="009D5697"/>
    <w:rsid w:val="009D63CA"/>
    <w:rsid w:val="009D63ED"/>
    <w:rsid w:val="009D6800"/>
    <w:rsid w:val="009D6CAB"/>
    <w:rsid w:val="009D6D31"/>
    <w:rsid w:val="009D71EF"/>
    <w:rsid w:val="009E1B79"/>
    <w:rsid w:val="009E1D01"/>
    <w:rsid w:val="009E4047"/>
    <w:rsid w:val="009E4B2E"/>
    <w:rsid w:val="009E4DD1"/>
    <w:rsid w:val="009E5D7A"/>
    <w:rsid w:val="009E5DA3"/>
    <w:rsid w:val="009E5F73"/>
    <w:rsid w:val="009E7B12"/>
    <w:rsid w:val="009E7F12"/>
    <w:rsid w:val="009F0F18"/>
    <w:rsid w:val="009F19FC"/>
    <w:rsid w:val="009F24D5"/>
    <w:rsid w:val="009F2F48"/>
    <w:rsid w:val="009F4EC7"/>
    <w:rsid w:val="009F51E9"/>
    <w:rsid w:val="009F59F9"/>
    <w:rsid w:val="009F721E"/>
    <w:rsid w:val="009F730D"/>
    <w:rsid w:val="00A0007E"/>
    <w:rsid w:val="00A02770"/>
    <w:rsid w:val="00A02A23"/>
    <w:rsid w:val="00A02AFB"/>
    <w:rsid w:val="00A046EE"/>
    <w:rsid w:val="00A046F3"/>
    <w:rsid w:val="00A05A3E"/>
    <w:rsid w:val="00A06158"/>
    <w:rsid w:val="00A071CD"/>
    <w:rsid w:val="00A07DF5"/>
    <w:rsid w:val="00A1039F"/>
    <w:rsid w:val="00A1043D"/>
    <w:rsid w:val="00A10623"/>
    <w:rsid w:val="00A12387"/>
    <w:rsid w:val="00A12FF0"/>
    <w:rsid w:val="00A13F74"/>
    <w:rsid w:val="00A14CED"/>
    <w:rsid w:val="00A151B3"/>
    <w:rsid w:val="00A152BC"/>
    <w:rsid w:val="00A1640F"/>
    <w:rsid w:val="00A1676F"/>
    <w:rsid w:val="00A17EA3"/>
    <w:rsid w:val="00A21E6C"/>
    <w:rsid w:val="00A2270F"/>
    <w:rsid w:val="00A23598"/>
    <w:rsid w:val="00A23653"/>
    <w:rsid w:val="00A2474B"/>
    <w:rsid w:val="00A2592C"/>
    <w:rsid w:val="00A25955"/>
    <w:rsid w:val="00A26AF1"/>
    <w:rsid w:val="00A30327"/>
    <w:rsid w:val="00A306F5"/>
    <w:rsid w:val="00A309ED"/>
    <w:rsid w:val="00A31491"/>
    <w:rsid w:val="00A31813"/>
    <w:rsid w:val="00A31D5A"/>
    <w:rsid w:val="00A327B1"/>
    <w:rsid w:val="00A35435"/>
    <w:rsid w:val="00A3718F"/>
    <w:rsid w:val="00A37669"/>
    <w:rsid w:val="00A37BAF"/>
    <w:rsid w:val="00A40E21"/>
    <w:rsid w:val="00A419AB"/>
    <w:rsid w:val="00A421C2"/>
    <w:rsid w:val="00A43C3B"/>
    <w:rsid w:val="00A442DF"/>
    <w:rsid w:val="00A44756"/>
    <w:rsid w:val="00A46882"/>
    <w:rsid w:val="00A47135"/>
    <w:rsid w:val="00A50014"/>
    <w:rsid w:val="00A50362"/>
    <w:rsid w:val="00A50662"/>
    <w:rsid w:val="00A5182E"/>
    <w:rsid w:val="00A51DDF"/>
    <w:rsid w:val="00A52B19"/>
    <w:rsid w:val="00A53FDB"/>
    <w:rsid w:val="00A542B3"/>
    <w:rsid w:val="00A551CB"/>
    <w:rsid w:val="00A56BEC"/>
    <w:rsid w:val="00A57125"/>
    <w:rsid w:val="00A604D3"/>
    <w:rsid w:val="00A607CF"/>
    <w:rsid w:val="00A612E1"/>
    <w:rsid w:val="00A6160C"/>
    <w:rsid w:val="00A62CB3"/>
    <w:rsid w:val="00A63A68"/>
    <w:rsid w:val="00A65300"/>
    <w:rsid w:val="00A66010"/>
    <w:rsid w:val="00A66914"/>
    <w:rsid w:val="00A66F34"/>
    <w:rsid w:val="00A67834"/>
    <w:rsid w:val="00A702A7"/>
    <w:rsid w:val="00A7089C"/>
    <w:rsid w:val="00A70995"/>
    <w:rsid w:val="00A72302"/>
    <w:rsid w:val="00A732FC"/>
    <w:rsid w:val="00A7344D"/>
    <w:rsid w:val="00A73830"/>
    <w:rsid w:val="00A74ED6"/>
    <w:rsid w:val="00A800B4"/>
    <w:rsid w:val="00A80ED7"/>
    <w:rsid w:val="00A8197A"/>
    <w:rsid w:val="00A8232B"/>
    <w:rsid w:val="00A8390D"/>
    <w:rsid w:val="00A83E59"/>
    <w:rsid w:val="00A84BA1"/>
    <w:rsid w:val="00A853F6"/>
    <w:rsid w:val="00A8601D"/>
    <w:rsid w:val="00A8617D"/>
    <w:rsid w:val="00A86D35"/>
    <w:rsid w:val="00A86FA8"/>
    <w:rsid w:val="00A915F3"/>
    <w:rsid w:val="00A95275"/>
    <w:rsid w:val="00A955C2"/>
    <w:rsid w:val="00A968E2"/>
    <w:rsid w:val="00A97A86"/>
    <w:rsid w:val="00A97BF5"/>
    <w:rsid w:val="00AA01A2"/>
    <w:rsid w:val="00AA157C"/>
    <w:rsid w:val="00AA365C"/>
    <w:rsid w:val="00AA500B"/>
    <w:rsid w:val="00AA5B43"/>
    <w:rsid w:val="00AB0A0E"/>
    <w:rsid w:val="00AB2831"/>
    <w:rsid w:val="00AB30B8"/>
    <w:rsid w:val="00AB318D"/>
    <w:rsid w:val="00AB465B"/>
    <w:rsid w:val="00AB46AB"/>
    <w:rsid w:val="00AB5155"/>
    <w:rsid w:val="00AC0678"/>
    <w:rsid w:val="00AC2168"/>
    <w:rsid w:val="00AC24C5"/>
    <w:rsid w:val="00AC2AA5"/>
    <w:rsid w:val="00AC2BD1"/>
    <w:rsid w:val="00AC370B"/>
    <w:rsid w:val="00AC3990"/>
    <w:rsid w:val="00AC48E7"/>
    <w:rsid w:val="00AC6277"/>
    <w:rsid w:val="00AC7957"/>
    <w:rsid w:val="00AD4775"/>
    <w:rsid w:val="00AD52AD"/>
    <w:rsid w:val="00AD5C7D"/>
    <w:rsid w:val="00AD6852"/>
    <w:rsid w:val="00AD73F6"/>
    <w:rsid w:val="00AD79BB"/>
    <w:rsid w:val="00AE0456"/>
    <w:rsid w:val="00AE11F4"/>
    <w:rsid w:val="00AE1906"/>
    <w:rsid w:val="00AE2498"/>
    <w:rsid w:val="00AE2A3C"/>
    <w:rsid w:val="00AE3268"/>
    <w:rsid w:val="00AE358A"/>
    <w:rsid w:val="00AE4C0C"/>
    <w:rsid w:val="00AE545B"/>
    <w:rsid w:val="00AE5C71"/>
    <w:rsid w:val="00AE632B"/>
    <w:rsid w:val="00AE6558"/>
    <w:rsid w:val="00AE7AD4"/>
    <w:rsid w:val="00AF01A0"/>
    <w:rsid w:val="00AF0AFB"/>
    <w:rsid w:val="00AF0E72"/>
    <w:rsid w:val="00AF15D1"/>
    <w:rsid w:val="00AF18A9"/>
    <w:rsid w:val="00AF1FA1"/>
    <w:rsid w:val="00AF2274"/>
    <w:rsid w:val="00AF25BF"/>
    <w:rsid w:val="00AF364D"/>
    <w:rsid w:val="00AF3B3E"/>
    <w:rsid w:val="00AF3D23"/>
    <w:rsid w:val="00AF3F5C"/>
    <w:rsid w:val="00AF42F2"/>
    <w:rsid w:val="00AF4AD0"/>
    <w:rsid w:val="00AF4BBE"/>
    <w:rsid w:val="00AF5974"/>
    <w:rsid w:val="00AF60F7"/>
    <w:rsid w:val="00B00CB6"/>
    <w:rsid w:val="00B015EF"/>
    <w:rsid w:val="00B01879"/>
    <w:rsid w:val="00B03312"/>
    <w:rsid w:val="00B03C9D"/>
    <w:rsid w:val="00B042CA"/>
    <w:rsid w:val="00B079D4"/>
    <w:rsid w:val="00B07DC5"/>
    <w:rsid w:val="00B07F3C"/>
    <w:rsid w:val="00B10884"/>
    <w:rsid w:val="00B142FB"/>
    <w:rsid w:val="00B14C1E"/>
    <w:rsid w:val="00B16A69"/>
    <w:rsid w:val="00B16C43"/>
    <w:rsid w:val="00B1789B"/>
    <w:rsid w:val="00B17C4D"/>
    <w:rsid w:val="00B20677"/>
    <w:rsid w:val="00B22A2A"/>
    <w:rsid w:val="00B23B63"/>
    <w:rsid w:val="00B23E32"/>
    <w:rsid w:val="00B26CD5"/>
    <w:rsid w:val="00B27DE4"/>
    <w:rsid w:val="00B30492"/>
    <w:rsid w:val="00B3141F"/>
    <w:rsid w:val="00B32B76"/>
    <w:rsid w:val="00B33467"/>
    <w:rsid w:val="00B336AE"/>
    <w:rsid w:val="00B337B7"/>
    <w:rsid w:val="00B340CC"/>
    <w:rsid w:val="00B348A2"/>
    <w:rsid w:val="00B35757"/>
    <w:rsid w:val="00B3581F"/>
    <w:rsid w:val="00B35DBF"/>
    <w:rsid w:val="00B36010"/>
    <w:rsid w:val="00B379FD"/>
    <w:rsid w:val="00B37B05"/>
    <w:rsid w:val="00B4064F"/>
    <w:rsid w:val="00B41419"/>
    <w:rsid w:val="00B4200D"/>
    <w:rsid w:val="00B42790"/>
    <w:rsid w:val="00B43322"/>
    <w:rsid w:val="00B446A2"/>
    <w:rsid w:val="00B449E5"/>
    <w:rsid w:val="00B46C69"/>
    <w:rsid w:val="00B46F0C"/>
    <w:rsid w:val="00B47DCD"/>
    <w:rsid w:val="00B50EE1"/>
    <w:rsid w:val="00B51454"/>
    <w:rsid w:val="00B51900"/>
    <w:rsid w:val="00B5195D"/>
    <w:rsid w:val="00B51DC0"/>
    <w:rsid w:val="00B525C7"/>
    <w:rsid w:val="00B5324B"/>
    <w:rsid w:val="00B53909"/>
    <w:rsid w:val="00B53C8B"/>
    <w:rsid w:val="00B5568B"/>
    <w:rsid w:val="00B565FA"/>
    <w:rsid w:val="00B600D0"/>
    <w:rsid w:val="00B60D1A"/>
    <w:rsid w:val="00B60EA0"/>
    <w:rsid w:val="00B63083"/>
    <w:rsid w:val="00B65134"/>
    <w:rsid w:val="00B6630C"/>
    <w:rsid w:val="00B66629"/>
    <w:rsid w:val="00B66E22"/>
    <w:rsid w:val="00B6745D"/>
    <w:rsid w:val="00B67988"/>
    <w:rsid w:val="00B67B4A"/>
    <w:rsid w:val="00B71F92"/>
    <w:rsid w:val="00B72BEF"/>
    <w:rsid w:val="00B73170"/>
    <w:rsid w:val="00B7551B"/>
    <w:rsid w:val="00B759A2"/>
    <w:rsid w:val="00B82F66"/>
    <w:rsid w:val="00B83295"/>
    <w:rsid w:val="00B8335D"/>
    <w:rsid w:val="00B83970"/>
    <w:rsid w:val="00B86782"/>
    <w:rsid w:val="00B87F64"/>
    <w:rsid w:val="00B9092B"/>
    <w:rsid w:val="00B90E5E"/>
    <w:rsid w:val="00B90F47"/>
    <w:rsid w:val="00B90FFB"/>
    <w:rsid w:val="00B92870"/>
    <w:rsid w:val="00B93069"/>
    <w:rsid w:val="00B93DF6"/>
    <w:rsid w:val="00B943D5"/>
    <w:rsid w:val="00B95860"/>
    <w:rsid w:val="00B964B2"/>
    <w:rsid w:val="00B967A2"/>
    <w:rsid w:val="00B97B6D"/>
    <w:rsid w:val="00B97E46"/>
    <w:rsid w:val="00BA0D90"/>
    <w:rsid w:val="00BA1E6B"/>
    <w:rsid w:val="00BA2425"/>
    <w:rsid w:val="00BA2940"/>
    <w:rsid w:val="00BA2CA3"/>
    <w:rsid w:val="00BA2CF7"/>
    <w:rsid w:val="00BA36D9"/>
    <w:rsid w:val="00BA3D2C"/>
    <w:rsid w:val="00BA405B"/>
    <w:rsid w:val="00BA4075"/>
    <w:rsid w:val="00BA41F8"/>
    <w:rsid w:val="00BA4C37"/>
    <w:rsid w:val="00BA4EA1"/>
    <w:rsid w:val="00BA5E33"/>
    <w:rsid w:val="00BA72D3"/>
    <w:rsid w:val="00BB0D0F"/>
    <w:rsid w:val="00BB17C8"/>
    <w:rsid w:val="00BB19E6"/>
    <w:rsid w:val="00BB1BA7"/>
    <w:rsid w:val="00BB22F6"/>
    <w:rsid w:val="00BB2B2E"/>
    <w:rsid w:val="00BB2FF8"/>
    <w:rsid w:val="00BB3299"/>
    <w:rsid w:val="00BB353C"/>
    <w:rsid w:val="00BB4156"/>
    <w:rsid w:val="00BB5DEB"/>
    <w:rsid w:val="00BB6FD3"/>
    <w:rsid w:val="00BB74C7"/>
    <w:rsid w:val="00BB7E4B"/>
    <w:rsid w:val="00BC0BC5"/>
    <w:rsid w:val="00BC1925"/>
    <w:rsid w:val="00BC19C3"/>
    <w:rsid w:val="00BC38FD"/>
    <w:rsid w:val="00BC3991"/>
    <w:rsid w:val="00BC64F2"/>
    <w:rsid w:val="00BC792F"/>
    <w:rsid w:val="00BD0055"/>
    <w:rsid w:val="00BD0132"/>
    <w:rsid w:val="00BD0949"/>
    <w:rsid w:val="00BD1528"/>
    <w:rsid w:val="00BD38E8"/>
    <w:rsid w:val="00BD4471"/>
    <w:rsid w:val="00BD4ACB"/>
    <w:rsid w:val="00BD6BBC"/>
    <w:rsid w:val="00BE06EB"/>
    <w:rsid w:val="00BE2549"/>
    <w:rsid w:val="00BE2E6B"/>
    <w:rsid w:val="00BE3B17"/>
    <w:rsid w:val="00BE4C9A"/>
    <w:rsid w:val="00BE4E91"/>
    <w:rsid w:val="00BE5000"/>
    <w:rsid w:val="00BE500C"/>
    <w:rsid w:val="00BE6134"/>
    <w:rsid w:val="00BE6472"/>
    <w:rsid w:val="00BE681B"/>
    <w:rsid w:val="00BF0B32"/>
    <w:rsid w:val="00BF0C07"/>
    <w:rsid w:val="00BF1608"/>
    <w:rsid w:val="00BF224F"/>
    <w:rsid w:val="00BF3B5C"/>
    <w:rsid w:val="00BF5CD5"/>
    <w:rsid w:val="00BF654B"/>
    <w:rsid w:val="00BF7D79"/>
    <w:rsid w:val="00BF7DBE"/>
    <w:rsid w:val="00BF7DE0"/>
    <w:rsid w:val="00C00149"/>
    <w:rsid w:val="00C0077E"/>
    <w:rsid w:val="00C01852"/>
    <w:rsid w:val="00C025F6"/>
    <w:rsid w:val="00C043D6"/>
    <w:rsid w:val="00C04854"/>
    <w:rsid w:val="00C04F56"/>
    <w:rsid w:val="00C107AF"/>
    <w:rsid w:val="00C108F4"/>
    <w:rsid w:val="00C126C0"/>
    <w:rsid w:val="00C17949"/>
    <w:rsid w:val="00C17B04"/>
    <w:rsid w:val="00C203BD"/>
    <w:rsid w:val="00C225AC"/>
    <w:rsid w:val="00C2379A"/>
    <w:rsid w:val="00C24730"/>
    <w:rsid w:val="00C25225"/>
    <w:rsid w:val="00C256D2"/>
    <w:rsid w:val="00C26A1A"/>
    <w:rsid w:val="00C26AD4"/>
    <w:rsid w:val="00C27714"/>
    <w:rsid w:val="00C305C6"/>
    <w:rsid w:val="00C31A3F"/>
    <w:rsid w:val="00C333CD"/>
    <w:rsid w:val="00C34237"/>
    <w:rsid w:val="00C359F5"/>
    <w:rsid w:val="00C35C33"/>
    <w:rsid w:val="00C35C55"/>
    <w:rsid w:val="00C3689B"/>
    <w:rsid w:val="00C36E1F"/>
    <w:rsid w:val="00C41A3C"/>
    <w:rsid w:val="00C4228B"/>
    <w:rsid w:val="00C44C93"/>
    <w:rsid w:val="00C464B3"/>
    <w:rsid w:val="00C47879"/>
    <w:rsid w:val="00C50A26"/>
    <w:rsid w:val="00C51C00"/>
    <w:rsid w:val="00C52058"/>
    <w:rsid w:val="00C538D1"/>
    <w:rsid w:val="00C53CF0"/>
    <w:rsid w:val="00C5451F"/>
    <w:rsid w:val="00C54C2B"/>
    <w:rsid w:val="00C55A58"/>
    <w:rsid w:val="00C55AA8"/>
    <w:rsid w:val="00C55AC7"/>
    <w:rsid w:val="00C57723"/>
    <w:rsid w:val="00C57ACD"/>
    <w:rsid w:val="00C60172"/>
    <w:rsid w:val="00C610CD"/>
    <w:rsid w:val="00C611C2"/>
    <w:rsid w:val="00C6147C"/>
    <w:rsid w:val="00C63897"/>
    <w:rsid w:val="00C648C5"/>
    <w:rsid w:val="00C64A40"/>
    <w:rsid w:val="00C657BC"/>
    <w:rsid w:val="00C659F9"/>
    <w:rsid w:val="00C66F39"/>
    <w:rsid w:val="00C70CB9"/>
    <w:rsid w:val="00C70E7E"/>
    <w:rsid w:val="00C714B5"/>
    <w:rsid w:val="00C716FF"/>
    <w:rsid w:val="00C72554"/>
    <w:rsid w:val="00C73427"/>
    <w:rsid w:val="00C74627"/>
    <w:rsid w:val="00C74CCE"/>
    <w:rsid w:val="00C77BD0"/>
    <w:rsid w:val="00C83C3E"/>
    <w:rsid w:val="00C83ED1"/>
    <w:rsid w:val="00C90D08"/>
    <w:rsid w:val="00C91FF0"/>
    <w:rsid w:val="00C953B5"/>
    <w:rsid w:val="00C95FFE"/>
    <w:rsid w:val="00C966E6"/>
    <w:rsid w:val="00C96ACC"/>
    <w:rsid w:val="00C978BB"/>
    <w:rsid w:val="00CA13DB"/>
    <w:rsid w:val="00CA26DE"/>
    <w:rsid w:val="00CA2C35"/>
    <w:rsid w:val="00CA367B"/>
    <w:rsid w:val="00CA3F6D"/>
    <w:rsid w:val="00CA545E"/>
    <w:rsid w:val="00CA6ED7"/>
    <w:rsid w:val="00CA7079"/>
    <w:rsid w:val="00CA7A67"/>
    <w:rsid w:val="00CB1D95"/>
    <w:rsid w:val="00CB3AA0"/>
    <w:rsid w:val="00CB4777"/>
    <w:rsid w:val="00CB4AB4"/>
    <w:rsid w:val="00CB553B"/>
    <w:rsid w:val="00CB7A49"/>
    <w:rsid w:val="00CC1308"/>
    <w:rsid w:val="00CC1C11"/>
    <w:rsid w:val="00CC39E7"/>
    <w:rsid w:val="00CC3AE7"/>
    <w:rsid w:val="00CC660F"/>
    <w:rsid w:val="00CC7ABA"/>
    <w:rsid w:val="00CC7DC4"/>
    <w:rsid w:val="00CC7EDA"/>
    <w:rsid w:val="00CD00A5"/>
    <w:rsid w:val="00CD0A26"/>
    <w:rsid w:val="00CD1313"/>
    <w:rsid w:val="00CD2B51"/>
    <w:rsid w:val="00CD31FD"/>
    <w:rsid w:val="00CD4114"/>
    <w:rsid w:val="00CD44D7"/>
    <w:rsid w:val="00CD5017"/>
    <w:rsid w:val="00CD5A3E"/>
    <w:rsid w:val="00CD5BA8"/>
    <w:rsid w:val="00CD60B3"/>
    <w:rsid w:val="00CD616B"/>
    <w:rsid w:val="00CD6263"/>
    <w:rsid w:val="00CD7962"/>
    <w:rsid w:val="00CE029A"/>
    <w:rsid w:val="00CE0E74"/>
    <w:rsid w:val="00CE1A59"/>
    <w:rsid w:val="00CE218B"/>
    <w:rsid w:val="00CE5B72"/>
    <w:rsid w:val="00CE67EC"/>
    <w:rsid w:val="00CE6B9E"/>
    <w:rsid w:val="00CE700C"/>
    <w:rsid w:val="00CE7820"/>
    <w:rsid w:val="00CF218A"/>
    <w:rsid w:val="00CF2BEF"/>
    <w:rsid w:val="00CF318A"/>
    <w:rsid w:val="00CF497F"/>
    <w:rsid w:val="00CF4CB1"/>
    <w:rsid w:val="00CF724C"/>
    <w:rsid w:val="00CF75CA"/>
    <w:rsid w:val="00CF75E6"/>
    <w:rsid w:val="00D00EA2"/>
    <w:rsid w:val="00D01AF2"/>
    <w:rsid w:val="00D03434"/>
    <w:rsid w:val="00D0361A"/>
    <w:rsid w:val="00D0414A"/>
    <w:rsid w:val="00D0461F"/>
    <w:rsid w:val="00D047EB"/>
    <w:rsid w:val="00D04B26"/>
    <w:rsid w:val="00D051C2"/>
    <w:rsid w:val="00D07266"/>
    <w:rsid w:val="00D108BC"/>
    <w:rsid w:val="00D122A0"/>
    <w:rsid w:val="00D12A5C"/>
    <w:rsid w:val="00D12EC7"/>
    <w:rsid w:val="00D139AE"/>
    <w:rsid w:val="00D159C6"/>
    <w:rsid w:val="00D16587"/>
    <w:rsid w:val="00D16957"/>
    <w:rsid w:val="00D17113"/>
    <w:rsid w:val="00D17502"/>
    <w:rsid w:val="00D1764D"/>
    <w:rsid w:val="00D17BE1"/>
    <w:rsid w:val="00D205AB"/>
    <w:rsid w:val="00D21A96"/>
    <w:rsid w:val="00D21B09"/>
    <w:rsid w:val="00D22EB7"/>
    <w:rsid w:val="00D240B6"/>
    <w:rsid w:val="00D260D6"/>
    <w:rsid w:val="00D26143"/>
    <w:rsid w:val="00D26BF7"/>
    <w:rsid w:val="00D26C19"/>
    <w:rsid w:val="00D27810"/>
    <w:rsid w:val="00D3091E"/>
    <w:rsid w:val="00D30ADA"/>
    <w:rsid w:val="00D30D78"/>
    <w:rsid w:val="00D30E94"/>
    <w:rsid w:val="00D31E3D"/>
    <w:rsid w:val="00D32A7F"/>
    <w:rsid w:val="00D333D7"/>
    <w:rsid w:val="00D33951"/>
    <w:rsid w:val="00D34368"/>
    <w:rsid w:val="00D34EA6"/>
    <w:rsid w:val="00D35219"/>
    <w:rsid w:val="00D3605A"/>
    <w:rsid w:val="00D375E8"/>
    <w:rsid w:val="00D37985"/>
    <w:rsid w:val="00D37F24"/>
    <w:rsid w:val="00D44753"/>
    <w:rsid w:val="00D450D6"/>
    <w:rsid w:val="00D45D0A"/>
    <w:rsid w:val="00D46216"/>
    <w:rsid w:val="00D468F0"/>
    <w:rsid w:val="00D479C1"/>
    <w:rsid w:val="00D47FD1"/>
    <w:rsid w:val="00D513B8"/>
    <w:rsid w:val="00D51662"/>
    <w:rsid w:val="00D516A3"/>
    <w:rsid w:val="00D51A5D"/>
    <w:rsid w:val="00D51ED1"/>
    <w:rsid w:val="00D52AAA"/>
    <w:rsid w:val="00D53478"/>
    <w:rsid w:val="00D54B9E"/>
    <w:rsid w:val="00D57387"/>
    <w:rsid w:val="00D57DCE"/>
    <w:rsid w:val="00D57EFF"/>
    <w:rsid w:val="00D65F8B"/>
    <w:rsid w:val="00D65FFD"/>
    <w:rsid w:val="00D66B25"/>
    <w:rsid w:val="00D66C92"/>
    <w:rsid w:val="00D66F10"/>
    <w:rsid w:val="00D6706D"/>
    <w:rsid w:val="00D67AC2"/>
    <w:rsid w:val="00D718B2"/>
    <w:rsid w:val="00D71B94"/>
    <w:rsid w:val="00D72738"/>
    <w:rsid w:val="00D728A7"/>
    <w:rsid w:val="00D738BE"/>
    <w:rsid w:val="00D739F4"/>
    <w:rsid w:val="00D75979"/>
    <w:rsid w:val="00D76222"/>
    <w:rsid w:val="00D77F9C"/>
    <w:rsid w:val="00D81893"/>
    <w:rsid w:val="00D81D3E"/>
    <w:rsid w:val="00D82963"/>
    <w:rsid w:val="00D83F90"/>
    <w:rsid w:val="00D8437B"/>
    <w:rsid w:val="00D849AB"/>
    <w:rsid w:val="00D84CD3"/>
    <w:rsid w:val="00D84DF4"/>
    <w:rsid w:val="00D84FD8"/>
    <w:rsid w:val="00D862C0"/>
    <w:rsid w:val="00D87B61"/>
    <w:rsid w:val="00D87E5A"/>
    <w:rsid w:val="00D90CAC"/>
    <w:rsid w:val="00D91EBF"/>
    <w:rsid w:val="00D92944"/>
    <w:rsid w:val="00D95384"/>
    <w:rsid w:val="00D953FA"/>
    <w:rsid w:val="00D95586"/>
    <w:rsid w:val="00D95686"/>
    <w:rsid w:val="00D96F1B"/>
    <w:rsid w:val="00D96F68"/>
    <w:rsid w:val="00D97BFA"/>
    <w:rsid w:val="00DA02DB"/>
    <w:rsid w:val="00DA0B4C"/>
    <w:rsid w:val="00DA32FD"/>
    <w:rsid w:val="00DA3720"/>
    <w:rsid w:val="00DA3EA8"/>
    <w:rsid w:val="00DA45A9"/>
    <w:rsid w:val="00DA467E"/>
    <w:rsid w:val="00DA4B4F"/>
    <w:rsid w:val="00DA4E7F"/>
    <w:rsid w:val="00DA5CBF"/>
    <w:rsid w:val="00DA5FDF"/>
    <w:rsid w:val="00DA6B9E"/>
    <w:rsid w:val="00DA6BE1"/>
    <w:rsid w:val="00DA6D52"/>
    <w:rsid w:val="00DA73B0"/>
    <w:rsid w:val="00DB041D"/>
    <w:rsid w:val="00DB052C"/>
    <w:rsid w:val="00DB08F3"/>
    <w:rsid w:val="00DB16ED"/>
    <w:rsid w:val="00DB3CFD"/>
    <w:rsid w:val="00DB401F"/>
    <w:rsid w:val="00DB4AFB"/>
    <w:rsid w:val="00DB5CC5"/>
    <w:rsid w:val="00DB6E1D"/>
    <w:rsid w:val="00DB7307"/>
    <w:rsid w:val="00DC1268"/>
    <w:rsid w:val="00DC37BD"/>
    <w:rsid w:val="00DC4EAF"/>
    <w:rsid w:val="00DC5A20"/>
    <w:rsid w:val="00DD0238"/>
    <w:rsid w:val="00DD05E6"/>
    <w:rsid w:val="00DD0B51"/>
    <w:rsid w:val="00DD1A5F"/>
    <w:rsid w:val="00DD20C9"/>
    <w:rsid w:val="00DD244F"/>
    <w:rsid w:val="00DD34E3"/>
    <w:rsid w:val="00DD3B9E"/>
    <w:rsid w:val="00DD5530"/>
    <w:rsid w:val="00DD5922"/>
    <w:rsid w:val="00DD5DE9"/>
    <w:rsid w:val="00DD6F0A"/>
    <w:rsid w:val="00DE07AF"/>
    <w:rsid w:val="00DE3756"/>
    <w:rsid w:val="00DE3931"/>
    <w:rsid w:val="00DE4253"/>
    <w:rsid w:val="00DE4BE1"/>
    <w:rsid w:val="00DE4FDD"/>
    <w:rsid w:val="00DE50EC"/>
    <w:rsid w:val="00DE5BA0"/>
    <w:rsid w:val="00DE6AA2"/>
    <w:rsid w:val="00DF04CB"/>
    <w:rsid w:val="00DF0602"/>
    <w:rsid w:val="00DF0885"/>
    <w:rsid w:val="00DF1049"/>
    <w:rsid w:val="00DF39F1"/>
    <w:rsid w:val="00DF4A6D"/>
    <w:rsid w:val="00DF6191"/>
    <w:rsid w:val="00DF6915"/>
    <w:rsid w:val="00DF735C"/>
    <w:rsid w:val="00DF7E33"/>
    <w:rsid w:val="00E01AA0"/>
    <w:rsid w:val="00E02F2E"/>
    <w:rsid w:val="00E030D4"/>
    <w:rsid w:val="00E03B4F"/>
    <w:rsid w:val="00E0609E"/>
    <w:rsid w:val="00E07815"/>
    <w:rsid w:val="00E07B15"/>
    <w:rsid w:val="00E102A8"/>
    <w:rsid w:val="00E125D1"/>
    <w:rsid w:val="00E12A2B"/>
    <w:rsid w:val="00E144FF"/>
    <w:rsid w:val="00E1485A"/>
    <w:rsid w:val="00E151BD"/>
    <w:rsid w:val="00E159EB"/>
    <w:rsid w:val="00E164D3"/>
    <w:rsid w:val="00E1704F"/>
    <w:rsid w:val="00E1758C"/>
    <w:rsid w:val="00E17863"/>
    <w:rsid w:val="00E17FAB"/>
    <w:rsid w:val="00E2026E"/>
    <w:rsid w:val="00E210AE"/>
    <w:rsid w:val="00E2118B"/>
    <w:rsid w:val="00E22AC7"/>
    <w:rsid w:val="00E23ACD"/>
    <w:rsid w:val="00E23E16"/>
    <w:rsid w:val="00E2605D"/>
    <w:rsid w:val="00E264C3"/>
    <w:rsid w:val="00E267D6"/>
    <w:rsid w:val="00E26F2F"/>
    <w:rsid w:val="00E31FAF"/>
    <w:rsid w:val="00E326F7"/>
    <w:rsid w:val="00E32B10"/>
    <w:rsid w:val="00E343F5"/>
    <w:rsid w:val="00E349DA"/>
    <w:rsid w:val="00E34A7E"/>
    <w:rsid w:val="00E34E79"/>
    <w:rsid w:val="00E3524A"/>
    <w:rsid w:val="00E35809"/>
    <w:rsid w:val="00E37ED2"/>
    <w:rsid w:val="00E416C6"/>
    <w:rsid w:val="00E42380"/>
    <w:rsid w:val="00E4308E"/>
    <w:rsid w:val="00E43248"/>
    <w:rsid w:val="00E435BB"/>
    <w:rsid w:val="00E43741"/>
    <w:rsid w:val="00E4424A"/>
    <w:rsid w:val="00E455AF"/>
    <w:rsid w:val="00E458E6"/>
    <w:rsid w:val="00E47603"/>
    <w:rsid w:val="00E47659"/>
    <w:rsid w:val="00E47CC6"/>
    <w:rsid w:val="00E505C1"/>
    <w:rsid w:val="00E50CDA"/>
    <w:rsid w:val="00E5138E"/>
    <w:rsid w:val="00E51C05"/>
    <w:rsid w:val="00E5347E"/>
    <w:rsid w:val="00E5359D"/>
    <w:rsid w:val="00E53DAB"/>
    <w:rsid w:val="00E54294"/>
    <w:rsid w:val="00E54704"/>
    <w:rsid w:val="00E54957"/>
    <w:rsid w:val="00E54B75"/>
    <w:rsid w:val="00E55626"/>
    <w:rsid w:val="00E55CB1"/>
    <w:rsid w:val="00E56583"/>
    <w:rsid w:val="00E565D1"/>
    <w:rsid w:val="00E568CC"/>
    <w:rsid w:val="00E56E8F"/>
    <w:rsid w:val="00E601F2"/>
    <w:rsid w:val="00E60925"/>
    <w:rsid w:val="00E61637"/>
    <w:rsid w:val="00E618A5"/>
    <w:rsid w:val="00E62F46"/>
    <w:rsid w:val="00E653A9"/>
    <w:rsid w:val="00E65984"/>
    <w:rsid w:val="00E65D04"/>
    <w:rsid w:val="00E73147"/>
    <w:rsid w:val="00E73FF9"/>
    <w:rsid w:val="00E74361"/>
    <w:rsid w:val="00E74F5C"/>
    <w:rsid w:val="00E75699"/>
    <w:rsid w:val="00E76E23"/>
    <w:rsid w:val="00E773A0"/>
    <w:rsid w:val="00E7767C"/>
    <w:rsid w:val="00E776D6"/>
    <w:rsid w:val="00E77B2C"/>
    <w:rsid w:val="00E806FC"/>
    <w:rsid w:val="00E816D3"/>
    <w:rsid w:val="00E819EB"/>
    <w:rsid w:val="00E823A3"/>
    <w:rsid w:val="00E82CAF"/>
    <w:rsid w:val="00E83254"/>
    <w:rsid w:val="00E83307"/>
    <w:rsid w:val="00E87124"/>
    <w:rsid w:val="00E87C60"/>
    <w:rsid w:val="00E9180E"/>
    <w:rsid w:val="00E9206B"/>
    <w:rsid w:val="00E92395"/>
    <w:rsid w:val="00E92877"/>
    <w:rsid w:val="00E94521"/>
    <w:rsid w:val="00E97201"/>
    <w:rsid w:val="00E97F25"/>
    <w:rsid w:val="00EA0320"/>
    <w:rsid w:val="00EA0902"/>
    <w:rsid w:val="00EA12C9"/>
    <w:rsid w:val="00EA1A72"/>
    <w:rsid w:val="00EA349E"/>
    <w:rsid w:val="00EA747C"/>
    <w:rsid w:val="00EB1960"/>
    <w:rsid w:val="00EB1CA1"/>
    <w:rsid w:val="00EB22A0"/>
    <w:rsid w:val="00EB3324"/>
    <w:rsid w:val="00EB3DB2"/>
    <w:rsid w:val="00EB51C1"/>
    <w:rsid w:val="00EB679A"/>
    <w:rsid w:val="00EB7AC6"/>
    <w:rsid w:val="00EC0742"/>
    <w:rsid w:val="00EC120A"/>
    <w:rsid w:val="00EC198F"/>
    <w:rsid w:val="00EC2F39"/>
    <w:rsid w:val="00EC44F4"/>
    <w:rsid w:val="00EC4D32"/>
    <w:rsid w:val="00EC4E09"/>
    <w:rsid w:val="00EC4F4E"/>
    <w:rsid w:val="00EC5118"/>
    <w:rsid w:val="00EC56CD"/>
    <w:rsid w:val="00EC6186"/>
    <w:rsid w:val="00EC662B"/>
    <w:rsid w:val="00EC6663"/>
    <w:rsid w:val="00EC6D6C"/>
    <w:rsid w:val="00ED09D6"/>
    <w:rsid w:val="00ED0FE9"/>
    <w:rsid w:val="00ED1689"/>
    <w:rsid w:val="00ED23C2"/>
    <w:rsid w:val="00ED25E7"/>
    <w:rsid w:val="00ED365A"/>
    <w:rsid w:val="00ED3973"/>
    <w:rsid w:val="00ED47E1"/>
    <w:rsid w:val="00ED6667"/>
    <w:rsid w:val="00ED6B44"/>
    <w:rsid w:val="00ED6FB2"/>
    <w:rsid w:val="00EE0721"/>
    <w:rsid w:val="00EE08A5"/>
    <w:rsid w:val="00EE0BA0"/>
    <w:rsid w:val="00EE1678"/>
    <w:rsid w:val="00EE1768"/>
    <w:rsid w:val="00EE1902"/>
    <w:rsid w:val="00EE39FF"/>
    <w:rsid w:val="00EE3D8C"/>
    <w:rsid w:val="00EE3EEB"/>
    <w:rsid w:val="00EE4226"/>
    <w:rsid w:val="00EE4896"/>
    <w:rsid w:val="00EE6927"/>
    <w:rsid w:val="00EE6C67"/>
    <w:rsid w:val="00EF0702"/>
    <w:rsid w:val="00EF0B67"/>
    <w:rsid w:val="00EF1227"/>
    <w:rsid w:val="00EF1431"/>
    <w:rsid w:val="00EF1811"/>
    <w:rsid w:val="00EF2945"/>
    <w:rsid w:val="00EF41EC"/>
    <w:rsid w:val="00EF50DA"/>
    <w:rsid w:val="00EF52D7"/>
    <w:rsid w:val="00EF745D"/>
    <w:rsid w:val="00EF7EAB"/>
    <w:rsid w:val="00F05F2A"/>
    <w:rsid w:val="00F10B84"/>
    <w:rsid w:val="00F11117"/>
    <w:rsid w:val="00F11A66"/>
    <w:rsid w:val="00F12057"/>
    <w:rsid w:val="00F12AC6"/>
    <w:rsid w:val="00F13218"/>
    <w:rsid w:val="00F15313"/>
    <w:rsid w:val="00F15589"/>
    <w:rsid w:val="00F16B46"/>
    <w:rsid w:val="00F17C79"/>
    <w:rsid w:val="00F22087"/>
    <w:rsid w:val="00F22DCC"/>
    <w:rsid w:val="00F23180"/>
    <w:rsid w:val="00F25450"/>
    <w:rsid w:val="00F25E92"/>
    <w:rsid w:val="00F2666A"/>
    <w:rsid w:val="00F27E8B"/>
    <w:rsid w:val="00F322A1"/>
    <w:rsid w:val="00F33A34"/>
    <w:rsid w:val="00F35875"/>
    <w:rsid w:val="00F363C9"/>
    <w:rsid w:val="00F402CE"/>
    <w:rsid w:val="00F4082F"/>
    <w:rsid w:val="00F414BA"/>
    <w:rsid w:val="00F416B2"/>
    <w:rsid w:val="00F4194D"/>
    <w:rsid w:val="00F45433"/>
    <w:rsid w:val="00F459DC"/>
    <w:rsid w:val="00F51A0F"/>
    <w:rsid w:val="00F51A91"/>
    <w:rsid w:val="00F52424"/>
    <w:rsid w:val="00F53541"/>
    <w:rsid w:val="00F543D6"/>
    <w:rsid w:val="00F54953"/>
    <w:rsid w:val="00F55E8A"/>
    <w:rsid w:val="00F56024"/>
    <w:rsid w:val="00F6051C"/>
    <w:rsid w:val="00F6059D"/>
    <w:rsid w:val="00F6095B"/>
    <w:rsid w:val="00F60C59"/>
    <w:rsid w:val="00F6121D"/>
    <w:rsid w:val="00F613E3"/>
    <w:rsid w:val="00F619E5"/>
    <w:rsid w:val="00F6233F"/>
    <w:rsid w:val="00F623C5"/>
    <w:rsid w:val="00F64E7C"/>
    <w:rsid w:val="00F65074"/>
    <w:rsid w:val="00F655F5"/>
    <w:rsid w:val="00F65653"/>
    <w:rsid w:val="00F65677"/>
    <w:rsid w:val="00F66B44"/>
    <w:rsid w:val="00F66D4B"/>
    <w:rsid w:val="00F66FAF"/>
    <w:rsid w:val="00F6735B"/>
    <w:rsid w:val="00F677A8"/>
    <w:rsid w:val="00F70837"/>
    <w:rsid w:val="00F726C6"/>
    <w:rsid w:val="00F74F0D"/>
    <w:rsid w:val="00F74FFB"/>
    <w:rsid w:val="00F7518E"/>
    <w:rsid w:val="00F760B4"/>
    <w:rsid w:val="00F7619E"/>
    <w:rsid w:val="00F76EFA"/>
    <w:rsid w:val="00F775BC"/>
    <w:rsid w:val="00F80254"/>
    <w:rsid w:val="00F80E31"/>
    <w:rsid w:val="00F85ED1"/>
    <w:rsid w:val="00F8697B"/>
    <w:rsid w:val="00F86E0B"/>
    <w:rsid w:val="00F87523"/>
    <w:rsid w:val="00F9107F"/>
    <w:rsid w:val="00F93065"/>
    <w:rsid w:val="00F943A0"/>
    <w:rsid w:val="00F9492C"/>
    <w:rsid w:val="00F94D08"/>
    <w:rsid w:val="00F94EF0"/>
    <w:rsid w:val="00F94FEB"/>
    <w:rsid w:val="00F95FDB"/>
    <w:rsid w:val="00F969F8"/>
    <w:rsid w:val="00FA04B2"/>
    <w:rsid w:val="00FA0EAA"/>
    <w:rsid w:val="00FA135F"/>
    <w:rsid w:val="00FA1DBE"/>
    <w:rsid w:val="00FA234C"/>
    <w:rsid w:val="00FA4129"/>
    <w:rsid w:val="00FA61C3"/>
    <w:rsid w:val="00FA7518"/>
    <w:rsid w:val="00FB01B1"/>
    <w:rsid w:val="00FB05B9"/>
    <w:rsid w:val="00FB0656"/>
    <w:rsid w:val="00FB0B5B"/>
    <w:rsid w:val="00FB205C"/>
    <w:rsid w:val="00FB3B62"/>
    <w:rsid w:val="00FB4F97"/>
    <w:rsid w:val="00FB52EB"/>
    <w:rsid w:val="00FB5CB7"/>
    <w:rsid w:val="00FB66A8"/>
    <w:rsid w:val="00FB6B9C"/>
    <w:rsid w:val="00FC1D8A"/>
    <w:rsid w:val="00FC1E25"/>
    <w:rsid w:val="00FC2315"/>
    <w:rsid w:val="00FC28B5"/>
    <w:rsid w:val="00FC2BCC"/>
    <w:rsid w:val="00FC306B"/>
    <w:rsid w:val="00FC4B50"/>
    <w:rsid w:val="00FC6B34"/>
    <w:rsid w:val="00FC741A"/>
    <w:rsid w:val="00FD0BD4"/>
    <w:rsid w:val="00FD15A7"/>
    <w:rsid w:val="00FD1F3F"/>
    <w:rsid w:val="00FD25B9"/>
    <w:rsid w:val="00FD29A9"/>
    <w:rsid w:val="00FD2BEF"/>
    <w:rsid w:val="00FD3C72"/>
    <w:rsid w:val="00FD3D13"/>
    <w:rsid w:val="00FD489D"/>
    <w:rsid w:val="00FD56B4"/>
    <w:rsid w:val="00FD57EB"/>
    <w:rsid w:val="00FD6C4D"/>
    <w:rsid w:val="00FD7A63"/>
    <w:rsid w:val="00FE043C"/>
    <w:rsid w:val="00FE0782"/>
    <w:rsid w:val="00FE09E0"/>
    <w:rsid w:val="00FE12CF"/>
    <w:rsid w:val="00FE153A"/>
    <w:rsid w:val="00FE23F9"/>
    <w:rsid w:val="00FE277B"/>
    <w:rsid w:val="00FE41E7"/>
    <w:rsid w:val="00FE5741"/>
    <w:rsid w:val="00FE5A77"/>
    <w:rsid w:val="00FE6A3B"/>
    <w:rsid w:val="00FE6AD5"/>
    <w:rsid w:val="00FF01AB"/>
    <w:rsid w:val="00FF0419"/>
    <w:rsid w:val="00FF07A2"/>
    <w:rsid w:val="00FF0CE4"/>
    <w:rsid w:val="00FF15EC"/>
    <w:rsid w:val="00FF186B"/>
    <w:rsid w:val="00FF1D94"/>
    <w:rsid w:val="00FF52B9"/>
    <w:rsid w:val="00FF5C82"/>
    <w:rsid w:val="00FF6284"/>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B37F9"/>
  <w15:chartTrackingRefBased/>
  <w15:docId w15:val="{7D9245C0-A3B2-47BA-91FD-B773653F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35"/>
  </w:style>
  <w:style w:type="paragraph" w:styleId="Heading1">
    <w:name w:val="heading 1"/>
    <w:basedOn w:val="Normal"/>
    <w:next w:val="Normal"/>
    <w:link w:val="Heading1Char"/>
    <w:uiPriority w:val="9"/>
    <w:qFormat/>
    <w:rsid w:val="006C2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B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B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2B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2B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B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B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B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B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B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2B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2B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2B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2B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2B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2BF4"/>
    <w:pPr>
      <w:spacing w:before="160"/>
      <w:jc w:val="center"/>
    </w:pPr>
    <w:rPr>
      <w:i/>
      <w:iCs/>
      <w:color w:val="404040" w:themeColor="text1" w:themeTint="BF"/>
    </w:rPr>
  </w:style>
  <w:style w:type="character" w:customStyle="1" w:styleId="QuoteChar">
    <w:name w:val="Quote Char"/>
    <w:basedOn w:val="DefaultParagraphFont"/>
    <w:link w:val="Quote"/>
    <w:uiPriority w:val="29"/>
    <w:rsid w:val="006C2BF4"/>
    <w:rPr>
      <w:i/>
      <w:iCs/>
      <w:color w:val="404040" w:themeColor="text1" w:themeTint="BF"/>
    </w:rPr>
  </w:style>
  <w:style w:type="paragraph" w:styleId="ListParagraph">
    <w:name w:val="List Paragraph"/>
    <w:basedOn w:val="Normal"/>
    <w:uiPriority w:val="34"/>
    <w:qFormat/>
    <w:rsid w:val="006C2BF4"/>
    <w:pPr>
      <w:ind w:left="720"/>
      <w:contextualSpacing/>
    </w:pPr>
  </w:style>
  <w:style w:type="character" w:styleId="IntenseEmphasis">
    <w:name w:val="Intense Emphasis"/>
    <w:basedOn w:val="DefaultParagraphFont"/>
    <w:uiPriority w:val="21"/>
    <w:qFormat/>
    <w:rsid w:val="006C2BF4"/>
    <w:rPr>
      <w:i/>
      <w:iCs/>
      <w:color w:val="2F5496" w:themeColor="accent1" w:themeShade="BF"/>
    </w:rPr>
  </w:style>
  <w:style w:type="paragraph" w:styleId="IntenseQuote">
    <w:name w:val="Intense Quote"/>
    <w:basedOn w:val="Normal"/>
    <w:next w:val="Normal"/>
    <w:link w:val="IntenseQuoteChar"/>
    <w:uiPriority w:val="30"/>
    <w:qFormat/>
    <w:rsid w:val="006C2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BF4"/>
    <w:rPr>
      <w:i/>
      <w:iCs/>
      <w:color w:val="2F5496" w:themeColor="accent1" w:themeShade="BF"/>
    </w:rPr>
  </w:style>
  <w:style w:type="character" w:styleId="IntenseReference">
    <w:name w:val="Intense Reference"/>
    <w:basedOn w:val="DefaultParagraphFont"/>
    <w:uiPriority w:val="32"/>
    <w:qFormat/>
    <w:rsid w:val="006C2BF4"/>
    <w:rPr>
      <w:b/>
      <w:bCs/>
      <w:smallCaps/>
      <w:color w:val="2F5496" w:themeColor="accent1" w:themeShade="BF"/>
      <w:spacing w:val="5"/>
    </w:rPr>
  </w:style>
  <w:style w:type="paragraph" w:styleId="Bibliography">
    <w:name w:val="Bibliography"/>
    <w:basedOn w:val="Normal"/>
    <w:next w:val="Normal"/>
    <w:uiPriority w:val="37"/>
    <w:unhideWhenUsed/>
    <w:rsid w:val="008404B6"/>
    <w:pPr>
      <w:spacing w:after="0" w:line="240" w:lineRule="auto"/>
      <w:ind w:left="720" w:hanging="720"/>
    </w:pPr>
    <w:rPr>
      <w:rFonts w:cstheme="minorBidi"/>
      <w:kern w:val="2"/>
      <w14:ligatures w14:val="standardContextual"/>
    </w:rPr>
  </w:style>
  <w:style w:type="character" w:customStyle="1" w:styleId="MTEquationSection">
    <w:name w:val="MTEquationSection"/>
    <w:basedOn w:val="DefaultParagraphFont"/>
    <w:rsid w:val="008404B6"/>
    <w:rPr>
      <w:b/>
      <w:vanish/>
      <w:color w:val="FF0000"/>
    </w:rPr>
  </w:style>
  <w:style w:type="paragraph" w:customStyle="1" w:styleId="MTDisplayEquation">
    <w:name w:val="MTDisplayEquation"/>
    <w:basedOn w:val="Normal"/>
    <w:next w:val="Normal"/>
    <w:link w:val="MTDisplayEquationChar"/>
    <w:rsid w:val="008404B6"/>
    <w:pPr>
      <w:shd w:val="clear" w:color="auto" w:fill="FFFFFF"/>
      <w:tabs>
        <w:tab w:val="center" w:pos="4680"/>
        <w:tab w:val="right" w:pos="9360"/>
      </w:tabs>
      <w:spacing w:after="0" w:line="240" w:lineRule="auto"/>
      <w:jc w:val="both"/>
    </w:pPr>
    <w:rPr>
      <w:rFonts w:cstheme="minorBidi"/>
      <w:kern w:val="2"/>
      <w14:ligatures w14:val="standardContextual"/>
    </w:rPr>
  </w:style>
  <w:style w:type="character" w:customStyle="1" w:styleId="MTDisplayEquationChar">
    <w:name w:val="MTDisplayEquation Char"/>
    <w:basedOn w:val="DefaultParagraphFont"/>
    <w:link w:val="MTDisplayEquation"/>
    <w:rsid w:val="008404B6"/>
    <w:rPr>
      <w:rFonts w:cstheme="minorBidi"/>
      <w:kern w:val="2"/>
      <w:shd w:val="clear" w:color="auto" w:fill="FFFFFF"/>
      <w14:ligatures w14:val="standardContextual"/>
    </w:rPr>
  </w:style>
  <w:style w:type="character" w:styleId="Hyperlink">
    <w:name w:val="Hyperlink"/>
    <w:basedOn w:val="DefaultParagraphFont"/>
    <w:uiPriority w:val="99"/>
    <w:unhideWhenUsed/>
    <w:rsid w:val="008404B6"/>
    <w:rPr>
      <w:color w:val="0563C1"/>
      <w:u w:val="single"/>
    </w:rPr>
  </w:style>
  <w:style w:type="character" w:styleId="FollowedHyperlink">
    <w:name w:val="FollowedHyperlink"/>
    <w:basedOn w:val="DefaultParagraphFont"/>
    <w:uiPriority w:val="99"/>
    <w:semiHidden/>
    <w:unhideWhenUsed/>
    <w:rsid w:val="008404B6"/>
    <w:rPr>
      <w:color w:val="954F72"/>
      <w:u w:val="single"/>
    </w:rPr>
  </w:style>
  <w:style w:type="paragraph" w:customStyle="1" w:styleId="msonormal0">
    <w:name w:val="msonormal"/>
    <w:basedOn w:val="Normal"/>
    <w:rsid w:val="008404B6"/>
    <w:pPr>
      <w:spacing w:before="100" w:beforeAutospacing="1" w:after="100" w:afterAutospacing="1" w:line="240" w:lineRule="auto"/>
    </w:pPr>
    <w:rPr>
      <w:rFonts w:eastAsia="Times New Roman"/>
    </w:rPr>
  </w:style>
  <w:style w:type="paragraph" w:customStyle="1" w:styleId="xl65">
    <w:name w:val="xl65"/>
    <w:basedOn w:val="Normal"/>
    <w:rsid w:val="008404B6"/>
    <w:pPr>
      <w:shd w:val="clear" w:color="000000" w:fill="FFFFFF"/>
      <w:spacing w:before="100" w:beforeAutospacing="1" w:after="100" w:afterAutospacing="1" w:line="240" w:lineRule="auto"/>
    </w:pPr>
    <w:rPr>
      <w:rFonts w:eastAsia="Times New Roman"/>
    </w:rPr>
  </w:style>
  <w:style w:type="paragraph" w:customStyle="1" w:styleId="xl66">
    <w:name w:val="xl66"/>
    <w:basedOn w:val="Normal"/>
    <w:rsid w:val="008404B6"/>
    <w:pPr>
      <w:shd w:val="clear" w:color="000000" w:fill="FFFFFF"/>
      <w:spacing w:before="100" w:beforeAutospacing="1" w:after="100" w:afterAutospacing="1" w:line="240" w:lineRule="auto"/>
    </w:pPr>
    <w:rPr>
      <w:rFonts w:eastAsia="Times New Roman"/>
    </w:rPr>
  </w:style>
  <w:style w:type="paragraph" w:customStyle="1" w:styleId="xl67">
    <w:name w:val="xl67"/>
    <w:basedOn w:val="Normal"/>
    <w:rsid w:val="008404B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68">
    <w:name w:val="xl68"/>
    <w:basedOn w:val="Normal"/>
    <w:rsid w:val="008404B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69">
    <w:name w:val="xl69"/>
    <w:basedOn w:val="Normal"/>
    <w:rsid w:val="008404B6"/>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0">
    <w:name w:val="xl70"/>
    <w:basedOn w:val="Normal"/>
    <w:rsid w:val="008404B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1">
    <w:name w:val="xl71"/>
    <w:basedOn w:val="Normal"/>
    <w:rsid w:val="008404B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2">
    <w:name w:val="xl72"/>
    <w:basedOn w:val="Normal"/>
    <w:rsid w:val="008404B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3">
    <w:name w:val="xl73"/>
    <w:basedOn w:val="Normal"/>
    <w:rsid w:val="008404B6"/>
    <w:pPr>
      <w:pBdr>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4">
    <w:name w:val="xl74"/>
    <w:basedOn w:val="Normal"/>
    <w:rsid w:val="008404B6"/>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75">
    <w:name w:val="xl75"/>
    <w:basedOn w:val="Normal"/>
    <w:rsid w:val="008404B6"/>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6">
    <w:name w:val="xl76"/>
    <w:basedOn w:val="Normal"/>
    <w:rsid w:val="008404B6"/>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7">
    <w:name w:val="xl77"/>
    <w:basedOn w:val="Normal"/>
    <w:rsid w:val="008404B6"/>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8">
    <w:name w:val="xl78"/>
    <w:basedOn w:val="Normal"/>
    <w:rsid w:val="008404B6"/>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79">
    <w:name w:val="xl79"/>
    <w:basedOn w:val="Normal"/>
    <w:rsid w:val="008404B6"/>
    <w:pPr>
      <w:pBdr>
        <w:top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0">
    <w:name w:val="xl80"/>
    <w:basedOn w:val="Normal"/>
    <w:rsid w:val="008404B6"/>
    <w:pPr>
      <w:pBdr>
        <w:left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1">
    <w:name w:val="xl81"/>
    <w:basedOn w:val="Normal"/>
    <w:rsid w:val="008404B6"/>
    <w:pPr>
      <w:pBdr>
        <w:lef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2">
    <w:name w:val="xl82"/>
    <w:basedOn w:val="Normal"/>
    <w:rsid w:val="008404B6"/>
    <w:pPr>
      <w:pBdr>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3">
    <w:name w:val="xl83"/>
    <w:basedOn w:val="Normal"/>
    <w:rsid w:val="008404B6"/>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4">
    <w:name w:val="xl84"/>
    <w:basedOn w:val="Normal"/>
    <w:rsid w:val="008404B6"/>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5">
    <w:name w:val="xl85"/>
    <w:basedOn w:val="Normal"/>
    <w:rsid w:val="008404B6"/>
    <w:pP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6">
    <w:name w:val="xl86"/>
    <w:basedOn w:val="Normal"/>
    <w:rsid w:val="008404B6"/>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7">
    <w:name w:val="xl87"/>
    <w:basedOn w:val="Normal"/>
    <w:rsid w:val="008404B6"/>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8">
    <w:name w:val="xl88"/>
    <w:basedOn w:val="Normal"/>
    <w:rsid w:val="008404B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89">
    <w:name w:val="xl89"/>
    <w:basedOn w:val="Normal"/>
    <w:rsid w:val="008404B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90">
    <w:name w:val="xl90"/>
    <w:basedOn w:val="Normal"/>
    <w:rsid w:val="008404B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91">
    <w:name w:val="xl91"/>
    <w:basedOn w:val="Normal"/>
    <w:rsid w:val="008404B6"/>
    <w:pPr>
      <w:pBdr>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92">
    <w:name w:val="xl92"/>
    <w:basedOn w:val="Normal"/>
    <w:rsid w:val="008404B6"/>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93">
    <w:name w:val="xl93"/>
    <w:basedOn w:val="Normal"/>
    <w:rsid w:val="008404B6"/>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b/>
      <w:bCs/>
      <w:i/>
      <w:iCs/>
      <w:sz w:val="20"/>
      <w:szCs w:val="20"/>
    </w:rPr>
  </w:style>
  <w:style w:type="paragraph" w:customStyle="1" w:styleId="xl94">
    <w:name w:val="xl94"/>
    <w:basedOn w:val="Normal"/>
    <w:rsid w:val="008404B6"/>
    <w:pPr>
      <w:pBdr>
        <w:left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95">
    <w:name w:val="xl95"/>
    <w:basedOn w:val="Normal"/>
    <w:rsid w:val="008404B6"/>
    <w:pPr>
      <w:pBdr>
        <w:lef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96">
    <w:name w:val="xl96"/>
    <w:basedOn w:val="Normal"/>
    <w:rsid w:val="008404B6"/>
    <w:pPr>
      <w:pBdr>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97">
    <w:name w:val="xl97"/>
    <w:basedOn w:val="Normal"/>
    <w:rsid w:val="008404B6"/>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98">
    <w:name w:val="xl98"/>
    <w:basedOn w:val="Normal"/>
    <w:rsid w:val="008404B6"/>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99">
    <w:name w:val="xl99"/>
    <w:basedOn w:val="Normal"/>
    <w:rsid w:val="008404B6"/>
    <w:pP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00">
    <w:name w:val="xl100"/>
    <w:basedOn w:val="Normal"/>
    <w:rsid w:val="008404B6"/>
    <w:pPr>
      <w:pBdr>
        <w:left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101">
    <w:name w:val="xl101"/>
    <w:basedOn w:val="Normal"/>
    <w:rsid w:val="008404B6"/>
    <w:pPr>
      <w:pBdr>
        <w:left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102">
    <w:name w:val="xl102"/>
    <w:basedOn w:val="Normal"/>
    <w:rsid w:val="008404B6"/>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03">
    <w:name w:val="xl103"/>
    <w:basedOn w:val="Normal"/>
    <w:rsid w:val="008404B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04">
    <w:name w:val="xl104"/>
    <w:basedOn w:val="Normal"/>
    <w:rsid w:val="008404B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05">
    <w:name w:val="xl105"/>
    <w:basedOn w:val="Normal"/>
    <w:rsid w:val="008404B6"/>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b/>
      <w:bCs/>
      <w:i/>
      <w:iCs/>
      <w:sz w:val="20"/>
      <w:szCs w:val="20"/>
    </w:rPr>
  </w:style>
  <w:style w:type="paragraph" w:customStyle="1" w:styleId="xl106">
    <w:name w:val="xl106"/>
    <w:basedOn w:val="Normal"/>
    <w:rsid w:val="008404B6"/>
    <w:pPr>
      <w:pBdr>
        <w:lef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07">
    <w:name w:val="xl107"/>
    <w:basedOn w:val="Normal"/>
    <w:rsid w:val="008404B6"/>
    <w:pPr>
      <w:pBdr>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08">
    <w:name w:val="xl108"/>
    <w:basedOn w:val="Normal"/>
    <w:rsid w:val="008404B6"/>
    <w:pPr>
      <w:pBdr>
        <w:lef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09">
    <w:name w:val="xl109"/>
    <w:basedOn w:val="Normal"/>
    <w:rsid w:val="008404B6"/>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0">
    <w:name w:val="xl110"/>
    <w:basedOn w:val="Normal"/>
    <w:rsid w:val="008404B6"/>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1">
    <w:name w:val="xl111"/>
    <w:basedOn w:val="Normal"/>
    <w:rsid w:val="008404B6"/>
    <w:pP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2">
    <w:name w:val="xl112"/>
    <w:basedOn w:val="Normal"/>
    <w:rsid w:val="008404B6"/>
    <w:pPr>
      <w:pBdr>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3">
    <w:name w:val="xl113"/>
    <w:basedOn w:val="Normal"/>
    <w:rsid w:val="008404B6"/>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114">
    <w:name w:val="xl114"/>
    <w:basedOn w:val="Normal"/>
    <w:rsid w:val="008404B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5">
    <w:name w:val="xl115"/>
    <w:basedOn w:val="Normal"/>
    <w:rsid w:val="008404B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6">
    <w:name w:val="xl116"/>
    <w:basedOn w:val="Normal"/>
    <w:rsid w:val="008404B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7">
    <w:name w:val="xl117"/>
    <w:basedOn w:val="Normal"/>
    <w:rsid w:val="008404B6"/>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8">
    <w:name w:val="xl118"/>
    <w:basedOn w:val="Normal"/>
    <w:rsid w:val="008404B6"/>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19">
    <w:name w:val="xl119"/>
    <w:basedOn w:val="Normal"/>
    <w:rsid w:val="008404B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styleId="Header">
    <w:name w:val="header"/>
    <w:basedOn w:val="Normal"/>
    <w:link w:val="HeaderChar"/>
    <w:uiPriority w:val="99"/>
    <w:unhideWhenUsed/>
    <w:rsid w:val="008404B6"/>
    <w:pPr>
      <w:tabs>
        <w:tab w:val="center" w:pos="4680"/>
        <w:tab w:val="right" w:pos="9360"/>
      </w:tabs>
      <w:spacing w:after="0" w:line="240" w:lineRule="auto"/>
    </w:pPr>
    <w:rPr>
      <w:rFonts w:cstheme="minorBidi"/>
      <w:kern w:val="2"/>
      <w14:ligatures w14:val="standardContextual"/>
    </w:rPr>
  </w:style>
  <w:style w:type="character" w:customStyle="1" w:styleId="HeaderChar">
    <w:name w:val="Header Char"/>
    <w:basedOn w:val="DefaultParagraphFont"/>
    <w:link w:val="Header"/>
    <w:uiPriority w:val="99"/>
    <w:rsid w:val="008404B6"/>
    <w:rPr>
      <w:rFonts w:cstheme="minorBidi"/>
      <w:kern w:val="2"/>
      <w14:ligatures w14:val="standardContextual"/>
    </w:rPr>
  </w:style>
  <w:style w:type="paragraph" w:styleId="Footer">
    <w:name w:val="footer"/>
    <w:basedOn w:val="Normal"/>
    <w:link w:val="FooterChar"/>
    <w:uiPriority w:val="99"/>
    <w:unhideWhenUsed/>
    <w:rsid w:val="008404B6"/>
    <w:pPr>
      <w:tabs>
        <w:tab w:val="center" w:pos="4680"/>
        <w:tab w:val="right" w:pos="9360"/>
      </w:tabs>
      <w:spacing w:after="0" w:line="240" w:lineRule="auto"/>
    </w:pPr>
    <w:rPr>
      <w:rFonts w:cstheme="minorBidi"/>
      <w:kern w:val="2"/>
      <w14:ligatures w14:val="standardContextual"/>
    </w:rPr>
  </w:style>
  <w:style w:type="character" w:customStyle="1" w:styleId="FooterChar">
    <w:name w:val="Footer Char"/>
    <w:basedOn w:val="DefaultParagraphFont"/>
    <w:link w:val="Footer"/>
    <w:uiPriority w:val="99"/>
    <w:rsid w:val="008404B6"/>
    <w:rPr>
      <w:rFonts w:cstheme="minorBidi"/>
      <w:kern w:val="2"/>
      <w14:ligatures w14:val="standardContextual"/>
    </w:rPr>
  </w:style>
  <w:style w:type="character" w:styleId="UnresolvedMention">
    <w:name w:val="Unresolved Mention"/>
    <w:basedOn w:val="DefaultParagraphFont"/>
    <w:uiPriority w:val="99"/>
    <w:semiHidden/>
    <w:unhideWhenUsed/>
    <w:rsid w:val="008404B6"/>
    <w:rPr>
      <w:color w:val="605E5C"/>
      <w:shd w:val="clear" w:color="auto" w:fill="E1DFDD"/>
    </w:rPr>
  </w:style>
  <w:style w:type="paragraph" w:styleId="FootnoteText">
    <w:name w:val="footnote text"/>
    <w:basedOn w:val="Normal"/>
    <w:link w:val="FootnoteTextChar"/>
    <w:uiPriority w:val="99"/>
    <w:unhideWhenUsed/>
    <w:rsid w:val="008404B6"/>
    <w:pPr>
      <w:spacing w:after="0" w:line="240" w:lineRule="auto"/>
    </w:pPr>
    <w:rPr>
      <w:rFonts w:cstheme="minorBidi"/>
      <w:kern w:val="2"/>
      <w:sz w:val="20"/>
      <w:szCs w:val="20"/>
      <w14:ligatures w14:val="standardContextual"/>
    </w:rPr>
  </w:style>
  <w:style w:type="character" w:customStyle="1" w:styleId="FootnoteTextChar">
    <w:name w:val="Footnote Text Char"/>
    <w:basedOn w:val="DefaultParagraphFont"/>
    <w:link w:val="FootnoteText"/>
    <w:uiPriority w:val="99"/>
    <w:qFormat/>
    <w:rsid w:val="008404B6"/>
    <w:rPr>
      <w:rFonts w:cstheme="minorBidi"/>
      <w:kern w:val="2"/>
      <w:sz w:val="20"/>
      <w:szCs w:val="20"/>
      <w14:ligatures w14:val="standardContextual"/>
    </w:rPr>
  </w:style>
  <w:style w:type="character" w:styleId="FootnoteReference">
    <w:name w:val="footnote reference"/>
    <w:basedOn w:val="DefaultParagraphFont"/>
    <w:uiPriority w:val="99"/>
    <w:semiHidden/>
    <w:unhideWhenUsed/>
    <w:rsid w:val="008404B6"/>
    <w:rPr>
      <w:vertAlign w:val="superscript"/>
    </w:rPr>
  </w:style>
  <w:style w:type="paragraph" w:styleId="Revision">
    <w:name w:val="Revision"/>
    <w:hidden/>
    <w:uiPriority w:val="99"/>
    <w:semiHidden/>
    <w:rsid w:val="008404B6"/>
    <w:pPr>
      <w:spacing w:after="0" w:line="240" w:lineRule="auto"/>
    </w:pPr>
    <w:rPr>
      <w:rFonts w:cstheme="minorBidi"/>
      <w:kern w:val="2"/>
      <w14:ligatures w14:val="standardContextual"/>
    </w:rPr>
  </w:style>
  <w:style w:type="table" w:styleId="TableGrid">
    <w:name w:val="Table Grid"/>
    <w:basedOn w:val="TableNormal"/>
    <w:uiPriority w:val="39"/>
    <w:rsid w:val="008404B6"/>
    <w:pPr>
      <w:spacing w:after="0" w:line="240" w:lineRule="auto"/>
    </w:pPr>
    <w:rPr>
      <w:rFonts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6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113">
      <w:bodyDiv w:val="1"/>
      <w:marLeft w:val="0"/>
      <w:marRight w:val="0"/>
      <w:marTop w:val="0"/>
      <w:marBottom w:val="0"/>
      <w:divBdr>
        <w:top w:val="none" w:sz="0" w:space="0" w:color="auto"/>
        <w:left w:val="none" w:sz="0" w:space="0" w:color="auto"/>
        <w:bottom w:val="none" w:sz="0" w:space="0" w:color="auto"/>
        <w:right w:val="none" w:sz="0" w:space="0" w:color="auto"/>
      </w:divBdr>
    </w:div>
    <w:div w:id="248586335">
      <w:bodyDiv w:val="1"/>
      <w:marLeft w:val="0"/>
      <w:marRight w:val="0"/>
      <w:marTop w:val="0"/>
      <w:marBottom w:val="0"/>
      <w:divBdr>
        <w:top w:val="none" w:sz="0" w:space="0" w:color="auto"/>
        <w:left w:val="none" w:sz="0" w:space="0" w:color="auto"/>
        <w:bottom w:val="none" w:sz="0" w:space="0" w:color="auto"/>
        <w:right w:val="none" w:sz="0" w:space="0" w:color="auto"/>
      </w:divBdr>
    </w:div>
    <w:div w:id="393966234">
      <w:bodyDiv w:val="1"/>
      <w:marLeft w:val="0"/>
      <w:marRight w:val="0"/>
      <w:marTop w:val="0"/>
      <w:marBottom w:val="0"/>
      <w:divBdr>
        <w:top w:val="none" w:sz="0" w:space="0" w:color="auto"/>
        <w:left w:val="none" w:sz="0" w:space="0" w:color="auto"/>
        <w:bottom w:val="none" w:sz="0" w:space="0" w:color="auto"/>
        <w:right w:val="none" w:sz="0" w:space="0" w:color="auto"/>
      </w:divBdr>
    </w:div>
    <w:div w:id="401803314">
      <w:bodyDiv w:val="1"/>
      <w:marLeft w:val="0"/>
      <w:marRight w:val="0"/>
      <w:marTop w:val="0"/>
      <w:marBottom w:val="0"/>
      <w:divBdr>
        <w:top w:val="none" w:sz="0" w:space="0" w:color="auto"/>
        <w:left w:val="none" w:sz="0" w:space="0" w:color="auto"/>
        <w:bottom w:val="none" w:sz="0" w:space="0" w:color="auto"/>
        <w:right w:val="none" w:sz="0" w:space="0" w:color="auto"/>
      </w:divBdr>
    </w:div>
    <w:div w:id="1113743817">
      <w:bodyDiv w:val="1"/>
      <w:marLeft w:val="0"/>
      <w:marRight w:val="0"/>
      <w:marTop w:val="0"/>
      <w:marBottom w:val="0"/>
      <w:divBdr>
        <w:top w:val="none" w:sz="0" w:space="0" w:color="auto"/>
        <w:left w:val="none" w:sz="0" w:space="0" w:color="auto"/>
        <w:bottom w:val="none" w:sz="0" w:space="0" w:color="auto"/>
        <w:right w:val="none" w:sz="0" w:space="0" w:color="auto"/>
      </w:divBdr>
    </w:div>
    <w:div w:id="1116100518">
      <w:bodyDiv w:val="1"/>
      <w:marLeft w:val="0"/>
      <w:marRight w:val="0"/>
      <w:marTop w:val="0"/>
      <w:marBottom w:val="0"/>
      <w:divBdr>
        <w:top w:val="none" w:sz="0" w:space="0" w:color="auto"/>
        <w:left w:val="none" w:sz="0" w:space="0" w:color="auto"/>
        <w:bottom w:val="none" w:sz="0" w:space="0" w:color="auto"/>
        <w:right w:val="none" w:sz="0" w:space="0" w:color="auto"/>
      </w:divBdr>
    </w:div>
    <w:div w:id="1216552668">
      <w:bodyDiv w:val="1"/>
      <w:marLeft w:val="0"/>
      <w:marRight w:val="0"/>
      <w:marTop w:val="0"/>
      <w:marBottom w:val="0"/>
      <w:divBdr>
        <w:top w:val="none" w:sz="0" w:space="0" w:color="auto"/>
        <w:left w:val="none" w:sz="0" w:space="0" w:color="auto"/>
        <w:bottom w:val="none" w:sz="0" w:space="0" w:color="auto"/>
        <w:right w:val="none" w:sz="0" w:space="0" w:color="auto"/>
      </w:divBdr>
    </w:div>
    <w:div w:id="1324159142">
      <w:bodyDiv w:val="1"/>
      <w:marLeft w:val="0"/>
      <w:marRight w:val="0"/>
      <w:marTop w:val="0"/>
      <w:marBottom w:val="0"/>
      <w:divBdr>
        <w:top w:val="none" w:sz="0" w:space="0" w:color="auto"/>
        <w:left w:val="none" w:sz="0" w:space="0" w:color="auto"/>
        <w:bottom w:val="none" w:sz="0" w:space="0" w:color="auto"/>
        <w:right w:val="none" w:sz="0" w:space="0" w:color="auto"/>
      </w:divBdr>
    </w:div>
    <w:div w:id="1358658520">
      <w:bodyDiv w:val="1"/>
      <w:marLeft w:val="0"/>
      <w:marRight w:val="0"/>
      <w:marTop w:val="0"/>
      <w:marBottom w:val="0"/>
      <w:divBdr>
        <w:top w:val="none" w:sz="0" w:space="0" w:color="auto"/>
        <w:left w:val="none" w:sz="0" w:space="0" w:color="auto"/>
        <w:bottom w:val="none" w:sz="0" w:space="0" w:color="auto"/>
        <w:right w:val="none" w:sz="0" w:space="0" w:color="auto"/>
      </w:divBdr>
    </w:div>
    <w:div w:id="1564679845">
      <w:bodyDiv w:val="1"/>
      <w:marLeft w:val="0"/>
      <w:marRight w:val="0"/>
      <w:marTop w:val="0"/>
      <w:marBottom w:val="0"/>
      <w:divBdr>
        <w:top w:val="none" w:sz="0" w:space="0" w:color="auto"/>
        <w:left w:val="none" w:sz="0" w:space="0" w:color="auto"/>
        <w:bottom w:val="none" w:sz="0" w:space="0" w:color="auto"/>
        <w:right w:val="none" w:sz="0" w:space="0" w:color="auto"/>
      </w:divBdr>
    </w:div>
    <w:div w:id="18726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3.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image" Target="media/image40.wmf"/><Relationship Id="rId112" Type="http://schemas.openxmlformats.org/officeDocument/2006/relationships/image" Target="media/image51.wmf"/><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image" Target="media/image3.emf"/><Relationship Id="rId32" Type="http://schemas.openxmlformats.org/officeDocument/2006/relationships/image" Target="media/image14.wmf"/><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image" Target="media/image46.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3.wmf"/><Relationship Id="rId22" Type="http://schemas.openxmlformats.org/officeDocument/2006/relationships/image" Target="media/image9.wmf"/><Relationship Id="rId27" Type="http://schemas.openxmlformats.org/officeDocument/2006/relationships/oleObject" Target="embeddings/oleObject8.bin"/><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oleObject" Target="embeddings/oleObject54.bin"/><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8.wmf"/><Relationship Id="rId12" Type="http://schemas.openxmlformats.org/officeDocument/2006/relationships/image" Target="media/image4.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oleObject" Target="embeddings/oleObject49.bin"/><Relationship Id="rId108" Type="http://schemas.openxmlformats.org/officeDocument/2006/relationships/image" Target="media/image49.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image" Target="media/image41.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oleObject" Target="embeddings/oleObject55.bin"/><Relationship Id="rId119"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6.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7.w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image" Target="media/image52.wmf"/><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oleObject" Target="embeddings/oleObject4.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50.bin"/><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image" Target="media/image44.wmf"/><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6.bin"/><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oleObject" Target="embeddings/oleObject53.bin"/><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image" Target="media/image25.wmf"/><Relationship Id="rId106"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2631-0D39-4CB7-B75E-3121758F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54674</Words>
  <Characters>311648</Characters>
  <Application>Microsoft Office Word</Application>
  <DocSecurity>0</DocSecurity>
  <Lines>2597</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Robbennolt, Dale Andrew</dc:creator>
  <cp:keywords/>
  <dc:description/>
  <cp:lastModifiedBy>Macias, Lisa J</cp:lastModifiedBy>
  <cp:revision>2</cp:revision>
  <cp:lastPrinted>2025-07-25T01:16:00Z</cp:lastPrinted>
  <dcterms:created xsi:type="dcterms:W3CDTF">2025-08-06T19:46:00Z</dcterms:created>
  <dcterms:modified xsi:type="dcterms:W3CDTF">2025-08-06T19:46:00Z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id="LjxauGGq"/&gt;&lt;style id="http://www.zotero.org/styles/transportation-research-part-b" hasBibliography="1" bibliographyStyleHasBeenSet="1"/&gt;&lt;prefs&gt;&lt;pref name="fieldType" value="Field"/&gt;&lt;pref name="do</vt:lpwstr>
  </property>
  <property fmtid="{D5CDD505-2E9C-101B-9397-08002B2CF9AE}" pid="3" name="ZOTERO_PREF_2">
    <vt:lpwstr>ntAskDelayCitationUpdates" value="true"/&gt;&lt;/prefs&gt;&lt;/data&gt;</vt:lpwstr>
  </property>
  <property fmtid="{D5CDD505-2E9C-101B-9397-08002B2CF9AE}" pid="4" name="MTWinEqns">
    <vt:bool>true</vt:bool>
  </property>
  <property fmtid="{D5CDD505-2E9C-101B-9397-08002B2CF9AE}" pid="5" name="MTEquationNumber2">
    <vt:lpwstr>(#E1)</vt:lpwstr>
  </property>
</Properties>
</file>